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Times New Roman" w:hAnsi="Times New Roman" w:cs="Times New Roman"/>
          <w:sz w:val="28"/>
          <w:szCs w:val="28"/>
        </w:rPr>
      </w:pPr>
    </w:p>
    <w:p>
      <w:pPr>
        <w:jc w:val="center"/>
        <w:rPr>
          <w:rFonts w:ascii="Times New Roman" w:hAnsi="Times New Roman" w:cs="Times New Roman"/>
          <w:sz w:val="28"/>
          <w:szCs w:val="28"/>
        </w:rPr>
      </w:pPr>
      <w:r>
        <w:rPr>
          <w:rFonts w:ascii="Times New Roman" w:hAnsi="Times New Roman" w:cs="Times New Roman"/>
          <w:sz w:val="28"/>
          <w:szCs w:val="28"/>
        </w:rPr>
        <w:t>Consulting project of automobile insurance</w:t>
      </w:r>
    </w:p>
    <w:p>
      <w:pPr>
        <w:jc w:val="center"/>
        <w:rPr>
          <w:rFonts w:hint="eastAsia" w:ascii="Times New Roman" w:hAnsi="Times New Roman" w:cs="Times New Roman" w:eastAsiaTheme="minorEastAsia"/>
          <w:sz w:val="28"/>
          <w:szCs w:val="28"/>
          <w:lang w:val="en-US" w:eastAsia="zh-CN"/>
        </w:rPr>
      </w:pPr>
      <w:r>
        <w:rPr>
          <w:rFonts w:ascii="Times New Roman" w:hAnsi="Times New Roman" w:cs="Times New Roman"/>
          <w:sz w:val="28"/>
          <w:szCs w:val="28"/>
        </w:rPr>
        <w:t xml:space="preserve">Student name </w:t>
      </w:r>
      <w:r>
        <w:rPr>
          <w:rFonts w:hint="eastAsia" w:ascii="Times New Roman" w:hAnsi="Times New Roman" w:cs="Times New Roman"/>
          <w:sz w:val="28"/>
          <w:szCs w:val="28"/>
          <w:lang w:val="en-US" w:eastAsia="zh-CN"/>
        </w:rPr>
        <w:t>chenguangyuan</w:t>
      </w:r>
    </w:p>
    <w:p>
      <w:pPr>
        <w:jc w:val="center"/>
        <w:rPr>
          <w:rFonts w:hint="eastAsia" w:ascii="Times New Roman" w:hAnsi="Times New Roman" w:cs="Times New Roman" w:eastAsiaTheme="minorEastAsia"/>
          <w:sz w:val="28"/>
          <w:szCs w:val="28"/>
          <w:lang w:val="en-US" w:eastAsia="zh-CN"/>
        </w:rPr>
      </w:pPr>
      <w:r>
        <w:rPr>
          <w:rFonts w:ascii="Times New Roman" w:hAnsi="Times New Roman" w:cs="Times New Roman"/>
          <w:sz w:val="28"/>
          <w:szCs w:val="28"/>
        </w:rPr>
        <w:t>Student ID</w:t>
      </w:r>
      <w:r>
        <w:rPr>
          <w:rFonts w:hint="eastAsia" w:ascii="Times New Roman" w:hAnsi="Times New Roman" w:cs="Times New Roman"/>
          <w:sz w:val="28"/>
          <w:szCs w:val="28"/>
          <w:lang w:val="en-US" w:eastAsia="zh-CN"/>
        </w:rPr>
        <w:t xml:space="preserve"> 1804531</w:t>
      </w:r>
      <w:bookmarkStart w:id="15" w:name="_GoBack"/>
      <w:bookmarkEnd w:id="15"/>
    </w:p>
    <w:p>
      <w:pPr>
        <w:widowControl/>
        <w:jc w:val="left"/>
        <w:rPr>
          <w:rFonts w:ascii="Times New Roman" w:hAnsi="Times New Roman" w:cs="Times New Roman"/>
          <w:sz w:val="28"/>
          <w:szCs w:val="28"/>
        </w:rPr>
      </w:pPr>
      <w:r>
        <w:rPr>
          <w:rFonts w:ascii="Times New Roman" w:hAnsi="Times New Roman" w:cs="Times New Roman"/>
          <w:sz w:val="28"/>
          <w:szCs w:val="28"/>
        </w:rPr>
        <w:br w:type="page"/>
      </w:r>
    </w:p>
    <w:sdt>
      <w:sdtPr>
        <w:rPr>
          <w:rFonts w:asciiTheme="minorHAnsi" w:hAnsiTheme="minorHAnsi" w:eastAsiaTheme="minorEastAsia" w:cstheme="minorBidi"/>
          <w:color w:val="auto"/>
          <w:kern w:val="2"/>
          <w:sz w:val="28"/>
          <w:szCs w:val="28"/>
          <w:lang w:val="zh-CN"/>
        </w:rPr>
        <w:id w:val="-800535416"/>
        <w:docPartObj>
          <w:docPartGallery w:val="Table of Contents"/>
          <w:docPartUnique/>
        </w:docPartObj>
      </w:sdtPr>
      <w:sdtEndPr>
        <w:rPr>
          <w:rFonts w:asciiTheme="minorHAnsi" w:hAnsiTheme="minorHAnsi" w:eastAsiaTheme="minorEastAsia" w:cstheme="minorBidi"/>
          <w:b/>
          <w:bCs/>
          <w:color w:val="auto"/>
          <w:kern w:val="2"/>
          <w:sz w:val="21"/>
          <w:szCs w:val="24"/>
          <w:lang w:val="zh-CN"/>
        </w:rPr>
      </w:sdtEndPr>
      <w:sdtContent>
        <w:p>
          <w:pPr>
            <w:pStyle w:val="16"/>
            <w:spacing w:line="360" w:lineRule="auto"/>
            <w:rPr>
              <w:rFonts w:ascii="Times New Roman" w:hAnsi="Times New Roman" w:cs="Times New Roman"/>
              <w:color w:val="auto"/>
              <w:sz w:val="28"/>
              <w:szCs w:val="28"/>
            </w:rPr>
          </w:pPr>
          <w:r>
            <w:rPr>
              <w:rFonts w:ascii="Times New Roman" w:hAnsi="Times New Roman" w:cs="Times New Roman"/>
              <w:color w:val="auto"/>
              <w:sz w:val="28"/>
              <w:szCs w:val="28"/>
              <w:lang w:val="zh-CN"/>
            </w:rPr>
            <w:t>Table of Contents</w:t>
          </w:r>
        </w:p>
        <w:p>
          <w:pPr>
            <w:pStyle w:val="7"/>
            <w:tabs>
              <w:tab w:val="right" w:leader="dot" w:pos="8296"/>
            </w:tabs>
            <w:spacing w:line="360" w:lineRule="auto"/>
            <w:rPr>
              <w:rFonts w:ascii="Times New Roman" w:hAnsi="Times New Roman" w:cs="Times New Roman"/>
              <w:sz w:val="28"/>
              <w:szCs w:val="28"/>
            </w:rPr>
          </w:pPr>
          <w:r>
            <w:rPr>
              <w:rFonts w:ascii="Times New Roman" w:hAnsi="Times New Roman" w:cs="Times New Roman"/>
              <w:b/>
              <w:bCs/>
              <w:sz w:val="28"/>
              <w:szCs w:val="28"/>
              <w:lang w:val="zh-CN"/>
            </w:rPr>
            <w:fldChar w:fldCharType="begin"/>
          </w:r>
          <w:r>
            <w:rPr>
              <w:rFonts w:ascii="Times New Roman" w:hAnsi="Times New Roman" w:cs="Times New Roman"/>
              <w:b/>
              <w:bCs/>
              <w:sz w:val="28"/>
              <w:szCs w:val="28"/>
              <w:lang w:val="zh-CN"/>
            </w:rPr>
            <w:instrText xml:space="preserve"> TOC \o "1-3" \h \z \u </w:instrText>
          </w:r>
          <w:r>
            <w:rPr>
              <w:rFonts w:ascii="Times New Roman" w:hAnsi="Times New Roman" w:cs="Times New Roman"/>
              <w:b/>
              <w:bCs/>
              <w:sz w:val="28"/>
              <w:szCs w:val="28"/>
              <w:lang w:val="zh-CN"/>
            </w:rPr>
            <w:fldChar w:fldCharType="separate"/>
          </w:r>
          <w:r>
            <w:fldChar w:fldCharType="begin"/>
          </w:r>
          <w:r>
            <w:instrText xml:space="preserve"> HYPERLINK \l "_Toc2024565" </w:instrText>
          </w:r>
          <w:r>
            <w:fldChar w:fldCharType="separate"/>
          </w:r>
          <w:r>
            <w:rPr>
              <w:rStyle w:val="10"/>
              <w:rFonts w:ascii="Times New Roman" w:hAnsi="Times New Roman" w:cs="Times New Roman"/>
              <w:sz w:val="28"/>
              <w:szCs w:val="28"/>
            </w:rPr>
            <w:t>1.Introduction</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_Toc2024565 \h </w:instrText>
          </w:r>
          <w:r>
            <w:rPr>
              <w:rFonts w:ascii="Times New Roman" w:hAnsi="Times New Roman" w:cs="Times New Roman"/>
              <w:sz w:val="28"/>
              <w:szCs w:val="28"/>
            </w:rPr>
            <w:fldChar w:fldCharType="separate"/>
          </w:r>
          <w:r>
            <w:rPr>
              <w:rFonts w:ascii="Times New Roman" w:hAnsi="Times New Roman" w:cs="Times New Roman"/>
              <w:sz w:val="28"/>
              <w:szCs w:val="28"/>
            </w:rPr>
            <w:t>3</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7"/>
            <w:tabs>
              <w:tab w:val="right" w:leader="dot" w:pos="8296"/>
            </w:tabs>
            <w:spacing w:line="360" w:lineRule="auto"/>
            <w:rPr>
              <w:rFonts w:ascii="Times New Roman" w:hAnsi="Times New Roman" w:cs="Times New Roman"/>
              <w:sz w:val="28"/>
              <w:szCs w:val="28"/>
            </w:rPr>
          </w:pPr>
          <w:r>
            <w:fldChar w:fldCharType="begin"/>
          </w:r>
          <w:r>
            <w:instrText xml:space="preserve"> HYPERLINK \l "_Toc2024566" </w:instrText>
          </w:r>
          <w:r>
            <w:fldChar w:fldCharType="separate"/>
          </w:r>
          <w:r>
            <w:rPr>
              <w:rStyle w:val="10"/>
              <w:rFonts w:ascii="Times New Roman" w:hAnsi="Times New Roman" w:cs="Times New Roman"/>
              <w:sz w:val="28"/>
              <w:szCs w:val="28"/>
            </w:rPr>
            <w:t>2.Rationale - why we do the project</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_Toc2024566 \h </w:instrText>
          </w:r>
          <w:r>
            <w:rPr>
              <w:rFonts w:ascii="Times New Roman" w:hAnsi="Times New Roman" w:cs="Times New Roman"/>
              <w:sz w:val="28"/>
              <w:szCs w:val="28"/>
            </w:rPr>
            <w:fldChar w:fldCharType="separate"/>
          </w:r>
          <w:r>
            <w:rPr>
              <w:rFonts w:ascii="Times New Roman" w:hAnsi="Times New Roman" w:cs="Times New Roman"/>
              <w:sz w:val="28"/>
              <w:szCs w:val="28"/>
            </w:rPr>
            <w:t>3</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7"/>
            <w:tabs>
              <w:tab w:val="right" w:leader="dot" w:pos="8296"/>
            </w:tabs>
            <w:spacing w:line="360" w:lineRule="auto"/>
            <w:rPr>
              <w:rFonts w:ascii="Times New Roman" w:hAnsi="Times New Roman" w:cs="Times New Roman"/>
              <w:sz w:val="28"/>
              <w:szCs w:val="28"/>
            </w:rPr>
          </w:pPr>
          <w:r>
            <w:fldChar w:fldCharType="begin"/>
          </w:r>
          <w:r>
            <w:instrText xml:space="preserve"> HYPERLINK \l "_Toc2024567" </w:instrText>
          </w:r>
          <w:r>
            <w:fldChar w:fldCharType="separate"/>
          </w:r>
          <w:r>
            <w:rPr>
              <w:rStyle w:val="10"/>
              <w:rFonts w:ascii="Times New Roman" w:hAnsi="Times New Roman" w:cs="Times New Roman"/>
              <w:sz w:val="28"/>
              <w:szCs w:val="28"/>
            </w:rPr>
            <w:t>3.Influencing factors of auto insurance rates</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_Toc2024567 \h </w:instrText>
          </w:r>
          <w:r>
            <w:rPr>
              <w:rFonts w:ascii="Times New Roman" w:hAnsi="Times New Roman" w:cs="Times New Roman"/>
              <w:sz w:val="28"/>
              <w:szCs w:val="28"/>
            </w:rPr>
            <w:fldChar w:fldCharType="separate"/>
          </w:r>
          <w:r>
            <w:rPr>
              <w:rFonts w:ascii="Times New Roman" w:hAnsi="Times New Roman" w:cs="Times New Roman"/>
              <w:sz w:val="28"/>
              <w:szCs w:val="28"/>
            </w:rPr>
            <w:t>5</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7"/>
            <w:tabs>
              <w:tab w:val="right" w:leader="dot" w:pos="8296"/>
            </w:tabs>
            <w:spacing w:line="360" w:lineRule="auto"/>
            <w:rPr>
              <w:rFonts w:ascii="Times New Roman" w:hAnsi="Times New Roman" w:cs="Times New Roman"/>
              <w:sz w:val="28"/>
              <w:szCs w:val="28"/>
            </w:rPr>
          </w:pPr>
          <w:r>
            <w:fldChar w:fldCharType="begin"/>
          </w:r>
          <w:r>
            <w:instrText xml:space="preserve"> HYPERLINK \l "_Toc2024568" </w:instrText>
          </w:r>
          <w:r>
            <w:fldChar w:fldCharType="separate"/>
          </w:r>
          <w:r>
            <w:rPr>
              <w:rStyle w:val="10"/>
              <w:rFonts w:ascii="Times New Roman" w:hAnsi="Times New Roman" w:cs="Times New Roman"/>
              <w:sz w:val="28"/>
              <w:szCs w:val="28"/>
            </w:rPr>
            <w:t>4.Approaches to reduce costs</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_Toc2024568 \h </w:instrText>
          </w:r>
          <w:r>
            <w:rPr>
              <w:rFonts w:ascii="Times New Roman" w:hAnsi="Times New Roman" w:cs="Times New Roman"/>
              <w:sz w:val="28"/>
              <w:szCs w:val="28"/>
            </w:rPr>
            <w:fldChar w:fldCharType="separate"/>
          </w:r>
          <w:r>
            <w:rPr>
              <w:rFonts w:ascii="Times New Roman" w:hAnsi="Times New Roman" w:cs="Times New Roman"/>
              <w:sz w:val="28"/>
              <w:szCs w:val="28"/>
            </w:rPr>
            <w:t>7</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8"/>
            <w:tabs>
              <w:tab w:val="right" w:leader="dot" w:pos="8296"/>
            </w:tabs>
            <w:spacing w:line="360" w:lineRule="auto"/>
            <w:rPr>
              <w:rFonts w:ascii="Times New Roman" w:hAnsi="Times New Roman" w:cs="Times New Roman"/>
              <w:sz w:val="28"/>
              <w:szCs w:val="28"/>
            </w:rPr>
          </w:pPr>
          <w:r>
            <w:fldChar w:fldCharType="begin"/>
          </w:r>
          <w:r>
            <w:instrText xml:space="preserve"> HYPERLINK \l "_Toc2024569" </w:instrText>
          </w:r>
          <w:r>
            <w:fldChar w:fldCharType="separate"/>
          </w:r>
          <w:r>
            <w:rPr>
              <w:rStyle w:val="10"/>
              <w:rFonts w:ascii="Times New Roman" w:hAnsi="Times New Roman" w:cs="Times New Roman"/>
              <w:sz w:val="28"/>
              <w:szCs w:val="28"/>
            </w:rPr>
            <w:t>4.1Approach 1: “Bonus and penalty system” to lower accident frequency</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_Toc2024569 \h </w:instrText>
          </w:r>
          <w:r>
            <w:rPr>
              <w:rFonts w:ascii="Times New Roman" w:hAnsi="Times New Roman" w:cs="Times New Roman"/>
              <w:sz w:val="28"/>
              <w:szCs w:val="28"/>
            </w:rPr>
            <w:fldChar w:fldCharType="separate"/>
          </w:r>
          <w:r>
            <w:rPr>
              <w:rFonts w:ascii="Times New Roman" w:hAnsi="Times New Roman" w:cs="Times New Roman"/>
              <w:sz w:val="28"/>
              <w:szCs w:val="28"/>
            </w:rPr>
            <w:t>7</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8"/>
            <w:tabs>
              <w:tab w:val="right" w:leader="dot" w:pos="8296"/>
            </w:tabs>
            <w:spacing w:line="360" w:lineRule="auto"/>
            <w:rPr>
              <w:rFonts w:ascii="Times New Roman" w:hAnsi="Times New Roman" w:cs="Times New Roman"/>
              <w:sz w:val="28"/>
              <w:szCs w:val="28"/>
            </w:rPr>
          </w:pPr>
          <w:r>
            <w:fldChar w:fldCharType="begin"/>
          </w:r>
          <w:r>
            <w:instrText xml:space="preserve"> HYPERLINK \l "_Toc2024570" </w:instrText>
          </w:r>
          <w:r>
            <w:fldChar w:fldCharType="separate"/>
          </w:r>
          <w:r>
            <w:rPr>
              <w:rStyle w:val="10"/>
              <w:rFonts w:ascii="Times New Roman" w:hAnsi="Times New Roman" w:cs="Times New Roman"/>
              <w:sz w:val="28"/>
              <w:szCs w:val="28"/>
            </w:rPr>
            <w:t>4.2Approach 2: Stronger measures to verify claim realness and loss amounts</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_Toc2024570 \h </w:instrText>
          </w:r>
          <w:r>
            <w:rPr>
              <w:rFonts w:ascii="Times New Roman" w:hAnsi="Times New Roman" w:cs="Times New Roman"/>
              <w:sz w:val="28"/>
              <w:szCs w:val="28"/>
            </w:rPr>
            <w:fldChar w:fldCharType="separate"/>
          </w:r>
          <w:r>
            <w:rPr>
              <w:rFonts w:ascii="Times New Roman" w:hAnsi="Times New Roman" w:cs="Times New Roman"/>
              <w:sz w:val="28"/>
              <w:szCs w:val="28"/>
            </w:rPr>
            <w:t>8</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8"/>
            <w:tabs>
              <w:tab w:val="right" w:leader="dot" w:pos="8296"/>
            </w:tabs>
            <w:spacing w:line="360" w:lineRule="auto"/>
            <w:rPr>
              <w:rFonts w:ascii="Times New Roman" w:hAnsi="Times New Roman" w:cs="Times New Roman"/>
              <w:sz w:val="28"/>
              <w:szCs w:val="28"/>
            </w:rPr>
          </w:pPr>
          <w:r>
            <w:fldChar w:fldCharType="begin"/>
          </w:r>
          <w:r>
            <w:instrText xml:space="preserve"> HYPERLINK \l "_Toc2024571" </w:instrText>
          </w:r>
          <w:r>
            <w:fldChar w:fldCharType="separate"/>
          </w:r>
          <w:r>
            <w:rPr>
              <w:rStyle w:val="10"/>
              <w:rFonts w:ascii="Times New Roman" w:hAnsi="Times New Roman" w:cs="Times New Roman"/>
              <w:sz w:val="28"/>
              <w:szCs w:val="28"/>
            </w:rPr>
            <w:t>4.3Approach 3: Reduction on new business expenses</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_Toc2024571 \h </w:instrText>
          </w:r>
          <w:r>
            <w:rPr>
              <w:rFonts w:ascii="Times New Roman" w:hAnsi="Times New Roman" w:cs="Times New Roman"/>
              <w:sz w:val="28"/>
              <w:szCs w:val="28"/>
            </w:rPr>
            <w:fldChar w:fldCharType="separate"/>
          </w:r>
          <w:r>
            <w:rPr>
              <w:rFonts w:ascii="Times New Roman" w:hAnsi="Times New Roman" w:cs="Times New Roman"/>
              <w:sz w:val="28"/>
              <w:szCs w:val="28"/>
            </w:rPr>
            <w:t>10</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8"/>
            <w:tabs>
              <w:tab w:val="right" w:leader="dot" w:pos="8296"/>
            </w:tabs>
            <w:spacing w:line="360" w:lineRule="auto"/>
            <w:rPr>
              <w:rFonts w:ascii="Times New Roman" w:hAnsi="Times New Roman" w:cs="Times New Roman"/>
              <w:sz w:val="28"/>
              <w:szCs w:val="28"/>
            </w:rPr>
          </w:pPr>
          <w:r>
            <w:fldChar w:fldCharType="begin"/>
          </w:r>
          <w:r>
            <w:instrText xml:space="preserve"> HYPERLINK \l "_Toc2024572" </w:instrText>
          </w:r>
          <w:r>
            <w:fldChar w:fldCharType="separate"/>
          </w:r>
          <w:r>
            <w:rPr>
              <w:rStyle w:val="10"/>
              <w:rFonts w:ascii="Times New Roman" w:hAnsi="Times New Roman" w:cs="Times New Roman"/>
              <w:sz w:val="28"/>
              <w:szCs w:val="28"/>
            </w:rPr>
            <w:t>4.4Approach 4 Research on saving legal costs</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_Toc2024572 \h </w:instrText>
          </w:r>
          <w:r>
            <w:rPr>
              <w:rFonts w:ascii="Times New Roman" w:hAnsi="Times New Roman" w:cs="Times New Roman"/>
              <w:sz w:val="28"/>
              <w:szCs w:val="28"/>
            </w:rPr>
            <w:fldChar w:fldCharType="separate"/>
          </w:r>
          <w:r>
            <w:rPr>
              <w:rFonts w:ascii="Times New Roman" w:hAnsi="Times New Roman" w:cs="Times New Roman"/>
              <w:sz w:val="28"/>
              <w:szCs w:val="28"/>
            </w:rPr>
            <w:t>11</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8"/>
            <w:tabs>
              <w:tab w:val="right" w:leader="dot" w:pos="8296"/>
            </w:tabs>
            <w:spacing w:line="360" w:lineRule="auto"/>
            <w:rPr>
              <w:rFonts w:ascii="Times New Roman" w:hAnsi="Times New Roman" w:cs="Times New Roman"/>
              <w:sz w:val="28"/>
              <w:szCs w:val="28"/>
            </w:rPr>
          </w:pPr>
          <w:r>
            <w:fldChar w:fldCharType="begin"/>
          </w:r>
          <w:r>
            <w:instrText xml:space="preserve"> HYPERLINK \l "_Toc2024573" </w:instrText>
          </w:r>
          <w:r>
            <w:fldChar w:fldCharType="separate"/>
          </w:r>
          <w:r>
            <w:rPr>
              <w:rStyle w:val="10"/>
              <w:rFonts w:ascii="Times New Roman" w:hAnsi="Times New Roman" w:cs="Times New Roman"/>
              <w:sz w:val="28"/>
              <w:szCs w:val="28"/>
            </w:rPr>
            <w:t>4.5Approach 5: Increase investment income</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_Toc2024573 \h </w:instrText>
          </w:r>
          <w:r>
            <w:rPr>
              <w:rFonts w:ascii="Times New Roman" w:hAnsi="Times New Roman" w:cs="Times New Roman"/>
              <w:sz w:val="28"/>
              <w:szCs w:val="28"/>
            </w:rPr>
            <w:fldChar w:fldCharType="separate"/>
          </w:r>
          <w:r>
            <w:rPr>
              <w:rFonts w:ascii="Times New Roman" w:hAnsi="Times New Roman" w:cs="Times New Roman"/>
              <w:sz w:val="28"/>
              <w:szCs w:val="28"/>
            </w:rPr>
            <w:t>12</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7"/>
            <w:tabs>
              <w:tab w:val="right" w:leader="dot" w:pos="8296"/>
            </w:tabs>
            <w:spacing w:line="360" w:lineRule="auto"/>
            <w:rPr>
              <w:rFonts w:ascii="Times New Roman" w:hAnsi="Times New Roman" w:cs="Times New Roman"/>
              <w:sz w:val="28"/>
              <w:szCs w:val="28"/>
            </w:rPr>
          </w:pPr>
          <w:r>
            <w:fldChar w:fldCharType="begin"/>
          </w:r>
          <w:r>
            <w:instrText xml:space="preserve"> HYPERLINK \l "_Toc2024574" </w:instrText>
          </w:r>
          <w:r>
            <w:fldChar w:fldCharType="separate"/>
          </w:r>
          <w:r>
            <w:rPr>
              <w:rStyle w:val="10"/>
              <w:rFonts w:ascii="Times New Roman" w:hAnsi="Times New Roman" w:cs="Times New Roman"/>
              <w:sz w:val="28"/>
              <w:szCs w:val="28"/>
            </w:rPr>
            <w:t>5.Benefits of the project</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_Toc2024574 \h </w:instrText>
          </w:r>
          <w:r>
            <w:rPr>
              <w:rFonts w:ascii="Times New Roman" w:hAnsi="Times New Roman" w:cs="Times New Roman"/>
              <w:sz w:val="28"/>
              <w:szCs w:val="28"/>
            </w:rPr>
            <w:fldChar w:fldCharType="separate"/>
          </w:r>
          <w:r>
            <w:rPr>
              <w:rFonts w:ascii="Times New Roman" w:hAnsi="Times New Roman" w:cs="Times New Roman"/>
              <w:sz w:val="28"/>
              <w:szCs w:val="28"/>
            </w:rPr>
            <w:t>12</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7"/>
            <w:tabs>
              <w:tab w:val="right" w:leader="dot" w:pos="8296"/>
            </w:tabs>
            <w:spacing w:line="360" w:lineRule="auto"/>
            <w:rPr>
              <w:rFonts w:ascii="Times New Roman" w:hAnsi="Times New Roman" w:cs="Times New Roman"/>
              <w:sz w:val="28"/>
              <w:szCs w:val="28"/>
            </w:rPr>
          </w:pPr>
          <w:r>
            <w:fldChar w:fldCharType="begin"/>
          </w:r>
          <w:r>
            <w:instrText xml:space="preserve"> HYPERLINK \l "_Toc2024575" </w:instrText>
          </w:r>
          <w:r>
            <w:fldChar w:fldCharType="separate"/>
          </w:r>
          <w:r>
            <w:rPr>
              <w:rStyle w:val="10"/>
              <w:rFonts w:ascii="Times New Roman" w:hAnsi="Times New Roman" w:cs="Times New Roman"/>
              <w:sz w:val="28"/>
              <w:szCs w:val="28"/>
            </w:rPr>
            <w:t>6.Risks</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_Toc2024575 \h </w:instrText>
          </w:r>
          <w:r>
            <w:rPr>
              <w:rFonts w:ascii="Times New Roman" w:hAnsi="Times New Roman" w:cs="Times New Roman"/>
              <w:sz w:val="28"/>
              <w:szCs w:val="28"/>
            </w:rPr>
            <w:fldChar w:fldCharType="separate"/>
          </w:r>
          <w:r>
            <w:rPr>
              <w:rFonts w:ascii="Times New Roman" w:hAnsi="Times New Roman" w:cs="Times New Roman"/>
              <w:sz w:val="28"/>
              <w:szCs w:val="28"/>
            </w:rPr>
            <w:t>13</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pStyle w:val="7"/>
            <w:tabs>
              <w:tab w:val="right" w:leader="dot" w:pos="8296"/>
            </w:tabs>
            <w:spacing w:line="360" w:lineRule="auto"/>
            <w:rPr>
              <w:rFonts w:ascii="Times New Roman" w:hAnsi="Times New Roman" w:cs="Times New Roman"/>
              <w:sz w:val="28"/>
              <w:szCs w:val="28"/>
            </w:rPr>
          </w:pPr>
          <w:r>
            <w:fldChar w:fldCharType="begin"/>
          </w:r>
          <w:r>
            <w:instrText xml:space="preserve"> HYPERLINK \l "_Toc2024576" </w:instrText>
          </w:r>
          <w:r>
            <w:fldChar w:fldCharType="separate"/>
          </w:r>
          <w:r>
            <w:rPr>
              <w:rStyle w:val="10"/>
              <w:rFonts w:ascii="Times New Roman" w:hAnsi="Times New Roman" w:cs="Times New Roman"/>
              <w:sz w:val="28"/>
              <w:szCs w:val="28"/>
            </w:rPr>
            <w:t>Reference</w:t>
          </w:r>
          <w:r>
            <w:rPr>
              <w:rFonts w:ascii="Times New Roman" w:hAnsi="Times New Roman" w:cs="Times New Roman"/>
              <w:sz w:val="28"/>
              <w:szCs w:val="28"/>
            </w:rPr>
            <w:tab/>
          </w:r>
          <w:r>
            <w:rPr>
              <w:rFonts w:ascii="Times New Roman" w:hAnsi="Times New Roman" w:cs="Times New Roman"/>
              <w:sz w:val="28"/>
              <w:szCs w:val="28"/>
            </w:rPr>
            <w:fldChar w:fldCharType="begin"/>
          </w:r>
          <w:r>
            <w:rPr>
              <w:rFonts w:ascii="Times New Roman" w:hAnsi="Times New Roman" w:cs="Times New Roman"/>
              <w:sz w:val="28"/>
              <w:szCs w:val="28"/>
            </w:rPr>
            <w:instrText xml:space="preserve"> PAGEREF _Toc2024576 \h </w:instrText>
          </w:r>
          <w:r>
            <w:rPr>
              <w:rFonts w:ascii="Times New Roman" w:hAnsi="Times New Roman" w:cs="Times New Roman"/>
              <w:sz w:val="28"/>
              <w:szCs w:val="28"/>
            </w:rPr>
            <w:fldChar w:fldCharType="separate"/>
          </w:r>
          <w:r>
            <w:rPr>
              <w:rFonts w:ascii="Times New Roman" w:hAnsi="Times New Roman" w:cs="Times New Roman"/>
              <w:sz w:val="28"/>
              <w:szCs w:val="28"/>
            </w:rPr>
            <w:t>14</w:t>
          </w:r>
          <w:r>
            <w:rPr>
              <w:rFonts w:ascii="Times New Roman" w:hAnsi="Times New Roman" w:cs="Times New Roman"/>
              <w:sz w:val="28"/>
              <w:szCs w:val="28"/>
            </w:rPr>
            <w:fldChar w:fldCharType="end"/>
          </w:r>
          <w:r>
            <w:rPr>
              <w:rFonts w:ascii="Times New Roman" w:hAnsi="Times New Roman" w:cs="Times New Roman"/>
              <w:sz w:val="28"/>
              <w:szCs w:val="28"/>
            </w:rPr>
            <w:fldChar w:fldCharType="end"/>
          </w:r>
        </w:p>
        <w:p>
          <w:pPr>
            <w:spacing w:line="360" w:lineRule="auto"/>
          </w:pPr>
          <w:r>
            <w:rPr>
              <w:rFonts w:ascii="Times New Roman" w:hAnsi="Times New Roman" w:cs="Times New Roman"/>
              <w:b/>
              <w:bCs/>
              <w:sz w:val="28"/>
              <w:szCs w:val="28"/>
              <w:lang w:val="zh-CN"/>
            </w:rPr>
            <w:fldChar w:fldCharType="end"/>
          </w:r>
        </w:p>
      </w:sdtContent>
    </w:sdt>
    <w:p>
      <w:pPr>
        <w:rPr>
          <w:rFonts w:cs="Times New Roman"/>
          <w:sz w:val="28"/>
          <w:szCs w:val="28"/>
        </w:rPr>
      </w:pPr>
    </w:p>
    <w:p>
      <w:pPr>
        <w:widowControl/>
        <w:jc w:val="left"/>
        <w:rPr>
          <w:rFonts w:cs="Times New Roman"/>
          <w:sz w:val="28"/>
          <w:szCs w:val="28"/>
        </w:rPr>
      </w:pPr>
      <w:r>
        <w:rPr>
          <w:rFonts w:cs="Times New Roman"/>
          <w:sz w:val="28"/>
          <w:szCs w:val="28"/>
        </w:rPr>
        <w:br w:type="page"/>
      </w:r>
    </w:p>
    <w:p>
      <w:pPr>
        <w:pStyle w:val="2"/>
        <w:rPr>
          <w:rFonts w:cs="Times New Roman"/>
          <w:sz w:val="28"/>
          <w:szCs w:val="28"/>
        </w:rPr>
      </w:pPr>
      <w:bookmarkStart w:id="0" w:name="_Toc2024565"/>
      <w:r>
        <w:rPr>
          <w:rFonts w:cs="Times New Roman"/>
          <w:sz w:val="28"/>
          <w:szCs w:val="28"/>
        </w:rPr>
        <w:t>1.Introduction</w:t>
      </w:r>
      <w:bookmarkEnd w:id="0"/>
    </w:p>
    <w:p>
      <w:p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An increasingly wide-concerned problem for automobile insurance policyholders is the climbing premium rates. In Washington, the annual average premium paid for a car is nearly $1,500. Despite drivers’ complaints about expensive costs, it’s hard for insurance companies to simply cut prices. As to an automobile insurance policy, the premium (price on the contract that the insured has to pay) is determined by actuaries according to various indicators, which are related to the cost of compensations to damaged cars and other economic factors(</w:t>
      </w:r>
      <w:bookmarkStart w:id="1" w:name="_Hlk2792911"/>
      <w:r>
        <w:rPr>
          <w:rFonts w:ascii="Times New Roman" w:hAnsi="Times New Roman" w:eastAsia="宋体" w:cs="Times New Roman"/>
          <w:color w:val="222222"/>
          <w:sz w:val="28"/>
          <w:szCs w:val="28"/>
          <w:shd w:val="clear" w:color="auto" w:fill="FFFFFF"/>
        </w:rPr>
        <w:t>Tidd , Bessant and Pavitt</w:t>
      </w:r>
      <w:bookmarkEnd w:id="1"/>
      <w:r>
        <w:rPr>
          <w:rFonts w:ascii="Times New Roman" w:hAnsi="Times New Roman" w:eastAsia="宋体" w:cs="Times New Roman"/>
          <w:color w:val="222222"/>
          <w:sz w:val="28"/>
          <w:szCs w:val="28"/>
          <w:shd w:val="clear" w:color="auto" w:fill="FFFFFF"/>
        </w:rPr>
        <w:t>,2005)</w:t>
      </w:r>
      <w:r>
        <w:rPr>
          <w:rFonts w:ascii="Times New Roman" w:hAnsi="Times New Roman" w:cs="Times New Roman"/>
          <w:color w:val="000000" w:themeColor="text1"/>
          <w:sz w:val="28"/>
          <w:szCs w:val="28"/>
          <w14:textFill>
            <w14:solidFill>
              <w14:schemeClr w14:val="tx1"/>
            </w14:solidFill>
          </w14:textFill>
        </w:rPr>
        <w:t xml:space="preserve">. This essay will analyze several factors that influence the pricing process of vehicle insurance contract and try to find out ways for companies to reduce cost of insurance compensation, thus gaining a pricing advantage in the market. Take </w:t>
      </w:r>
      <w:r>
        <w:rPr>
          <w:rFonts w:ascii="Times New Roman" w:hAnsi="Times New Roman" w:cs="Times New Roman"/>
          <w:i/>
          <w:iCs/>
          <w:color w:val="000000" w:themeColor="text1"/>
          <w:sz w:val="28"/>
          <w:szCs w:val="28"/>
          <w14:textFill>
            <w14:solidFill>
              <w14:schemeClr w14:val="tx1"/>
            </w14:solidFill>
          </w14:textFill>
        </w:rPr>
        <w:t>State Farm</w:t>
      </w:r>
      <w:r>
        <w:rPr>
          <w:rFonts w:ascii="Times New Roman" w:hAnsi="Times New Roman" w:cs="Times New Roman"/>
          <w:color w:val="000000" w:themeColor="text1"/>
          <w:sz w:val="28"/>
          <w:szCs w:val="28"/>
          <w14:textFill>
            <w14:solidFill>
              <w14:schemeClr w14:val="tx1"/>
            </w14:solidFill>
          </w14:textFill>
        </w:rPr>
        <w:t>, a property and casualty insurance company located in Washington as a case.</w:t>
      </w:r>
    </w:p>
    <w:p>
      <w:pPr>
        <w:spacing w:line="360" w:lineRule="auto"/>
        <w:rPr>
          <w:rFonts w:ascii="Times New Roman" w:hAnsi="Times New Roman" w:cs="Times New Roman"/>
          <w:color w:val="000000" w:themeColor="text1"/>
          <w:sz w:val="28"/>
          <w:szCs w:val="28"/>
          <w14:textFill>
            <w14:solidFill>
              <w14:schemeClr w14:val="tx1"/>
            </w14:solidFill>
          </w14:textFill>
        </w:rPr>
      </w:pPr>
    </w:p>
    <w:p>
      <w:pPr>
        <w:pStyle w:val="2"/>
        <w:rPr>
          <w:rFonts w:cs="Times New Roman"/>
          <w:sz w:val="28"/>
          <w:szCs w:val="28"/>
        </w:rPr>
      </w:pPr>
      <w:bookmarkStart w:id="2" w:name="_Toc2024566"/>
      <w:r>
        <w:rPr>
          <w:rFonts w:cs="Times New Roman"/>
          <w:sz w:val="28"/>
          <w:szCs w:val="28"/>
        </w:rPr>
        <w:t>2.Rationale - why we do the project</w:t>
      </w:r>
      <w:bookmarkEnd w:id="2"/>
    </w:p>
    <w:p>
      <w:p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Policyholders grumble about high rates. Residents in Washington said high expenses of vehicle insurance is a main reason that encourages them to leave. "Why live in Washington and pay the state's high premium when you can move to Texas?"</w:t>
      </w:r>
    </w:p>
    <w:p>
      <w:pPr>
        <w:spacing w:line="360" w:lineRule="auto"/>
        <w:rPr>
          <w:rFonts w:ascii="Times New Roman" w:hAnsi="Times New Roman" w:cs="Times New Roman"/>
          <w:color w:val="000000" w:themeColor="text1"/>
          <w:sz w:val="28"/>
          <w:szCs w:val="28"/>
          <w14:textFill>
            <w14:solidFill>
              <w14:schemeClr w14:val="tx1"/>
            </w14:solidFill>
          </w14:textFill>
        </w:rPr>
      </w:pPr>
    </w:p>
    <w:p>
      <w:p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The whole automobile insurance market is no longer growing at that fast speed as past 20 years. In a survey conducted by Forbes, only 25 percent of respondents said they bought auto insurance in a new company in the last year (Forbes, 2018). This figure was 33% last year. Among these 25%, 43% switched to the new insurance company as long-term insurance providers. Often, the reasons for this conversion are family changes such as divorce, marriage, or job changes, and children reaching driving age.</w:t>
      </w:r>
    </w:p>
    <w:p>
      <w:pPr>
        <w:spacing w:line="360" w:lineRule="auto"/>
        <w:rPr>
          <w:rFonts w:ascii="Times New Roman" w:hAnsi="Times New Roman" w:cs="Times New Roman"/>
          <w:color w:val="000000" w:themeColor="text1"/>
          <w:sz w:val="28"/>
          <w:szCs w:val="28"/>
          <w14:textFill>
            <w14:solidFill>
              <w14:schemeClr w14:val="tx1"/>
            </w14:solidFill>
          </w14:textFill>
        </w:rPr>
      </w:pPr>
    </w:p>
    <w:p>
      <w:p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On the other hand, with the help of various comparison websites, consumers can easily and quickly compare dozens of companies with a single click of the mouse. Some insurance agent websites even offer expert advice to help people shop products.</w:t>
      </w:r>
    </w:p>
    <w:p>
      <w:pPr>
        <w:spacing w:line="360" w:lineRule="auto"/>
        <w:rPr>
          <w:rFonts w:hint="eastAsia" w:ascii="Times New Roman" w:hAnsi="Times New Roman" w:cs="Times New Roman"/>
          <w:color w:val="000000" w:themeColor="text1"/>
          <w:sz w:val="28"/>
          <w:szCs w:val="28"/>
          <w14:textFill>
            <w14:solidFill>
              <w14:schemeClr w14:val="tx1"/>
            </w14:solidFill>
          </w14:textFill>
        </w:rPr>
      </w:pPr>
    </w:p>
    <w:p>
      <w:p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Traditional big-name auto insurance companies are now facing threats from young up-start players like GEICO (</w:t>
      </w:r>
      <w:r>
        <w:rPr>
          <w:rFonts w:ascii="Times New Roman" w:hAnsi="Times New Roman" w:eastAsia="宋体" w:cs="Times New Roman"/>
          <w:color w:val="222222"/>
          <w:sz w:val="28"/>
          <w:szCs w:val="28"/>
          <w:shd w:val="clear" w:color="auto" w:fill="FFFFFF"/>
        </w:rPr>
        <w:t>Diana et al,2016)</w:t>
      </w:r>
      <w:r>
        <w:rPr>
          <w:rFonts w:ascii="Times New Roman" w:hAnsi="Times New Roman" w:cs="Times New Roman"/>
          <w:color w:val="000000" w:themeColor="text1"/>
          <w:sz w:val="28"/>
          <w:szCs w:val="28"/>
          <w14:textFill>
            <w14:solidFill>
              <w14:schemeClr w14:val="tx1"/>
            </w14:solidFill>
          </w14:textFill>
        </w:rPr>
        <w:t>. Newcomers in car insurance try every way to steal away customers from old players. In order to maintain market place, the latter have to spend more on advertising and marketing to expand their customer base, at least not to their existing customers (</w:t>
      </w:r>
      <w:r>
        <w:rPr>
          <w:rFonts w:ascii="Times New Roman" w:hAnsi="Times New Roman" w:eastAsia="宋体" w:cs="Times New Roman"/>
          <w:color w:val="000000" w:themeColor="text1"/>
          <w:sz w:val="28"/>
          <w:szCs w:val="28"/>
          <w:shd w:val="clear" w:color="auto" w:fill="FFFFFF"/>
          <w14:textFill>
            <w14:solidFill>
              <w14:schemeClr w14:val="tx1"/>
            </w14:solidFill>
          </w14:textFill>
        </w:rPr>
        <w:t>Bajtelsmit and Bouzouita,1998)</w:t>
      </w:r>
      <w:r>
        <w:rPr>
          <w:rFonts w:ascii="Times New Roman" w:hAnsi="Times New Roman" w:cs="Times New Roman"/>
          <w:color w:val="000000" w:themeColor="text1"/>
          <w:sz w:val="28"/>
          <w:szCs w:val="28"/>
          <w14:textFill>
            <w14:solidFill>
              <w14:schemeClr w14:val="tx1"/>
            </w14:solidFill>
          </w14:textFill>
        </w:rPr>
        <w:t xml:space="preserve">. </w:t>
      </w:r>
    </w:p>
    <w:p>
      <w:pPr>
        <w:spacing w:line="360" w:lineRule="auto"/>
        <w:rPr>
          <w:rFonts w:ascii="Times New Roman" w:hAnsi="Times New Roman" w:cs="Times New Roman"/>
          <w:color w:val="000000" w:themeColor="text1"/>
          <w:sz w:val="28"/>
          <w:szCs w:val="28"/>
          <w14:textFill>
            <w14:solidFill>
              <w14:schemeClr w14:val="tx1"/>
            </w14:solidFill>
          </w14:textFill>
        </w:rPr>
      </w:pPr>
    </w:p>
    <w:p>
      <w:p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 xml:space="preserve">The client, </w:t>
      </w:r>
      <w:r>
        <w:rPr>
          <w:rFonts w:ascii="Times New Roman" w:hAnsi="Times New Roman" w:cs="Times New Roman"/>
          <w:i/>
          <w:iCs/>
          <w:color w:val="000000" w:themeColor="text1"/>
          <w:sz w:val="28"/>
          <w:szCs w:val="28"/>
          <w14:textFill>
            <w14:solidFill>
              <w14:schemeClr w14:val="tx1"/>
            </w14:solidFill>
          </w14:textFill>
        </w:rPr>
        <w:t>State Farm</w:t>
      </w:r>
      <w:r>
        <w:rPr>
          <w:rFonts w:ascii="Times New Roman" w:hAnsi="Times New Roman" w:cs="Times New Roman"/>
          <w:color w:val="000000" w:themeColor="text1"/>
          <w:sz w:val="28"/>
          <w:szCs w:val="28"/>
          <w14:textFill>
            <w14:solidFill>
              <w14:schemeClr w14:val="tx1"/>
            </w14:solidFill>
          </w14:textFill>
        </w:rPr>
        <w:t>, is one of the traditional top ten automobile insurers suffering from the rising cost (</w:t>
      </w:r>
      <w:r>
        <w:rPr>
          <w:rFonts w:ascii="Times New Roman" w:hAnsi="Times New Roman" w:eastAsia="宋体" w:cs="Times New Roman"/>
          <w:color w:val="222222"/>
          <w:sz w:val="28"/>
          <w:szCs w:val="28"/>
          <w:shd w:val="clear" w:color="auto" w:fill="FFFFFF"/>
        </w:rPr>
        <w:t>Diana et al,2016)</w:t>
      </w:r>
      <w:r>
        <w:rPr>
          <w:rFonts w:ascii="Times New Roman" w:hAnsi="Times New Roman" w:cs="Times New Roman"/>
          <w:color w:val="000000" w:themeColor="text1"/>
          <w:sz w:val="28"/>
          <w:szCs w:val="28"/>
          <w14:textFill>
            <w14:solidFill>
              <w14:schemeClr w14:val="tx1"/>
            </w14:solidFill>
          </w14:textFill>
        </w:rPr>
        <w:t>. On Zebra, an insurance comparison website, many new insurance companies offer lower price for similar products compared to</w:t>
      </w:r>
      <w:r>
        <w:rPr>
          <w:rFonts w:ascii="Times New Roman" w:hAnsi="Times New Roman" w:cs="Times New Roman"/>
          <w:i/>
          <w:iCs/>
          <w:color w:val="000000" w:themeColor="text1"/>
          <w:sz w:val="28"/>
          <w:szCs w:val="28"/>
          <w14:textFill>
            <w14:solidFill>
              <w14:schemeClr w14:val="tx1"/>
            </w14:solidFill>
          </w14:textFill>
        </w:rPr>
        <w:t xml:space="preserve"> State Farm’s</w:t>
      </w:r>
      <w:r>
        <w:rPr>
          <w:rFonts w:ascii="Times New Roman" w:hAnsi="Times New Roman" w:cs="Times New Roman"/>
          <w:color w:val="000000" w:themeColor="text1"/>
          <w:sz w:val="28"/>
          <w:szCs w:val="28"/>
          <w14:textFill>
            <w14:solidFill>
              <w14:schemeClr w14:val="tx1"/>
            </w14:solidFill>
          </w14:textFill>
        </w:rPr>
        <w:t>, which imposed a potential risk of customer loss.</w:t>
      </w:r>
    </w:p>
    <w:p>
      <w:pPr>
        <w:spacing w:line="360" w:lineRule="auto"/>
        <w:jc w:val="center"/>
        <w:rPr>
          <w:rFonts w:ascii="Times New Roman" w:hAnsi="Times New Roman" w:cs="Times New Roman"/>
          <w:color w:val="000000" w:themeColor="text1"/>
          <w:sz w:val="28"/>
          <w:szCs w:val="28"/>
          <w14:textFill>
            <w14:solidFill>
              <w14:schemeClr w14:val="tx1"/>
            </w14:solidFill>
          </w14:textFill>
        </w:rPr>
      </w:pPr>
    </w:p>
    <w:p>
      <w:pPr>
        <w:pStyle w:val="2"/>
        <w:rPr>
          <w:rFonts w:cs="Times New Roman"/>
          <w:sz w:val="28"/>
          <w:szCs w:val="28"/>
        </w:rPr>
      </w:pPr>
      <w:bookmarkStart w:id="3" w:name="_Toc2024567"/>
      <w:r>
        <w:rPr>
          <w:rFonts w:cs="Times New Roman"/>
          <w:sz w:val="28"/>
          <w:szCs w:val="28"/>
        </w:rPr>
        <w:t>3.Influencing factors of auto insurance rates</w:t>
      </w:r>
      <w:bookmarkEnd w:id="3"/>
    </w:p>
    <w:p>
      <w:p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 xml:space="preserve">To solve the problem mentioned above, we have to first identify all the significant factors that affect the pricing process. According to the staff in pricing department of insurance companies, there are mainly four aspects in determining the insurance premium: historical number of accidents, crashes and thefts; fraud in claim settlements; operation and management costs within corporation; investment rate of revenues (Biger and Kahane 1978; Fairley 1979). The first two factors are external, and the latter two are internal. In this section we did research on these factors and explain how they affect the cost of insurance contracts. </w:t>
      </w:r>
    </w:p>
    <w:p>
      <w:pPr>
        <w:spacing w:line="360" w:lineRule="auto"/>
        <w:rPr>
          <w:rFonts w:ascii="Times New Roman" w:hAnsi="Times New Roman" w:cs="Times New Roman"/>
          <w:color w:val="000000" w:themeColor="text1"/>
          <w:sz w:val="28"/>
          <w:szCs w:val="28"/>
          <w14:textFill>
            <w14:solidFill>
              <w14:schemeClr w14:val="tx1"/>
            </w14:solidFill>
          </w14:textFill>
        </w:rPr>
      </w:pPr>
    </w:p>
    <w:p>
      <w:p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A simplified actuarial formula:</w:t>
      </w:r>
    </w:p>
    <w:p>
      <w:pPr>
        <w:spacing w:line="360" w:lineRule="auto"/>
        <w:jc w:val="center"/>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 xml:space="preserve">Premium = pure cost for compensation to damaged cars </w:t>
      </w:r>
    </w:p>
    <w:p>
      <w:pPr>
        <w:spacing w:line="360" w:lineRule="auto"/>
        <w:jc w:val="center"/>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 management fees/operation costs+ investment income</w:t>
      </w:r>
    </w:p>
    <w:p>
      <w:pPr>
        <w:spacing w:line="360" w:lineRule="auto"/>
        <w:rPr>
          <w:rFonts w:ascii="Times New Roman" w:hAnsi="Times New Roman" w:cs="Times New Roman"/>
          <w:color w:val="000000" w:themeColor="text1"/>
          <w:sz w:val="28"/>
          <w:szCs w:val="28"/>
          <w14:textFill>
            <w14:solidFill>
              <w14:schemeClr w14:val="tx1"/>
            </w14:solidFill>
          </w14:textFill>
        </w:rPr>
      </w:pPr>
    </w:p>
    <w:p>
      <w:p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Pure cost for compensation to damaged cars is determined based on probabilities of various risks and the average repairing cost of a damaged car (</w:t>
      </w:r>
      <w:r>
        <w:rPr>
          <w:rFonts w:ascii="Times New Roman" w:hAnsi="Times New Roman" w:eastAsia="宋体" w:cs="Times New Roman"/>
          <w:color w:val="000000" w:themeColor="text1"/>
          <w:sz w:val="28"/>
          <w:szCs w:val="28"/>
          <w:shd w:val="clear" w:color="auto" w:fill="FFFFFF"/>
          <w14:textFill>
            <w14:solidFill>
              <w14:schemeClr w14:val="tx1"/>
            </w14:solidFill>
          </w14:textFill>
        </w:rPr>
        <w:t>Royne et al,1998)</w:t>
      </w:r>
      <w:r>
        <w:rPr>
          <w:rFonts w:ascii="Times New Roman" w:hAnsi="Times New Roman" w:cs="Times New Roman"/>
          <w:color w:val="000000" w:themeColor="text1"/>
          <w:sz w:val="28"/>
          <w:szCs w:val="28"/>
          <w14:textFill>
            <w14:solidFill>
              <w14:schemeClr w14:val="tx1"/>
            </w14:solidFill>
          </w14:textFill>
        </w:rPr>
        <w:t xml:space="preserve">. </w:t>
      </w:r>
    </w:p>
    <w:p>
      <w:pPr>
        <w:spacing w:line="360" w:lineRule="auto"/>
        <w:rPr>
          <w:rFonts w:ascii="Times New Roman" w:hAnsi="Times New Roman" w:cs="Times New Roman"/>
          <w:color w:val="000000" w:themeColor="text1"/>
          <w:sz w:val="28"/>
          <w:szCs w:val="28"/>
          <w14:textFill>
            <w14:solidFill>
              <w14:schemeClr w14:val="tx1"/>
            </w14:solidFill>
          </w14:textFill>
        </w:rPr>
      </w:pPr>
    </w:p>
    <w:p>
      <w:p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 xml:space="preserve">When more accidents happened in business region, cost of compensation rises. Driving habit of state residents and environment factors counts significantly. It’s depressing to conclude that there’s little to do around probabilities From the perspective of corporation strategy. We collected data from different states, compare the auto insurance rates and the number of accidents in the past year, and find that the most expensive auto insurance exists in region with the highest frequency of traffic accidents (Carroll, 2007).  </w:t>
      </w:r>
    </w:p>
    <w:p>
      <w:pPr>
        <w:spacing w:line="360" w:lineRule="auto"/>
        <w:rPr>
          <w:rFonts w:ascii="Times New Roman" w:hAnsi="Times New Roman" w:cs="Times New Roman"/>
          <w:color w:val="000000" w:themeColor="text1"/>
          <w:sz w:val="28"/>
          <w:szCs w:val="28"/>
          <w14:textFill>
            <w14:solidFill>
              <w14:schemeClr w14:val="tx1"/>
            </w14:solidFill>
          </w14:textFill>
        </w:rPr>
      </w:pPr>
    </w:p>
    <w:p>
      <w:p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Pure cost for compensation to damaged cars is determined based on not only probabilities but also average amount of each compensation. Data collectors and miners integrate these information and deliver them to the pricing staff. The compensation cost depends on market price and the extent to which accidents destroyed vehicles.</w:t>
      </w:r>
    </w:p>
    <w:p>
      <w:pPr>
        <w:spacing w:line="360" w:lineRule="auto"/>
        <w:rPr>
          <w:rFonts w:ascii="Times New Roman" w:hAnsi="Times New Roman" w:cs="Times New Roman"/>
          <w:color w:val="000000" w:themeColor="text1"/>
          <w:sz w:val="28"/>
          <w:szCs w:val="28"/>
          <w14:textFill>
            <w14:solidFill>
              <w14:schemeClr w14:val="tx1"/>
            </w14:solidFill>
          </w14:textFill>
        </w:rPr>
      </w:pPr>
    </w:p>
    <w:p>
      <w:p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 xml:space="preserve">Management fees/operation costs generates from internal, and are closely dependent on the rent of workplace, technology applied in the process of business, and HR efficiency. </w:t>
      </w:r>
    </w:p>
    <w:p>
      <w:pPr>
        <w:spacing w:line="360" w:lineRule="auto"/>
        <w:rPr>
          <w:rFonts w:ascii="Times New Roman" w:hAnsi="Times New Roman" w:cs="Times New Roman"/>
          <w:color w:val="000000" w:themeColor="text1"/>
          <w:sz w:val="28"/>
          <w:szCs w:val="28"/>
          <w14:textFill>
            <w14:solidFill>
              <w14:schemeClr w14:val="tx1"/>
            </w14:solidFill>
          </w14:textFill>
        </w:rPr>
      </w:pPr>
    </w:p>
    <w:p>
      <w:p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Investment income is the interest of premium revenues that company takes from policyholders. Investment channels and asset allocation methods play vital role in this process. Investment department managers take responsibility for investment return.</w:t>
      </w:r>
    </w:p>
    <w:p>
      <w:pPr>
        <w:spacing w:line="360" w:lineRule="auto"/>
        <w:rPr>
          <w:rFonts w:ascii="Times New Roman" w:hAnsi="Times New Roman" w:cs="Times New Roman"/>
          <w:color w:val="000000" w:themeColor="text1"/>
          <w:sz w:val="28"/>
          <w:szCs w:val="28"/>
          <w14:textFill>
            <w14:solidFill>
              <w14:schemeClr w14:val="tx1"/>
            </w14:solidFill>
          </w14:textFill>
        </w:rPr>
      </w:pPr>
    </w:p>
    <w:p>
      <w:pPr>
        <w:pStyle w:val="2"/>
        <w:rPr>
          <w:rFonts w:cs="Times New Roman"/>
          <w:sz w:val="28"/>
          <w:szCs w:val="28"/>
        </w:rPr>
      </w:pPr>
      <w:bookmarkStart w:id="4" w:name="_Toc2024568"/>
      <w:r>
        <w:rPr>
          <w:rFonts w:cs="Times New Roman"/>
          <w:sz w:val="28"/>
          <w:szCs w:val="28"/>
        </w:rPr>
        <w:t>4.Approaches to reduce costs</w:t>
      </w:r>
      <w:bookmarkEnd w:id="4"/>
    </w:p>
    <w:p>
      <w:pPr>
        <w:pStyle w:val="3"/>
        <w:rPr>
          <w:rFonts w:ascii="Times New Roman" w:hAnsi="Times New Roman" w:cs="Times New Roman"/>
          <w:color w:val="000000" w:themeColor="text1"/>
          <w:sz w:val="28"/>
          <w:szCs w:val="28"/>
          <w14:textFill>
            <w14:solidFill>
              <w14:schemeClr w14:val="tx1"/>
            </w14:solidFill>
          </w14:textFill>
        </w:rPr>
      </w:pPr>
      <w:bookmarkStart w:id="5" w:name="_Toc2024569"/>
      <w:r>
        <w:rPr>
          <w:rFonts w:ascii="Times New Roman" w:hAnsi="Times New Roman" w:cs="Times New Roman"/>
          <w:color w:val="000000" w:themeColor="text1"/>
          <w:sz w:val="28"/>
          <w:szCs w:val="28"/>
          <w14:textFill>
            <w14:solidFill>
              <w14:schemeClr w14:val="tx1"/>
            </w14:solidFill>
          </w14:textFill>
        </w:rPr>
        <w:t>4.1Approach 1: “Bonus and penalty system” to lower accident frequency</w:t>
      </w:r>
      <w:bookmarkEnd w:id="5"/>
    </w:p>
    <w:p>
      <w:p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There are still actions that we could take to reduce the frequency of may-not-happen accidents in Washington region, thus to control the two components of pure premium.(the first item in pricing formula mentioned above)</w:t>
      </w:r>
    </w:p>
    <w:p>
      <w:pPr>
        <w:spacing w:line="360" w:lineRule="auto"/>
        <w:rPr>
          <w:rFonts w:ascii="Times New Roman" w:hAnsi="Times New Roman" w:cs="Times New Roman"/>
          <w:color w:val="000000" w:themeColor="text1"/>
          <w:sz w:val="28"/>
          <w:szCs w:val="28"/>
          <w14:textFill>
            <w14:solidFill>
              <w14:schemeClr w14:val="tx1"/>
            </w14:solidFill>
          </w14:textFill>
        </w:rPr>
      </w:pPr>
    </w:p>
    <w:p>
      <w:p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The purpose of accident-rates-reduction can be divided into steps:</w:t>
      </w:r>
    </w:p>
    <w:p>
      <w:pPr>
        <w:numPr>
          <w:ilvl w:val="0"/>
          <w:numId w:val="1"/>
        </w:num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Classify customers by risk levels, using criteria variables like age, gender, type of car and driving habits. Generally we classify customers into 4 grades with symbol 1-3. Grade 0 means the least likelihood of claiming for a policy compensation, and grade 3 matched with the most dangerous drivers with some bad driving habits or doing hazardous jobs.</w:t>
      </w:r>
    </w:p>
    <w:p>
      <w:pPr>
        <w:spacing w:line="360" w:lineRule="auto"/>
        <w:rPr>
          <w:rFonts w:ascii="Times New Roman" w:hAnsi="Times New Roman" w:cs="Times New Roman"/>
          <w:color w:val="000000" w:themeColor="text1"/>
          <w:sz w:val="28"/>
          <w:szCs w:val="28"/>
          <w14:textFill>
            <w14:solidFill>
              <w14:schemeClr w14:val="tx1"/>
            </w14:solidFill>
          </w14:textFill>
        </w:rPr>
      </w:pPr>
    </w:p>
    <w:p>
      <w:pPr>
        <w:numPr>
          <w:ilvl w:val="0"/>
          <w:numId w:val="1"/>
        </w:num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A bonus and penalty system be established. Actuarial department design transit rules in which a driver who performs well in last period can pay less in next insurance period than others. Likewise, a driver who claims for several losses may face a price-rise (Crocker and Morgan, 1998; Crocker and Tennyson, 1999). Take a person at grade 0 in the beginning of an insurance period to explain: in the next year, the number of claims determines the grade he would be at the end of the period. Zero claim keeps him in grade 0 and he can continue to benefit from the lowest price; If he claimed 1-2 times, then he falls to grade 1; Likewise, a person firstly in grade 1 will possibly go to grade 0 if he keep zero-claim-record in two years. Monitoring and feedback: Monitoring and risk department have to trace the claim data after new system has been carried out, check the total claim number annually and compare the cost of compensation scale to those before. By tracing and monitoring, we make sure that such bonus and penalty system induces policyholders to drive more carefully. Another measure to check whether expectations are achieved is surveys to policyholders about their changes in driving habits after the system was carried out.</w:t>
      </w:r>
    </w:p>
    <w:p>
      <w:pPr>
        <w:spacing w:line="360" w:lineRule="auto"/>
        <w:rPr>
          <w:rFonts w:ascii="Times New Roman" w:hAnsi="Times New Roman" w:cs="Times New Roman"/>
          <w:color w:val="000000" w:themeColor="text1"/>
          <w:sz w:val="28"/>
          <w:szCs w:val="28"/>
          <w14:textFill>
            <w14:solidFill>
              <w14:schemeClr w14:val="tx1"/>
            </w14:solidFill>
          </w14:textFill>
        </w:rPr>
      </w:pPr>
    </w:p>
    <w:p>
      <w:pPr>
        <w:pStyle w:val="3"/>
        <w:rPr>
          <w:rFonts w:ascii="Times New Roman" w:hAnsi="Times New Roman" w:cs="Times New Roman"/>
          <w:color w:val="000000" w:themeColor="text1"/>
          <w:sz w:val="28"/>
          <w:szCs w:val="28"/>
          <w14:textFill>
            <w14:solidFill>
              <w14:schemeClr w14:val="tx1"/>
            </w14:solidFill>
          </w14:textFill>
        </w:rPr>
      </w:pPr>
      <w:bookmarkStart w:id="6" w:name="_Toc2024570"/>
      <w:r>
        <w:rPr>
          <w:rFonts w:ascii="Times New Roman" w:hAnsi="Times New Roman" w:cs="Times New Roman"/>
          <w:color w:val="000000" w:themeColor="text1"/>
          <w:sz w:val="28"/>
          <w:szCs w:val="28"/>
          <w14:textFill>
            <w14:solidFill>
              <w14:schemeClr w14:val="tx1"/>
            </w14:solidFill>
          </w14:textFill>
        </w:rPr>
        <w:t>4.2Approach 2: Stronger measures to verify claim realness and loss amounts</w:t>
      </w:r>
      <w:bookmarkEnd w:id="6"/>
    </w:p>
    <w:p>
      <w:p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Garage fraud is a known issue in auto insurance. Annually, premium of $2-$7 billion is problematic caused by garage fraud(</w:t>
      </w:r>
      <w:r>
        <w:rPr>
          <w:rFonts w:ascii="Times New Roman" w:hAnsi="Times New Roman" w:eastAsia="宋体" w:cs="Times New Roman"/>
          <w:color w:val="000000" w:themeColor="text1"/>
          <w:sz w:val="28"/>
          <w:szCs w:val="28"/>
          <w:shd w:val="clear" w:color="auto" w:fill="FFFFFF"/>
          <w14:textFill>
            <w14:solidFill>
              <w14:schemeClr w14:val="tx1"/>
            </w14:solidFill>
          </w14:textFill>
        </w:rPr>
        <w:t>Artís, Ayuso &amp; Guillén,2002)</w:t>
      </w:r>
      <w:r>
        <w:rPr>
          <w:rFonts w:ascii="Times New Roman" w:hAnsi="Times New Roman" w:cs="Times New Roman"/>
          <w:color w:val="000000" w:themeColor="text1"/>
          <w:sz w:val="28"/>
          <w:szCs w:val="28"/>
          <w14:textFill>
            <w14:solidFill>
              <w14:schemeClr w14:val="tx1"/>
            </w14:solidFill>
          </w14:textFill>
        </w:rPr>
        <w:t>. Some carriers aware of their poor car condition tend to buy auto insurance of large amount of compensation limit. Our goal is to reduce such malicious fraud caused by moral hazard.</w:t>
      </w:r>
    </w:p>
    <w:p>
      <w:pPr>
        <w:spacing w:line="360" w:lineRule="auto"/>
        <w:rPr>
          <w:rFonts w:ascii="Times New Roman" w:hAnsi="Times New Roman" w:cs="Times New Roman"/>
          <w:color w:val="000000" w:themeColor="text1"/>
          <w:sz w:val="28"/>
          <w:szCs w:val="28"/>
          <w14:textFill>
            <w14:solidFill>
              <w14:schemeClr w14:val="tx1"/>
            </w14:solidFill>
          </w14:textFill>
        </w:rPr>
      </w:pPr>
    </w:p>
    <w:p>
      <w:p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Verisk, a company that provides solutions for insurance industry, has developed a tracing tool that can be installed in vehicles. This tool called GarageConfirm can track the location of the vehicle when accidents happened, confirm the driver's commute mileage, and obtain the vehicle's initial price and loss amount.</w:t>
      </w:r>
    </w:p>
    <w:p>
      <w:pPr>
        <w:spacing w:line="360" w:lineRule="auto"/>
        <w:rPr>
          <w:rFonts w:ascii="Times New Roman" w:hAnsi="Times New Roman" w:cs="Times New Roman"/>
          <w:color w:val="000000" w:themeColor="text1"/>
          <w:sz w:val="28"/>
          <w:szCs w:val="28"/>
          <w14:textFill>
            <w14:solidFill>
              <w14:schemeClr w14:val="tx1"/>
            </w14:solidFill>
          </w14:textFill>
        </w:rPr>
      </w:pPr>
    </w:p>
    <w:p>
      <w:p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If GarageConfirm is installed on all insured vehicles, we can verify the time, place and extent of the traffic crushes every time after the insured files a claim.</w:t>
      </w:r>
      <w:r>
        <w:rPr>
          <w:rFonts w:hint="eastAsia" w:ascii="Times New Roman" w:hAnsi="Times New Roman" w:cs="Times New Roman"/>
          <w:color w:val="000000" w:themeColor="text1"/>
          <w:sz w:val="28"/>
          <w:szCs w:val="28"/>
          <w14:textFill>
            <w14:solidFill>
              <w14:schemeClr w14:val="tx1"/>
            </w14:solidFill>
          </w14:textFill>
        </w:rPr>
        <w:t xml:space="preserve"> </w:t>
      </w:r>
      <w:r>
        <w:rPr>
          <w:rFonts w:ascii="Times New Roman" w:hAnsi="Times New Roman" w:cs="Times New Roman"/>
          <w:color w:val="000000" w:themeColor="text1"/>
          <w:sz w:val="28"/>
          <w:szCs w:val="28"/>
          <w14:textFill>
            <w14:solidFill>
              <w14:schemeClr w14:val="tx1"/>
            </w14:solidFill>
          </w14:textFill>
        </w:rPr>
        <w:t>In this way can effectively reduce garage fraud. In terms of implementation, our technical department will communicate with Verisk and discuss cooperation matters.</w:t>
      </w:r>
    </w:p>
    <w:p>
      <w:pPr>
        <w:spacing w:line="360" w:lineRule="auto"/>
        <w:rPr>
          <w:rFonts w:ascii="Times New Roman" w:hAnsi="Times New Roman" w:cs="Times New Roman"/>
          <w:color w:val="000000" w:themeColor="text1"/>
          <w:sz w:val="28"/>
          <w:szCs w:val="28"/>
          <w14:textFill>
            <w14:solidFill>
              <w14:schemeClr w14:val="tx1"/>
            </w14:solidFill>
          </w14:textFill>
        </w:rPr>
      </w:pPr>
    </w:p>
    <w:p>
      <w:p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Apart from moral hazard, we also pay attention to risks during the process of repairing. Some drivers claim a false repairing cost to the insurer, usually higher than they truly paid to the garage. To solve the problem, we can try to assign particular garages which have established cooperation with us for damaged vehicles. Communication Department take the role of negotiating with the garage on the financial reward we give to them for helping to cut unnecessary costs caused by policyholders’ false reporting.</w:t>
      </w:r>
    </w:p>
    <w:p>
      <w:pPr>
        <w:spacing w:line="360" w:lineRule="auto"/>
        <w:rPr>
          <w:rFonts w:ascii="Times New Roman" w:hAnsi="Times New Roman" w:cs="Times New Roman"/>
          <w:color w:val="000000" w:themeColor="text1"/>
          <w:sz w:val="28"/>
          <w:szCs w:val="28"/>
          <w14:textFill>
            <w14:solidFill>
              <w14:schemeClr w14:val="tx1"/>
            </w14:solidFill>
          </w14:textFill>
        </w:rPr>
      </w:pPr>
    </w:p>
    <w:p>
      <w:pPr>
        <w:pStyle w:val="3"/>
        <w:rPr>
          <w:rFonts w:ascii="Times New Roman" w:hAnsi="Times New Roman" w:cs="Times New Roman"/>
          <w:color w:val="000000" w:themeColor="text1"/>
          <w:sz w:val="28"/>
          <w:szCs w:val="28"/>
          <w14:textFill>
            <w14:solidFill>
              <w14:schemeClr w14:val="tx1"/>
            </w14:solidFill>
          </w14:textFill>
        </w:rPr>
      </w:pPr>
      <w:bookmarkStart w:id="7" w:name="_Toc2024571"/>
      <w:r>
        <w:rPr>
          <w:rFonts w:ascii="Times New Roman" w:hAnsi="Times New Roman" w:cs="Times New Roman"/>
          <w:color w:val="000000" w:themeColor="text1"/>
          <w:sz w:val="28"/>
          <w:szCs w:val="28"/>
          <w14:textFill>
            <w14:solidFill>
              <w14:schemeClr w14:val="tx1"/>
            </w14:solidFill>
          </w14:textFill>
        </w:rPr>
        <w:t>4.3Approach 3: Reduction on new business expenses</w:t>
      </w:r>
      <w:bookmarkEnd w:id="7"/>
    </w:p>
    <w:p>
      <w:p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Expenses are made of two parts in an auto insurance business line: expanding fees and maintainance costs. Our expectation is to cut expanding fees by raising return rate of old customers, which needs taking customers seriously. This goal can be divided into three steps:</w:t>
      </w:r>
    </w:p>
    <w:p>
      <w:pPr>
        <w:spacing w:line="360" w:lineRule="auto"/>
        <w:rPr>
          <w:rFonts w:ascii="Times New Roman" w:hAnsi="Times New Roman" w:cs="Times New Roman"/>
          <w:color w:val="000000" w:themeColor="text1"/>
          <w:sz w:val="28"/>
          <w:szCs w:val="28"/>
          <w14:textFill>
            <w14:solidFill>
              <w14:schemeClr w14:val="tx1"/>
            </w14:solidFill>
          </w14:textFill>
        </w:rPr>
      </w:pPr>
    </w:p>
    <w:p>
      <w:pPr>
        <w:numPr>
          <w:ilvl w:val="0"/>
          <w:numId w:val="2"/>
        </w:num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Cut the number of sale channels like agents and brokers. Agents and brokers help insurance companies expand market and attract clients, and receive rewarding pay from the insurer. Now we want to cut the channel between the customers and the company, enable clients access auto insurance policies directly, and save the cost generating from this procedure.</w:t>
      </w:r>
    </w:p>
    <w:p>
      <w:pPr>
        <w:spacing w:line="360" w:lineRule="auto"/>
        <w:rPr>
          <w:rFonts w:ascii="Times New Roman" w:hAnsi="Times New Roman" w:cs="Times New Roman"/>
          <w:color w:val="000000" w:themeColor="text1"/>
          <w:sz w:val="28"/>
          <w:szCs w:val="28"/>
          <w14:textFill>
            <w14:solidFill>
              <w14:schemeClr w14:val="tx1"/>
            </w14:solidFill>
          </w14:textFill>
        </w:rPr>
      </w:pPr>
    </w:p>
    <w:p>
      <w:pPr>
        <w:numPr>
          <w:ilvl w:val="0"/>
          <w:numId w:val="2"/>
        </w:num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Simplify the sign-up process at the beginning of a new policy contract and remove the tedious paperwork, which requires technologically efficient operation system. According to our survey on customers in the past year, they are most troubled by the starting-up process before getting insured.</w:t>
      </w:r>
    </w:p>
    <w:p>
      <w:pPr>
        <w:spacing w:line="360" w:lineRule="auto"/>
        <w:rPr>
          <w:rFonts w:ascii="Times New Roman" w:hAnsi="Times New Roman" w:cs="Times New Roman"/>
          <w:color w:val="000000" w:themeColor="text1"/>
          <w:sz w:val="28"/>
          <w:szCs w:val="28"/>
          <w14:textFill>
            <w14:solidFill>
              <w14:schemeClr w14:val="tx1"/>
            </w14:solidFill>
          </w14:textFill>
        </w:rPr>
      </w:pPr>
    </w:p>
    <w:p>
      <w:pPr>
        <w:numPr>
          <w:ilvl w:val="0"/>
          <w:numId w:val="2"/>
        </w:num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Manage claim smoothly to maintain the existing customers. Claims, if not dealt with quickly and seriously, will become a negative-factor when it comes to customers’ choice of insurance provider(</w:t>
      </w:r>
      <w:r>
        <w:rPr>
          <w:rFonts w:ascii="Times New Roman" w:hAnsi="Times New Roman" w:eastAsia="宋体" w:cs="Times New Roman"/>
          <w:color w:val="222222"/>
          <w:sz w:val="28"/>
          <w:szCs w:val="28"/>
          <w:shd w:val="clear" w:color="auto" w:fill="FFFFFF"/>
        </w:rPr>
        <w:t>Tidd, Bessant &amp; Pavitt,2005)</w:t>
      </w:r>
      <w:r>
        <w:rPr>
          <w:rFonts w:ascii="Times New Roman" w:hAnsi="Times New Roman" w:cs="Times New Roman"/>
          <w:color w:val="000000" w:themeColor="text1"/>
          <w:sz w:val="28"/>
          <w:szCs w:val="28"/>
          <w14:textFill>
            <w14:solidFill>
              <w14:schemeClr w14:val="tx1"/>
            </w14:solidFill>
          </w14:textFill>
        </w:rPr>
        <w:t>. To monitor the efficiency of claim management, the customer service department has to run surveys to see if customers are satisfied in the process of claim and compensation service. In this way, our old customers are less likely to choose new insurance provider for their vehicle in the next insurance period.</w:t>
      </w:r>
    </w:p>
    <w:p>
      <w:pPr>
        <w:spacing w:line="360" w:lineRule="auto"/>
        <w:rPr>
          <w:rFonts w:ascii="Times New Roman" w:hAnsi="Times New Roman" w:cs="Times New Roman"/>
          <w:color w:val="000000" w:themeColor="text1"/>
          <w:sz w:val="28"/>
          <w:szCs w:val="28"/>
          <w14:textFill>
            <w14:solidFill>
              <w14:schemeClr w14:val="tx1"/>
            </w14:solidFill>
          </w14:textFill>
        </w:rPr>
      </w:pPr>
    </w:p>
    <w:p>
      <w:pPr>
        <w:pStyle w:val="3"/>
        <w:rPr>
          <w:rFonts w:ascii="Times New Roman" w:hAnsi="Times New Roman" w:cs="Times New Roman"/>
          <w:color w:val="000000" w:themeColor="text1"/>
          <w:sz w:val="28"/>
          <w:szCs w:val="28"/>
          <w14:textFill>
            <w14:solidFill>
              <w14:schemeClr w14:val="tx1"/>
            </w14:solidFill>
          </w14:textFill>
        </w:rPr>
      </w:pPr>
      <w:bookmarkStart w:id="8" w:name="_Toc2024572"/>
      <w:r>
        <w:rPr>
          <w:rFonts w:ascii="Times New Roman" w:hAnsi="Times New Roman" w:cs="Times New Roman"/>
          <w:color w:val="000000" w:themeColor="text1"/>
          <w:sz w:val="28"/>
          <w:szCs w:val="28"/>
          <w14:textFill>
            <w14:solidFill>
              <w14:schemeClr w14:val="tx1"/>
            </w14:solidFill>
          </w14:textFill>
        </w:rPr>
        <w:t>4.4Approach 4 Research on saving legal costs</w:t>
      </w:r>
      <w:bookmarkEnd w:id="8"/>
    </w:p>
    <w:p>
      <w:p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The actuarial department takes operation fees into account when pricing an automobile contract, which comprises legal costs(</w:t>
      </w:r>
      <w:r>
        <w:rPr>
          <w:rFonts w:ascii="Times New Roman" w:hAnsi="Times New Roman" w:eastAsia="宋体" w:cs="Times New Roman"/>
          <w:color w:val="222222"/>
          <w:sz w:val="28"/>
          <w:szCs w:val="28"/>
          <w:shd w:val="clear" w:color="auto" w:fill="FFFFFF"/>
        </w:rPr>
        <w:t>Cooper and Slagmulder,2004)</w:t>
      </w:r>
      <w:r>
        <w:rPr>
          <w:rFonts w:ascii="Times New Roman" w:hAnsi="Times New Roman" w:cs="Times New Roman"/>
          <w:color w:val="000000" w:themeColor="text1"/>
          <w:sz w:val="28"/>
          <w:szCs w:val="28"/>
          <w14:textFill>
            <w14:solidFill>
              <w14:schemeClr w14:val="tx1"/>
            </w14:solidFill>
          </w14:textFill>
        </w:rPr>
        <w:t>. In different areas, the average rate of complaint and claim disputes varies. If the insurer hopes to see less legal suits resulting from claim disputes, an effective approach is to do research on the lawsuits data of each business region. Narrowing business in those with high rates of legal disputes will bring a lower operation cost(</w:t>
      </w:r>
      <w:r>
        <w:rPr>
          <w:rFonts w:ascii="Times New Roman" w:hAnsi="Times New Roman" w:eastAsia="宋体" w:cs="Times New Roman"/>
          <w:color w:val="222222"/>
          <w:sz w:val="28"/>
          <w:szCs w:val="28"/>
          <w:shd w:val="clear" w:color="auto" w:fill="FFFFFF"/>
        </w:rPr>
        <w:t>Blocher, Stout&amp; Cokins,2010)</w:t>
      </w:r>
      <w:r>
        <w:rPr>
          <w:rFonts w:ascii="Times New Roman" w:hAnsi="Times New Roman" w:cs="Times New Roman"/>
          <w:color w:val="000000" w:themeColor="text1"/>
          <w:sz w:val="28"/>
          <w:szCs w:val="28"/>
          <w14:textFill>
            <w14:solidFill>
              <w14:schemeClr w14:val="tx1"/>
            </w14:solidFill>
          </w14:textFill>
        </w:rPr>
        <w:t>.</w:t>
      </w:r>
    </w:p>
    <w:p>
      <w:pPr>
        <w:spacing w:line="360" w:lineRule="auto"/>
        <w:rPr>
          <w:rFonts w:ascii="Times New Roman" w:hAnsi="Times New Roman" w:cs="Times New Roman"/>
          <w:color w:val="000000" w:themeColor="text1"/>
          <w:sz w:val="28"/>
          <w:szCs w:val="28"/>
          <w14:textFill>
            <w14:solidFill>
              <w14:schemeClr w14:val="tx1"/>
            </w14:solidFill>
          </w14:textFill>
        </w:rPr>
      </w:pPr>
    </w:p>
    <w:p>
      <w:p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Potential risk lies in the contradictory goal of sales team and legal team. If whole business scale declines, the sales department face the risk of shrink</w:t>
      </w:r>
      <w:bookmarkStart w:id="9" w:name="_Hlk2792770"/>
      <w:r>
        <w:rPr>
          <w:rFonts w:ascii="Times New Roman" w:hAnsi="Times New Roman" w:cs="Times New Roman"/>
          <w:color w:val="000000" w:themeColor="text1"/>
          <w:sz w:val="28"/>
          <w:szCs w:val="28"/>
          <w14:textFill>
            <w14:solidFill>
              <w14:schemeClr w14:val="tx1"/>
            </w14:solidFill>
          </w14:textFill>
        </w:rPr>
        <w:t xml:space="preserve"> </w:t>
      </w:r>
      <w:r>
        <w:rPr>
          <w:rFonts w:hint="eastAsia" w:ascii="Times New Roman" w:hAnsi="Times New Roman" w:cs="Times New Roman"/>
          <w:color w:val="000000" w:themeColor="text1"/>
          <w:sz w:val="28"/>
          <w:szCs w:val="28"/>
          <w14:textFill>
            <w14:solidFill>
              <w14:schemeClr w14:val="tx1"/>
            </w14:solidFill>
          </w14:textFill>
        </w:rPr>
        <w:t>(</w:t>
      </w:r>
      <w:r>
        <w:rPr>
          <w:rFonts w:ascii="Times New Roman" w:hAnsi="Times New Roman" w:eastAsia="宋体" w:cs="Times New Roman"/>
          <w:color w:val="222222"/>
          <w:sz w:val="28"/>
          <w:szCs w:val="28"/>
          <w:shd w:val="clear" w:color="auto" w:fill="FFFFFF"/>
        </w:rPr>
        <w:t>Christopher</w:t>
      </w:r>
      <w:bookmarkEnd w:id="9"/>
      <w:r>
        <w:rPr>
          <w:rFonts w:ascii="Times New Roman" w:hAnsi="Times New Roman" w:eastAsia="宋体" w:cs="Times New Roman"/>
          <w:color w:val="222222"/>
          <w:sz w:val="28"/>
          <w:szCs w:val="28"/>
          <w:shd w:val="clear" w:color="auto" w:fill="FFFFFF"/>
        </w:rPr>
        <w:t xml:space="preserve"> &amp; Gattorna,2005</w:t>
      </w:r>
      <w:r>
        <w:rPr>
          <w:rFonts w:hint="eastAsia" w:ascii="Times New Roman" w:hAnsi="Times New Roman" w:eastAsia="宋体" w:cs="Times New Roman"/>
          <w:color w:val="222222"/>
          <w:sz w:val="28"/>
          <w:szCs w:val="28"/>
          <w:shd w:val="clear" w:color="auto" w:fill="FFFFFF"/>
        </w:rPr>
        <w:t>)</w:t>
      </w:r>
      <w:r>
        <w:rPr>
          <w:rFonts w:ascii="Times New Roman" w:hAnsi="Times New Roman" w:cs="Times New Roman"/>
          <w:color w:val="000000" w:themeColor="text1"/>
          <w:sz w:val="28"/>
          <w:szCs w:val="28"/>
          <w14:textFill>
            <w14:solidFill>
              <w14:schemeClr w14:val="tx1"/>
            </w14:solidFill>
          </w14:textFill>
        </w:rPr>
        <w:t>. To keep balance between the benefits of fewer lawsuits and the harm of smaller sales scale, we suggest these two department communicate regularly to exchange ideas.</w:t>
      </w:r>
    </w:p>
    <w:p>
      <w:pPr>
        <w:spacing w:line="360" w:lineRule="auto"/>
        <w:rPr>
          <w:rFonts w:ascii="Times New Roman" w:hAnsi="Times New Roman" w:cs="Times New Roman"/>
          <w:color w:val="000000" w:themeColor="text1"/>
          <w:sz w:val="28"/>
          <w:szCs w:val="28"/>
          <w14:textFill>
            <w14:solidFill>
              <w14:schemeClr w14:val="tx1"/>
            </w14:solidFill>
          </w14:textFill>
        </w:rPr>
      </w:pPr>
    </w:p>
    <w:p>
      <w:pPr>
        <w:pStyle w:val="3"/>
        <w:rPr>
          <w:rFonts w:ascii="Times New Roman" w:hAnsi="Times New Roman" w:cs="Times New Roman"/>
          <w:color w:val="000000" w:themeColor="text1"/>
          <w:sz w:val="28"/>
          <w:szCs w:val="28"/>
          <w14:textFill>
            <w14:solidFill>
              <w14:schemeClr w14:val="tx1"/>
            </w14:solidFill>
          </w14:textFill>
        </w:rPr>
      </w:pPr>
      <w:bookmarkStart w:id="10" w:name="_Toc2024573"/>
      <w:r>
        <w:rPr>
          <w:rFonts w:ascii="Times New Roman" w:hAnsi="Times New Roman" w:cs="Times New Roman"/>
          <w:color w:val="000000" w:themeColor="text1"/>
          <w:sz w:val="28"/>
          <w:szCs w:val="28"/>
          <w14:textFill>
            <w14:solidFill>
              <w14:schemeClr w14:val="tx1"/>
            </w14:solidFill>
          </w14:textFill>
        </w:rPr>
        <w:t>4.5</w:t>
      </w:r>
      <w:r>
        <w:rPr>
          <w:rFonts w:hint="eastAsia" w:ascii="Times New Roman" w:hAnsi="Times New Roman" w:cs="Times New Roman"/>
          <w:color w:val="000000" w:themeColor="text1"/>
          <w:sz w:val="28"/>
          <w:szCs w:val="28"/>
          <w14:textFill>
            <w14:solidFill>
              <w14:schemeClr w14:val="tx1"/>
            </w14:solidFill>
          </w14:textFill>
        </w:rPr>
        <w:t xml:space="preserve"> </w:t>
      </w:r>
      <w:r>
        <w:rPr>
          <w:rFonts w:ascii="Times New Roman" w:hAnsi="Times New Roman" w:cs="Times New Roman"/>
          <w:color w:val="000000" w:themeColor="text1"/>
          <w:sz w:val="28"/>
          <w:szCs w:val="28"/>
          <w14:textFill>
            <w14:solidFill>
              <w14:schemeClr w14:val="tx1"/>
            </w14:solidFill>
          </w14:textFill>
        </w:rPr>
        <w:t>Approach 5: Increase investment income</w:t>
      </w:r>
      <w:bookmarkEnd w:id="10"/>
    </w:p>
    <w:p>
      <w:p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Investment income is a vital component of insurers’ revenues, which generates from the investment return of premium incomes (</w:t>
      </w:r>
      <w:r>
        <w:rPr>
          <w:rFonts w:ascii="Times New Roman" w:hAnsi="Times New Roman" w:eastAsia="宋体" w:cs="Times New Roman"/>
          <w:color w:val="000000" w:themeColor="text1"/>
          <w:sz w:val="28"/>
          <w:szCs w:val="28"/>
          <w:shd w:val="clear" w:color="auto" w:fill="FFFFFF"/>
          <w14:textFill>
            <w14:solidFill>
              <w14:schemeClr w14:val="tx1"/>
            </w14:solidFill>
          </w14:textFill>
        </w:rPr>
        <w:t>Honka,2014)</w:t>
      </w:r>
      <w:r>
        <w:rPr>
          <w:rFonts w:ascii="Times New Roman" w:hAnsi="Times New Roman" w:cs="Times New Roman"/>
          <w:color w:val="000000" w:themeColor="text1"/>
          <w:sz w:val="28"/>
          <w:szCs w:val="28"/>
          <w14:textFill>
            <w14:solidFill>
              <w14:schemeClr w14:val="tx1"/>
            </w14:solidFill>
          </w14:textFill>
        </w:rPr>
        <w:t xml:space="preserve">. Investment managers hope to receive more premium revenues as possible so that capital pool is large enough to gain satisfying profits. Underwriting and claim department, however, hopes to constrain the scale of new business, for the rising cost of dealing with new cases often overwhelms them. </w:t>
      </w:r>
    </w:p>
    <w:p>
      <w:pPr>
        <w:spacing w:line="360" w:lineRule="auto"/>
        <w:rPr>
          <w:rFonts w:ascii="Times New Roman" w:hAnsi="Times New Roman" w:cs="Times New Roman"/>
          <w:color w:val="000000" w:themeColor="text1"/>
          <w:sz w:val="28"/>
          <w:szCs w:val="28"/>
          <w14:textFill>
            <w14:solidFill>
              <w14:schemeClr w14:val="tx1"/>
            </w14:solidFill>
          </w14:textFill>
        </w:rPr>
      </w:pPr>
    </w:p>
    <w:p>
      <w:pPr>
        <w:pStyle w:val="2"/>
        <w:rPr>
          <w:rFonts w:cs="Times New Roman"/>
          <w:sz w:val="28"/>
          <w:szCs w:val="28"/>
        </w:rPr>
      </w:pPr>
      <w:bookmarkStart w:id="11" w:name="_Toc2024574"/>
      <w:r>
        <w:rPr>
          <w:rFonts w:cs="Times New Roman"/>
          <w:sz w:val="28"/>
          <w:szCs w:val="28"/>
        </w:rPr>
        <w:t>5.Benefits of the project</w:t>
      </w:r>
      <w:bookmarkEnd w:id="11"/>
    </w:p>
    <w:p>
      <w:p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By reducing compensation costs and operational fees, we could lower our products’ price without suffering negative profit. Clients always choose insurance provider with the least expensive price at the same level of insurance amount. We gain a competitive advantage in the auto insurance market, which indicates larger potential market.</w:t>
      </w:r>
    </w:p>
    <w:p>
      <w:pPr>
        <w:spacing w:line="360" w:lineRule="auto"/>
        <w:rPr>
          <w:rFonts w:ascii="Times New Roman" w:hAnsi="Times New Roman" w:cs="Times New Roman"/>
          <w:color w:val="000000" w:themeColor="text1"/>
          <w:sz w:val="28"/>
          <w:szCs w:val="28"/>
          <w14:textFill>
            <w14:solidFill>
              <w14:schemeClr w14:val="tx1"/>
            </w14:solidFill>
          </w14:textFill>
        </w:rPr>
      </w:pPr>
    </w:p>
    <w:p>
      <w:p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From the perspective of financing, lower cost and still high profitability shows strong viability of corporation, which is helpful if we need finance support from other industry sectors like banks.</w:t>
      </w:r>
    </w:p>
    <w:p>
      <w:pPr>
        <w:spacing w:line="360" w:lineRule="auto"/>
        <w:rPr>
          <w:rFonts w:ascii="Times New Roman" w:hAnsi="Times New Roman" w:cs="Times New Roman"/>
          <w:color w:val="000000" w:themeColor="text1"/>
          <w:sz w:val="28"/>
          <w:szCs w:val="28"/>
          <w14:textFill>
            <w14:solidFill>
              <w14:schemeClr w14:val="tx1"/>
            </w14:solidFill>
          </w14:textFill>
        </w:rPr>
      </w:pPr>
    </w:p>
    <w:p>
      <w:p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A lower price also builds good public image. Beneficial price for native residents and drivers embellishes the corporate image in terms of social responsibility.</w:t>
      </w:r>
    </w:p>
    <w:p>
      <w:pPr>
        <w:spacing w:line="360" w:lineRule="auto"/>
        <w:rPr>
          <w:rFonts w:ascii="Times New Roman" w:hAnsi="Times New Roman" w:cs="Times New Roman"/>
          <w:color w:val="000000" w:themeColor="text1"/>
          <w:sz w:val="28"/>
          <w:szCs w:val="28"/>
          <w14:textFill>
            <w14:solidFill>
              <w14:schemeClr w14:val="tx1"/>
            </w14:solidFill>
          </w14:textFill>
        </w:rPr>
      </w:pPr>
    </w:p>
    <w:p>
      <w:pPr>
        <w:pStyle w:val="2"/>
        <w:rPr>
          <w:rFonts w:cs="Times New Roman"/>
          <w:sz w:val="28"/>
          <w:szCs w:val="28"/>
        </w:rPr>
      </w:pPr>
      <w:bookmarkStart w:id="12" w:name="_Toc2024575"/>
      <w:r>
        <w:rPr>
          <w:rFonts w:cs="Times New Roman"/>
          <w:sz w:val="28"/>
          <w:szCs w:val="28"/>
        </w:rPr>
        <w:t>6.Risks</w:t>
      </w:r>
      <w:bookmarkEnd w:id="12"/>
    </w:p>
    <w:p>
      <w:p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 xml:space="preserve">There are risks </w:t>
      </w:r>
      <w:r>
        <w:rPr>
          <w:rFonts w:hint="eastAsia" w:ascii="Times New Roman" w:hAnsi="Times New Roman" w:cs="Times New Roman"/>
          <w:color w:val="000000" w:themeColor="text1"/>
          <w:sz w:val="28"/>
          <w:szCs w:val="28"/>
          <w14:textFill>
            <w14:solidFill>
              <w14:schemeClr w14:val="tx1"/>
            </w14:solidFill>
          </w14:textFill>
        </w:rPr>
        <w:t>underlying in</w:t>
      </w:r>
      <w:r>
        <w:rPr>
          <w:rFonts w:ascii="Times New Roman" w:hAnsi="Times New Roman" w:cs="Times New Roman"/>
          <w:color w:val="000000" w:themeColor="text1"/>
          <w:sz w:val="28"/>
          <w:szCs w:val="28"/>
          <w14:textFill>
            <w14:solidFill>
              <w14:schemeClr w14:val="tx1"/>
            </w14:solidFill>
          </w14:textFill>
        </w:rPr>
        <w:t xml:space="preserve"> this project. First, new systems mentioned in approach 1 brings cost of human source and the actuaries have to spare time on rule designing, which may affect their own tasks.</w:t>
      </w:r>
    </w:p>
    <w:p>
      <w:pPr>
        <w:spacing w:line="360" w:lineRule="auto"/>
        <w:rPr>
          <w:rFonts w:ascii="Times New Roman" w:hAnsi="Times New Roman" w:cs="Times New Roman"/>
          <w:color w:val="000000" w:themeColor="text1"/>
          <w:sz w:val="28"/>
          <w:szCs w:val="28"/>
          <w14:textFill>
            <w14:solidFill>
              <w14:schemeClr w14:val="tx1"/>
            </w14:solidFill>
          </w14:textFill>
        </w:rPr>
      </w:pPr>
    </w:p>
    <w:p>
      <w:p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Second, reduction of business areas required by approach 3 generates potential conflicts within different departments. Decline in whole business scale means shrink of sales team. To keep balance between the benefits of fewer lawsuits and the harm of smaller sales scale, we suggest these departments communicate regularly to exchange ideas.</w:t>
      </w:r>
    </w:p>
    <w:p>
      <w:pPr>
        <w:spacing w:line="360" w:lineRule="auto"/>
        <w:rPr>
          <w:rFonts w:ascii="Times New Roman" w:hAnsi="Times New Roman" w:cs="Times New Roman"/>
          <w:color w:val="000000" w:themeColor="text1"/>
          <w:sz w:val="28"/>
          <w:szCs w:val="28"/>
          <w14:textFill>
            <w14:solidFill>
              <w14:schemeClr w14:val="tx1"/>
            </w14:solidFill>
          </w14:textFill>
        </w:rPr>
      </w:pPr>
    </w:p>
    <w:p>
      <w:p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Third, invest department calls for more sales out of the purpose to get more return, which would impose pressure on claim and compensation staffs who are busy with verification of claims.</w:t>
      </w:r>
    </w:p>
    <w:p>
      <w:pPr>
        <w:spacing w:line="360" w:lineRule="auto"/>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br w:type="page"/>
      </w:r>
    </w:p>
    <w:p>
      <w:pPr>
        <w:pStyle w:val="2"/>
        <w:rPr>
          <w:rFonts w:cs="Times New Roman"/>
          <w:color w:val="000000" w:themeColor="text1"/>
          <w:sz w:val="28"/>
          <w:szCs w:val="28"/>
          <w14:textFill>
            <w14:solidFill>
              <w14:schemeClr w14:val="tx1"/>
            </w14:solidFill>
          </w14:textFill>
        </w:rPr>
      </w:pPr>
      <w:bookmarkStart w:id="13" w:name="_Toc2024576"/>
      <w:r>
        <w:rPr>
          <w:rFonts w:cs="Times New Roman"/>
          <w:color w:val="000000" w:themeColor="text1"/>
          <w:sz w:val="28"/>
          <w:szCs w:val="28"/>
          <w14:textFill>
            <w14:solidFill>
              <w14:schemeClr w14:val="tx1"/>
            </w14:solidFill>
          </w14:textFill>
        </w:rPr>
        <w:t>Reference</w:t>
      </w:r>
      <w:bookmarkEnd w:id="13"/>
      <w:r>
        <w:rPr>
          <w:rFonts w:cs="Times New Roman"/>
          <w:color w:val="000000" w:themeColor="text1"/>
          <w:sz w:val="28"/>
          <w:szCs w:val="28"/>
          <w14:textFill>
            <w14:solidFill>
              <w14:schemeClr w14:val="tx1"/>
            </w14:solidFill>
          </w14:textFill>
        </w:rPr>
        <w:t xml:space="preserve"> </w:t>
      </w:r>
    </w:p>
    <w:p>
      <w:pPr>
        <w:spacing w:line="360" w:lineRule="auto"/>
        <w:ind w:left="840" w:hanging="840" w:hangingChars="300"/>
        <w:rPr>
          <w:rFonts w:ascii="Times New Roman" w:hAnsi="Times New Roman" w:eastAsia="宋体" w:cs="Times New Roman"/>
          <w:color w:val="000000" w:themeColor="text1"/>
          <w:sz w:val="28"/>
          <w:szCs w:val="28"/>
          <w:shd w:val="clear" w:color="auto" w:fill="FFFFFF"/>
          <w14:textFill>
            <w14:solidFill>
              <w14:schemeClr w14:val="tx1"/>
            </w14:solidFill>
          </w14:textFill>
        </w:rPr>
      </w:pPr>
      <w:bookmarkStart w:id="14" w:name="_Hlk2792685"/>
      <w:r>
        <w:rPr>
          <w:rFonts w:ascii="Times New Roman" w:hAnsi="Times New Roman" w:eastAsia="宋体" w:cs="Times New Roman"/>
          <w:color w:val="000000" w:themeColor="text1"/>
          <w:sz w:val="28"/>
          <w:szCs w:val="28"/>
          <w:shd w:val="clear" w:color="auto" w:fill="FFFFFF"/>
          <w14:textFill>
            <w14:solidFill>
              <w14:schemeClr w14:val="tx1"/>
            </w14:solidFill>
          </w14:textFill>
        </w:rPr>
        <w:t>Artís, M., Ayuso, M., &amp; Guillén, M. (2002). Detection of automobile insurance fraud with discrete choice models and misclassified claims. </w:t>
      </w:r>
      <w:r>
        <w:rPr>
          <w:rFonts w:ascii="Times New Roman" w:hAnsi="Times New Roman" w:eastAsia="宋体" w:cs="Times New Roman"/>
          <w:i/>
          <w:color w:val="000000" w:themeColor="text1"/>
          <w:sz w:val="28"/>
          <w:szCs w:val="28"/>
          <w:shd w:val="clear" w:color="auto" w:fill="FFFFFF"/>
          <w14:textFill>
            <w14:solidFill>
              <w14:schemeClr w14:val="tx1"/>
            </w14:solidFill>
          </w14:textFill>
        </w:rPr>
        <w:t>Journal of Risk and Insurance</w:t>
      </w:r>
      <w:r>
        <w:rPr>
          <w:rFonts w:ascii="Times New Roman" w:hAnsi="Times New Roman" w:eastAsia="宋体" w:cs="Times New Roman"/>
          <w:color w:val="000000" w:themeColor="text1"/>
          <w:sz w:val="28"/>
          <w:szCs w:val="28"/>
          <w:shd w:val="clear" w:color="auto" w:fill="FFFFFF"/>
          <w14:textFill>
            <w14:solidFill>
              <w14:schemeClr w14:val="tx1"/>
            </w14:solidFill>
          </w14:textFill>
        </w:rPr>
        <w:t>, </w:t>
      </w:r>
      <w:r>
        <w:rPr>
          <w:rFonts w:ascii="Times New Roman" w:hAnsi="Times New Roman" w:eastAsia="宋体" w:cs="Times New Roman"/>
          <w:i/>
          <w:color w:val="000000" w:themeColor="text1"/>
          <w:sz w:val="28"/>
          <w:szCs w:val="28"/>
          <w:shd w:val="clear" w:color="auto" w:fill="FFFFFF"/>
          <w14:textFill>
            <w14:solidFill>
              <w14:schemeClr w14:val="tx1"/>
            </w14:solidFill>
          </w14:textFill>
        </w:rPr>
        <w:t>69</w:t>
      </w:r>
      <w:r>
        <w:rPr>
          <w:rFonts w:ascii="Times New Roman" w:hAnsi="Times New Roman" w:eastAsia="宋体" w:cs="Times New Roman"/>
          <w:color w:val="000000" w:themeColor="text1"/>
          <w:sz w:val="28"/>
          <w:szCs w:val="28"/>
          <w:shd w:val="clear" w:color="auto" w:fill="FFFFFF"/>
          <w14:textFill>
            <w14:solidFill>
              <w14:schemeClr w14:val="tx1"/>
            </w14:solidFill>
          </w14:textFill>
        </w:rPr>
        <w:t>(3), 325-340.</w:t>
      </w:r>
    </w:p>
    <w:p>
      <w:pPr>
        <w:spacing w:line="360" w:lineRule="auto"/>
        <w:ind w:left="840" w:hanging="840" w:hangingChars="300"/>
        <w:rPr>
          <w:rFonts w:ascii="Times New Roman" w:hAnsi="Times New Roman" w:eastAsia="宋体" w:cs="Times New Roman"/>
          <w:color w:val="000000" w:themeColor="text1"/>
          <w:sz w:val="28"/>
          <w:szCs w:val="28"/>
          <w:shd w:val="clear" w:color="auto" w:fill="FFFFFF"/>
          <w14:textFill>
            <w14:solidFill>
              <w14:schemeClr w14:val="tx1"/>
            </w14:solidFill>
          </w14:textFill>
        </w:rPr>
      </w:pPr>
    </w:p>
    <w:p>
      <w:pPr>
        <w:spacing w:line="360" w:lineRule="auto"/>
        <w:ind w:left="840" w:hanging="840" w:hangingChars="300"/>
        <w:rPr>
          <w:rFonts w:ascii="Times New Roman" w:hAnsi="Times New Roman" w:eastAsia="宋体" w:cs="Times New Roman"/>
          <w:color w:val="000000" w:themeColor="text1"/>
          <w:sz w:val="28"/>
          <w:szCs w:val="28"/>
          <w:shd w:val="clear" w:color="auto" w:fill="FFFFFF"/>
          <w14:textFill>
            <w14:solidFill>
              <w14:schemeClr w14:val="tx1"/>
            </w14:solidFill>
          </w14:textFill>
        </w:rPr>
      </w:pPr>
      <w:r>
        <w:rPr>
          <w:rFonts w:ascii="Times New Roman" w:hAnsi="Times New Roman" w:eastAsia="宋体" w:cs="Times New Roman"/>
          <w:color w:val="000000" w:themeColor="text1"/>
          <w:sz w:val="28"/>
          <w:szCs w:val="28"/>
          <w:shd w:val="clear" w:color="auto" w:fill="FFFFFF"/>
          <w14:textFill>
            <w14:solidFill>
              <w14:schemeClr w14:val="tx1"/>
            </w14:solidFill>
          </w14:textFill>
        </w:rPr>
        <w:t>Bajtelsmit, V. L., &amp; Bouzouita, R. (1998). Market structure and performance in private passenger automobile insurance. </w:t>
      </w:r>
      <w:r>
        <w:rPr>
          <w:rFonts w:ascii="Times New Roman" w:hAnsi="Times New Roman" w:eastAsia="宋体" w:cs="Times New Roman"/>
          <w:i/>
          <w:color w:val="000000" w:themeColor="text1"/>
          <w:sz w:val="28"/>
          <w:szCs w:val="28"/>
          <w:shd w:val="clear" w:color="auto" w:fill="FFFFFF"/>
          <w14:textFill>
            <w14:solidFill>
              <w14:schemeClr w14:val="tx1"/>
            </w14:solidFill>
          </w14:textFill>
        </w:rPr>
        <w:t>Journal of Risk and Insurance</w:t>
      </w:r>
      <w:r>
        <w:rPr>
          <w:rFonts w:ascii="Times New Roman" w:hAnsi="Times New Roman" w:eastAsia="宋体" w:cs="Times New Roman"/>
          <w:color w:val="000000" w:themeColor="text1"/>
          <w:sz w:val="28"/>
          <w:szCs w:val="28"/>
          <w:shd w:val="clear" w:color="auto" w:fill="FFFFFF"/>
          <w14:textFill>
            <w14:solidFill>
              <w14:schemeClr w14:val="tx1"/>
            </w14:solidFill>
          </w14:textFill>
        </w:rPr>
        <w:t>, 503-514.</w:t>
      </w:r>
    </w:p>
    <w:p>
      <w:pPr>
        <w:spacing w:line="360" w:lineRule="auto"/>
        <w:ind w:left="840" w:hanging="840" w:hangingChars="300"/>
        <w:rPr>
          <w:rFonts w:ascii="Times New Roman" w:hAnsi="Times New Roman" w:eastAsia="宋体" w:cs="Times New Roman"/>
          <w:color w:val="000000" w:themeColor="text1"/>
          <w:sz w:val="28"/>
          <w:szCs w:val="28"/>
          <w:shd w:val="clear" w:color="auto" w:fill="FFFFFF"/>
          <w14:textFill>
            <w14:solidFill>
              <w14:schemeClr w14:val="tx1"/>
            </w14:solidFill>
          </w14:textFill>
        </w:rPr>
      </w:pPr>
    </w:p>
    <w:p>
      <w:pPr>
        <w:spacing w:line="360" w:lineRule="auto"/>
        <w:ind w:left="840" w:hanging="840" w:hangingChars="300"/>
        <w:rPr>
          <w:rFonts w:ascii="Times New Roman" w:hAnsi="Times New Roman" w:eastAsia="宋体" w:cs="Times New Roman"/>
          <w:color w:val="000000" w:themeColor="text1"/>
          <w:sz w:val="28"/>
          <w:szCs w:val="28"/>
          <w:shd w:val="clear" w:color="auto" w:fill="FFFFFF"/>
          <w14:textFill>
            <w14:solidFill>
              <w14:schemeClr w14:val="tx1"/>
            </w14:solidFill>
          </w14:textFill>
        </w:rPr>
      </w:pPr>
      <w:r>
        <w:rPr>
          <w:rFonts w:ascii="Times New Roman" w:hAnsi="Times New Roman" w:eastAsia="宋体" w:cs="Times New Roman"/>
          <w:color w:val="000000" w:themeColor="text1"/>
          <w:sz w:val="28"/>
          <w:szCs w:val="28"/>
          <w:shd w:val="clear" w:color="auto" w:fill="FFFFFF"/>
          <w14:textFill>
            <w14:solidFill>
              <w14:schemeClr w14:val="tx1"/>
            </w14:solidFill>
          </w14:textFill>
        </w:rPr>
        <w:t>Baranoff, E. Z., &amp; Baranoff, E. Z. (2004). </w:t>
      </w:r>
      <w:r>
        <w:rPr>
          <w:rFonts w:ascii="Times New Roman" w:hAnsi="Times New Roman" w:eastAsia="宋体" w:cs="Times New Roman"/>
          <w:i/>
          <w:color w:val="000000" w:themeColor="text1"/>
          <w:sz w:val="28"/>
          <w:szCs w:val="28"/>
          <w:shd w:val="clear" w:color="auto" w:fill="FFFFFF"/>
          <w14:textFill>
            <w14:solidFill>
              <w14:schemeClr w14:val="tx1"/>
            </w14:solidFill>
          </w14:textFill>
        </w:rPr>
        <w:t>Risk management and insurance</w:t>
      </w:r>
      <w:r>
        <w:rPr>
          <w:rFonts w:ascii="Times New Roman" w:hAnsi="Times New Roman" w:eastAsia="宋体" w:cs="Times New Roman"/>
          <w:color w:val="000000" w:themeColor="text1"/>
          <w:sz w:val="28"/>
          <w:szCs w:val="28"/>
          <w:shd w:val="clear" w:color="auto" w:fill="FFFFFF"/>
          <w14:textFill>
            <w14:solidFill>
              <w14:schemeClr w14:val="tx1"/>
            </w14:solidFill>
          </w14:textFill>
        </w:rPr>
        <w:t> (pp.48-52). Danvers: Wiley.</w:t>
      </w:r>
    </w:p>
    <w:p>
      <w:pPr>
        <w:spacing w:line="360" w:lineRule="auto"/>
        <w:rPr>
          <w:rFonts w:ascii="Times New Roman" w:hAnsi="Times New Roman" w:eastAsia="宋体" w:cs="Times New Roman"/>
          <w:color w:val="000000" w:themeColor="text1"/>
          <w:sz w:val="28"/>
          <w:szCs w:val="28"/>
          <w:shd w:val="clear" w:color="auto" w:fill="FFFFFF"/>
          <w14:textFill>
            <w14:solidFill>
              <w14:schemeClr w14:val="tx1"/>
            </w14:solidFill>
          </w14:textFill>
        </w:rPr>
      </w:pPr>
    </w:p>
    <w:p>
      <w:pPr>
        <w:spacing w:line="360" w:lineRule="auto"/>
        <w:ind w:left="840" w:hanging="840" w:hangingChars="300"/>
        <w:rPr>
          <w:rFonts w:ascii="Times New Roman" w:hAnsi="Times New Roman" w:eastAsia="宋体" w:cs="Times New Roman"/>
          <w:color w:val="000000" w:themeColor="text1"/>
          <w:sz w:val="28"/>
          <w:szCs w:val="28"/>
          <w:shd w:val="clear" w:color="auto" w:fill="FFFFFF"/>
          <w14:textFill>
            <w14:solidFill>
              <w14:schemeClr w14:val="tx1"/>
            </w14:solidFill>
          </w14:textFill>
        </w:rPr>
      </w:pPr>
    </w:p>
    <w:p>
      <w:pPr>
        <w:spacing w:line="360" w:lineRule="auto"/>
        <w:ind w:left="840" w:hanging="840" w:hangingChars="300"/>
        <w:rPr>
          <w:rFonts w:ascii="Times New Roman" w:hAnsi="Times New Roman" w:eastAsia="宋体" w:cs="Times New Roman"/>
          <w:color w:val="000000" w:themeColor="text1"/>
          <w:sz w:val="28"/>
          <w:szCs w:val="28"/>
          <w:shd w:val="clear" w:color="auto" w:fill="FFFFFF"/>
          <w14:textFill>
            <w14:solidFill>
              <w14:schemeClr w14:val="tx1"/>
            </w14:solidFill>
          </w14:textFill>
        </w:rPr>
      </w:pPr>
      <w:r>
        <w:rPr>
          <w:rFonts w:ascii="Times New Roman" w:hAnsi="Times New Roman" w:eastAsia="宋体" w:cs="Times New Roman"/>
          <w:color w:val="000000" w:themeColor="text1"/>
          <w:sz w:val="28"/>
          <w:szCs w:val="28"/>
          <w:shd w:val="clear" w:color="auto" w:fill="FFFFFF"/>
          <w14:textFill>
            <w14:solidFill>
              <w14:schemeClr w14:val="tx1"/>
            </w14:solidFill>
          </w14:textFill>
        </w:rPr>
        <w:t>Blackmon, B. G., &amp; Zeckhauser, R. (1991). Mispriced equity: Regulated rates for auto insurance in Massachusetts. </w:t>
      </w:r>
      <w:r>
        <w:rPr>
          <w:rFonts w:ascii="Times New Roman" w:hAnsi="Times New Roman" w:eastAsia="宋体" w:cs="Times New Roman"/>
          <w:i/>
          <w:color w:val="000000" w:themeColor="text1"/>
          <w:sz w:val="28"/>
          <w:szCs w:val="28"/>
          <w:shd w:val="clear" w:color="auto" w:fill="FFFFFF"/>
          <w14:textFill>
            <w14:solidFill>
              <w14:schemeClr w14:val="tx1"/>
            </w14:solidFill>
          </w14:textFill>
        </w:rPr>
        <w:t>The American Economic Review</w:t>
      </w:r>
      <w:r>
        <w:rPr>
          <w:rFonts w:ascii="Times New Roman" w:hAnsi="Times New Roman" w:eastAsia="宋体" w:cs="Times New Roman"/>
          <w:color w:val="000000" w:themeColor="text1"/>
          <w:sz w:val="28"/>
          <w:szCs w:val="28"/>
          <w:shd w:val="clear" w:color="auto" w:fill="FFFFFF"/>
          <w14:textFill>
            <w14:solidFill>
              <w14:schemeClr w14:val="tx1"/>
            </w14:solidFill>
          </w14:textFill>
        </w:rPr>
        <w:t>, </w:t>
      </w:r>
      <w:r>
        <w:rPr>
          <w:rFonts w:ascii="Times New Roman" w:hAnsi="Times New Roman" w:eastAsia="宋体" w:cs="Times New Roman"/>
          <w:i/>
          <w:color w:val="000000" w:themeColor="text1"/>
          <w:sz w:val="28"/>
          <w:szCs w:val="28"/>
          <w:shd w:val="clear" w:color="auto" w:fill="FFFFFF"/>
          <w14:textFill>
            <w14:solidFill>
              <w14:schemeClr w14:val="tx1"/>
            </w14:solidFill>
          </w14:textFill>
        </w:rPr>
        <w:t>81</w:t>
      </w:r>
      <w:r>
        <w:rPr>
          <w:rFonts w:ascii="Times New Roman" w:hAnsi="Times New Roman" w:eastAsia="宋体" w:cs="Times New Roman"/>
          <w:color w:val="000000" w:themeColor="text1"/>
          <w:sz w:val="28"/>
          <w:szCs w:val="28"/>
          <w:shd w:val="clear" w:color="auto" w:fill="FFFFFF"/>
          <w14:textFill>
            <w14:solidFill>
              <w14:schemeClr w14:val="tx1"/>
            </w14:solidFill>
          </w14:textFill>
        </w:rPr>
        <w:t>(2), 65-69.</w:t>
      </w:r>
    </w:p>
    <w:p>
      <w:pPr>
        <w:spacing w:line="360" w:lineRule="auto"/>
        <w:ind w:left="840" w:hanging="840" w:hangingChars="300"/>
        <w:rPr>
          <w:rFonts w:ascii="Times New Roman" w:hAnsi="Times New Roman" w:eastAsia="宋体" w:cs="Times New Roman"/>
          <w:color w:val="222222"/>
          <w:sz w:val="28"/>
          <w:szCs w:val="28"/>
          <w:shd w:val="clear" w:color="auto" w:fill="FFFFFF"/>
        </w:rPr>
      </w:pPr>
    </w:p>
    <w:p>
      <w:pPr>
        <w:spacing w:line="360" w:lineRule="auto"/>
        <w:ind w:left="840" w:hanging="840" w:hangingChars="300"/>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eastAsia="宋体" w:cs="Times New Roman"/>
          <w:color w:val="222222"/>
          <w:sz w:val="28"/>
          <w:szCs w:val="28"/>
          <w:shd w:val="clear" w:color="auto" w:fill="FFFFFF"/>
        </w:rPr>
        <w:t>Blocher, E. J., Stout, D. E., &amp; Cokins, G. (2010). </w:t>
      </w:r>
      <w:r>
        <w:rPr>
          <w:rFonts w:ascii="Times New Roman" w:hAnsi="Times New Roman" w:eastAsia="宋体" w:cs="Times New Roman"/>
          <w:i/>
          <w:color w:val="222222"/>
          <w:sz w:val="28"/>
          <w:szCs w:val="28"/>
          <w:shd w:val="clear" w:color="auto" w:fill="FFFFFF"/>
        </w:rPr>
        <w:t>Cost management: A strategic emphasis</w:t>
      </w:r>
      <w:r>
        <w:rPr>
          <w:rFonts w:ascii="Times New Roman" w:hAnsi="Times New Roman" w:eastAsia="宋体" w:cs="Times New Roman"/>
          <w:color w:val="222222"/>
          <w:sz w:val="28"/>
          <w:szCs w:val="28"/>
          <w:shd w:val="clear" w:color="auto" w:fill="FFFFFF"/>
        </w:rPr>
        <w:t>. Includes index.</w:t>
      </w:r>
    </w:p>
    <w:p>
      <w:pPr>
        <w:spacing w:line="360" w:lineRule="auto"/>
        <w:rPr>
          <w:rFonts w:ascii="Times New Roman" w:hAnsi="Times New Roman" w:cs="Times New Roman"/>
          <w:color w:val="000000" w:themeColor="text1"/>
          <w:sz w:val="28"/>
          <w:szCs w:val="28"/>
          <w14:textFill>
            <w14:solidFill>
              <w14:schemeClr w14:val="tx1"/>
            </w14:solidFill>
          </w14:textFill>
        </w:rPr>
      </w:pPr>
    </w:p>
    <w:p>
      <w:pPr>
        <w:spacing w:line="360" w:lineRule="auto"/>
        <w:ind w:left="560" w:hanging="560" w:hangingChars="200"/>
        <w:rPr>
          <w:rFonts w:ascii="Times New Roman" w:hAnsi="Times New Roman" w:eastAsia="宋体" w:cs="Times New Roman"/>
          <w:color w:val="222222"/>
          <w:sz w:val="28"/>
          <w:szCs w:val="28"/>
          <w:shd w:val="clear" w:color="auto" w:fill="FFFFFF"/>
        </w:rPr>
      </w:pPr>
      <w:r>
        <w:rPr>
          <w:rFonts w:ascii="Times New Roman" w:hAnsi="Times New Roman" w:eastAsia="宋体" w:cs="Times New Roman"/>
          <w:color w:val="222222"/>
          <w:sz w:val="28"/>
          <w:szCs w:val="28"/>
          <w:shd w:val="clear" w:color="auto" w:fill="FFFFFF"/>
        </w:rPr>
        <w:t>Christopher, M., &amp; Gattorna, J. (2005). Supply chain cost management and value-based pricing. </w:t>
      </w:r>
      <w:r>
        <w:rPr>
          <w:rFonts w:ascii="Times New Roman" w:hAnsi="Times New Roman" w:eastAsia="宋体" w:cs="Times New Roman"/>
          <w:i/>
          <w:color w:val="222222"/>
          <w:sz w:val="28"/>
          <w:szCs w:val="28"/>
          <w:shd w:val="clear" w:color="auto" w:fill="FFFFFF"/>
        </w:rPr>
        <w:t>Industrial marketing management</w:t>
      </w:r>
      <w:r>
        <w:rPr>
          <w:rFonts w:ascii="Times New Roman" w:hAnsi="Times New Roman" w:eastAsia="宋体" w:cs="Times New Roman"/>
          <w:color w:val="222222"/>
          <w:sz w:val="28"/>
          <w:szCs w:val="28"/>
          <w:shd w:val="clear" w:color="auto" w:fill="FFFFFF"/>
        </w:rPr>
        <w:t>, </w:t>
      </w:r>
      <w:r>
        <w:rPr>
          <w:rFonts w:ascii="Times New Roman" w:hAnsi="Times New Roman" w:eastAsia="宋体" w:cs="Times New Roman"/>
          <w:i/>
          <w:color w:val="222222"/>
          <w:sz w:val="28"/>
          <w:szCs w:val="28"/>
          <w:shd w:val="clear" w:color="auto" w:fill="FFFFFF"/>
        </w:rPr>
        <w:t>34</w:t>
      </w:r>
      <w:r>
        <w:rPr>
          <w:rFonts w:ascii="Times New Roman" w:hAnsi="Times New Roman" w:eastAsia="宋体" w:cs="Times New Roman"/>
          <w:color w:val="222222"/>
          <w:sz w:val="28"/>
          <w:szCs w:val="28"/>
          <w:shd w:val="clear" w:color="auto" w:fill="FFFFFF"/>
        </w:rPr>
        <w:t>(2), 115-121.</w:t>
      </w:r>
    </w:p>
    <w:p>
      <w:pPr>
        <w:spacing w:line="360" w:lineRule="auto"/>
        <w:ind w:left="560" w:hanging="560" w:hangingChars="200"/>
        <w:rPr>
          <w:rFonts w:ascii="Times New Roman" w:hAnsi="Times New Roman" w:eastAsia="宋体" w:cs="Times New Roman"/>
          <w:color w:val="222222"/>
          <w:sz w:val="28"/>
          <w:szCs w:val="28"/>
          <w:shd w:val="clear" w:color="auto" w:fill="FFFFFF"/>
        </w:rPr>
      </w:pPr>
    </w:p>
    <w:p>
      <w:pPr>
        <w:spacing w:line="360" w:lineRule="auto"/>
        <w:ind w:left="560" w:hanging="560" w:hangingChars="200"/>
        <w:rPr>
          <w:rFonts w:ascii="Times New Roman" w:hAnsi="Times New Roman" w:eastAsia="宋体" w:cs="Times New Roman"/>
          <w:color w:val="222222"/>
          <w:sz w:val="28"/>
          <w:szCs w:val="28"/>
          <w:shd w:val="clear" w:color="auto" w:fill="FFFFFF"/>
        </w:rPr>
      </w:pPr>
      <w:r>
        <w:rPr>
          <w:rFonts w:ascii="Times New Roman" w:hAnsi="Times New Roman" w:eastAsia="宋体" w:cs="Times New Roman"/>
          <w:color w:val="222222"/>
          <w:sz w:val="28"/>
          <w:szCs w:val="28"/>
          <w:shd w:val="clear" w:color="auto" w:fill="FFFFFF"/>
        </w:rPr>
        <w:t>Cooper, R., &amp; Slagmulder, R. (2004). Interorganizational cost management and relational context. </w:t>
      </w:r>
      <w:r>
        <w:rPr>
          <w:rFonts w:ascii="Times New Roman" w:hAnsi="Times New Roman" w:eastAsia="宋体" w:cs="Times New Roman"/>
          <w:i/>
          <w:color w:val="222222"/>
          <w:sz w:val="28"/>
          <w:szCs w:val="28"/>
          <w:shd w:val="clear" w:color="auto" w:fill="FFFFFF"/>
        </w:rPr>
        <w:t>Accounting, Organizations and Society</w:t>
      </w:r>
      <w:r>
        <w:rPr>
          <w:rFonts w:ascii="Times New Roman" w:hAnsi="Times New Roman" w:eastAsia="宋体" w:cs="Times New Roman"/>
          <w:color w:val="222222"/>
          <w:sz w:val="28"/>
          <w:szCs w:val="28"/>
          <w:shd w:val="clear" w:color="auto" w:fill="FFFFFF"/>
        </w:rPr>
        <w:t>, </w:t>
      </w:r>
      <w:r>
        <w:rPr>
          <w:rFonts w:ascii="Times New Roman" w:hAnsi="Times New Roman" w:eastAsia="宋体" w:cs="Times New Roman"/>
          <w:i/>
          <w:color w:val="222222"/>
          <w:sz w:val="28"/>
          <w:szCs w:val="28"/>
          <w:shd w:val="clear" w:color="auto" w:fill="FFFFFF"/>
        </w:rPr>
        <w:t>29</w:t>
      </w:r>
      <w:r>
        <w:rPr>
          <w:rFonts w:ascii="Times New Roman" w:hAnsi="Times New Roman" w:eastAsia="宋体" w:cs="Times New Roman"/>
          <w:color w:val="222222"/>
          <w:sz w:val="28"/>
          <w:szCs w:val="28"/>
          <w:shd w:val="clear" w:color="auto" w:fill="FFFFFF"/>
        </w:rPr>
        <w:t>(1), 1-26.</w:t>
      </w:r>
    </w:p>
    <w:p>
      <w:pPr>
        <w:spacing w:line="360" w:lineRule="auto"/>
        <w:ind w:left="560" w:hanging="560" w:hangingChars="200"/>
        <w:rPr>
          <w:rFonts w:ascii="Times New Roman" w:hAnsi="Times New Roman" w:eastAsia="宋体" w:cs="Times New Roman"/>
          <w:color w:val="222222"/>
          <w:sz w:val="28"/>
          <w:szCs w:val="28"/>
          <w:shd w:val="clear" w:color="auto" w:fill="FFFFFF"/>
        </w:rPr>
      </w:pPr>
    </w:p>
    <w:p>
      <w:pPr>
        <w:spacing w:line="360" w:lineRule="auto"/>
        <w:ind w:left="840" w:hanging="840" w:hangingChars="300"/>
        <w:rPr>
          <w:rFonts w:ascii="Times New Roman" w:hAnsi="Times New Roman" w:eastAsia="宋体" w:cs="Times New Roman"/>
          <w:color w:val="000000" w:themeColor="text1"/>
          <w:sz w:val="28"/>
          <w:szCs w:val="28"/>
          <w:shd w:val="clear" w:color="auto" w:fill="FFFFFF"/>
          <w14:textFill>
            <w14:solidFill>
              <w14:schemeClr w14:val="tx1"/>
            </w14:solidFill>
          </w14:textFill>
        </w:rPr>
      </w:pPr>
      <w:r>
        <w:rPr>
          <w:rFonts w:ascii="Times New Roman" w:hAnsi="Times New Roman" w:eastAsia="宋体" w:cs="Times New Roman"/>
          <w:color w:val="000000" w:themeColor="text1"/>
          <w:sz w:val="28"/>
          <w:szCs w:val="28"/>
          <w:shd w:val="clear" w:color="auto" w:fill="FFFFFF"/>
          <w14:textFill>
            <w14:solidFill>
              <w14:schemeClr w14:val="tx1"/>
            </w14:solidFill>
          </w14:textFill>
        </w:rPr>
        <w:t>Cummins, J. D., &amp; VanDerhei, J. (1979). A note on the relative efficiency of</w:t>
      </w:r>
      <w:r>
        <w:rPr>
          <w:rFonts w:hint="eastAsia" w:ascii="Times New Roman" w:hAnsi="Times New Roman" w:eastAsia="宋体" w:cs="Times New Roman"/>
          <w:color w:val="000000" w:themeColor="text1"/>
          <w:sz w:val="28"/>
          <w:szCs w:val="28"/>
          <w:shd w:val="clear" w:color="auto" w:fill="FFFFFF"/>
          <w14:textFill>
            <w14:solidFill>
              <w14:schemeClr w14:val="tx1"/>
            </w14:solidFill>
          </w14:textFill>
        </w:rPr>
        <w:t xml:space="preserve"> </w:t>
      </w:r>
      <w:r>
        <w:rPr>
          <w:rFonts w:ascii="Times New Roman" w:hAnsi="Times New Roman" w:eastAsia="宋体" w:cs="Times New Roman"/>
          <w:color w:val="000000" w:themeColor="text1"/>
          <w:sz w:val="28"/>
          <w:szCs w:val="28"/>
          <w:shd w:val="clear" w:color="auto" w:fill="FFFFFF"/>
          <w14:textFill>
            <w14:solidFill>
              <w14:schemeClr w14:val="tx1"/>
            </w14:solidFill>
          </w14:textFill>
        </w:rPr>
        <w:t>property-liability insurance distribution systems.</w:t>
      </w:r>
      <w:r>
        <w:rPr>
          <w:rFonts w:hint="eastAsia" w:ascii="Times New Roman" w:hAnsi="Times New Roman" w:eastAsia="宋体" w:cs="Times New Roman"/>
          <w:color w:val="000000" w:themeColor="text1"/>
          <w:sz w:val="28"/>
          <w:szCs w:val="28"/>
          <w:shd w:val="clear" w:color="auto" w:fill="FFFFFF"/>
          <w14:textFill>
            <w14:solidFill>
              <w14:schemeClr w14:val="tx1"/>
            </w14:solidFill>
          </w14:textFill>
        </w:rPr>
        <w:t xml:space="preserve"> </w:t>
      </w:r>
      <w:r>
        <w:rPr>
          <w:rFonts w:ascii="Times New Roman" w:hAnsi="Times New Roman" w:eastAsia="宋体" w:cs="Times New Roman"/>
          <w:color w:val="000000" w:themeColor="text1"/>
          <w:sz w:val="28"/>
          <w:szCs w:val="28"/>
          <w:shd w:val="clear" w:color="auto" w:fill="FFFFFF"/>
          <w14:textFill>
            <w14:solidFill>
              <w14:schemeClr w14:val="tx1"/>
            </w14:solidFill>
          </w14:textFill>
        </w:rPr>
        <w:t>In </w:t>
      </w:r>
    </w:p>
    <w:p>
      <w:pPr>
        <w:spacing w:line="360" w:lineRule="auto"/>
        <w:ind w:left="838" w:leftChars="399"/>
        <w:rPr>
          <w:rFonts w:ascii="Times New Roman" w:hAnsi="Times New Roman" w:eastAsia="宋体" w:cs="Times New Roman"/>
          <w:color w:val="000000" w:themeColor="text1"/>
          <w:sz w:val="28"/>
          <w:szCs w:val="28"/>
          <w:shd w:val="clear" w:color="auto" w:fill="FFFFFF"/>
          <w14:textFill>
            <w14:solidFill>
              <w14:schemeClr w14:val="tx1"/>
            </w14:solidFill>
          </w14:textFill>
        </w:rPr>
      </w:pPr>
      <w:r>
        <w:rPr>
          <w:rFonts w:ascii="Times New Roman" w:hAnsi="Times New Roman" w:eastAsia="宋体" w:cs="Times New Roman"/>
          <w:i/>
          <w:color w:val="000000" w:themeColor="text1"/>
          <w:sz w:val="28"/>
          <w:szCs w:val="28"/>
          <w:shd w:val="clear" w:color="auto" w:fill="FFFFFF"/>
          <w14:textFill>
            <w14:solidFill>
              <w14:schemeClr w14:val="tx1"/>
            </w14:solidFill>
          </w14:textFill>
        </w:rPr>
        <w:t>Foundations of Insurance Economics</w:t>
      </w:r>
      <w:r>
        <w:rPr>
          <w:rFonts w:ascii="Times New Roman" w:hAnsi="Times New Roman" w:eastAsia="宋体" w:cs="Times New Roman"/>
          <w:color w:val="000000" w:themeColor="text1"/>
          <w:sz w:val="28"/>
          <w:szCs w:val="28"/>
          <w:shd w:val="clear" w:color="auto" w:fill="FFFFFF"/>
          <w14:textFill>
            <w14:solidFill>
              <w14:schemeClr w14:val="tx1"/>
            </w14:solidFill>
          </w14:textFill>
        </w:rPr>
        <w:t> (pp. 521-531). Springer, Dordrecht.</w:t>
      </w:r>
    </w:p>
    <w:p>
      <w:pPr>
        <w:spacing w:line="360" w:lineRule="auto"/>
        <w:ind w:left="560" w:hanging="560" w:hangingChars="200"/>
        <w:rPr>
          <w:rFonts w:ascii="Times New Roman" w:hAnsi="Times New Roman" w:cs="Times New Roman"/>
          <w:color w:val="000000" w:themeColor="text1"/>
          <w:sz w:val="28"/>
          <w:szCs w:val="28"/>
          <w14:textFill>
            <w14:solidFill>
              <w14:schemeClr w14:val="tx1"/>
            </w14:solidFill>
          </w14:textFill>
        </w:rPr>
      </w:pPr>
    </w:p>
    <w:p>
      <w:pPr>
        <w:spacing w:line="360" w:lineRule="auto"/>
        <w:ind w:left="560" w:hanging="560" w:hangingChars="200"/>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 xml:space="preserve">Cummins J D, Tennyson S.(1992) Controlling automobile insurance costs[J]. </w:t>
      </w:r>
      <w:r>
        <w:rPr>
          <w:rFonts w:ascii="Times New Roman" w:hAnsi="Times New Roman" w:cs="Times New Roman"/>
          <w:i/>
          <w:iCs/>
          <w:color w:val="000000" w:themeColor="text1"/>
          <w:sz w:val="28"/>
          <w:szCs w:val="28"/>
          <w14:textFill>
            <w14:solidFill>
              <w14:schemeClr w14:val="tx1"/>
            </w14:solidFill>
          </w14:textFill>
        </w:rPr>
        <w:t>Journal</w:t>
      </w:r>
      <w:r>
        <w:rPr>
          <w:rFonts w:hint="eastAsia" w:ascii="Times New Roman" w:hAnsi="Times New Roman" w:cs="Times New Roman"/>
          <w:i/>
          <w:iCs/>
          <w:color w:val="000000" w:themeColor="text1"/>
          <w:sz w:val="28"/>
          <w:szCs w:val="28"/>
          <w14:textFill>
            <w14:solidFill>
              <w14:schemeClr w14:val="tx1"/>
            </w14:solidFill>
          </w14:textFill>
        </w:rPr>
        <w:t xml:space="preserve"> </w:t>
      </w:r>
      <w:r>
        <w:rPr>
          <w:rFonts w:ascii="Times New Roman" w:hAnsi="Times New Roman" w:cs="Times New Roman"/>
          <w:i/>
          <w:iCs/>
          <w:color w:val="000000" w:themeColor="text1"/>
          <w:sz w:val="28"/>
          <w:szCs w:val="28"/>
          <w14:textFill>
            <w14:solidFill>
              <w14:schemeClr w14:val="tx1"/>
            </w14:solidFill>
          </w14:textFill>
        </w:rPr>
        <w:t xml:space="preserve">of Economic Perspectives, </w:t>
      </w:r>
      <w:r>
        <w:rPr>
          <w:rFonts w:ascii="Times New Roman" w:hAnsi="Times New Roman" w:cs="Times New Roman"/>
          <w:color w:val="000000" w:themeColor="text1"/>
          <w:sz w:val="28"/>
          <w:szCs w:val="28"/>
          <w14:textFill>
            <w14:solidFill>
              <w14:schemeClr w14:val="tx1"/>
            </w14:solidFill>
          </w14:textFill>
        </w:rPr>
        <w:t>95-115.</w:t>
      </w:r>
    </w:p>
    <w:p>
      <w:pPr>
        <w:spacing w:line="360" w:lineRule="auto"/>
        <w:ind w:left="840" w:hanging="840" w:hangingChars="300"/>
        <w:rPr>
          <w:rFonts w:ascii="Times New Roman" w:hAnsi="Times New Roman" w:eastAsia="宋体" w:cs="Times New Roman"/>
          <w:color w:val="000000" w:themeColor="text1"/>
          <w:sz w:val="28"/>
          <w:szCs w:val="28"/>
          <w:shd w:val="clear" w:color="auto" w:fill="FFFFFF"/>
          <w14:textFill>
            <w14:solidFill>
              <w14:schemeClr w14:val="tx1"/>
            </w14:solidFill>
          </w14:textFill>
        </w:rPr>
      </w:pPr>
    </w:p>
    <w:p>
      <w:pPr>
        <w:spacing w:line="360" w:lineRule="auto"/>
        <w:ind w:left="840" w:hanging="840" w:hangingChars="300"/>
        <w:rPr>
          <w:rFonts w:ascii="Times New Roman" w:hAnsi="Times New Roman" w:eastAsia="宋体" w:cs="Times New Roman"/>
          <w:color w:val="000000" w:themeColor="text1"/>
          <w:sz w:val="28"/>
          <w:szCs w:val="28"/>
          <w:shd w:val="clear" w:color="auto" w:fill="FFFFFF"/>
          <w14:textFill>
            <w14:solidFill>
              <w14:schemeClr w14:val="tx1"/>
            </w14:solidFill>
          </w14:textFill>
        </w:rPr>
      </w:pPr>
      <w:r>
        <w:rPr>
          <w:rFonts w:ascii="Times New Roman" w:hAnsi="Times New Roman" w:eastAsia="宋体" w:cs="Times New Roman"/>
          <w:color w:val="000000" w:themeColor="text1"/>
          <w:sz w:val="28"/>
          <w:szCs w:val="28"/>
          <w:shd w:val="clear" w:color="auto" w:fill="FFFFFF"/>
          <w14:textFill>
            <w14:solidFill>
              <w14:schemeClr w14:val="tx1"/>
            </w14:solidFill>
          </w14:textFill>
        </w:rPr>
        <w:t>Cummins, J. D., &amp; Weiss, M. A. (1993). Measuring cost efficiency in the property-liability insurance industry. </w:t>
      </w:r>
      <w:r>
        <w:rPr>
          <w:rFonts w:ascii="Times New Roman" w:hAnsi="Times New Roman" w:eastAsia="宋体" w:cs="Times New Roman"/>
          <w:i/>
          <w:color w:val="000000" w:themeColor="text1"/>
          <w:sz w:val="28"/>
          <w:szCs w:val="28"/>
          <w:shd w:val="clear" w:color="auto" w:fill="FFFFFF"/>
          <w14:textFill>
            <w14:solidFill>
              <w14:schemeClr w14:val="tx1"/>
            </w14:solidFill>
          </w14:textFill>
        </w:rPr>
        <w:t>Journal of Banking &amp; Finance</w:t>
      </w:r>
      <w:r>
        <w:rPr>
          <w:rFonts w:ascii="Times New Roman" w:hAnsi="Times New Roman" w:eastAsia="宋体" w:cs="Times New Roman"/>
          <w:color w:val="000000" w:themeColor="text1"/>
          <w:sz w:val="28"/>
          <w:szCs w:val="28"/>
          <w:shd w:val="clear" w:color="auto" w:fill="FFFFFF"/>
          <w14:textFill>
            <w14:solidFill>
              <w14:schemeClr w14:val="tx1"/>
            </w14:solidFill>
          </w14:textFill>
        </w:rPr>
        <w:t>, </w:t>
      </w:r>
      <w:r>
        <w:rPr>
          <w:rFonts w:ascii="Times New Roman" w:hAnsi="Times New Roman" w:eastAsia="宋体" w:cs="Times New Roman"/>
          <w:i/>
          <w:color w:val="000000" w:themeColor="text1"/>
          <w:sz w:val="28"/>
          <w:szCs w:val="28"/>
          <w:shd w:val="clear" w:color="auto" w:fill="FFFFFF"/>
          <w14:textFill>
            <w14:solidFill>
              <w14:schemeClr w14:val="tx1"/>
            </w14:solidFill>
          </w14:textFill>
        </w:rPr>
        <w:t>17</w:t>
      </w:r>
      <w:r>
        <w:rPr>
          <w:rFonts w:ascii="Times New Roman" w:hAnsi="Times New Roman" w:eastAsia="宋体" w:cs="Times New Roman"/>
          <w:color w:val="000000" w:themeColor="text1"/>
          <w:sz w:val="28"/>
          <w:szCs w:val="28"/>
          <w:shd w:val="clear" w:color="auto" w:fill="FFFFFF"/>
          <w14:textFill>
            <w14:solidFill>
              <w14:schemeClr w14:val="tx1"/>
            </w14:solidFill>
          </w14:textFill>
        </w:rPr>
        <w:t>(2-3), 463-481.</w:t>
      </w:r>
    </w:p>
    <w:p>
      <w:pPr>
        <w:spacing w:line="360" w:lineRule="auto"/>
        <w:rPr>
          <w:rFonts w:ascii="Times New Roman" w:hAnsi="Times New Roman" w:cs="Times New Roman"/>
          <w:color w:val="000000" w:themeColor="text1"/>
          <w:sz w:val="28"/>
          <w:szCs w:val="28"/>
          <w14:textFill>
            <w14:solidFill>
              <w14:schemeClr w14:val="tx1"/>
            </w14:solidFill>
          </w14:textFill>
        </w:rPr>
      </w:pPr>
    </w:p>
    <w:p>
      <w:pPr>
        <w:spacing w:line="360" w:lineRule="auto"/>
        <w:ind w:left="840" w:hanging="840" w:hangingChars="300"/>
        <w:rPr>
          <w:rFonts w:ascii="Times New Roman" w:hAnsi="Times New Roman" w:eastAsia="宋体" w:cs="Times New Roman"/>
          <w:color w:val="222222"/>
          <w:sz w:val="28"/>
          <w:szCs w:val="28"/>
          <w:shd w:val="clear" w:color="auto" w:fill="FFFFFF"/>
        </w:rPr>
      </w:pPr>
      <w:r>
        <w:rPr>
          <w:rFonts w:ascii="Times New Roman" w:hAnsi="Times New Roman" w:eastAsia="宋体" w:cs="Times New Roman"/>
          <w:color w:val="222222"/>
          <w:sz w:val="28"/>
          <w:szCs w:val="28"/>
          <w:shd w:val="clear" w:color="auto" w:fill="FFFFFF"/>
        </w:rPr>
        <w:t>Denison, D.R.</w:t>
      </w:r>
      <w:r>
        <w:rPr>
          <w:rFonts w:hint="eastAsia" w:ascii="Times New Roman" w:hAnsi="Times New Roman" w:eastAsia="宋体" w:cs="Times New Roman"/>
          <w:color w:val="222222"/>
          <w:sz w:val="28"/>
          <w:szCs w:val="28"/>
          <w:shd w:val="clear" w:color="auto" w:fill="FFFFFF"/>
        </w:rPr>
        <w:t xml:space="preserve"> </w:t>
      </w:r>
      <w:r>
        <w:rPr>
          <w:rFonts w:ascii="Times New Roman" w:hAnsi="Times New Roman" w:eastAsia="宋体" w:cs="Times New Roman"/>
          <w:color w:val="222222"/>
          <w:sz w:val="28"/>
          <w:szCs w:val="28"/>
          <w:shd w:val="clear" w:color="auto" w:fill="FFFFFF"/>
        </w:rPr>
        <w:t>(1990). </w:t>
      </w:r>
      <w:r>
        <w:rPr>
          <w:rFonts w:ascii="Times New Roman" w:hAnsi="Times New Roman" w:eastAsia="宋体" w:cs="Times New Roman"/>
          <w:i/>
          <w:color w:val="222222"/>
          <w:sz w:val="28"/>
          <w:szCs w:val="28"/>
          <w:shd w:val="clear" w:color="auto" w:fill="FFFFFF"/>
        </w:rPr>
        <w:t>Corporate culture and organizational effectiveness: Wiley series on organizational assessment and change</w:t>
      </w:r>
      <w:r>
        <w:rPr>
          <w:rFonts w:ascii="Times New Roman" w:hAnsi="Times New Roman" w:eastAsia="宋体" w:cs="Times New Roman"/>
          <w:color w:val="222222"/>
          <w:sz w:val="28"/>
          <w:szCs w:val="28"/>
          <w:shd w:val="clear" w:color="auto" w:fill="FFFFFF"/>
        </w:rPr>
        <w:t>. John Wiley and Sons, Oxford.</w:t>
      </w:r>
    </w:p>
    <w:p>
      <w:pPr>
        <w:spacing w:line="360" w:lineRule="auto"/>
        <w:ind w:left="840" w:hanging="840" w:hangingChars="300"/>
        <w:rPr>
          <w:rFonts w:ascii="Times New Roman" w:hAnsi="Times New Roman" w:eastAsia="宋体" w:cs="Times New Roman"/>
          <w:color w:val="222222"/>
          <w:sz w:val="28"/>
          <w:szCs w:val="28"/>
          <w:shd w:val="clear" w:color="auto" w:fill="FFFFFF"/>
        </w:rPr>
      </w:pPr>
    </w:p>
    <w:p>
      <w:pPr>
        <w:spacing w:line="360" w:lineRule="auto"/>
        <w:ind w:left="840" w:hanging="840" w:hangingChars="300"/>
        <w:rPr>
          <w:rFonts w:ascii="Times New Roman" w:hAnsi="Times New Roman" w:eastAsia="宋体" w:cs="Times New Roman"/>
          <w:color w:val="222222"/>
          <w:sz w:val="28"/>
          <w:szCs w:val="28"/>
          <w:shd w:val="clear" w:color="auto" w:fill="FFFFFF"/>
        </w:rPr>
      </w:pPr>
      <w:r>
        <w:rPr>
          <w:rFonts w:ascii="Times New Roman" w:hAnsi="Times New Roman" w:eastAsia="宋体" w:cs="Times New Roman"/>
          <w:color w:val="222222"/>
          <w:sz w:val="28"/>
          <w:szCs w:val="28"/>
          <w:shd w:val="clear" w:color="auto" w:fill="FFFFFF"/>
        </w:rPr>
        <w:t>Diana, F., Mulcahy, K., Menkin, G., Bhargava, A., Gupta, R., &amp; Bhattacharyya, T. (2016). </w:t>
      </w:r>
      <w:r>
        <w:rPr>
          <w:rFonts w:ascii="Times New Roman" w:hAnsi="Times New Roman" w:eastAsia="宋体" w:cs="Times New Roman"/>
          <w:i/>
          <w:color w:val="222222"/>
          <w:sz w:val="28"/>
          <w:szCs w:val="28"/>
          <w:shd w:val="clear" w:color="auto" w:fill="FFFFFF"/>
        </w:rPr>
        <w:t>U.S. Patent No. 9,299,108</w:t>
      </w:r>
      <w:r>
        <w:rPr>
          <w:rFonts w:ascii="Times New Roman" w:hAnsi="Times New Roman" w:eastAsia="宋体" w:cs="Times New Roman"/>
          <w:color w:val="222222"/>
          <w:sz w:val="28"/>
          <w:szCs w:val="28"/>
          <w:shd w:val="clear" w:color="auto" w:fill="FFFFFF"/>
        </w:rPr>
        <w:t>. Washington, DC: U.S. Patent and Trademark Office.</w:t>
      </w:r>
    </w:p>
    <w:p>
      <w:pPr>
        <w:spacing w:line="360" w:lineRule="auto"/>
        <w:ind w:left="840" w:hanging="840" w:hangingChars="300"/>
        <w:rPr>
          <w:rFonts w:ascii="Times New Roman" w:hAnsi="Times New Roman" w:eastAsia="宋体" w:cs="Times New Roman"/>
          <w:color w:val="222222"/>
          <w:sz w:val="28"/>
          <w:szCs w:val="28"/>
          <w:shd w:val="clear" w:color="auto" w:fill="FFFFFF"/>
        </w:rPr>
      </w:pPr>
    </w:p>
    <w:p>
      <w:pPr>
        <w:spacing w:line="360" w:lineRule="auto"/>
        <w:ind w:left="840" w:hanging="840" w:hangingChars="300"/>
        <w:rPr>
          <w:rFonts w:ascii="Times New Roman" w:hAnsi="Times New Roman" w:eastAsia="宋体" w:cs="Times New Roman"/>
          <w:color w:val="000000" w:themeColor="text1"/>
          <w:sz w:val="28"/>
          <w:szCs w:val="28"/>
          <w:shd w:val="clear" w:color="auto" w:fill="FFFFFF"/>
          <w14:textFill>
            <w14:solidFill>
              <w14:schemeClr w14:val="tx1"/>
            </w14:solidFill>
          </w14:textFill>
        </w:rPr>
      </w:pPr>
      <w:r>
        <w:rPr>
          <w:rFonts w:ascii="Times New Roman" w:hAnsi="Times New Roman" w:eastAsia="宋体" w:cs="Times New Roman"/>
          <w:color w:val="000000" w:themeColor="text1"/>
          <w:sz w:val="28"/>
          <w:szCs w:val="28"/>
          <w:shd w:val="clear" w:color="auto" w:fill="FFFFFF"/>
          <w14:textFill>
            <w14:solidFill>
              <w14:schemeClr w14:val="tx1"/>
            </w14:solidFill>
          </w14:textFill>
        </w:rPr>
        <w:t>Fairley, W. B. (1979). Investment income and profit margins in property-liability insurance: theory and empirical results. </w:t>
      </w:r>
      <w:r>
        <w:rPr>
          <w:rFonts w:ascii="Times New Roman" w:hAnsi="Times New Roman" w:eastAsia="宋体" w:cs="Times New Roman"/>
          <w:i/>
          <w:color w:val="000000" w:themeColor="text1"/>
          <w:sz w:val="28"/>
          <w:szCs w:val="28"/>
          <w:shd w:val="clear" w:color="auto" w:fill="FFFFFF"/>
          <w14:textFill>
            <w14:solidFill>
              <w14:schemeClr w14:val="tx1"/>
            </w14:solidFill>
          </w14:textFill>
        </w:rPr>
        <w:t>The Bell Journal of Economics</w:t>
      </w:r>
      <w:r>
        <w:rPr>
          <w:rFonts w:ascii="Times New Roman" w:hAnsi="Times New Roman" w:eastAsia="宋体" w:cs="Times New Roman"/>
          <w:color w:val="000000" w:themeColor="text1"/>
          <w:sz w:val="28"/>
          <w:szCs w:val="28"/>
          <w:shd w:val="clear" w:color="auto" w:fill="FFFFFF"/>
          <w14:textFill>
            <w14:solidFill>
              <w14:schemeClr w14:val="tx1"/>
            </w14:solidFill>
          </w14:textFill>
        </w:rPr>
        <w:t>, 192-210.</w:t>
      </w:r>
    </w:p>
    <w:p>
      <w:pPr>
        <w:spacing w:line="360" w:lineRule="auto"/>
        <w:ind w:left="840" w:hanging="840" w:hangingChars="300"/>
        <w:rPr>
          <w:rFonts w:ascii="Times New Roman" w:hAnsi="Times New Roman" w:eastAsia="宋体" w:cs="Times New Roman"/>
          <w:color w:val="000000" w:themeColor="text1"/>
          <w:sz w:val="28"/>
          <w:szCs w:val="28"/>
          <w:shd w:val="clear" w:color="auto" w:fill="FFFFFF"/>
          <w14:textFill>
            <w14:solidFill>
              <w14:schemeClr w14:val="tx1"/>
            </w14:solidFill>
          </w14:textFill>
        </w:rPr>
      </w:pPr>
    </w:p>
    <w:p>
      <w:pPr>
        <w:spacing w:line="360" w:lineRule="auto"/>
        <w:ind w:left="840" w:hanging="840" w:hangingChars="300"/>
        <w:rPr>
          <w:rFonts w:ascii="Times New Roman" w:hAnsi="Times New Roman" w:eastAsia="宋体" w:cs="Times New Roman"/>
          <w:color w:val="000000" w:themeColor="text1"/>
          <w:sz w:val="28"/>
          <w:szCs w:val="28"/>
          <w:shd w:val="clear" w:color="auto" w:fill="FFFFFF"/>
          <w14:textFill>
            <w14:solidFill>
              <w14:schemeClr w14:val="tx1"/>
            </w14:solidFill>
          </w14:textFill>
        </w:rPr>
      </w:pPr>
      <w:r>
        <w:rPr>
          <w:rFonts w:ascii="Times New Roman" w:hAnsi="Times New Roman" w:eastAsia="宋体" w:cs="Times New Roman"/>
          <w:color w:val="000000" w:themeColor="text1"/>
          <w:sz w:val="28"/>
          <w:szCs w:val="28"/>
          <w:shd w:val="clear" w:color="auto" w:fill="FFFFFF"/>
          <w14:textFill>
            <w14:solidFill>
              <w14:schemeClr w14:val="tx1"/>
            </w14:solidFill>
          </w14:textFill>
        </w:rPr>
        <w:t>Honka, E. (2014). Quantifying search and switching costs in the US auto insurance industry. </w:t>
      </w:r>
      <w:r>
        <w:rPr>
          <w:rFonts w:ascii="Times New Roman" w:hAnsi="Times New Roman" w:eastAsia="宋体" w:cs="Times New Roman"/>
          <w:i/>
          <w:color w:val="000000" w:themeColor="text1"/>
          <w:sz w:val="28"/>
          <w:szCs w:val="28"/>
          <w:shd w:val="clear" w:color="auto" w:fill="FFFFFF"/>
          <w14:textFill>
            <w14:solidFill>
              <w14:schemeClr w14:val="tx1"/>
            </w14:solidFill>
          </w14:textFill>
        </w:rPr>
        <w:t>The RAND Journal of Economics</w:t>
      </w:r>
      <w:r>
        <w:rPr>
          <w:rFonts w:ascii="Times New Roman" w:hAnsi="Times New Roman" w:eastAsia="宋体" w:cs="Times New Roman"/>
          <w:color w:val="000000" w:themeColor="text1"/>
          <w:sz w:val="28"/>
          <w:szCs w:val="28"/>
          <w:shd w:val="clear" w:color="auto" w:fill="FFFFFF"/>
          <w14:textFill>
            <w14:solidFill>
              <w14:schemeClr w14:val="tx1"/>
            </w14:solidFill>
          </w14:textFill>
        </w:rPr>
        <w:t>, </w:t>
      </w:r>
      <w:r>
        <w:rPr>
          <w:rFonts w:ascii="Times New Roman" w:hAnsi="Times New Roman" w:eastAsia="宋体" w:cs="Times New Roman"/>
          <w:i/>
          <w:color w:val="000000" w:themeColor="text1"/>
          <w:sz w:val="28"/>
          <w:szCs w:val="28"/>
          <w:shd w:val="clear" w:color="auto" w:fill="FFFFFF"/>
          <w14:textFill>
            <w14:solidFill>
              <w14:schemeClr w14:val="tx1"/>
            </w14:solidFill>
          </w14:textFill>
        </w:rPr>
        <w:t>45</w:t>
      </w:r>
      <w:r>
        <w:rPr>
          <w:rFonts w:ascii="Times New Roman" w:hAnsi="Times New Roman" w:eastAsia="宋体" w:cs="Times New Roman"/>
          <w:color w:val="000000" w:themeColor="text1"/>
          <w:sz w:val="28"/>
          <w:szCs w:val="28"/>
          <w:shd w:val="clear" w:color="auto" w:fill="FFFFFF"/>
          <w14:textFill>
            <w14:solidFill>
              <w14:schemeClr w14:val="tx1"/>
            </w14:solidFill>
          </w14:textFill>
        </w:rPr>
        <w:t>(4), 847-884.</w:t>
      </w:r>
    </w:p>
    <w:p>
      <w:pPr>
        <w:spacing w:line="360" w:lineRule="auto"/>
        <w:ind w:left="840" w:hanging="840" w:hangingChars="300"/>
        <w:rPr>
          <w:rFonts w:ascii="Times New Roman" w:hAnsi="Times New Roman" w:eastAsia="宋体" w:cs="Times New Roman"/>
          <w:color w:val="222222"/>
          <w:sz w:val="28"/>
          <w:szCs w:val="28"/>
          <w:shd w:val="clear" w:color="auto" w:fill="FFFFFF"/>
        </w:rPr>
      </w:pPr>
    </w:p>
    <w:p>
      <w:pPr>
        <w:spacing w:line="360" w:lineRule="auto"/>
        <w:ind w:left="840" w:hanging="840" w:hangingChars="300"/>
        <w:rPr>
          <w:rFonts w:ascii="Times New Roman" w:hAnsi="Times New Roman" w:eastAsia="宋体" w:cs="Times New Roman"/>
          <w:color w:val="222222"/>
          <w:sz w:val="28"/>
          <w:szCs w:val="28"/>
          <w:shd w:val="clear" w:color="auto" w:fill="FFFFFF"/>
        </w:rPr>
      </w:pPr>
      <w:r>
        <w:rPr>
          <w:rFonts w:ascii="Times New Roman" w:hAnsi="Times New Roman" w:eastAsia="宋体" w:cs="Times New Roman"/>
          <w:color w:val="222222"/>
          <w:sz w:val="28"/>
          <w:szCs w:val="28"/>
          <w:shd w:val="clear" w:color="auto" w:fill="FFFFFF"/>
        </w:rPr>
        <w:t>Jones, G. R. (2013). </w:t>
      </w:r>
      <w:r>
        <w:rPr>
          <w:rFonts w:ascii="Times New Roman" w:hAnsi="Times New Roman" w:eastAsia="宋体" w:cs="Times New Roman"/>
          <w:i/>
          <w:color w:val="222222"/>
          <w:sz w:val="28"/>
          <w:szCs w:val="28"/>
          <w:shd w:val="clear" w:color="auto" w:fill="FFFFFF"/>
        </w:rPr>
        <w:t>Organizational theory, design, and change</w:t>
      </w:r>
      <w:r>
        <w:rPr>
          <w:rFonts w:ascii="Times New Roman" w:hAnsi="Times New Roman" w:eastAsia="宋体" w:cs="Times New Roman"/>
          <w:color w:val="222222"/>
          <w:sz w:val="28"/>
          <w:szCs w:val="28"/>
          <w:shd w:val="clear" w:color="auto" w:fill="FFFFFF"/>
        </w:rPr>
        <w:t>. Upper Saddle River, NJ: Pearson.</w:t>
      </w:r>
    </w:p>
    <w:p>
      <w:pPr>
        <w:spacing w:line="360" w:lineRule="auto"/>
        <w:ind w:left="840" w:hanging="840" w:hangingChars="300"/>
        <w:rPr>
          <w:rFonts w:ascii="Times New Roman" w:hAnsi="Times New Roman" w:eastAsia="宋体" w:cs="Times New Roman"/>
          <w:color w:val="222222"/>
          <w:sz w:val="28"/>
          <w:szCs w:val="28"/>
          <w:shd w:val="clear" w:color="auto" w:fill="FFFFFF"/>
        </w:rPr>
      </w:pPr>
    </w:p>
    <w:p>
      <w:pPr>
        <w:spacing w:line="360" w:lineRule="auto"/>
        <w:ind w:left="840" w:hanging="840" w:hangingChars="300"/>
        <w:rPr>
          <w:rFonts w:ascii="Times New Roman" w:hAnsi="Times New Roman" w:eastAsia="宋体" w:cs="Times New Roman"/>
          <w:color w:val="222222"/>
          <w:sz w:val="28"/>
          <w:szCs w:val="28"/>
          <w:shd w:val="clear" w:color="auto" w:fill="FFFFFF"/>
        </w:rPr>
      </w:pPr>
      <w:r>
        <w:rPr>
          <w:rFonts w:ascii="Times New Roman" w:hAnsi="Times New Roman" w:eastAsia="宋体" w:cs="Times New Roman"/>
          <w:color w:val="222222"/>
          <w:sz w:val="28"/>
          <w:szCs w:val="28"/>
          <w:shd w:val="clear" w:color="auto" w:fill="FFFFFF"/>
        </w:rPr>
        <w:t>King, G., Smallman, C., &amp; van Weegen, M. (1997). Management strategy in UK insurance broking. </w:t>
      </w:r>
      <w:r>
        <w:rPr>
          <w:rFonts w:ascii="Times New Roman" w:hAnsi="Times New Roman" w:eastAsia="宋体" w:cs="Times New Roman"/>
          <w:i/>
          <w:color w:val="222222"/>
          <w:sz w:val="28"/>
          <w:szCs w:val="28"/>
          <w:shd w:val="clear" w:color="auto" w:fill="FFFFFF"/>
        </w:rPr>
        <w:t>Management Decision</w:t>
      </w:r>
      <w:r>
        <w:rPr>
          <w:rFonts w:ascii="Times New Roman" w:hAnsi="Times New Roman" w:eastAsia="宋体" w:cs="Times New Roman"/>
          <w:color w:val="222222"/>
          <w:sz w:val="28"/>
          <w:szCs w:val="28"/>
          <w:shd w:val="clear" w:color="auto" w:fill="FFFFFF"/>
        </w:rPr>
        <w:t>, </w:t>
      </w:r>
      <w:r>
        <w:rPr>
          <w:rFonts w:ascii="Times New Roman" w:hAnsi="Times New Roman" w:eastAsia="宋体" w:cs="Times New Roman"/>
          <w:i/>
          <w:color w:val="222222"/>
          <w:sz w:val="28"/>
          <w:szCs w:val="28"/>
          <w:shd w:val="clear" w:color="auto" w:fill="FFFFFF"/>
        </w:rPr>
        <w:t>35</w:t>
      </w:r>
      <w:r>
        <w:rPr>
          <w:rFonts w:ascii="Times New Roman" w:hAnsi="Times New Roman" w:eastAsia="宋体" w:cs="Times New Roman"/>
          <w:color w:val="222222"/>
          <w:sz w:val="28"/>
          <w:szCs w:val="28"/>
          <w:shd w:val="clear" w:color="auto" w:fill="FFFFFF"/>
        </w:rPr>
        <w:t>(1), 58-67.</w:t>
      </w:r>
    </w:p>
    <w:p>
      <w:pPr>
        <w:spacing w:line="360" w:lineRule="auto"/>
        <w:ind w:left="840" w:hanging="840" w:hangingChars="300"/>
        <w:rPr>
          <w:rFonts w:ascii="Times New Roman" w:hAnsi="Times New Roman" w:eastAsia="宋体" w:cs="Times New Roman"/>
          <w:color w:val="222222"/>
          <w:sz w:val="28"/>
          <w:szCs w:val="28"/>
          <w:shd w:val="clear" w:color="auto" w:fill="FFFFFF"/>
        </w:rPr>
      </w:pPr>
    </w:p>
    <w:p>
      <w:pPr>
        <w:spacing w:line="360" w:lineRule="auto"/>
        <w:ind w:left="840" w:hanging="840" w:hangingChars="300"/>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cs="Times New Roman"/>
          <w:color w:val="000000" w:themeColor="text1"/>
          <w:sz w:val="28"/>
          <w:szCs w:val="28"/>
          <w14:textFill>
            <w14:solidFill>
              <w14:schemeClr w14:val="tx1"/>
            </w14:solidFill>
          </w14:textFill>
        </w:rPr>
        <w:t xml:space="preserve">Phillips, R. D., Cummins, J. D., &amp; Allen, F. (1998). Financial pricing of insurance in the multiple-line insurance company. </w:t>
      </w:r>
      <w:r>
        <w:rPr>
          <w:rFonts w:ascii="Times New Roman" w:hAnsi="Times New Roman" w:cs="Times New Roman"/>
          <w:i/>
          <w:iCs/>
          <w:color w:val="000000" w:themeColor="text1"/>
          <w:sz w:val="28"/>
          <w:szCs w:val="28"/>
          <w14:textFill>
            <w14:solidFill>
              <w14:schemeClr w14:val="tx1"/>
            </w14:solidFill>
          </w14:textFill>
        </w:rPr>
        <w:t>Journal of Risk and Insurance</w:t>
      </w:r>
      <w:r>
        <w:rPr>
          <w:rFonts w:ascii="Times New Roman" w:hAnsi="Times New Roman" w:cs="Times New Roman"/>
          <w:color w:val="000000" w:themeColor="text1"/>
          <w:sz w:val="28"/>
          <w:szCs w:val="28"/>
          <w14:textFill>
            <w14:solidFill>
              <w14:schemeClr w14:val="tx1"/>
            </w14:solidFill>
          </w14:textFill>
        </w:rPr>
        <w:t>, 597-636.</w:t>
      </w:r>
    </w:p>
    <w:p>
      <w:pPr>
        <w:spacing w:line="360" w:lineRule="auto"/>
        <w:ind w:left="840" w:hanging="840" w:hangingChars="300"/>
        <w:rPr>
          <w:rFonts w:ascii="Times New Roman" w:hAnsi="Times New Roman" w:cs="Times New Roman"/>
          <w:color w:val="000000" w:themeColor="text1"/>
          <w:sz w:val="28"/>
          <w:szCs w:val="28"/>
          <w14:textFill>
            <w14:solidFill>
              <w14:schemeClr w14:val="tx1"/>
            </w14:solidFill>
          </w14:textFill>
        </w:rPr>
      </w:pPr>
    </w:p>
    <w:p>
      <w:pPr>
        <w:spacing w:line="360" w:lineRule="auto"/>
        <w:ind w:left="840" w:hanging="840" w:hangingChars="300"/>
        <w:rPr>
          <w:rFonts w:ascii="Times New Roman" w:hAnsi="Times New Roman" w:cs="Times New Roman"/>
          <w:color w:val="000000" w:themeColor="text1"/>
          <w:sz w:val="28"/>
          <w:szCs w:val="28"/>
          <w14:textFill>
            <w14:solidFill>
              <w14:schemeClr w14:val="tx1"/>
            </w14:solidFill>
          </w14:textFill>
        </w:rPr>
      </w:pPr>
      <w:r>
        <w:rPr>
          <w:rFonts w:ascii="Times New Roman" w:hAnsi="Times New Roman" w:eastAsia="宋体" w:cs="Times New Roman"/>
          <w:color w:val="000000" w:themeColor="text1"/>
          <w:sz w:val="28"/>
          <w:szCs w:val="28"/>
          <w:shd w:val="clear" w:color="auto" w:fill="FFFFFF"/>
          <w14:textFill>
            <w14:solidFill>
              <w14:schemeClr w14:val="tx1"/>
            </w14:solidFill>
          </w14:textFill>
        </w:rPr>
        <w:t>Royne Stafford, M., Stafford, T. F., &amp; Wells, B. P. (1998). Determinants of service quality and satisfaction in the auto casualty claims process. </w:t>
      </w:r>
      <w:r>
        <w:rPr>
          <w:rFonts w:ascii="Times New Roman" w:hAnsi="Times New Roman" w:eastAsia="宋体" w:cs="Times New Roman"/>
          <w:i/>
          <w:color w:val="000000" w:themeColor="text1"/>
          <w:sz w:val="28"/>
          <w:szCs w:val="28"/>
          <w:shd w:val="clear" w:color="auto" w:fill="FFFFFF"/>
          <w14:textFill>
            <w14:solidFill>
              <w14:schemeClr w14:val="tx1"/>
            </w14:solidFill>
          </w14:textFill>
        </w:rPr>
        <w:t>Journal of Services Marketing</w:t>
      </w:r>
      <w:r>
        <w:rPr>
          <w:rFonts w:ascii="Times New Roman" w:hAnsi="Times New Roman" w:eastAsia="宋体" w:cs="Times New Roman"/>
          <w:color w:val="000000" w:themeColor="text1"/>
          <w:sz w:val="28"/>
          <w:szCs w:val="28"/>
          <w:shd w:val="clear" w:color="auto" w:fill="FFFFFF"/>
          <w14:textFill>
            <w14:solidFill>
              <w14:schemeClr w14:val="tx1"/>
            </w14:solidFill>
          </w14:textFill>
        </w:rPr>
        <w:t>, </w:t>
      </w:r>
      <w:r>
        <w:rPr>
          <w:rFonts w:ascii="Times New Roman" w:hAnsi="Times New Roman" w:eastAsia="宋体" w:cs="Times New Roman"/>
          <w:i/>
          <w:color w:val="000000" w:themeColor="text1"/>
          <w:sz w:val="28"/>
          <w:szCs w:val="28"/>
          <w:shd w:val="clear" w:color="auto" w:fill="FFFFFF"/>
          <w14:textFill>
            <w14:solidFill>
              <w14:schemeClr w14:val="tx1"/>
            </w14:solidFill>
          </w14:textFill>
        </w:rPr>
        <w:t>12</w:t>
      </w:r>
      <w:r>
        <w:rPr>
          <w:rFonts w:ascii="Times New Roman" w:hAnsi="Times New Roman" w:eastAsia="宋体" w:cs="Times New Roman"/>
          <w:color w:val="000000" w:themeColor="text1"/>
          <w:sz w:val="28"/>
          <w:szCs w:val="28"/>
          <w:shd w:val="clear" w:color="auto" w:fill="FFFFFF"/>
          <w14:textFill>
            <w14:solidFill>
              <w14:schemeClr w14:val="tx1"/>
            </w14:solidFill>
          </w14:textFill>
        </w:rPr>
        <w:t>(6), 426-440.</w:t>
      </w:r>
    </w:p>
    <w:p>
      <w:pPr>
        <w:spacing w:line="360" w:lineRule="auto"/>
        <w:rPr>
          <w:rFonts w:ascii="Times New Roman" w:hAnsi="Times New Roman" w:eastAsia="宋体" w:cs="Times New Roman"/>
          <w:color w:val="000000" w:themeColor="text1"/>
          <w:sz w:val="28"/>
          <w:szCs w:val="28"/>
          <w:shd w:val="clear" w:color="auto" w:fill="FFFFFF"/>
          <w14:textFill>
            <w14:solidFill>
              <w14:schemeClr w14:val="tx1"/>
            </w14:solidFill>
          </w14:textFill>
        </w:rPr>
      </w:pPr>
    </w:p>
    <w:p>
      <w:pPr>
        <w:spacing w:line="360" w:lineRule="auto"/>
        <w:ind w:left="840" w:hanging="840" w:hangingChars="300"/>
        <w:rPr>
          <w:rFonts w:ascii="Times New Roman" w:hAnsi="Times New Roman" w:eastAsia="宋体" w:cs="Times New Roman"/>
          <w:color w:val="000000" w:themeColor="text1"/>
          <w:sz w:val="28"/>
          <w:szCs w:val="28"/>
          <w:shd w:val="clear" w:color="auto" w:fill="FFFFFF"/>
          <w14:textFill>
            <w14:solidFill>
              <w14:schemeClr w14:val="tx1"/>
            </w14:solidFill>
          </w14:textFill>
        </w:rPr>
      </w:pPr>
      <w:r>
        <w:rPr>
          <w:rFonts w:ascii="Times New Roman" w:hAnsi="Times New Roman" w:eastAsia="宋体" w:cs="Times New Roman"/>
          <w:color w:val="222222"/>
          <w:sz w:val="28"/>
          <w:szCs w:val="28"/>
          <w:shd w:val="clear" w:color="auto" w:fill="FFFFFF"/>
        </w:rPr>
        <w:t>Tidd, J., Bessant, J., &amp; Pavitt, K. (2005). </w:t>
      </w:r>
      <w:r>
        <w:rPr>
          <w:rFonts w:ascii="Times New Roman" w:hAnsi="Times New Roman" w:eastAsia="宋体" w:cs="Times New Roman"/>
          <w:i/>
          <w:color w:val="222222"/>
          <w:sz w:val="28"/>
          <w:szCs w:val="28"/>
          <w:shd w:val="clear" w:color="auto" w:fill="FFFFFF"/>
        </w:rPr>
        <w:t>Managing innovation integrating technological, market and organizational change</w:t>
      </w:r>
      <w:r>
        <w:rPr>
          <w:rFonts w:ascii="Times New Roman" w:hAnsi="Times New Roman" w:eastAsia="宋体" w:cs="Times New Roman"/>
          <w:color w:val="222222"/>
          <w:sz w:val="28"/>
          <w:szCs w:val="28"/>
          <w:shd w:val="clear" w:color="auto" w:fill="FFFFFF"/>
        </w:rPr>
        <w:t>. John Wiley and Sons Ltd.</w:t>
      </w:r>
    </w:p>
    <w:p>
      <w:pPr>
        <w:spacing w:line="360" w:lineRule="auto"/>
        <w:rPr>
          <w:rFonts w:ascii="Times New Roman" w:hAnsi="Times New Roman" w:eastAsia="宋体" w:cs="Times New Roman"/>
          <w:color w:val="000000" w:themeColor="text1"/>
          <w:sz w:val="28"/>
          <w:szCs w:val="28"/>
          <w:shd w:val="clear" w:color="auto" w:fill="FFFFFF"/>
          <w14:textFill>
            <w14:solidFill>
              <w14:schemeClr w14:val="tx1"/>
            </w14:solidFill>
          </w14:textFill>
        </w:rPr>
      </w:pPr>
    </w:p>
    <w:p>
      <w:pPr>
        <w:spacing w:line="360" w:lineRule="auto"/>
        <w:ind w:left="840" w:hanging="840" w:hangingChars="300"/>
        <w:rPr>
          <w:rFonts w:ascii="Times New Roman" w:hAnsi="Times New Roman" w:eastAsia="宋体" w:cs="Times New Roman"/>
          <w:color w:val="000000" w:themeColor="text1"/>
          <w:sz w:val="28"/>
          <w:szCs w:val="28"/>
          <w:shd w:val="clear" w:color="auto" w:fill="FFFFFF"/>
          <w14:textFill>
            <w14:solidFill>
              <w14:schemeClr w14:val="tx1"/>
            </w14:solidFill>
          </w14:textFill>
        </w:rPr>
      </w:pPr>
      <w:r>
        <w:rPr>
          <w:rFonts w:ascii="Times New Roman" w:hAnsi="Times New Roman" w:eastAsia="宋体" w:cs="Times New Roman"/>
          <w:color w:val="000000" w:themeColor="text1"/>
          <w:sz w:val="28"/>
          <w:szCs w:val="28"/>
          <w:shd w:val="clear" w:color="auto" w:fill="FFFFFF"/>
          <w14:textFill>
            <w14:solidFill>
              <w14:schemeClr w14:val="tx1"/>
            </w14:solidFill>
          </w14:textFill>
        </w:rPr>
        <w:t>Vickrey, W. (1968). Automobile accidents, tort law, externalities, and insurance: an economist's critique. </w:t>
      </w:r>
      <w:r>
        <w:rPr>
          <w:rFonts w:ascii="Times New Roman" w:hAnsi="Times New Roman" w:eastAsia="宋体" w:cs="Times New Roman"/>
          <w:i/>
          <w:color w:val="000000" w:themeColor="text1"/>
          <w:sz w:val="28"/>
          <w:szCs w:val="28"/>
          <w:shd w:val="clear" w:color="auto" w:fill="FFFFFF"/>
          <w14:textFill>
            <w14:solidFill>
              <w14:schemeClr w14:val="tx1"/>
            </w14:solidFill>
          </w14:textFill>
        </w:rPr>
        <w:t>Law &amp; Contemp. Probs.</w:t>
      </w:r>
      <w:r>
        <w:rPr>
          <w:rFonts w:ascii="Times New Roman" w:hAnsi="Times New Roman" w:eastAsia="宋体" w:cs="Times New Roman"/>
          <w:color w:val="000000" w:themeColor="text1"/>
          <w:sz w:val="28"/>
          <w:szCs w:val="28"/>
          <w:shd w:val="clear" w:color="auto" w:fill="FFFFFF"/>
          <w14:textFill>
            <w14:solidFill>
              <w14:schemeClr w14:val="tx1"/>
            </w14:solidFill>
          </w14:textFill>
        </w:rPr>
        <w:t>, </w:t>
      </w:r>
      <w:r>
        <w:rPr>
          <w:rFonts w:ascii="Times New Roman" w:hAnsi="Times New Roman" w:eastAsia="宋体" w:cs="Times New Roman"/>
          <w:i/>
          <w:color w:val="000000" w:themeColor="text1"/>
          <w:sz w:val="28"/>
          <w:szCs w:val="28"/>
          <w:shd w:val="clear" w:color="auto" w:fill="FFFFFF"/>
          <w14:textFill>
            <w14:solidFill>
              <w14:schemeClr w14:val="tx1"/>
            </w14:solidFill>
          </w14:textFill>
        </w:rPr>
        <w:t>33</w:t>
      </w:r>
      <w:r>
        <w:rPr>
          <w:rFonts w:ascii="Times New Roman" w:hAnsi="Times New Roman" w:eastAsia="宋体" w:cs="Times New Roman"/>
          <w:color w:val="000000" w:themeColor="text1"/>
          <w:sz w:val="28"/>
          <w:szCs w:val="28"/>
          <w:shd w:val="clear" w:color="auto" w:fill="FFFFFF"/>
          <w14:textFill>
            <w14:solidFill>
              <w14:schemeClr w14:val="tx1"/>
            </w14:solidFill>
          </w14:textFill>
        </w:rPr>
        <w:t>, 464.</w:t>
      </w:r>
    </w:p>
    <w:bookmarkEnd w:id="14"/>
    <w:p>
      <w:pPr>
        <w:spacing w:line="360" w:lineRule="auto"/>
        <w:rPr>
          <w:rFonts w:ascii="Times New Roman" w:hAnsi="Times New Roman" w:eastAsia="宋体" w:cs="Times New Roman"/>
          <w:color w:val="000000" w:themeColor="text1"/>
          <w:sz w:val="28"/>
          <w:szCs w:val="28"/>
          <w:shd w:val="clear" w:color="auto" w:fill="FFFFFF"/>
          <w14:textFill>
            <w14:solidFill>
              <w14:schemeClr w14:val="tx1"/>
            </w14:solidFill>
          </w14:textFill>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BC1BB102"/>
    <w:multiLevelType w:val="singleLevel"/>
    <w:tmpl w:val="BC1BB102"/>
    <w:lvl w:ilvl="0" w:tentative="0">
      <w:start w:val="1"/>
      <w:numFmt w:val="decimal"/>
      <w:suff w:val="space"/>
      <w:lvlText w:val="%1."/>
      <w:lvlJc w:val="left"/>
    </w:lvl>
  </w:abstractNum>
  <w:abstractNum w:abstractNumId="1">
    <w:nsid w:val="E293D1C7"/>
    <w:multiLevelType w:val="singleLevel"/>
    <w:tmpl w:val="E293D1C7"/>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embedSystemFonts/>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0F5CE8"/>
    <w:rsid w:val="002258E3"/>
    <w:rsid w:val="003D57D9"/>
    <w:rsid w:val="006A7A8E"/>
    <w:rsid w:val="006B1E3E"/>
    <w:rsid w:val="00772DF9"/>
    <w:rsid w:val="00832A75"/>
    <w:rsid w:val="009C02DA"/>
    <w:rsid w:val="00BE658F"/>
    <w:rsid w:val="00BF20EB"/>
    <w:rsid w:val="00C23E0B"/>
    <w:rsid w:val="00CB4798"/>
    <w:rsid w:val="00CE2239"/>
    <w:rsid w:val="00CF2578"/>
    <w:rsid w:val="00D17826"/>
    <w:rsid w:val="00DB1F55"/>
    <w:rsid w:val="00E1210F"/>
    <w:rsid w:val="00EB2122"/>
    <w:rsid w:val="00FA7334"/>
    <w:rsid w:val="017235A3"/>
    <w:rsid w:val="022A4839"/>
    <w:rsid w:val="023252C2"/>
    <w:rsid w:val="0297130F"/>
    <w:rsid w:val="02E1234D"/>
    <w:rsid w:val="02E5610B"/>
    <w:rsid w:val="044207DC"/>
    <w:rsid w:val="04456536"/>
    <w:rsid w:val="04583DA3"/>
    <w:rsid w:val="047930CD"/>
    <w:rsid w:val="047C7562"/>
    <w:rsid w:val="066F7FBC"/>
    <w:rsid w:val="07723BF8"/>
    <w:rsid w:val="077F6947"/>
    <w:rsid w:val="07A46F34"/>
    <w:rsid w:val="07AA06DB"/>
    <w:rsid w:val="081C2213"/>
    <w:rsid w:val="08813A2E"/>
    <w:rsid w:val="0AF5320B"/>
    <w:rsid w:val="0B072C3A"/>
    <w:rsid w:val="0B1E55ED"/>
    <w:rsid w:val="0B9F12C7"/>
    <w:rsid w:val="0BFC232C"/>
    <w:rsid w:val="0CCB6257"/>
    <w:rsid w:val="0CFF680F"/>
    <w:rsid w:val="0E2F02FD"/>
    <w:rsid w:val="10317E08"/>
    <w:rsid w:val="10350507"/>
    <w:rsid w:val="1073743B"/>
    <w:rsid w:val="10AF654B"/>
    <w:rsid w:val="115C6D9B"/>
    <w:rsid w:val="1166759E"/>
    <w:rsid w:val="11721C98"/>
    <w:rsid w:val="12915DF9"/>
    <w:rsid w:val="13B32E84"/>
    <w:rsid w:val="13D5296A"/>
    <w:rsid w:val="18870404"/>
    <w:rsid w:val="18EB0DBD"/>
    <w:rsid w:val="19BF315F"/>
    <w:rsid w:val="1B850E13"/>
    <w:rsid w:val="1C1A63A8"/>
    <w:rsid w:val="1C7053D0"/>
    <w:rsid w:val="1CFC2654"/>
    <w:rsid w:val="1D071956"/>
    <w:rsid w:val="1D976C74"/>
    <w:rsid w:val="1DF44A89"/>
    <w:rsid w:val="1E3F35BD"/>
    <w:rsid w:val="21735877"/>
    <w:rsid w:val="21BD62CF"/>
    <w:rsid w:val="22292E79"/>
    <w:rsid w:val="22593291"/>
    <w:rsid w:val="22972721"/>
    <w:rsid w:val="239112C4"/>
    <w:rsid w:val="23A84A61"/>
    <w:rsid w:val="2423100C"/>
    <w:rsid w:val="24797471"/>
    <w:rsid w:val="247F605B"/>
    <w:rsid w:val="24BE7FFF"/>
    <w:rsid w:val="25502D35"/>
    <w:rsid w:val="256D4E76"/>
    <w:rsid w:val="26585097"/>
    <w:rsid w:val="2743735A"/>
    <w:rsid w:val="277C0001"/>
    <w:rsid w:val="28462100"/>
    <w:rsid w:val="290C6EFF"/>
    <w:rsid w:val="29135BAE"/>
    <w:rsid w:val="299C1DE2"/>
    <w:rsid w:val="2A2E0F70"/>
    <w:rsid w:val="2BA00B1C"/>
    <w:rsid w:val="2DCC4C36"/>
    <w:rsid w:val="2E150E29"/>
    <w:rsid w:val="2F7C534E"/>
    <w:rsid w:val="31584AD8"/>
    <w:rsid w:val="316C5E92"/>
    <w:rsid w:val="34C8414A"/>
    <w:rsid w:val="36396172"/>
    <w:rsid w:val="373A3E34"/>
    <w:rsid w:val="398B0B0B"/>
    <w:rsid w:val="3A8B6F9B"/>
    <w:rsid w:val="3B0A3866"/>
    <w:rsid w:val="3DDE7A97"/>
    <w:rsid w:val="3E8F61CF"/>
    <w:rsid w:val="3ED851C5"/>
    <w:rsid w:val="3F6D4B8A"/>
    <w:rsid w:val="405B7D77"/>
    <w:rsid w:val="414A68AB"/>
    <w:rsid w:val="42BC0245"/>
    <w:rsid w:val="433E3AB1"/>
    <w:rsid w:val="435245DA"/>
    <w:rsid w:val="4539503A"/>
    <w:rsid w:val="460F5CE8"/>
    <w:rsid w:val="484528F4"/>
    <w:rsid w:val="49354587"/>
    <w:rsid w:val="495A06FC"/>
    <w:rsid w:val="4A152027"/>
    <w:rsid w:val="4B592BBA"/>
    <w:rsid w:val="4C7F6CC6"/>
    <w:rsid w:val="500E390F"/>
    <w:rsid w:val="50470B6C"/>
    <w:rsid w:val="50743540"/>
    <w:rsid w:val="508A32D3"/>
    <w:rsid w:val="511C130D"/>
    <w:rsid w:val="52E160E2"/>
    <w:rsid w:val="52E60400"/>
    <w:rsid w:val="547211E1"/>
    <w:rsid w:val="55227B43"/>
    <w:rsid w:val="55C13D0C"/>
    <w:rsid w:val="55D44302"/>
    <w:rsid w:val="57BF2F7D"/>
    <w:rsid w:val="582170F3"/>
    <w:rsid w:val="585B0316"/>
    <w:rsid w:val="58A7499B"/>
    <w:rsid w:val="58ED2F69"/>
    <w:rsid w:val="5A422529"/>
    <w:rsid w:val="5AC11DC8"/>
    <w:rsid w:val="5B3D6AFD"/>
    <w:rsid w:val="5B5B0203"/>
    <w:rsid w:val="5B783D6C"/>
    <w:rsid w:val="5C0D1FC3"/>
    <w:rsid w:val="5C833D59"/>
    <w:rsid w:val="5D233DEB"/>
    <w:rsid w:val="5F5A5A9F"/>
    <w:rsid w:val="5F795546"/>
    <w:rsid w:val="60557EDB"/>
    <w:rsid w:val="60663B6D"/>
    <w:rsid w:val="60786857"/>
    <w:rsid w:val="612E2538"/>
    <w:rsid w:val="62C77EA1"/>
    <w:rsid w:val="63ED651A"/>
    <w:rsid w:val="64407B72"/>
    <w:rsid w:val="64503859"/>
    <w:rsid w:val="65226D7E"/>
    <w:rsid w:val="676E5328"/>
    <w:rsid w:val="68084EA4"/>
    <w:rsid w:val="6A7A7912"/>
    <w:rsid w:val="6B6C7E65"/>
    <w:rsid w:val="6C1B4DCC"/>
    <w:rsid w:val="6CB415FB"/>
    <w:rsid w:val="6D7E2330"/>
    <w:rsid w:val="6D9837B7"/>
    <w:rsid w:val="6DA732BA"/>
    <w:rsid w:val="6DD51AF2"/>
    <w:rsid w:val="6DDF6D79"/>
    <w:rsid w:val="6E760EED"/>
    <w:rsid w:val="6EEE1365"/>
    <w:rsid w:val="6F9220D7"/>
    <w:rsid w:val="6FA61292"/>
    <w:rsid w:val="703D5CC8"/>
    <w:rsid w:val="70BE0260"/>
    <w:rsid w:val="70DE6495"/>
    <w:rsid w:val="72DD493B"/>
    <w:rsid w:val="733F43BB"/>
    <w:rsid w:val="7431522D"/>
    <w:rsid w:val="747B3663"/>
    <w:rsid w:val="764C21BA"/>
    <w:rsid w:val="76A621FD"/>
    <w:rsid w:val="7729637D"/>
    <w:rsid w:val="7830465A"/>
    <w:rsid w:val="78C26736"/>
    <w:rsid w:val="7CCE14E8"/>
    <w:rsid w:val="7D687A30"/>
    <w:rsid w:val="7E7D5F9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39" w:semiHidden="0" w:name="toc 1"/>
    <w:lsdException w:unhideWhenUsed="0"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qFormat="1"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line="360" w:lineRule="auto"/>
      <w:outlineLvl w:val="0"/>
    </w:pPr>
    <w:rPr>
      <w:rFonts w:ascii="Times New Roman" w:hAnsi="Times New Roman"/>
      <w:b/>
      <w:kern w:val="44"/>
      <w:sz w:val="24"/>
    </w:rPr>
  </w:style>
  <w:style w:type="paragraph" w:styleId="3">
    <w:name w:val="heading 2"/>
    <w:basedOn w:val="1"/>
    <w:next w:val="1"/>
    <w:link w:val="15"/>
    <w:semiHidden/>
    <w:unhideWhenUsed/>
    <w:qFormat/>
    <w:uiPriority w:val="0"/>
    <w:pPr>
      <w:keepNext/>
      <w:keepLines/>
      <w:spacing w:before="260" w:after="260" w:line="416" w:lineRule="auto"/>
      <w:outlineLvl w:val="1"/>
    </w:pPr>
    <w:rPr>
      <w:rFonts w:asciiTheme="majorHAnsi" w:hAnsiTheme="majorHAnsi" w:eastAsiaTheme="majorEastAsia" w:cstheme="majorBidi"/>
      <w:b/>
      <w:bCs/>
      <w:sz w:val="32"/>
      <w:szCs w:val="32"/>
    </w:rPr>
  </w:style>
  <w:style w:type="character" w:default="1" w:styleId="9">
    <w:name w:val="Default Paragraph Font"/>
    <w:semiHidden/>
    <w:unhideWhenUsed/>
    <w:uiPriority w:val="1"/>
  </w:style>
  <w:style w:type="table" w:default="1" w:styleId="11">
    <w:name w:val="Normal Table"/>
    <w:semiHidden/>
    <w:unhideWhenUsed/>
    <w:uiPriority w:val="99"/>
    <w:tblPr>
      <w:tblLayout w:type="fixed"/>
      <w:tblCellMar>
        <w:top w:w="0" w:type="dxa"/>
        <w:left w:w="108" w:type="dxa"/>
        <w:bottom w:w="0" w:type="dxa"/>
        <w:right w:w="108" w:type="dxa"/>
      </w:tblCellMar>
    </w:tblPr>
  </w:style>
  <w:style w:type="paragraph" w:styleId="4">
    <w:name w:val="caption"/>
    <w:basedOn w:val="1"/>
    <w:next w:val="1"/>
    <w:semiHidden/>
    <w:unhideWhenUsed/>
    <w:qFormat/>
    <w:uiPriority w:val="0"/>
    <w:rPr>
      <w:rFonts w:ascii="Arial" w:hAnsi="Arial" w:eastAsia="黑体"/>
      <w:sz w:val="20"/>
    </w:rPr>
  </w:style>
  <w:style w:type="paragraph" w:styleId="5">
    <w:name w:val="footer"/>
    <w:basedOn w:val="1"/>
    <w:link w:val="14"/>
    <w:uiPriority w:val="0"/>
    <w:pPr>
      <w:tabs>
        <w:tab w:val="center" w:pos="4153"/>
        <w:tab w:val="right" w:pos="8306"/>
      </w:tabs>
      <w:snapToGrid w:val="0"/>
      <w:jc w:val="left"/>
    </w:pPr>
    <w:rPr>
      <w:sz w:val="18"/>
      <w:szCs w:val="18"/>
    </w:rPr>
  </w:style>
  <w:style w:type="paragraph" w:styleId="6">
    <w:name w:val="header"/>
    <w:basedOn w:val="1"/>
    <w:link w:val="13"/>
    <w:uiPriority w:val="0"/>
    <w:pPr>
      <w:pBdr>
        <w:bottom w:val="single" w:color="auto" w:sz="6" w:space="1"/>
      </w:pBdr>
      <w:tabs>
        <w:tab w:val="center" w:pos="4153"/>
        <w:tab w:val="right" w:pos="8306"/>
      </w:tabs>
      <w:snapToGrid w:val="0"/>
      <w:jc w:val="center"/>
    </w:pPr>
    <w:rPr>
      <w:sz w:val="18"/>
      <w:szCs w:val="18"/>
    </w:rPr>
  </w:style>
  <w:style w:type="paragraph" w:styleId="7">
    <w:name w:val="toc 1"/>
    <w:basedOn w:val="1"/>
    <w:next w:val="1"/>
    <w:uiPriority w:val="39"/>
  </w:style>
  <w:style w:type="paragraph" w:styleId="8">
    <w:name w:val="toc 2"/>
    <w:basedOn w:val="1"/>
    <w:next w:val="1"/>
    <w:uiPriority w:val="39"/>
    <w:pPr>
      <w:ind w:left="420" w:leftChars="200"/>
    </w:pPr>
  </w:style>
  <w:style w:type="character" w:styleId="10">
    <w:name w:val="Hyperlink"/>
    <w:basedOn w:val="9"/>
    <w:unhideWhenUsed/>
    <w:uiPriority w:val="99"/>
    <w:rPr>
      <w:color w:val="0563C1" w:themeColor="hyperlink"/>
      <w:u w:val="single"/>
      <w14:textFill>
        <w14:solidFill>
          <w14:schemeClr w14:val="hlink"/>
        </w14:solidFill>
      </w14:textFill>
    </w:rPr>
  </w:style>
  <w:style w:type="table" w:styleId="12">
    <w:name w:val="Table Grid"/>
    <w:basedOn w:val="11"/>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customStyle="1" w:styleId="13">
    <w:name w:val="页眉 字符"/>
    <w:basedOn w:val="9"/>
    <w:link w:val="6"/>
    <w:uiPriority w:val="0"/>
    <w:rPr>
      <w:rFonts w:asciiTheme="minorHAnsi" w:hAnsiTheme="minorHAnsi" w:eastAsiaTheme="minorEastAsia" w:cstheme="minorBidi"/>
      <w:kern w:val="2"/>
      <w:sz w:val="18"/>
      <w:szCs w:val="18"/>
    </w:rPr>
  </w:style>
  <w:style w:type="character" w:customStyle="1" w:styleId="14">
    <w:name w:val="页脚 字符"/>
    <w:basedOn w:val="9"/>
    <w:link w:val="5"/>
    <w:uiPriority w:val="0"/>
    <w:rPr>
      <w:rFonts w:asciiTheme="minorHAnsi" w:hAnsiTheme="minorHAnsi" w:eastAsiaTheme="minorEastAsia" w:cstheme="minorBidi"/>
      <w:kern w:val="2"/>
      <w:sz w:val="18"/>
      <w:szCs w:val="18"/>
    </w:rPr>
  </w:style>
  <w:style w:type="character" w:customStyle="1" w:styleId="15">
    <w:name w:val="标题 2 字符"/>
    <w:basedOn w:val="9"/>
    <w:link w:val="3"/>
    <w:semiHidden/>
    <w:uiPriority w:val="0"/>
    <w:rPr>
      <w:rFonts w:asciiTheme="majorHAnsi" w:hAnsiTheme="majorHAnsi" w:eastAsiaTheme="majorEastAsia" w:cstheme="majorBidi"/>
      <w:b/>
      <w:bCs/>
      <w:kern w:val="2"/>
      <w:sz w:val="32"/>
      <w:szCs w:val="32"/>
    </w:rPr>
  </w:style>
  <w:style w:type="paragraph" w:customStyle="1" w:styleId="16">
    <w:name w:val="TOC 标题1"/>
    <w:basedOn w:val="2"/>
    <w:next w:val="1"/>
    <w:unhideWhenUsed/>
    <w:qFormat/>
    <w:uiPriority w:val="39"/>
    <w:pPr>
      <w:widowControl/>
      <w:spacing w:before="240" w:line="259" w:lineRule="auto"/>
      <w:jc w:val="left"/>
      <w:outlineLvl w:val="9"/>
    </w:pPr>
    <w:rPr>
      <w:rFonts w:asciiTheme="majorHAnsi" w:hAnsiTheme="majorHAnsi" w:eastAsiaTheme="majorEastAsia" w:cstheme="majorBidi"/>
      <w:b w:val="0"/>
      <w:color w:val="2E75B6" w:themeColor="accent1" w:themeShade="BF"/>
      <w:kern w:val="0"/>
      <w:sz w:val="32"/>
      <w:szCs w:val="32"/>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2.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97375A8-CAAF-427E-8076-2A85E1736BFF}">
  <ds:schemaRefs/>
</ds:datastoreItem>
</file>

<file path=docProps/app.xml><?xml version="1.0" encoding="utf-8"?>
<Properties xmlns="http://schemas.openxmlformats.org/officeDocument/2006/extended-properties" xmlns:vt="http://schemas.openxmlformats.org/officeDocument/2006/docPropsVTypes">
  <Template>Normal.dotm</Template>
  <Pages>17</Pages>
  <Words>2566</Words>
  <Characters>14627</Characters>
  <Lines>121</Lines>
  <Paragraphs>34</Paragraphs>
  <TotalTime>12</TotalTime>
  <ScaleCrop>false</ScaleCrop>
  <LinksUpToDate>false</LinksUpToDate>
  <CharactersWithSpaces>17159</CharactersWithSpaces>
  <Application>WPS Office_11.1.0.8162_F1E327BC-269C-435d-A152-05C5408002CA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2019-02-25T13:58:00Z</dcterms:created>
  <dc:creator>王安</dc:creator>
  <cp:lastModifiedBy>积木</cp:lastModifiedBy>
  <dcterms:modified xsi:type="dcterms:W3CDTF">2019-03-06T12:40:43Z</dcterms:modified>
  <cp:revision>12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2052-11.1.0.8162</vt:lpwstr>
  </property>
</Properties>
</file>