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03478" w:rsidRDefault="00503478">
      <w:pPr>
        <w:pStyle w:val="normal0"/>
        <w:rPr>
          <w:color w:val="000000"/>
        </w:rPr>
      </w:pPr>
    </w:p>
    <w:p w:rsidR="00503478" w:rsidRDefault="00503478">
      <w:pPr>
        <w:pStyle w:val="normal0"/>
        <w:rPr>
          <w:color w:val="000000"/>
        </w:rPr>
      </w:pPr>
    </w:p>
    <w:p w:rsidR="00503478" w:rsidRDefault="00503478">
      <w:pPr>
        <w:pStyle w:val="normal0"/>
        <w:rPr>
          <w:color w:val="000000"/>
        </w:rPr>
      </w:pPr>
    </w:p>
    <w:p w:rsidR="00503478" w:rsidRDefault="00503478">
      <w:pPr>
        <w:pStyle w:val="normal0"/>
        <w:rPr>
          <w:color w:val="000000"/>
        </w:rPr>
      </w:pPr>
    </w:p>
    <w:p w:rsidR="00503478" w:rsidRDefault="00927496">
      <w:pPr>
        <w:pStyle w:val="normal0"/>
        <w:jc w:val="center"/>
        <w:rPr>
          <w:b/>
          <w:color w:val="000000"/>
        </w:rPr>
      </w:pPr>
      <w:r>
        <w:rPr>
          <w:b/>
          <w:color w:val="000000"/>
        </w:rPr>
        <w:t>Module Title: Legal Process</w:t>
      </w:r>
    </w:p>
    <w:p w:rsidR="00503478" w:rsidRDefault="00927496">
      <w:pPr>
        <w:pStyle w:val="normal0"/>
        <w:jc w:val="center"/>
        <w:rPr>
          <w:b/>
          <w:color w:val="000000"/>
        </w:rPr>
      </w:pPr>
      <w:r>
        <w:rPr>
          <w:b/>
          <w:color w:val="000000"/>
        </w:rPr>
        <w:t>Module Code: BMLW4003</w:t>
      </w:r>
    </w:p>
    <w:p w:rsidR="00503478" w:rsidRDefault="00927496">
      <w:pPr>
        <w:pStyle w:val="normal0"/>
        <w:jc w:val="center"/>
        <w:rPr>
          <w:b/>
          <w:color w:val="000000"/>
        </w:rPr>
      </w:pPr>
      <w:r>
        <w:rPr>
          <w:b/>
          <w:color w:val="000000"/>
        </w:rPr>
        <w:t>Essay Title: Diversity in the Judiciary (Supreme Court)</w:t>
      </w:r>
    </w:p>
    <w:p w:rsidR="00927496" w:rsidRDefault="00927496">
      <w:pPr>
        <w:pStyle w:val="normal0"/>
        <w:jc w:val="center"/>
        <w:rPr>
          <w:b/>
          <w:color w:val="000000"/>
        </w:rPr>
      </w:pPr>
      <w:r>
        <w:rPr>
          <w:b/>
          <w:color w:val="000000"/>
        </w:rPr>
        <w:t>Word Count: 1500 words</w:t>
      </w:r>
    </w:p>
    <w:p w:rsidR="00927496" w:rsidRDefault="00927496">
      <w:pPr>
        <w:pStyle w:val="normal0"/>
        <w:jc w:val="center"/>
        <w:rPr>
          <w:b/>
          <w:color w:val="000000"/>
        </w:rPr>
      </w:pPr>
      <w:r>
        <w:rPr>
          <w:b/>
          <w:color w:val="000000"/>
        </w:rPr>
        <w:t xml:space="preserve">Student Name: </w:t>
      </w:r>
      <w:proofErr w:type="spellStart"/>
      <w:r>
        <w:rPr>
          <w:b/>
          <w:color w:val="000000"/>
        </w:rPr>
        <w:t>Iulian</w:t>
      </w:r>
      <w:proofErr w:type="spellEnd"/>
      <w:r>
        <w:rPr>
          <w:b/>
          <w:color w:val="000000"/>
        </w:rPr>
        <w:t xml:space="preserve"> </w:t>
      </w:r>
      <w:proofErr w:type="spellStart"/>
      <w:r>
        <w:rPr>
          <w:b/>
          <w:color w:val="000000"/>
        </w:rPr>
        <w:t>Vasile</w:t>
      </w:r>
      <w:proofErr w:type="spellEnd"/>
      <w:r>
        <w:rPr>
          <w:b/>
          <w:color w:val="000000"/>
        </w:rPr>
        <w:t xml:space="preserve"> </w:t>
      </w:r>
      <w:proofErr w:type="spellStart"/>
      <w:r>
        <w:rPr>
          <w:b/>
          <w:color w:val="000000"/>
        </w:rPr>
        <w:t>Girtu</w:t>
      </w:r>
      <w:proofErr w:type="spellEnd"/>
    </w:p>
    <w:p w:rsidR="00503478" w:rsidRDefault="00927496">
      <w:pPr>
        <w:pStyle w:val="normal0"/>
        <w:jc w:val="center"/>
        <w:rPr>
          <w:color w:val="000000"/>
        </w:rPr>
      </w:pPr>
      <w:r>
        <w:rPr>
          <w:b/>
          <w:color w:val="000000"/>
        </w:rPr>
        <w:t>Student ID: 2133038</w:t>
      </w:r>
      <w:r>
        <w:br w:type="page"/>
      </w:r>
    </w:p>
    <w:p w:rsidR="00503478" w:rsidRDefault="00927496">
      <w:pPr>
        <w:pStyle w:val="normal0"/>
        <w:keepNext/>
        <w:keepLines/>
        <w:pBdr>
          <w:top w:val="nil"/>
          <w:left w:val="nil"/>
          <w:bottom w:val="nil"/>
          <w:right w:val="nil"/>
          <w:between w:val="nil"/>
        </w:pBdr>
        <w:spacing w:before="480" w:after="0"/>
        <w:ind w:left="432" w:hanging="432"/>
        <w:jc w:val="center"/>
        <w:rPr>
          <w:b/>
          <w:color w:val="000000"/>
        </w:rPr>
      </w:pPr>
      <w:r>
        <w:rPr>
          <w:b/>
          <w:color w:val="000000"/>
        </w:rPr>
        <w:lastRenderedPageBreak/>
        <w:t>Table of Contents</w:t>
      </w:r>
    </w:p>
    <w:sdt>
      <w:sdtPr>
        <w:id w:val="178299235"/>
        <w:docPartObj>
          <w:docPartGallery w:val="Table of Contents"/>
          <w:docPartUnique/>
        </w:docPartObj>
      </w:sdtPr>
      <w:sdtContent>
        <w:p w:rsidR="00503478" w:rsidRDefault="00503478">
          <w:pPr>
            <w:pStyle w:val="normal0"/>
            <w:pBdr>
              <w:top w:val="nil"/>
              <w:left w:val="nil"/>
              <w:bottom w:val="nil"/>
              <w:right w:val="nil"/>
              <w:between w:val="nil"/>
            </w:pBdr>
            <w:tabs>
              <w:tab w:val="left" w:pos="440"/>
              <w:tab w:val="right" w:pos="9350"/>
            </w:tabs>
            <w:spacing w:after="100"/>
            <w:rPr>
              <w:color w:val="000000"/>
            </w:rPr>
          </w:pPr>
          <w:r>
            <w:fldChar w:fldCharType="begin"/>
          </w:r>
          <w:r w:rsidR="00927496">
            <w:instrText xml:space="preserve"> TOC \h \u \z </w:instrText>
          </w:r>
          <w:r>
            <w:fldChar w:fldCharType="separate"/>
          </w:r>
          <w:hyperlink w:anchor="_gjdgxs">
            <w:r w:rsidR="00927496">
              <w:rPr>
                <w:color w:val="000000"/>
              </w:rPr>
              <w:t>1</w:t>
            </w:r>
            <w:r w:rsidR="00927496">
              <w:rPr>
                <w:color w:val="000000"/>
              </w:rPr>
              <w:tab/>
              <w:t>Introduction</w:t>
            </w:r>
            <w:r w:rsidR="00927496">
              <w:rPr>
                <w:color w:val="000000"/>
              </w:rPr>
              <w:tab/>
              <w:t>3</w:t>
            </w:r>
          </w:hyperlink>
        </w:p>
        <w:p w:rsidR="00503478" w:rsidRDefault="00503478">
          <w:pPr>
            <w:pStyle w:val="normal0"/>
            <w:pBdr>
              <w:top w:val="nil"/>
              <w:left w:val="nil"/>
              <w:bottom w:val="nil"/>
              <w:right w:val="nil"/>
              <w:between w:val="nil"/>
            </w:pBdr>
            <w:tabs>
              <w:tab w:val="left" w:pos="440"/>
              <w:tab w:val="right" w:pos="9350"/>
            </w:tabs>
            <w:spacing w:after="100"/>
            <w:rPr>
              <w:color w:val="000000"/>
            </w:rPr>
          </w:pPr>
          <w:hyperlink w:anchor="_30j0zll">
            <w:r w:rsidR="00927496">
              <w:rPr>
                <w:color w:val="000000"/>
              </w:rPr>
              <w:t>2</w:t>
            </w:r>
            <w:r w:rsidR="00927496">
              <w:rPr>
                <w:color w:val="000000"/>
              </w:rPr>
              <w:tab/>
              <w:t>Main Body</w:t>
            </w:r>
            <w:r w:rsidR="00927496">
              <w:rPr>
                <w:color w:val="000000"/>
              </w:rPr>
              <w:tab/>
              <w:t>3</w:t>
            </w:r>
          </w:hyperlink>
        </w:p>
        <w:p w:rsidR="00503478" w:rsidRDefault="00503478">
          <w:pPr>
            <w:pStyle w:val="normal0"/>
            <w:pBdr>
              <w:top w:val="nil"/>
              <w:left w:val="nil"/>
              <w:bottom w:val="nil"/>
              <w:right w:val="nil"/>
              <w:between w:val="nil"/>
            </w:pBdr>
            <w:tabs>
              <w:tab w:val="left" w:pos="440"/>
              <w:tab w:val="right" w:pos="9350"/>
            </w:tabs>
            <w:spacing w:after="100"/>
            <w:rPr>
              <w:color w:val="000000"/>
            </w:rPr>
          </w:pPr>
          <w:hyperlink w:anchor="_1fob9te">
            <w:r w:rsidR="00927496">
              <w:rPr>
                <w:color w:val="000000"/>
              </w:rPr>
              <w:t>3</w:t>
            </w:r>
            <w:r w:rsidR="00927496">
              <w:rPr>
                <w:color w:val="000000"/>
              </w:rPr>
              <w:tab/>
              <w:t>Conclusion</w:t>
            </w:r>
            <w:r w:rsidR="00927496">
              <w:rPr>
                <w:color w:val="000000"/>
              </w:rPr>
              <w:tab/>
              <w:t>6</w:t>
            </w:r>
          </w:hyperlink>
        </w:p>
        <w:p w:rsidR="00503478" w:rsidRDefault="00503478">
          <w:pPr>
            <w:pStyle w:val="normal0"/>
            <w:pBdr>
              <w:top w:val="nil"/>
              <w:left w:val="nil"/>
              <w:bottom w:val="nil"/>
              <w:right w:val="nil"/>
              <w:between w:val="nil"/>
            </w:pBdr>
            <w:tabs>
              <w:tab w:val="left" w:pos="440"/>
              <w:tab w:val="right" w:pos="9350"/>
            </w:tabs>
            <w:spacing w:after="100"/>
            <w:rPr>
              <w:color w:val="000000"/>
            </w:rPr>
          </w:pPr>
          <w:hyperlink w:anchor="_3znysh7">
            <w:r w:rsidR="00927496">
              <w:rPr>
                <w:color w:val="000000"/>
              </w:rPr>
              <w:t>4</w:t>
            </w:r>
            <w:r w:rsidR="00927496">
              <w:rPr>
                <w:color w:val="000000"/>
              </w:rPr>
              <w:tab/>
              <w:t>References</w:t>
            </w:r>
            <w:r w:rsidR="00927496">
              <w:rPr>
                <w:color w:val="000000"/>
              </w:rPr>
              <w:tab/>
              <w:t>7</w:t>
            </w:r>
          </w:hyperlink>
        </w:p>
        <w:p w:rsidR="00503478" w:rsidRDefault="00503478">
          <w:pPr>
            <w:pStyle w:val="normal0"/>
          </w:pPr>
          <w:r>
            <w:fldChar w:fldCharType="end"/>
          </w:r>
        </w:p>
      </w:sdtContent>
    </w:sdt>
    <w:p w:rsidR="00503478" w:rsidRDefault="00927496">
      <w:pPr>
        <w:pStyle w:val="normal0"/>
        <w:rPr>
          <w:color w:val="000000"/>
        </w:rPr>
      </w:pPr>
      <w:r>
        <w:br w:type="page"/>
      </w:r>
    </w:p>
    <w:p w:rsidR="00503478" w:rsidRDefault="00927496">
      <w:pPr>
        <w:pStyle w:val="Heading1"/>
        <w:numPr>
          <w:ilvl w:val="0"/>
          <w:numId w:val="1"/>
        </w:numPr>
        <w:rPr>
          <w:rFonts w:ascii="Times New Roman" w:eastAsia="Times New Roman" w:hAnsi="Times New Roman" w:cs="Times New Roman"/>
          <w:color w:val="000000"/>
          <w:sz w:val="24"/>
          <w:szCs w:val="24"/>
        </w:rPr>
      </w:pPr>
      <w:bookmarkStart w:id="0" w:name="_gjdgxs" w:colFirst="0" w:colLast="0"/>
      <w:bookmarkEnd w:id="0"/>
      <w:r>
        <w:rPr>
          <w:rFonts w:ascii="Times New Roman" w:eastAsia="Times New Roman" w:hAnsi="Times New Roman" w:cs="Times New Roman"/>
          <w:color w:val="000000"/>
          <w:sz w:val="24"/>
          <w:szCs w:val="24"/>
        </w:rPr>
        <w:lastRenderedPageBreak/>
        <w:t xml:space="preserve">Introduction </w:t>
      </w:r>
    </w:p>
    <w:p w:rsidR="00503478" w:rsidRDefault="00927496">
      <w:pPr>
        <w:pStyle w:val="normal0"/>
        <w:rPr>
          <w:color w:val="000000"/>
        </w:rPr>
      </w:pPr>
      <w:r>
        <w:rPr>
          <w:color w:val="000000"/>
        </w:rPr>
        <w:t xml:space="preserve">The House of Lords Constitution Committee in the UK has introduced a report on appointments of Judicial and </w:t>
      </w:r>
      <w:proofErr w:type="spellStart"/>
      <w:r>
        <w:rPr>
          <w:color w:val="000000"/>
        </w:rPr>
        <w:t>summarises</w:t>
      </w:r>
      <w:proofErr w:type="spellEnd"/>
      <w:r>
        <w:rPr>
          <w:color w:val="000000"/>
        </w:rPr>
        <w:t xml:space="preserve"> that a diverse judiciary is required, which would aid the enhancing the trust and confidence of the public in the justice system. The rep</w:t>
      </w:r>
      <w:r>
        <w:rPr>
          <w:color w:val="000000"/>
        </w:rPr>
        <w:t>ort is introduced as it was argued that diversity is provided with little importance in the judiciary. This essay will highlight the Supreme Court justices for describing the extent to which diversity is not provided with importance in the justice system o</w:t>
      </w:r>
      <w:r>
        <w:rPr>
          <w:color w:val="000000"/>
        </w:rPr>
        <w:t xml:space="preserve">f the UK. The essay will further highlight the responsibility of Supreme </w:t>
      </w:r>
      <w:proofErr w:type="gramStart"/>
      <w:r>
        <w:rPr>
          <w:color w:val="000000"/>
        </w:rPr>
        <w:t>court</w:t>
      </w:r>
      <w:proofErr w:type="gramEnd"/>
      <w:r>
        <w:rPr>
          <w:color w:val="000000"/>
        </w:rPr>
        <w:t xml:space="preserve"> integrity and the impact of ethnicity and gender on court decisions. </w:t>
      </w:r>
    </w:p>
    <w:p w:rsidR="00503478" w:rsidRDefault="00927496">
      <w:pPr>
        <w:pStyle w:val="Heading1"/>
        <w:numPr>
          <w:ilvl w:val="0"/>
          <w:numId w:val="1"/>
        </w:numPr>
        <w:rPr>
          <w:rFonts w:ascii="Times New Roman" w:eastAsia="Times New Roman" w:hAnsi="Times New Roman" w:cs="Times New Roman"/>
          <w:color w:val="000000"/>
          <w:sz w:val="24"/>
          <w:szCs w:val="24"/>
        </w:rPr>
      </w:pPr>
      <w:bookmarkStart w:id="1" w:name="_30j0zll" w:colFirst="0" w:colLast="0"/>
      <w:bookmarkEnd w:id="1"/>
      <w:r>
        <w:rPr>
          <w:rFonts w:ascii="Times New Roman" w:eastAsia="Times New Roman" w:hAnsi="Times New Roman" w:cs="Times New Roman"/>
          <w:color w:val="000000"/>
          <w:sz w:val="24"/>
          <w:szCs w:val="24"/>
        </w:rPr>
        <w:t>Main Body</w:t>
      </w:r>
    </w:p>
    <w:p w:rsidR="00503478" w:rsidRDefault="00927496">
      <w:pPr>
        <w:pStyle w:val="normal0"/>
      </w:pPr>
      <w:r>
        <w:t>The Supreme Court in the UK is also the ultimate Court of Appeal, which plays a vital responsibil</w:t>
      </w:r>
      <w:r>
        <w:t xml:space="preserve">ity in the law development in the country. The Supreme Court, as </w:t>
      </w:r>
      <w:proofErr w:type="gramStart"/>
      <w:r>
        <w:t>an</w:t>
      </w:r>
      <w:proofErr w:type="gramEnd"/>
      <w:r>
        <w:t xml:space="preserve"> plea court, cannot regard a case unless that case has a applicable order that is passed in a low court. The Supreme Court Justice is considered the Court of appeal in the UK for all crimin</w:t>
      </w:r>
      <w:r>
        <w:t>al and public cases from Wales, Northern Ireland, and England. This Court hears appeals on law points that are arguable and of public importance (</w:t>
      </w:r>
      <w:proofErr w:type="spellStart"/>
      <w:r>
        <w:rPr>
          <w:color w:val="000000"/>
        </w:rPr>
        <w:t>Taruffo</w:t>
      </w:r>
      <w:proofErr w:type="spellEnd"/>
      <w:r>
        <w:rPr>
          <w:color w:val="000000"/>
        </w:rPr>
        <w:t>, 2016)</w:t>
      </w:r>
      <w:r>
        <w:t xml:space="preserve">. The Supreme Court Justices also concentrate on cases of constitutional and public importance. </w:t>
      </w:r>
      <w:r>
        <w:t xml:space="preserve">This Court develops and maintains the highest court role in the UK and is also a director in the common law. The Supreme Court in the UK </w:t>
      </w:r>
      <w:proofErr w:type="gramStart"/>
      <w:r>
        <w:t>listen</w:t>
      </w:r>
      <w:proofErr w:type="gramEnd"/>
      <w:r>
        <w:t xml:space="preserve"> to appeals from these courts in the power. </w:t>
      </w:r>
      <w:proofErr w:type="gramStart"/>
      <w:r>
        <w:t>The Court of Appeal, Civil and Criminal Division, and High Court, but</w:t>
      </w:r>
      <w:r>
        <w:t xml:space="preserve"> in some cases in Wales and England.</w:t>
      </w:r>
      <w:proofErr w:type="gramEnd"/>
      <w:r>
        <w:t xml:space="preserve"> In Scotland, the Supreme Court </w:t>
      </w:r>
      <w:proofErr w:type="gramStart"/>
      <w:r>
        <w:t>listen</w:t>
      </w:r>
      <w:proofErr w:type="gramEnd"/>
      <w:r>
        <w:t xml:space="preserve"> to appeals from the Court of the session. The Court of Appeal and the High Court for limited cases in Northern Ireland can plea to Supreme Court. The role of Supreme Court Justices </w:t>
      </w:r>
      <w:r>
        <w:t>is to hear arguments and make decisions on the cases being heard (</w:t>
      </w:r>
      <w:proofErr w:type="spellStart"/>
      <w:r>
        <w:t>Elgie</w:t>
      </w:r>
      <w:proofErr w:type="spellEnd"/>
      <w:r>
        <w:t xml:space="preserve"> et al., 2018). </w:t>
      </w:r>
    </w:p>
    <w:p w:rsidR="00503478" w:rsidRDefault="00927496">
      <w:pPr>
        <w:pStyle w:val="normal0"/>
      </w:pPr>
      <w:r>
        <w:t>According to Murphy (2017), Supreme Court Justices have been provided with the power to interpret the law. They also have the power to determine the law's constitutiona</w:t>
      </w:r>
      <w:r>
        <w:t>lity and apply it to various cases. The Court has the power to hear appeals on law points of public importance and provide appropriate judgment over those points. The Supreme Court Justices have the power to apply and interpret the law that is enacted by P</w:t>
      </w:r>
      <w:r>
        <w:t>arliament. The Supreme Court Justices do not have the power to strike down-regulation or legislation that is passed by the Parliament of the UK. The Court was basically developed for attaining a division between the UK's Upper House of Parliament and highe</w:t>
      </w:r>
      <w:r>
        <w:t xml:space="preserve">r-ranking judges. The Supreme Court Justices remain as the final law </w:t>
      </w:r>
      <w:r>
        <w:lastRenderedPageBreak/>
        <w:t>arbiters that are charged with making sure that individuals receive the equal justice promised under the constitution and law. The further powers that Supreme Court Justices have are exer</w:t>
      </w:r>
      <w:r>
        <w:t xml:space="preserve">cising jurisdiction over cases that are impacting ambassadors, consuls, and public ministers. </w:t>
      </w:r>
    </w:p>
    <w:p w:rsidR="00503478" w:rsidRDefault="00927496">
      <w:pPr>
        <w:pStyle w:val="normal0"/>
      </w:pPr>
      <w:r>
        <w:t xml:space="preserve">In the view of Bryan and </w:t>
      </w:r>
      <w:proofErr w:type="spellStart"/>
      <w:r>
        <w:t>Kromphardt</w:t>
      </w:r>
      <w:proofErr w:type="spellEnd"/>
      <w:r>
        <w:t xml:space="preserve"> (2016), the decisions that are made by Supreme Court can be influenced by social values and public opinion. It was estimated </w:t>
      </w:r>
      <w:r>
        <w:t>in 2015 that around 25% of Judges of Court in Wales and England were women. In 2020 this proportion increased to 35%. Some other factors that can also cause influence decision-making by Supreme Court include personal, political, legal, and ideological. The</w:t>
      </w:r>
      <w:r>
        <w:t xml:space="preserve">re was a case that describes the racial discrimination that is done in Supreme Court. </w:t>
      </w:r>
      <w:proofErr w:type="spellStart"/>
      <w:r>
        <w:t>Essop</w:t>
      </w:r>
      <w:proofErr w:type="spellEnd"/>
      <w:r>
        <w:t xml:space="preserve"> and others v Home Office is a case in which Supreme Court </w:t>
      </w:r>
      <w:proofErr w:type="spellStart"/>
      <w:r>
        <w:t>utilises</w:t>
      </w:r>
      <w:proofErr w:type="spellEnd"/>
      <w:r>
        <w:t xml:space="preserve"> a traditional approach to proving discrimination in the case judgment. The Employment Tribunal, i</w:t>
      </w:r>
      <w:r>
        <w:t>n this case, found that claims for age and race mean indirect discrimination was made. The CSA discriminatory impact cannot be justified, and no relationship between tested competencies and the required position was applied for. From this case, it is ident</w:t>
      </w:r>
      <w:r>
        <w:t xml:space="preserve">ified that race does influence the way decisions are made in Supreme Court (Lee, 2017). </w:t>
      </w:r>
      <w:proofErr w:type="gramStart"/>
      <w:r>
        <w:t>described</w:t>
      </w:r>
      <w:proofErr w:type="gramEnd"/>
      <w:r>
        <w:t xml:space="preserve"> that judicial decision-making can be influenced by social background, prior employment, judicial precedent, partisanship, and appointment party affiliation Pr</w:t>
      </w:r>
      <w:r>
        <w:t xml:space="preserve">esident and promotion potential. </w:t>
      </w:r>
      <w:proofErr w:type="gramStart"/>
      <w:r>
        <w:t>in</w:t>
      </w:r>
      <w:proofErr w:type="gramEnd"/>
      <w:r>
        <w:t xml:space="preserve"> recent times, the  House of Lords Constitution Committee has introduced a report for addressing the diversity and appointing more diverse people to the judiciary system. </w:t>
      </w:r>
    </w:p>
    <w:p w:rsidR="00503478" w:rsidRDefault="00927496">
      <w:pPr>
        <w:pStyle w:val="normal0"/>
      </w:pPr>
      <w:r>
        <w:t>The selection process for new appointments of Sup</w:t>
      </w:r>
      <w:r>
        <w:t xml:space="preserve">reme Court Justice was started in April 2020. The applications were accepted from suitable candidates to fill the vacancies in the Justice system resulting from the </w:t>
      </w:r>
      <w:proofErr w:type="spellStart"/>
      <w:r>
        <w:t>Lond</w:t>
      </w:r>
      <w:proofErr w:type="spellEnd"/>
      <w:r>
        <w:t xml:space="preserve"> Kerr of </w:t>
      </w:r>
      <w:proofErr w:type="spellStart"/>
      <w:r>
        <w:t>Donaghmore</w:t>
      </w:r>
      <w:proofErr w:type="spellEnd"/>
      <w:r>
        <w:t xml:space="preserve"> retirement that happened in 2020. For the selection process, the di</w:t>
      </w:r>
      <w:r>
        <w:t>gital advertisement was published to encourage candidates for senior judicial appointments in the country. It is required by the Supreme Court statute to have judges that have enhanced experience and knowledge of practice in UK law (ILN, 2020). Lord Kerr i</w:t>
      </w:r>
      <w:r>
        <w:t xml:space="preserve">s a Justice that has experience and knowledge of law practice in Northern Ireland, and the hiring committee will be looking for a candidate who meets his experience. The process for new appointments is set in the statute of Constitutional Reform Act 2005, </w:t>
      </w:r>
      <w:r>
        <w:t>which is amended from the Crime and Courts Act 2013 (Albert, 2018). The steps that are being taken for the selection process involved consultation on the position of the Justice system with the Lord, necessary eligibility criterion that are set by legislat</w:t>
      </w:r>
      <w:r>
        <w:t xml:space="preserve">ure should be fulfilled, various judges should be </w:t>
      </w:r>
      <w:r>
        <w:lastRenderedPageBreak/>
        <w:t xml:space="preserve">consulted for the selection process, and the candidates would be interviewed and shortlisted based on Crime and Courts Act 2013, the report is them sent to Load, and then a recommendation is accepted. </w:t>
      </w:r>
    </w:p>
    <w:p w:rsidR="00503478" w:rsidRDefault="00927496">
      <w:pPr>
        <w:pStyle w:val="normal0"/>
      </w:pPr>
      <w:r>
        <w:t xml:space="preserve">The </w:t>
      </w:r>
      <w:r>
        <w:t>statutes and regulations that govern the selection process for new appointments to Supreme Court are the Constitutional Reform Act 2005 and the Crime and Courts Act 2013. The Constitutional Reform Act 2005 is basically an act of the UK legislative body tha</w:t>
      </w:r>
      <w:r>
        <w:t>t is associated with the constitutional law of the country. This act provides for the UK Supreme Court to take the previous jurisdiction that is provided by Law Lords and eliminate the strategies of the House of Lord's speakers (Gee, 2016). Crime and Court</w:t>
      </w:r>
      <w:r>
        <w:t xml:space="preserve">s Act 2013 is considered a Parliament Act of the UK Parliament that was postulated to the House of Lords in 2012 (Hooper, 2021). These statutes and regulations are the same for candidates that apply for the selection process and ethnicity and gender. Only </w:t>
      </w:r>
      <w:r>
        <w:t xml:space="preserve">candidates' eligibility and how they have appeared in the interview would be assessed for the selection criteria for a new appointment. However, more diversity is accepted by this selection process. </w:t>
      </w:r>
    </w:p>
    <w:p w:rsidR="00503478" w:rsidRDefault="00927496">
      <w:pPr>
        <w:pStyle w:val="normal0"/>
      </w:pPr>
      <w:r>
        <w:t>As described by the Government of the UK (2020) that, wo</w:t>
      </w:r>
      <w:r>
        <w:t>men are less represented amid experienced and superior members. It was estimated in April 2020 that 47% of committee judges and 32% of court jury were women. It was assessed that in recent years the number of women has increased. BAME representation in leg</w:t>
      </w:r>
      <w:r>
        <w:t xml:space="preserve">al professions is lower. 12% of the tribunal and 8% of court judges are assessed as BAME. Only a 2% increase is found in comparison to 2014 percentages. Overall, 63% of the tribunal and 32% of court judges are from non-barrister backgrounds. In comparison </w:t>
      </w:r>
      <w:r>
        <w:t>to this, only 3% of judges in senior courts are non-barristers. Judges are mostly aged 50 or more than that, around 76% and 72% of Court and tribunal jury were of 50 or more age from this 40% of individuals age 60 in both tribunal and courts. There is a hi</w:t>
      </w:r>
      <w:r>
        <w:t xml:space="preserve">gh proportion found of magistrates, and non-legal members are BAME or women. </w:t>
      </w:r>
    </w:p>
    <w:p w:rsidR="00503478" w:rsidRDefault="00927496">
      <w:pPr>
        <w:pStyle w:val="normal0"/>
      </w:pPr>
      <w:r>
        <w:t>To tackle the diversity issue in the judicial system, the Supreme Court Justices have developed a four-year strategy. The strategy that is developed is for diversity and equality</w:t>
      </w:r>
      <w:r>
        <w:t xml:space="preserve">, and this strategy was launched in 2016 and set the action that would be taken to induce the diversity and equality principles in all of their operations. Through this strategy, an approach is also outlined for incorporating the civil service strategy of </w:t>
      </w:r>
      <w:r>
        <w:t xml:space="preserve">diversity named Promoting Equality, Valuing Diversity. This strategy is further divided into five themes that are developed to aid the Supreme </w:t>
      </w:r>
      <w:r>
        <w:lastRenderedPageBreak/>
        <w:t>Court in mainstreaming diversity and equality in JCPC and the Court. The five themes are leadership and accountab</w:t>
      </w:r>
      <w:r>
        <w:t xml:space="preserve">ility, representation, service delivery, </w:t>
      </w:r>
      <w:proofErr w:type="spellStart"/>
      <w:r>
        <w:t>behaviour</w:t>
      </w:r>
      <w:proofErr w:type="spellEnd"/>
      <w:r>
        <w:t xml:space="preserve"> and culture and talent management (Supreme Court, 2022). Although the Supreme Court is working on reducing the diversity issue, still it is provided little importance when new appointments are hired. </w:t>
      </w:r>
    </w:p>
    <w:p w:rsidR="00503478" w:rsidRDefault="00927496">
      <w:pPr>
        <w:pStyle w:val="Heading1"/>
        <w:numPr>
          <w:ilvl w:val="0"/>
          <w:numId w:val="1"/>
        </w:numPr>
        <w:rPr>
          <w:rFonts w:ascii="Times New Roman" w:eastAsia="Times New Roman" w:hAnsi="Times New Roman" w:cs="Times New Roman"/>
          <w:color w:val="000000"/>
          <w:sz w:val="24"/>
          <w:szCs w:val="24"/>
        </w:rPr>
      </w:pPr>
      <w:bookmarkStart w:id="2" w:name="_1fob9te" w:colFirst="0" w:colLast="0"/>
      <w:bookmarkEnd w:id="2"/>
      <w:r>
        <w:rPr>
          <w:rFonts w:ascii="Times New Roman" w:eastAsia="Times New Roman" w:hAnsi="Times New Roman" w:cs="Times New Roman"/>
          <w:color w:val="000000"/>
          <w:sz w:val="24"/>
          <w:szCs w:val="24"/>
        </w:rPr>
        <w:t>Conc</w:t>
      </w:r>
      <w:r>
        <w:rPr>
          <w:rFonts w:ascii="Times New Roman" w:eastAsia="Times New Roman" w:hAnsi="Times New Roman" w:cs="Times New Roman"/>
          <w:color w:val="000000"/>
          <w:sz w:val="24"/>
          <w:szCs w:val="24"/>
        </w:rPr>
        <w:t>lusion</w:t>
      </w:r>
    </w:p>
    <w:p w:rsidR="00503478" w:rsidRDefault="00927496">
      <w:pPr>
        <w:pStyle w:val="normal0"/>
      </w:pPr>
      <w:r>
        <w:t xml:space="preserve">In a nutshell, it can be </w:t>
      </w:r>
      <w:proofErr w:type="spellStart"/>
      <w:r>
        <w:t>summarised</w:t>
      </w:r>
      <w:proofErr w:type="spellEnd"/>
      <w:r>
        <w:t xml:space="preserve"> that Supreme Court justices have introduced various strategies and reports for tackling the diversity issue. While appointing a new body in Supreme Court, ethnicity and gender are still considered by the commissio</w:t>
      </w:r>
      <w:r>
        <w:t>n body, although they are not included in the selection process. From the demographics, it is assessed that most non-legal bodies are either BAME or women. Although the number of women and the BAME population is increasing in the legal justice system still</w:t>
      </w:r>
      <w:r>
        <w:t xml:space="preserve">, the growth is slower. The Justice system in the UK is trying to introduce various strategies so that this issue can be tackled effectively. </w:t>
      </w:r>
    </w:p>
    <w:p w:rsidR="00503478" w:rsidRDefault="00927496">
      <w:pPr>
        <w:pStyle w:val="normal0"/>
      </w:pPr>
      <w:r>
        <w:br w:type="page"/>
      </w:r>
    </w:p>
    <w:p w:rsidR="00503478" w:rsidRDefault="00927496">
      <w:pPr>
        <w:pStyle w:val="Heading1"/>
        <w:numPr>
          <w:ilvl w:val="0"/>
          <w:numId w:val="1"/>
        </w:numPr>
        <w:rPr>
          <w:rFonts w:ascii="Times New Roman" w:eastAsia="Times New Roman" w:hAnsi="Times New Roman" w:cs="Times New Roman"/>
          <w:color w:val="000000"/>
          <w:sz w:val="24"/>
          <w:szCs w:val="24"/>
        </w:rPr>
      </w:pPr>
      <w:bookmarkStart w:id="3" w:name="_2et92p0" w:colFirst="0" w:colLast="0"/>
      <w:bookmarkEnd w:id="3"/>
      <w:r>
        <w:rPr>
          <w:rFonts w:ascii="Times New Roman" w:eastAsia="Times New Roman" w:hAnsi="Times New Roman" w:cs="Times New Roman"/>
          <w:color w:val="000000"/>
          <w:sz w:val="24"/>
          <w:szCs w:val="24"/>
        </w:rPr>
        <w:lastRenderedPageBreak/>
        <w:t>References</w:t>
      </w:r>
    </w:p>
    <w:p w:rsidR="00503478" w:rsidRDefault="00927496">
      <w:pPr>
        <w:pStyle w:val="normal0"/>
        <w:ind w:left="720" w:hanging="720"/>
        <w:rPr>
          <w:color w:val="000000"/>
        </w:rPr>
      </w:pPr>
      <w:r>
        <w:rPr>
          <w:color w:val="000000"/>
        </w:rPr>
        <w:t xml:space="preserve">Albert, R., 2018. </w:t>
      </w:r>
      <w:proofErr w:type="gramStart"/>
      <w:r>
        <w:rPr>
          <w:color w:val="000000"/>
        </w:rPr>
        <w:t>Constitutional amendment and dismemberment.</w:t>
      </w:r>
      <w:proofErr w:type="gramEnd"/>
      <w:r>
        <w:rPr>
          <w:color w:val="000000"/>
        </w:rPr>
        <w:t> </w:t>
      </w:r>
      <w:r>
        <w:rPr>
          <w:i/>
          <w:color w:val="000000"/>
        </w:rPr>
        <w:t>Yale J. Int'l L.</w:t>
      </w:r>
      <w:r>
        <w:rPr>
          <w:color w:val="000000"/>
        </w:rPr>
        <w:t>, </w:t>
      </w:r>
      <w:r>
        <w:rPr>
          <w:i/>
          <w:color w:val="000000"/>
        </w:rPr>
        <w:t>43</w:t>
      </w:r>
      <w:r>
        <w:rPr>
          <w:color w:val="000000"/>
        </w:rPr>
        <w:t>, p.1.</w:t>
      </w:r>
    </w:p>
    <w:p w:rsidR="00503478" w:rsidRDefault="00927496">
      <w:pPr>
        <w:pStyle w:val="normal0"/>
        <w:ind w:left="720" w:hanging="720"/>
        <w:rPr>
          <w:color w:val="000000"/>
        </w:rPr>
      </w:pPr>
      <w:r>
        <w:rPr>
          <w:color w:val="000000"/>
        </w:rPr>
        <w:t>Bryan, A.C.</w:t>
      </w:r>
      <w:r>
        <w:rPr>
          <w:color w:val="000000"/>
        </w:rPr>
        <w:t xml:space="preserve"> and </w:t>
      </w:r>
      <w:proofErr w:type="spellStart"/>
      <w:r>
        <w:rPr>
          <w:color w:val="000000"/>
        </w:rPr>
        <w:t>Kromphardt</w:t>
      </w:r>
      <w:proofErr w:type="spellEnd"/>
      <w:r>
        <w:rPr>
          <w:color w:val="000000"/>
        </w:rPr>
        <w:t xml:space="preserve">, C.D., 2016. </w:t>
      </w:r>
      <w:proofErr w:type="gramStart"/>
      <w:r>
        <w:rPr>
          <w:color w:val="000000"/>
        </w:rPr>
        <w:t>Public Opinion, Public Support, and Counter-Attitudinal Voting on the US Supreme Court.</w:t>
      </w:r>
      <w:proofErr w:type="gramEnd"/>
      <w:r>
        <w:rPr>
          <w:color w:val="000000"/>
        </w:rPr>
        <w:t> </w:t>
      </w:r>
      <w:proofErr w:type="gramStart"/>
      <w:r>
        <w:rPr>
          <w:i/>
          <w:color w:val="000000"/>
        </w:rPr>
        <w:t>Justice System Journal</w:t>
      </w:r>
      <w:r>
        <w:rPr>
          <w:color w:val="000000"/>
        </w:rPr>
        <w:t>, </w:t>
      </w:r>
      <w:r>
        <w:rPr>
          <w:i/>
          <w:color w:val="000000"/>
        </w:rPr>
        <w:t>37</w:t>
      </w:r>
      <w:r>
        <w:rPr>
          <w:color w:val="000000"/>
        </w:rPr>
        <w:t>(4), pp.298-317.</w:t>
      </w:r>
      <w:proofErr w:type="gramEnd"/>
    </w:p>
    <w:p w:rsidR="00503478" w:rsidRDefault="00927496">
      <w:pPr>
        <w:pStyle w:val="normal0"/>
        <w:ind w:left="720" w:hanging="720"/>
        <w:rPr>
          <w:color w:val="000000"/>
        </w:rPr>
      </w:pPr>
      <w:proofErr w:type="spellStart"/>
      <w:r>
        <w:rPr>
          <w:color w:val="000000"/>
        </w:rPr>
        <w:t>Elgie</w:t>
      </w:r>
      <w:proofErr w:type="spellEnd"/>
      <w:r>
        <w:rPr>
          <w:color w:val="000000"/>
        </w:rPr>
        <w:t xml:space="preserve">, R., </w:t>
      </w:r>
      <w:proofErr w:type="spellStart"/>
      <w:r>
        <w:rPr>
          <w:color w:val="000000"/>
        </w:rPr>
        <w:t>McAuley</w:t>
      </w:r>
      <w:proofErr w:type="spellEnd"/>
      <w:r>
        <w:rPr>
          <w:color w:val="000000"/>
        </w:rPr>
        <w:t xml:space="preserve">, A. and O'Malley, E., 2018. </w:t>
      </w:r>
      <w:proofErr w:type="gramStart"/>
      <w:r>
        <w:rPr>
          <w:color w:val="000000"/>
        </w:rPr>
        <w:t>The (not-so-surprising) non-partisanship of the I</w:t>
      </w:r>
      <w:r>
        <w:rPr>
          <w:color w:val="000000"/>
        </w:rPr>
        <w:t>rish Supreme Court.</w:t>
      </w:r>
      <w:proofErr w:type="gramEnd"/>
      <w:r>
        <w:rPr>
          <w:color w:val="000000"/>
        </w:rPr>
        <w:t> </w:t>
      </w:r>
      <w:proofErr w:type="gramStart"/>
      <w:r>
        <w:rPr>
          <w:i/>
          <w:color w:val="000000"/>
        </w:rPr>
        <w:t>Irish Political Studies</w:t>
      </w:r>
      <w:r>
        <w:rPr>
          <w:color w:val="000000"/>
        </w:rPr>
        <w:t>, </w:t>
      </w:r>
      <w:r>
        <w:rPr>
          <w:i/>
          <w:color w:val="000000"/>
        </w:rPr>
        <w:t>33</w:t>
      </w:r>
      <w:r>
        <w:rPr>
          <w:color w:val="000000"/>
        </w:rPr>
        <w:t>(1), pp.88-111.</w:t>
      </w:r>
      <w:proofErr w:type="gramEnd"/>
    </w:p>
    <w:p w:rsidR="00503478" w:rsidRDefault="00927496">
      <w:pPr>
        <w:pStyle w:val="normal0"/>
        <w:ind w:left="720" w:hanging="720"/>
        <w:rPr>
          <w:color w:val="000000"/>
        </w:rPr>
      </w:pPr>
      <w:r>
        <w:rPr>
          <w:color w:val="000000"/>
        </w:rPr>
        <w:t xml:space="preserve">Gee, G., 2016. Judicial policy in England and Wales: A new regulatory space. </w:t>
      </w:r>
      <w:proofErr w:type="gramStart"/>
      <w:r>
        <w:rPr>
          <w:color w:val="000000"/>
        </w:rPr>
        <w:t>In </w:t>
      </w:r>
      <w:r>
        <w:rPr>
          <w:i/>
          <w:color w:val="000000"/>
        </w:rPr>
        <w:t>Regulating Judges</w:t>
      </w:r>
      <w:r>
        <w:rPr>
          <w:color w:val="000000"/>
        </w:rPr>
        <w:t> (pp. 145-162).</w:t>
      </w:r>
      <w:proofErr w:type="gramEnd"/>
      <w:r>
        <w:rPr>
          <w:color w:val="000000"/>
        </w:rPr>
        <w:t xml:space="preserve"> </w:t>
      </w:r>
      <w:proofErr w:type="gramStart"/>
      <w:r>
        <w:rPr>
          <w:color w:val="000000"/>
        </w:rPr>
        <w:t>Edward Elgar Publishing.</w:t>
      </w:r>
      <w:proofErr w:type="gramEnd"/>
    </w:p>
    <w:p w:rsidR="00503478" w:rsidRDefault="00927496">
      <w:pPr>
        <w:pStyle w:val="normal0"/>
        <w:ind w:left="720" w:hanging="720"/>
        <w:rPr>
          <w:color w:val="000000"/>
        </w:rPr>
      </w:pPr>
      <w:proofErr w:type="gramStart"/>
      <w:r>
        <w:rPr>
          <w:color w:val="000000"/>
        </w:rPr>
        <w:t>Government of UK 2020.</w:t>
      </w:r>
      <w:proofErr w:type="gramEnd"/>
      <w:r>
        <w:rPr>
          <w:color w:val="000000"/>
        </w:rPr>
        <w:t xml:space="preserve"> Diversity of the judiciary: Lega</w:t>
      </w:r>
      <w:r>
        <w:rPr>
          <w:color w:val="000000"/>
        </w:rPr>
        <w:t>l professions, new appointments and current post-holders. [Online] Available at https://assets.publishing.service.gov.uk/government/uploads/system/uploads/attachment_data/file/918529/diversity-of-the-judiciary-2020-statistics-web.pdf [Accessed on 15 June 2</w:t>
      </w:r>
      <w:r>
        <w:rPr>
          <w:color w:val="000000"/>
        </w:rPr>
        <w:t>022]</w:t>
      </w:r>
    </w:p>
    <w:p w:rsidR="00503478" w:rsidRDefault="00927496">
      <w:pPr>
        <w:pStyle w:val="normal0"/>
        <w:ind w:left="720" w:hanging="720"/>
        <w:rPr>
          <w:color w:val="000000"/>
        </w:rPr>
      </w:pPr>
      <w:proofErr w:type="gramStart"/>
      <w:r>
        <w:rPr>
          <w:color w:val="000000"/>
        </w:rPr>
        <w:t>Hooper, H.J., 2021.</w:t>
      </w:r>
      <w:proofErr w:type="gramEnd"/>
      <w:r>
        <w:rPr>
          <w:color w:val="000000"/>
        </w:rPr>
        <w:t xml:space="preserve"> Legality, Legitimacy, and Legislation: The Role of Exceptional Circumstances in Common Law Judicial Review. </w:t>
      </w:r>
      <w:proofErr w:type="gramStart"/>
      <w:r>
        <w:rPr>
          <w:i/>
          <w:color w:val="000000"/>
        </w:rPr>
        <w:t>Oxford Journal of Legal Studies</w:t>
      </w:r>
      <w:r>
        <w:rPr>
          <w:color w:val="000000"/>
        </w:rPr>
        <w:t>, </w:t>
      </w:r>
      <w:r>
        <w:rPr>
          <w:i/>
          <w:color w:val="000000"/>
        </w:rPr>
        <w:t>41</w:t>
      </w:r>
      <w:r>
        <w:rPr>
          <w:color w:val="000000"/>
        </w:rPr>
        <w:t>(1), pp.142-168.</w:t>
      </w:r>
      <w:proofErr w:type="gramEnd"/>
    </w:p>
    <w:p w:rsidR="00503478" w:rsidRDefault="00927496">
      <w:pPr>
        <w:pStyle w:val="normal0"/>
        <w:ind w:left="720" w:hanging="720"/>
        <w:rPr>
          <w:color w:val="000000"/>
        </w:rPr>
      </w:pPr>
      <w:proofErr w:type="gramStart"/>
      <w:r>
        <w:rPr>
          <w:color w:val="000000"/>
        </w:rPr>
        <w:t>ILN 2020.</w:t>
      </w:r>
      <w:proofErr w:type="gramEnd"/>
      <w:r>
        <w:rPr>
          <w:color w:val="000000"/>
        </w:rPr>
        <w:t xml:space="preserve"> NI: Sir Declan Morgan ruled out as candidate for Supreme Cour</w:t>
      </w:r>
      <w:r>
        <w:rPr>
          <w:color w:val="000000"/>
        </w:rPr>
        <w:t xml:space="preserve">t seat. [Online] Available at </w:t>
      </w:r>
      <w:hyperlink r:id="rId5">
        <w:r>
          <w:rPr>
            <w:color w:val="000000"/>
            <w:u w:val="single"/>
          </w:rPr>
          <w:t>https://www.irishlegal.com/articles/sir-declan-morgan-ruled-out-as-candidate-for-supreme-court-seat</w:t>
        </w:r>
      </w:hyperlink>
      <w:r>
        <w:rPr>
          <w:color w:val="000000"/>
        </w:rPr>
        <w:t xml:space="preserve"> [Accessed</w:t>
      </w:r>
      <w:r>
        <w:rPr>
          <w:color w:val="000000"/>
        </w:rPr>
        <w:t xml:space="preserve"> on 15 June 2022]</w:t>
      </w:r>
    </w:p>
    <w:p w:rsidR="00503478" w:rsidRDefault="00927496">
      <w:pPr>
        <w:pStyle w:val="normal0"/>
        <w:ind w:left="720" w:hanging="720"/>
        <w:rPr>
          <w:color w:val="000000"/>
        </w:rPr>
      </w:pPr>
      <w:proofErr w:type="gramStart"/>
      <w:r>
        <w:rPr>
          <w:color w:val="000000"/>
        </w:rPr>
        <w:t>Lee, S., 2017.</w:t>
      </w:r>
      <w:proofErr w:type="gramEnd"/>
      <w:r>
        <w:rPr>
          <w:color w:val="000000"/>
        </w:rPr>
        <w:t xml:space="preserve"> Supreme Court Clarifies Indirect Discrimination Test (UK). </w:t>
      </w:r>
      <w:r>
        <w:rPr>
          <w:i/>
          <w:color w:val="000000"/>
        </w:rPr>
        <w:t>Eur. Emp. L. Cases</w:t>
      </w:r>
      <w:r>
        <w:rPr>
          <w:color w:val="000000"/>
        </w:rPr>
        <w:t>, p.126.</w:t>
      </w:r>
    </w:p>
    <w:p w:rsidR="00503478" w:rsidRDefault="00927496">
      <w:pPr>
        <w:pStyle w:val="normal0"/>
        <w:ind w:left="720" w:hanging="720"/>
        <w:rPr>
          <w:color w:val="000000"/>
        </w:rPr>
      </w:pPr>
      <w:r>
        <w:rPr>
          <w:color w:val="000000"/>
        </w:rPr>
        <w:t>Murphy, T.R., 2017. Federal habeas corpus and systemic official misconduct: Why form trumps constitutional rights. </w:t>
      </w:r>
      <w:r>
        <w:rPr>
          <w:i/>
          <w:color w:val="000000"/>
        </w:rPr>
        <w:t>U. Kan. L. Rev.</w:t>
      </w:r>
      <w:r>
        <w:rPr>
          <w:color w:val="000000"/>
        </w:rPr>
        <w:t>, </w:t>
      </w:r>
      <w:r>
        <w:rPr>
          <w:i/>
          <w:color w:val="000000"/>
        </w:rPr>
        <w:t>66</w:t>
      </w:r>
      <w:r>
        <w:rPr>
          <w:color w:val="000000"/>
        </w:rPr>
        <w:t>, p.1.</w:t>
      </w:r>
    </w:p>
    <w:p w:rsidR="00503478" w:rsidRDefault="00927496">
      <w:pPr>
        <w:pStyle w:val="normal0"/>
        <w:ind w:left="720" w:hanging="720"/>
        <w:rPr>
          <w:color w:val="000000"/>
        </w:rPr>
      </w:pPr>
      <w:proofErr w:type="gramStart"/>
      <w:r>
        <w:rPr>
          <w:color w:val="000000"/>
        </w:rPr>
        <w:t>Supreme Court 2022.</w:t>
      </w:r>
      <w:proofErr w:type="gramEnd"/>
      <w:r>
        <w:rPr>
          <w:color w:val="000000"/>
        </w:rPr>
        <w:t xml:space="preserve"> </w:t>
      </w:r>
      <w:proofErr w:type="gramStart"/>
      <w:r>
        <w:rPr>
          <w:color w:val="000000"/>
        </w:rPr>
        <w:t>Equality and diversity.</w:t>
      </w:r>
      <w:proofErr w:type="gramEnd"/>
      <w:r>
        <w:rPr>
          <w:color w:val="000000"/>
        </w:rPr>
        <w:t xml:space="preserve"> [Online] Available at </w:t>
      </w:r>
      <w:hyperlink r:id="rId6">
        <w:r>
          <w:rPr>
            <w:color w:val="000000"/>
            <w:u w:val="single"/>
          </w:rPr>
          <w:t>https://www.supremecourt.uk/about/equality-and-diversity.html</w:t>
        </w:r>
      </w:hyperlink>
      <w:r>
        <w:rPr>
          <w:color w:val="000000"/>
        </w:rPr>
        <w:t xml:space="preserve"> [Accessed on 15 June 2022]</w:t>
      </w:r>
    </w:p>
    <w:p w:rsidR="00503478" w:rsidRDefault="00927496">
      <w:pPr>
        <w:pStyle w:val="normal0"/>
        <w:ind w:left="720" w:hanging="720"/>
        <w:rPr>
          <w:color w:val="000000"/>
        </w:rPr>
      </w:pPr>
      <w:proofErr w:type="spellStart"/>
      <w:proofErr w:type="gramStart"/>
      <w:r>
        <w:rPr>
          <w:color w:val="000000"/>
        </w:rPr>
        <w:lastRenderedPageBreak/>
        <w:t>Taruffo</w:t>
      </w:r>
      <w:proofErr w:type="spellEnd"/>
      <w:r>
        <w:rPr>
          <w:color w:val="000000"/>
        </w:rPr>
        <w:t>, M., 20</w:t>
      </w:r>
      <w:r>
        <w:rPr>
          <w:color w:val="000000"/>
        </w:rPr>
        <w:t>16.</w:t>
      </w:r>
      <w:proofErr w:type="gramEnd"/>
      <w:r>
        <w:rPr>
          <w:color w:val="000000"/>
        </w:rPr>
        <w:t xml:space="preserve"> Institutional factors influencing precedents. In </w:t>
      </w:r>
      <w:proofErr w:type="gramStart"/>
      <w:r>
        <w:rPr>
          <w:i/>
          <w:color w:val="000000"/>
        </w:rPr>
        <w:t>Interpreting</w:t>
      </w:r>
      <w:proofErr w:type="gramEnd"/>
      <w:r>
        <w:rPr>
          <w:i/>
          <w:color w:val="000000"/>
        </w:rPr>
        <w:t xml:space="preserve"> precedents</w:t>
      </w:r>
      <w:r>
        <w:rPr>
          <w:color w:val="000000"/>
        </w:rPr>
        <w:t xml:space="preserve"> (pp. 437-460). </w:t>
      </w:r>
      <w:proofErr w:type="spellStart"/>
      <w:proofErr w:type="gramStart"/>
      <w:r>
        <w:rPr>
          <w:color w:val="000000"/>
        </w:rPr>
        <w:t>Routledge</w:t>
      </w:r>
      <w:proofErr w:type="spellEnd"/>
      <w:r>
        <w:rPr>
          <w:color w:val="000000"/>
        </w:rPr>
        <w:t>.</w:t>
      </w:r>
      <w:proofErr w:type="gramEnd"/>
    </w:p>
    <w:p w:rsidR="00503478" w:rsidRDefault="00503478">
      <w:pPr>
        <w:pStyle w:val="normal0"/>
        <w:ind w:left="720" w:hanging="720"/>
      </w:pPr>
    </w:p>
    <w:p w:rsidR="00503478" w:rsidRDefault="00503478">
      <w:pPr>
        <w:pStyle w:val="normal0"/>
      </w:pPr>
    </w:p>
    <w:p w:rsidR="00503478" w:rsidRDefault="00503478">
      <w:pPr>
        <w:pStyle w:val="normal0"/>
      </w:pPr>
    </w:p>
    <w:sectPr w:rsidR="00503478" w:rsidSect="00503478">
      <w:pgSz w:w="12240" w:h="15840"/>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auto"/>
    <w:pitch w:val="default"/>
    <w:sig w:usb0="00000000" w:usb1="00000000" w:usb2="00000000" w:usb3="00000000" w:csb0="00000000"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D86307A"/>
    <w:multiLevelType w:val="multilevel"/>
    <w:tmpl w:val="0330C39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03478"/>
    <w:rsid w:val="00503478"/>
    <w:rsid w:val="0092749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0"/>
    <w:next w:val="normal0"/>
    <w:rsid w:val="00503478"/>
    <w:pPr>
      <w:keepNext/>
      <w:keepLines/>
      <w:spacing w:before="480" w:after="0"/>
      <w:ind w:left="432" w:hanging="432"/>
      <w:outlineLvl w:val="0"/>
    </w:pPr>
    <w:rPr>
      <w:rFonts w:ascii="Cambria" w:eastAsia="Cambria" w:hAnsi="Cambria" w:cs="Cambria"/>
      <w:b/>
      <w:color w:val="366091"/>
      <w:sz w:val="28"/>
      <w:szCs w:val="28"/>
    </w:rPr>
  </w:style>
  <w:style w:type="paragraph" w:styleId="Heading2">
    <w:name w:val="heading 2"/>
    <w:basedOn w:val="normal0"/>
    <w:next w:val="normal0"/>
    <w:rsid w:val="00503478"/>
    <w:pPr>
      <w:keepNext/>
      <w:keepLines/>
      <w:spacing w:before="200" w:after="0"/>
      <w:ind w:left="576" w:hanging="576"/>
      <w:outlineLvl w:val="1"/>
    </w:pPr>
    <w:rPr>
      <w:rFonts w:ascii="Cambria" w:eastAsia="Cambria" w:hAnsi="Cambria" w:cs="Cambria"/>
      <w:b/>
      <w:color w:val="4F81BD"/>
      <w:sz w:val="26"/>
      <w:szCs w:val="26"/>
    </w:rPr>
  </w:style>
  <w:style w:type="paragraph" w:styleId="Heading3">
    <w:name w:val="heading 3"/>
    <w:basedOn w:val="normal0"/>
    <w:next w:val="normal0"/>
    <w:rsid w:val="00503478"/>
    <w:pPr>
      <w:keepNext/>
      <w:keepLines/>
      <w:spacing w:before="200" w:after="0"/>
      <w:ind w:left="720" w:hanging="720"/>
      <w:outlineLvl w:val="2"/>
    </w:pPr>
    <w:rPr>
      <w:rFonts w:ascii="Cambria" w:eastAsia="Cambria" w:hAnsi="Cambria" w:cs="Cambria"/>
      <w:b/>
      <w:color w:val="4F81BD"/>
    </w:rPr>
  </w:style>
  <w:style w:type="paragraph" w:styleId="Heading4">
    <w:name w:val="heading 4"/>
    <w:basedOn w:val="normal0"/>
    <w:next w:val="normal0"/>
    <w:rsid w:val="00503478"/>
    <w:pPr>
      <w:keepNext/>
      <w:keepLines/>
      <w:spacing w:before="200" w:after="0"/>
      <w:ind w:left="864" w:hanging="864"/>
      <w:outlineLvl w:val="3"/>
    </w:pPr>
    <w:rPr>
      <w:rFonts w:ascii="Cambria" w:eastAsia="Cambria" w:hAnsi="Cambria" w:cs="Cambria"/>
      <w:b/>
      <w:i/>
      <w:color w:val="4F81BD"/>
    </w:rPr>
  </w:style>
  <w:style w:type="paragraph" w:styleId="Heading5">
    <w:name w:val="heading 5"/>
    <w:basedOn w:val="normal0"/>
    <w:next w:val="normal0"/>
    <w:rsid w:val="00503478"/>
    <w:pPr>
      <w:keepNext/>
      <w:keepLines/>
      <w:spacing w:before="200" w:after="0"/>
      <w:ind w:left="1008" w:hanging="1008"/>
      <w:outlineLvl w:val="4"/>
    </w:pPr>
    <w:rPr>
      <w:rFonts w:ascii="Cambria" w:eastAsia="Cambria" w:hAnsi="Cambria" w:cs="Cambria"/>
      <w:color w:val="243F61"/>
    </w:rPr>
  </w:style>
  <w:style w:type="paragraph" w:styleId="Heading6">
    <w:name w:val="heading 6"/>
    <w:basedOn w:val="normal0"/>
    <w:next w:val="normal0"/>
    <w:rsid w:val="00503478"/>
    <w:pPr>
      <w:keepNext/>
      <w:keepLines/>
      <w:spacing w:before="200" w:after="0"/>
      <w:ind w:left="1152" w:hanging="1152"/>
      <w:outlineLvl w:val="5"/>
    </w:pPr>
    <w:rPr>
      <w:rFonts w:ascii="Cambria" w:eastAsia="Cambria" w:hAnsi="Cambria" w:cs="Cambria"/>
      <w:i/>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503478"/>
  </w:style>
  <w:style w:type="paragraph" w:styleId="Title">
    <w:name w:val="Title"/>
    <w:basedOn w:val="normal0"/>
    <w:next w:val="normal0"/>
    <w:rsid w:val="00503478"/>
    <w:pPr>
      <w:keepNext/>
      <w:keepLines/>
      <w:spacing w:before="480" w:after="120"/>
    </w:pPr>
    <w:rPr>
      <w:b/>
      <w:sz w:val="72"/>
      <w:szCs w:val="72"/>
    </w:rPr>
  </w:style>
  <w:style w:type="paragraph" w:styleId="Subtitle">
    <w:name w:val="Subtitle"/>
    <w:basedOn w:val="normal0"/>
    <w:next w:val="normal0"/>
    <w:rsid w:val="00503478"/>
    <w:pPr>
      <w:keepNext/>
      <w:keepLines/>
      <w:spacing w:before="360" w:after="80"/>
    </w:pPr>
    <w:rPr>
      <w:rFonts w:ascii="Georgia" w:eastAsia="Georgia" w:hAnsi="Georgia" w:cs="Georgia"/>
      <w:i/>
      <w:color w:val="666666"/>
      <w:sz w:val="48"/>
      <w:szCs w:val="48"/>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upremecourt.uk/about/equality-and-diversity.html" TargetMode="External"/><Relationship Id="rId5" Type="http://schemas.openxmlformats.org/officeDocument/2006/relationships/hyperlink" Target="https://www.irishlegal.com/articles/sir-declan-morgan-ruled-out-as-candidate-for-supreme-court-sea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1720</Words>
  <Characters>9809</Characters>
  <Application>Microsoft Office Word</Application>
  <DocSecurity>0</DocSecurity>
  <Lines>81</Lines>
  <Paragraphs>23</Paragraphs>
  <ScaleCrop>false</ScaleCrop>
  <Company>Grizli777</Company>
  <LinksUpToDate>false</LinksUpToDate>
  <CharactersWithSpaces>11506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2</cp:revision>
  <dcterms:created xsi:type="dcterms:W3CDTF">2022-06-17T09:39:00Z</dcterms:created>
  <dcterms:modified xsi:type="dcterms:W3CDTF">2022-06-17T09:40:00Z</dcterms:modified>
</cp:coreProperties>
</file>