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u w:val="single"/>
        </w:rPr>
      </w:pPr>
      <w:r w:rsidDel="00000000" w:rsidR="00000000" w:rsidRPr="00000000">
        <w:rPr>
          <w:u w:val="single"/>
          <w:rtl w:val="0"/>
        </w:rPr>
        <w:t xml:space="preserve">Evaluating the success and limitations of the police and criminal evidence act 1984 in preventing Miscarriages of Justice</w:t>
      </w:r>
    </w:p>
    <w:p w:rsidR="00000000" w:rsidDel="00000000" w:rsidP="00000000" w:rsidRDefault="00000000" w:rsidRPr="00000000" w14:paraId="00000002">
      <w:pPr>
        <w:jc w:val="center"/>
        <w:rPr>
          <w:u w:val="single"/>
        </w:rPr>
      </w:pPr>
      <w:r w:rsidDel="00000000" w:rsidR="00000000" w:rsidRPr="00000000">
        <w:rPr>
          <w:rtl w:val="0"/>
        </w:rPr>
      </w:r>
    </w:p>
    <w:p w:rsidR="00000000" w:rsidDel="00000000" w:rsidP="00000000" w:rsidRDefault="00000000" w:rsidRPr="00000000" w14:paraId="00000003">
      <w:pPr>
        <w:jc w:val="left"/>
        <w:rPr>
          <w:u w:val="single"/>
        </w:rPr>
      </w:pPr>
      <w:r w:rsidDel="00000000" w:rsidR="00000000" w:rsidRPr="00000000">
        <w:rPr>
          <w:rtl w:val="0"/>
        </w:rPr>
      </w:r>
    </w:p>
    <w:p w:rsidR="00000000" w:rsidDel="00000000" w:rsidP="00000000" w:rsidRDefault="00000000" w:rsidRPr="00000000" w14:paraId="00000004">
      <w:pPr>
        <w:jc w:val="center"/>
        <w:rPr>
          <w:u w:val="single"/>
        </w:rPr>
      </w:pPr>
      <w:r w:rsidDel="00000000" w:rsidR="00000000" w:rsidRPr="00000000">
        <w:rPr>
          <w:rtl w:val="0"/>
        </w:rPr>
      </w:r>
    </w:p>
    <w:p w:rsidR="00000000" w:rsidDel="00000000" w:rsidP="00000000" w:rsidRDefault="00000000" w:rsidRPr="00000000" w14:paraId="00000005">
      <w:pPr>
        <w:spacing w:line="360" w:lineRule="auto"/>
        <w:ind w:firstLine="720"/>
        <w:rPr/>
      </w:pPr>
      <w:r w:rsidDel="00000000" w:rsidR="00000000" w:rsidRPr="00000000">
        <w:rPr>
          <w:rtl w:val="0"/>
        </w:rPr>
        <w:t xml:space="preserve">Policing in an essence has been around since we first began to develop tribal habits within our early ancestors, starting of has watchmen, and enforcing what little order that was established back then. However there was no official structure or legitimate institution of policing, this was the mentality of policing and control (Reiner 2000). Within the modern era our policing structure and the powers held by our police force have greatly improved since the inception of a policing institute by Neel and his principles, whilst now having incorporated the mentality of policing within a legally bound office. This essay aims to cover the origins of the police force and how it developed to what it is today through the steps and difficulties it faced. Analysing the mentality behind policing, the difference compared to the police institution and how it can change the concept of a police force to service. Also defining what constitutes a miscarriage of justice and the reason why they came about and how through examples why the need for reform was issued. Finally through examples evaluating the success of the current Police and criminal evidence act, and the limitations it currently faces with how our technology and crime continues to progress.</w:t>
      </w:r>
    </w:p>
    <w:p w:rsidR="00000000" w:rsidDel="00000000" w:rsidP="00000000" w:rsidRDefault="00000000" w:rsidRPr="00000000" w14:paraId="00000006">
      <w:pPr>
        <w:spacing w:line="360" w:lineRule="auto"/>
        <w:ind w:firstLine="720"/>
        <w:rPr/>
      </w:pPr>
      <w:r w:rsidDel="00000000" w:rsidR="00000000" w:rsidRPr="00000000">
        <w:rPr>
          <w:rtl w:val="0"/>
        </w:rPr>
        <w:t xml:space="preserve">The origins to what could be considered Britain's first police force is traced back to as early as the 17th century, this being the watchman of London. The watchman often referred to as Charlies, where old men who were unable to work properly, that were paid to patrol the streets at night and had the authority to arrest and suspend criminals or intervene with criminal activity (White 2009). However, more often than not they were considerably unhelpful in regards to major crime and mainly helped drunkards home and cried during the night. Although this is not meant to belittle their station as they were helpful to their communities and most likely acted towards as a deterrent of crime rather than a solution, this is shown by their continuous use up until the 19th century (White 2009). No matter the impact the Watchmen had on crime, the rates within 17th century London were excessive, with rates of violent robbery on the rise. During 1749 Henry Fielding created the Bow street runners, in response to a recent crime wave with the intention of the apprehension of serious offenders (Londonlives 2018).</w:t>
      </w:r>
    </w:p>
    <w:p w:rsidR="00000000" w:rsidDel="00000000" w:rsidP="00000000" w:rsidRDefault="00000000" w:rsidRPr="00000000" w14:paraId="00000007">
      <w:pPr>
        <w:spacing w:line="360" w:lineRule="auto"/>
        <w:ind w:firstLine="720"/>
        <w:rPr/>
      </w:pPr>
      <w:r w:rsidDel="00000000" w:rsidR="00000000" w:rsidRPr="00000000">
        <w:rPr>
          <w:rtl w:val="0"/>
        </w:rPr>
        <w:t xml:space="preserve">The Bow street runners were comprised of constables and ex constables and were initially funded by convictions of criminals, which was supplemented by the government, and by outsourcing their services to victims. It was due to this that they were the first group to actively encourage people to contact them in response to a crime, and Henry actively made advertisement within the paper to gain public awareness (Londonlives 2018). The Bow street runners were exceedingly efficient within what grounds they worked with as by the 18th century they were, in essence, a fully operational police force, before the introduction of the official police institution. In can be inferred that is because of the Bow street runners effects that the adaptation and the creation of the Metropolitan police were possible in 1829 (Londonlives 2018).</w:t>
      </w:r>
    </w:p>
    <w:p w:rsidR="00000000" w:rsidDel="00000000" w:rsidP="00000000" w:rsidRDefault="00000000" w:rsidRPr="00000000" w14:paraId="00000008">
      <w:pPr>
        <w:spacing w:line="360" w:lineRule="auto"/>
        <w:ind w:firstLine="720"/>
        <w:rPr/>
      </w:pPr>
      <w:r w:rsidDel="00000000" w:rsidR="00000000" w:rsidRPr="00000000">
        <w:rPr>
          <w:rtl w:val="0"/>
        </w:rPr>
        <w:t xml:space="preserve">The Metropolitans creation within 1829 was the first official institution of a police force, however, is not the first ideology behind policing. Robert Reiner (2000) talked about the sociology behind a policing mindset and the difference it has between the police force. However, the two are not exclusive and are intertwined with the sociological thinking and the practical application. Reiner (2000) talks through the sociological application behind the term policing, and it can be summarised as a way of control. Now, this is a subjective term, as it depends on how control is maintained and used within this mindset. For example, a teacher can be considered to police children, they are in charge of the children's welfare and education and enforces a certain behaviour that they as an educator deems suitable. Under the same ideology, you could maintain control over the child using fear and or violence to police them how you would, keeping in mind both are valid forms of policing, however, it is down to the person acting to decide on which form their policing takes. This concept follows behind another sociologist theory of Durkheim (1997) who talks about social normality that we developed based on the environment and the people we associate with and is very similar towards what Reiner (2000) refers to.</w:t>
      </w:r>
    </w:p>
    <w:p w:rsidR="00000000" w:rsidDel="00000000" w:rsidP="00000000" w:rsidRDefault="00000000" w:rsidRPr="00000000" w14:paraId="00000009">
      <w:pPr>
        <w:spacing w:line="360" w:lineRule="auto"/>
        <w:ind w:firstLine="720"/>
        <w:rPr/>
      </w:pPr>
      <w:r w:rsidDel="00000000" w:rsidR="00000000" w:rsidRPr="00000000">
        <w:rPr>
          <w:rtl w:val="0"/>
        </w:rPr>
        <w:t xml:space="preserve">This is just one possible interpretation of what the ideology behind policing is, however by thinking of it as a way of control, it does directly collaborate with how the mentality is used through our current police force. Florida State University did research investigating two different mentalities of policing, being the warrior and guardian mentalities (Florida State University 2019). The warrior mentality is a more hostile and forceful approach towards policing, with scenarios normally ending aggressively or violently requiring a forceful arrest. Whereas the guardian mentality, has people being more understanding and persuasive with their engagements and acts more like a civil servant than a policing force (Florida State University 2019). During the research, it was demonstrated that people could have both types of personality, despite the opposing applications of each mentality. However, it is believed that the guardian mentality is best suited for modern-day policing, though there are situations that call for a more forceful approach (Florida State University 2019). This research can be supported when taking into consideration the miscarriages of justice that happened post PACE act, and how PACE shifted the mentality towards a more peaceful and guardian style afterwards.</w:t>
      </w:r>
    </w:p>
    <w:p w:rsidR="00000000" w:rsidDel="00000000" w:rsidP="00000000" w:rsidRDefault="00000000" w:rsidRPr="00000000" w14:paraId="0000000A">
      <w:pPr>
        <w:spacing w:line="360" w:lineRule="auto"/>
        <w:ind w:firstLine="720"/>
        <w:rPr/>
      </w:pPr>
      <w:r w:rsidDel="00000000" w:rsidR="00000000" w:rsidRPr="00000000">
        <w:rPr>
          <w:rtl w:val="0"/>
        </w:rPr>
        <w:t xml:space="preserve">To evaluate the police and criminal evidence act in how it has helped prevent miscarriages of justice, a definition must first be explained. The Cambridge dictionary defines a miscarriage of justice to be “a situation in which someone is punished by the law courts for a crime that they have not committed” (Cambridge 2019). This definition is true to a sense but focuses heavily on the court procedure itself, a miscarriage of justice can also be considered to be a lack of awareness to a crime, mistreatment of a potential suspect, and even inappropriately gained evidence or confessions (Poyser, Milne 2011). Cases of miscarriages of justice that followed the criteria as stated above were commonplace during the 1970s and priya, due to there being very little in regard to legal proceedings for the police force. This is due to what was outlined before PACE (1984), which was the judges rule. The judges' rule was set of guidelines created by judges as an appropriate way to question and detain suspects, whilst having a decreased likelihood of having evidence acquired through these rules dismissed by the court (Johnston 1966). The key factor in consideration is that these are not legally binding obligations for the police to follow, and allowed a lot of what can now be considered immoral actions.</w:t>
      </w:r>
    </w:p>
    <w:p w:rsidR="00000000" w:rsidDel="00000000" w:rsidP="00000000" w:rsidRDefault="00000000" w:rsidRPr="00000000" w14:paraId="0000000B">
      <w:pPr>
        <w:spacing w:line="360" w:lineRule="auto"/>
        <w:ind w:firstLine="720"/>
        <w:rPr/>
      </w:pPr>
      <w:r w:rsidDel="00000000" w:rsidR="00000000" w:rsidRPr="00000000">
        <w:rPr>
          <w:rtl w:val="0"/>
        </w:rPr>
        <w:t xml:space="preserve">One example of a miscarriage of justice would be the case of R v Kiszko, in Which Stefan Kiszko was sentenced for the murder and sexually molesting of 11 year old Lesley Molseed (Burnside n.d.). There were many inconsistencies throughout this case, some of the most prominent where that Kiszko was diagnosed with hypogonadism, which stopped the full development of his testicles. In this regard, he had the personality of a child before puberty, albeit in the body of a fully developed man (Burnside n.d.), and in today's standards would be considered a vulnerable person, and be entitled to specialist care when under questioning. However, during Kiszko’s interview, he was not informed of his right to legal representation and was even denied his request for his mother to be present. This was coupled with the fact that the investigating officers used oppressive interview tactics and convinced Kiszko, that if he confessed he would be able to go home to see his mother, with Kiszko not having the mental awareness of what this action entailed (Burnside n.d.). Due to all of the above factors, Kiszko was wrongfully committed of murder. It is due to these factors that many cases were scrutinised by the public and the legal system. That brought about the reformation and the need to implement a new act to safeguard against other situations like this from occurring again.</w:t>
      </w:r>
    </w:p>
    <w:p w:rsidR="00000000" w:rsidDel="00000000" w:rsidP="00000000" w:rsidRDefault="00000000" w:rsidRPr="00000000" w14:paraId="0000000C">
      <w:pPr>
        <w:spacing w:line="360" w:lineRule="auto"/>
        <w:ind w:firstLine="720"/>
        <w:rPr/>
      </w:pPr>
      <w:r w:rsidDel="00000000" w:rsidR="00000000" w:rsidRPr="00000000">
        <w:rPr>
          <w:rtl w:val="0"/>
        </w:rPr>
        <w:t xml:space="preserve">   The Police and Criminal Evidence Act was brought into effect during 1986 and encompass a vast difference in how policing has to be enacted towards the public. This included an increase in the amount of power bestowed upon police officers with the addition of rights they can enact, however, it also included a vast amount of safeguards to ensure public safety and continued regulation of proper policing (Browns 1997). One of the largest and most efficient changes that helped reduce the number of miscarriages of justice, was PACE (1984) code C. this encompasses the rights of detention, treatment and how questioning should be handled (PACE 1984), as this is the area where oppressive conduct is most likely to occur, and due to this replaced the guidance set out by the judges rule and now instituted in law (Browns 1997). PACE (1984) also implemented the legal right to be informed about the right to legal counsel and be updated towards all steps within your arrest and detention. With this legislation now in effect, it is legally impossible for miscarriages such as Kiszko, to occur again. The PACE act (1984) makes it extremely difficult for any of those possible misdemeanours to go unnoticed, let alone unquestioned, demonstrating some of the successes PACE (1984) has produced.</w:t>
      </w:r>
    </w:p>
    <w:p w:rsidR="00000000" w:rsidDel="00000000" w:rsidP="00000000" w:rsidRDefault="00000000" w:rsidRPr="00000000" w14:paraId="0000000D">
      <w:pPr>
        <w:spacing w:line="360" w:lineRule="auto"/>
        <w:ind w:firstLine="720"/>
        <w:rPr/>
      </w:pPr>
      <w:r w:rsidDel="00000000" w:rsidR="00000000" w:rsidRPr="00000000">
        <w:rPr>
          <w:rtl w:val="0"/>
        </w:rPr>
        <w:t xml:space="preserve">PACE (1984) has demonstrated a lot of legal progression in how a police force should function legally, and with the interest of the public and their civil rights at the forefront of responsibility (Browns 1997). However, it can also be said that the PACE act (1984) had a great effect on the concept of policing and not just its legal application. As stated above, the process for stopping and searching and even detaining become regimented, and reduced the possibility of aggressive or controlling conduct that was displayed before. Because of this, many police officers had to change how they approached suspects, from the aforementioned warrior mentality to a more service based guardian mentality (Florida State University 2019). Thus increasing communications and relations with the public that is essential for the effective running of any police force.</w:t>
      </w:r>
    </w:p>
    <w:p w:rsidR="00000000" w:rsidDel="00000000" w:rsidP="00000000" w:rsidRDefault="00000000" w:rsidRPr="00000000" w14:paraId="0000000E">
      <w:pPr>
        <w:spacing w:line="360" w:lineRule="auto"/>
        <w:ind w:firstLine="720"/>
        <w:rPr/>
      </w:pPr>
      <w:r w:rsidDel="00000000" w:rsidR="00000000" w:rsidRPr="00000000">
        <w:rPr>
          <w:rtl w:val="0"/>
        </w:rPr>
        <w:t xml:space="preserve">With all of the improvements and success PACE (1984) brought about, there are still limitations and flaws held within this legislation that can affect the productivity of the police force. The two main limitations this essay will cover are the implemented bureaucracy and time consumption of arresting a single person, and the increase of policing powers at the expense of civil rights (LawTeacher, 2013). Pace (1984) introduced the legal requirement to officially document and state every step within an arrest, and in terms of legality, this is necessary for both the force and the detainee. However, realistically this is now a very time consuming task and can occupy a great deal of an officer's time, which can be argued that it could be better spent answering calls or patrolling. The second case of limitations is the added powers bestowed onto police and how they can be used or misused (LawTeacher, 2013). The stop and search powers are the main sections in question, and they outline that a police officer may stop and search anyone not within or outside their dwelling if they have reasonable suspicion to an illegal item or substance (PACE 1984). Due to this wording, it is possible for a police officer to stop and search anyone under something as superficial as a suspicion. This can lead to personal biases from individual officers, in regard to youth or ethnic groups (LawTeacher, 2013). In relation towards possible overuse of the stop and search power, on average only 13% of stop and search procedures result in an arrest. This demonstrates its misuse or lack of effectiveness, and can easily be described as an invasion of personal privacy, especially with regards to an empty search (LawTeacher, 2013).</w:t>
      </w:r>
    </w:p>
    <w:p w:rsidR="00000000" w:rsidDel="00000000" w:rsidP="00000000" w:rsidRDefault="00000000" w:rsidRPr="00000000" w14:paraId="0000000F">
      <w:pPr>
        <w:spacing w:line="360" w:lineRule="auto"/>
        <w:ind w:firstLine="720"/>
        <w:rPr/>
      </w:pPr>
      <w:r w:rsidDel="00000000" w:rsidR="00000000" w:rsidRPr="00000000">
        <w:rPr>
          <w:rtl w:val="0"/>
        </w:rPr>
        <w:t xml:space="preserve">In conclusion, the institution of policing has developed greatly since its early inception from the Bow Street runners and early Charlies to its vastly superior service that currently helps protect Britain. A lot of these improvements have developed through the ideology of policing and through this helped develop the Police and Criminal Evidence Act 1984. This act is by no means perfect and still contains some issues and limitations. However, as we progress technologically and culturally, amendments and improvements can be made towards this act. Though no matter its potential flaws, it has definitely changed for the better how our policing service functions and reduced greatly the possibility of miscarriages of justice that were so widely present before its inception.</w:t>
      </w:r>
    </w:p>
    <w:p w:rsidR="00000000" w:rsidDel="00000000" w:rsidP="00000000" w:rsidRDefault="00000000" w:rsidRPr="00000000" w14:paraId="00000010">
      <w:pPr>
        <w:ind w:firstLine="720"/>
        <w:rPr/>
      </w:pPr>
      <w:r w:rsidDel="00000000" w:rsidR="00000000" w:rsidRPr="00000000">
        <w:rPr>
          <w:rtl w:val="0"/>
        </w:rPr>
      </w:r>
    </w:p>
    <w:p w:rsidR="00000000" w:rsidDel="00000000" w:rsidP="00000000" w:rsidRDefault="00000000" w:rsidRPr="00000000" w14:paraId="00000011">
      <w:pPr>
        <w:ind w:firstLine="720"/>
        <w:rPr/>
      </w:pPr>
      <w:r w:rsidDel="00000000" w:rsidR="00000000" w:rsidRPr="00000000">
        <w:rPr>
          <w:rtl w:val="0"/>
        </w:rPr>
      </w:r>
    </w:p>
    <w:p w:rsidR="00000000" w:rsidDel="00000000" w:rsidP="00000000" w:rsidRDefault="00000000" w:rsidRPr="00000000" w14:paraId="00000012">
      <w:pPr>
        <w:ind w:firstLine="720"/>
        <w:rPr/>
      </w:pPr>
      <w:r w:rsidDel="00000000" w:rsidR="00000000" w:rsidRPr="00000000">
        <w:rPr>
          <w:rtl w:val="0"/>
        </w:rPr>
      </w:r>
    </w:p>
    <w:p w:rsidR="00000000" w:rsidDel="00000000" w:rsidP="00000000" w:rsidRDefault="00000000" w:rsidRPr="00000000" w14:paraId="00000013">
      <w:pPr>
        <w:ind w:firstLine="720"/>
        <w:rPr/>
      </w:pPr>
      <w:r w:rsidDel="00000000" w:rsidR="00000000" w:rsidRPr="00000000">
        <w:rPr>
          <w:rtl w:val="0"/>
        </w:rPr>
      </w:r>
    </w:p>
    <w:p w:rsidR="00000000" w:rsidDel="00000000" w:rsidP="00000000" w:rsidRDefault="00000000" w:rsidRPr="00000000" w14:paraId="00000014">
      <w:pPr>
        <w:ind w:firstLine="720"/>
        <w:rPr/>
      </w:pPr>
      <w:r w:rsidDel="00000000" w:rsidR="00000000" w:rsidRPr="00000000">
        <w:rPr>
          <w:rtl w:val="0"/>
        </w:rPr>
      </w:r>
    </w:p>
    <w:p w:rsidR="00000000" w:rsidDel="00000000" w:rsidP="00000000" w:rsidRDefault="00000000" w:rsidRPr="00000000" w14:paraId="00000015">
      <w:pPr>
        <w:ind w:firstLine="720"/>
        <w:rPr/>
      </w:pPr>
      <w:r w:rsidDel="00000000" w:rsidR="00000000" w:rsidRPr="00000000">
        <w:rPr>
          <w:rtl w:val="0"/>
        </w:rPr>
      </w:r>
    </w:p>
    <w:p w:rsidR="00000000" w:rsidDel="00000000" w:rsidP="00000000" w:rsidRDefault="00000000" w:rsidRPr="00000000" w14:paraId="00000016">
      <w:pPr>
        <w:ind w:firstLine="720"/>
        <w:rPr/>
      </w:pPr>
      <w:r w:rsidDel="00000000" w:rsidR="00000000" w:rsidRPr="00000000">
        <w:rPr>
          <w:rtl w:val="0"/>
        </w:rPr>
      </w:r>
    </w:p>
    <w:p w:rsidR="00000000" w:rsidDel="00000000" w:rsidP="00000000" w:rsidRDefault="00000000" w:rsidRPr="00000000" w14:paraId="00000017">
      <w:pPr>
        <w:ind w:firstLine="720"/>
        <w:rPr/>
      </w:pPr>
      <w:r w:rsidDel="00000000" w:rsidR="00000000" w:rsidRPr="00000000">
        <w:rPr>
          <w:rtl w:val="0"/>
        </w:rPr>
      </w:r>
    </w:p>
    <w:p w:rsidR="00000000" w:rsidDel="00000000" w:rsidP="00000000" w:rsidRDefault="00000000" w:rsidRPr="00000000" w14:paraId="00000018">
      <w:pPr>
        <w:ind w:firstLine="720"/>
        <w:rPr/>
      </w:pPr>
      <w:r w:rsidDel="00000000" w:rsidR="00000000" w:rsidRPr="00000000">
        <w:rPr>
          <w:rtl w:val="0"/>
        </w:rPr>
      </w:r>
    </w:p>
    <w:p w:rsidR="00000000" w:rsidDel="00000000" w:rsidP="00000000" w:rsidRDefault="00000000" w:rsidRPr="00000000" w14:paraId="00000019">
      <w:pPr>
        <w:ind w:firstLine="720"/>
        <w:rPr/>
      </w:pPr>
      <w:r w:rsidDel="00000000" w:rsidR="00000000" w:rsidRPr="00000000">
        <w:rPr>
          <w:rtl w:val="0"/>
        </w:rPr>
      </w:r>
    </w:p>
    <w:p w:rsidR="00000000" w:rsidDel="00000000" w:rsidP="00000000" w:rsidRDefault="00000000" w:rsidRPr="00000000" w14:paraId="0000001A">
      <w:pPr>
        <w:ind w:firstLine="720"/>
        <w:rPr/>
      </w:pPr>
      <w:r w:rsidDel="00000000" w:rsidR="00000000" w:rsidRPr="00000000">
        <w:rPr>
          <w:rtl w:val="0"/>
        </w:rPr>
      </w:r>
    </w:p>
    <w:p w:rsidR="00000000" w:rsidDel="00000000" w:rsidP="00000000" w:rsidRDefault="00000000" w:rsidRPr="00000000" w14:paraId="0000001B">
      <w:pPr>
        <w:ind w:firstLine="720"/>
        <w:rPr/>
      </w:pPr>
      <w:r w:rsidDel="00000000" w:rsidR="00000000" w:rsidRPr="00000000">
        <w:rPr>
          <w:rtl w:val="0"/>
        </w:rPr>
      </w:r>
    </w:p>
    <w:p w:rsidR="00000000" w:rsidDel="00000000" w:rsidP="00000000" w:rsidRDefault="00000000" w:rsidRPr="00000000" w14:paraId="0000001C">
      <w:pPr>
        <w:ind w:firstLine="720"/>
        <w:rPr/>
      </w:pPr>
      <w:r w:rsidDel="00000000" w:rsidR="00000000" w:rsidRPr="00000000">
        <w:rPr>
          <w:rtl w:val="0"/>
        </w:rPr>
      </w:r>
    </w:p>
    <w:p w:rsidR="00000000" w:rsidDel="00000000" w:rsidP="00000000" w:rsidRDefault="00000000" w:rsidRPr="00000000" w14:paraId="0000001D">
      <w:pPr>
        <w:ind w:firstLine="720"/>
        <w:rPr/>
      </w:pPr>
      <w:r w:rsidDel="00000000" w:rsidR="00000000" w:rsidRPr="00000000">
        <w:rPr>
          <w:rtl w:val="0"/>
        </w:rPr>
      </w:r>
    </w:p>
    <w:p w:rsidR="00000000" w:rsidDel="00000000" w:rsidP="00000000" w:rsidRDefault="00000000" w:rsidRPr="00000000" w14:paraId="0000001E">
      <w:pPr>
        <w:ind w:firstLine="720"/>
        <w:rPr/>
      </w:pPr>
      <w:r w:rsidDel="00000000" w:rsidR="00000000" w:rsidRPr="00000000">
        <w:rPr>
          <w:rtl w:val="0"/>
        </w:rPr>
      </w:r>
    </w:p>
    <w:p w:rsidR="00000000" w:rsidDel="00000000" w:rsidP="00000000" w:rsidRDefault="00000000" w:rsidRPr="00000000" w14:paraId="0000001F">
      <w:pPr>
        <w:ind w:firstLine="720"/>
        <w:rPr/>
      </w:pPr>
      <w:r w:rsidDel="00000000" w:rsidR="00000000" w:rsidRPr="00000000">
        <w:rPr>
          <w:rtl w:val="0"/>
        </w:rPr>
      </w:r>
    </w:p>
    <w:p w:rsidR="00000000" w:rsidDel="00000000" w:rsidP="00000000" w:rsidRDefault="00000000" w:rsidRPr="00000000" w14:paraId="00000020">
      <w:pPr>
        <w:ind w:firstLine="720"/>
        <w:rPr/>
      </w:pPr>
      <w:r w:rsidDel="00000000" w:rsidR="00000000" w:rsidRPr="00000000">
        <w:rPr>
          <w:rtl w:val="0"/>
        </w:rPr>
      </w:r>
    </w:p>
    <w:p w:rsidR="00000000" w:rsidDel="00000000" w:rsidP="00000000" w:rsidRDefault="00000000" w:rsidRPr="00000000" w14:paraId="00000021">
      <w:pPr>
        <w:ind w:firstLine="720"/>
        <w:rPr/>
      </w:pPr>
      <w:r w:rsidDel="00000000" w:rsidR="00000000" w:rsidRPr="00000000">
        <w:rPr>
          <w:rtl w:val="0"/>
        </w:rPr>
      </w:r>
    </w:p>
    <w:p w:rsidR="00000000" w:rsidDel="00000000" w:rsidP="00000000" w:rsidRDefault="00000000" w:rsidRPr="00000000" w14:paraId="00000022">
      <w:pPr>
        <w:ind w:firstLine="720"/>
        <w:rPr/>
      </w:pPr>
      <w:r w:rsidDel="00000000" w:rsidR="00000000" w:rsidRPr="00000000">
        <w:rPr>
          <w:rtl w:val="0"/>
        </w:rPr>
      </w:r>
    </w:p>
    <w:p w:rsidR="00000000" w:rsidDel="00000000" w:rsidP="00000000" w:rsidRDefault="00000000" w:rsidRPr="00000000" w14:paraId="00000023">
      <w:pPr>
        <w:ind w:firstLine="720"/>
        <w:rPr/>
      </w:pPr>
      <w:r w:rsidDel="00000000" w:rsidR="00000000" w:rsidRPr="00000000">
        <w:rPr>
          <w:rtl w:val="0"/>
        </w:rPr>
      </w:r>
    </w:p>
    <w:p w:rsidR="00000000" w:rsidDel="00000000" w:rsidP="00000000" w:rsidRDefault="00000000" w:rsidRPr="00000000" w14:paraId="00000024">
      <w:pPr>
        <w:ind w:firstLine="720"/>
        <w:rPr/>
      </w:pPr>
      <w:r w:rsidDel="00000000" w:rsidR="00000000" w:rsidRPr="00000000">
        <w:rPr>
          <w:rtl w:val="0"/>
        </w:rPr>
      </w:r>
    </w:p>
    <w:p w:rsidR="00000000" w:rsidDel="00000000" w:rsidP="00000000" w:rsidRDefault="00000000" w:rsidRPr="00000000" w14:paraId="00000025">
      <w:pPr>
        <w:ind w:firstLine="720"/>
        <w:rPr/>
      </w:pPr>
      <w:r w:rsidDel="00000000" w:rsidR="00000000" w:rsidRPr="00000000">
        <w:rPr>
          <w:rtl w:val="0"/>
        </w:rPr>
      </w:r>
    </w:p>
    <w:p w:rsidR="00000000" w:rsidDel="00000000" w:rsidP="00000000" w:rsidRDefault="00000000" w:rsidRPr="00000000" w14:paraId="00000026">
      <w:pPr>
        <w:ind w:firstLine="720"/>
        <w:rPr/>
      </w:pPr>
      <w:r w:rsidDel="00000000" w:rsidR="00000000" w:rsidRPr="00000000">
        <w:rPr>
          <w:rtl w:val="0"/>
        </w:rPr>
      </w:r>
    </w:p>
    <w:p w:rsidR="00000000" w:rsidDel="00000000" w:rsidP="00000000" w:rsidRDefault="00000000" w:rsidRPr="00000000" w14:paraId="00000027">
      <w:pPr>
        <w:ind w:firstLine="720"/>
        <w:rPr/>
      </w:pPr>
      <w:r w:rsidDel="00000000" w:rsidR="00000000" w:rsidRPr="00000000">
        <w:rPr>
          <w:rtl w:val="0"/>
        </w:rPr>
      </w:r>
    </w:p>
    <w:p w:rsidR="00000000" w:rsidDel="00000000" w:rsidP="00000000" w:rsidRDefault="00000000" w:rsidRPr="00000000" w14:paraId="00000028">
      <w:pPr>
        <w:ind w:firstLine="720"/>
        <w:rPr/>
      </w:pPr>
      <w:r w:rsidDel="00000000" w:rsidR="00000000" w:rsidRPr="00000000">
        <w:rPr>
          <w:rtl w:val="0"/>
        </w:rPr>
      </w:r>
    </w:p>
    <w:p w:rsidR="00000000" w:rsidDel="00000000" w:rsidP="00000000" w:rsidRDefault="00000000" w:rsidRPr="00000000" w14:paraId="00000029">
      <w:pPr>
        <w:ind w:firstLine="720"/>
        <w:rPr/>
      </w:pPr>
      <w:r w:rsidDel="00000000" w:rsidR="00000000" w:rsidRPr="00000000">
        <w:rPr>
          <w:rtl w:val="0"/>
        </w:rPr>
      </w:r>
    </w:p>
    <w:p w:rsidR="00000000" w:rsidDel="00000000" w:rsidP="00000000" w:rsidRDefault="00000000" w:rsidRPr="00000000" w14:paraId="0000002A">
      <w:pPr>
        <w:ind w:firstLine="720"/>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u w:val="single"/>
          <w:rtl w:val="0"/>
        </w:rPr>
        <w:t xml:space="preserve">Reference list </w:t>
      </w:r>
      <w:r w:rsidDel="00000000" w:rsidR="00000000" w:rsidRPr="00000000">
        <w:rPr>
          <w:rtl w:val="0"/>
        </w:rPr>
        <w:t xml:space="preserve">     </w:t>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spacing w:line="360" w:lineRule="auto"/>
        <w:rPr/>
      </w:pPr>
      <w:r w:rsidDel="00000000" w:rsidR="00000000" w:rsidRPr="00000000">
        <w:rPr>
          <w:rtl w:val="0"/>
        </w:rPr>
        <w:t xml:space="preserve">Brown, D. (1997), “PACE ten years on: A review of the research” London: Home Office Research and Statistics Director.</w:t>
      </w:r>
    </w:p>
    <w:p w:rsidR="00000000" w:rsidDel="00000000" w:rsidP="00000000" w:rsidRDefault="00000000" w:rsidRPr="00000000" w14:paraId="0000002F">
      <w:pPr>
        <w:spacing w:line="360" w:lineRule="auto"/>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Burnside. J, (n.d.) “The Stefan Kiszko Case”, [Online]. Available:</w:t>
      </w:r>
      <w:hyperlink r:id="rId6">
        <w:r w:rsidDel="00000000" w:rsidR="00000000" w:rsidRPr="00000000">
          <w:rPr>
            <w:color w:val="1155cc"/>
            <w:u w:val="single"/>
            <w:rtl w:val="0"/>
          </w:rPr>
          <w:t xml:space="preserve">http://www.julianburnside.com.au/law/the-stefan-kiszko-case/</w:t>
        </w:r>
      </w:hyperlink>
      <w:r w:rsidDel="00000000" w:rsidR="00000000" w:rsidRPr="00000000">
        <w:rPr>
          <w:rtl w:val="0"/>
        </w:rPr>
        <w:t xml:space="preserve">, [2019, 11, 01].</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spacing w:line="360" w:lineRule="auto"/>
        <w:rPr/>
      </w:pPr>
      <w:r w:rsidDel="00000000" w:rsidR="00000000" w:rsidRPr="00000000">
        <w:rPr>
          <w:rtl w:val="0"/>
        </w:rPr>
        <w:t xml:space="preserve">Durkheim, E. Coser, L. (1997), The Division of Labour in Society, New York: Free Press</w:t>
      </w:r>
    </w:p>
    <w:p w:rsidR="00000000" w:rsidDel="00000000" w:rsidP="00000000" w:rsidRDefault="00000000" w:rsidRPr="00000000" w14:paraId="00000033">
      <w:pPr>
        <w:spacing w:line="360" w:lineRule="auto"/>
        <w:rPr/>
      </w:pPr>
      <w:r w:rsidDel="00000000" w:rsidR="00000000" w:rsidRPr="00000000">
        <w:rPr>
          <w:rtl w:val="0"/>
        </w:rPr>
      </w:r>
    </w:p>
    <w:p w:rsidR="00000000" w:rsidDel="00000000" w:rsidP="00000000" w:rsidRDefault="00000000" w:rsidRPr="00000000" w14:paraId="00000034">
      <w:pPr>
        <w:spacing w:line="360" w:lineRule="auto"/>
        <w:rPr/>
      </w:pPr>
      <w:r w:rsidDel="00000000" w:rsidR="00000000" w:rsidRPr="00000000">
        <w:rPr>
          <w:rtl w:val="0"/>
        </w:rPr>
        <w:t xml:space="preserve">Florida State University. (2019, February 26). “Data-driven evidence on warrior vs. guardian policing. </w:t>
      </w:r>
      <w:r w:rsidDel="00000000" w:rsidR="00000000" w:rsidRPr="00000000">
        <w:rPr>
          <w:i w:val="1"/>
          <w:rtl w:val="0"/>
        </w:rPr>
        <w:t xml:space="preserve">ScienceDaily”</w:t>
      </w:r>
      <w:r w:rsidDel="00000000" w:rsidR="00000000" w:rsidRPr="00000000">
        <w:rPr>
          <w:rtl w:val="0"/>
        </w:rPr>
        <w:t xml:space="preserve">. [Online]. Available:</w:t>
      </w:r>
      <w:hyperlink r:id="rId7">
        <w:r w:rsidDel="00000000" w:rsidR="00000000" w:rsidRPr="00000000">
          <w:rPr>
            <w:color w:val="1155cc"/>
            <w:u w:val="single"/>
            <w:rtl w:val="0"/>
          </w:rPr>
          <w:t xml:space="preserve">www.sciencedaily.com/releases/2019/02/190226155011.htm</w:t>
        </w:r>
      </w:hyperlink>
      <w:r w:rsidDel="00000000" w:rsidR="00000000" w:rsidRPr="00000000">
        <w:rPr>
          <w:rtl w:val="0"/>
        </w:rPr>
        <w:t xml:space="preserve">, [2019, 11, 01].</w:t>
      </w:r>
    </w:p>
    <w:p w:rsidR="00000000" w:rsidDel="00000000" w:rsidP="00000000" w:rsidRDefault="00000000" w:rsidRPr="00000000" w14:paraId="00000035">
      <w:pPr>
        <w:spacing w:line="360" w:lineRule="auto"/>
        <w:rPr/>
      </w:pPr>
      <w:r w:rsidDel="00000000" w:rsidR="00000000" w:rsidRPr="00000000">
        <w:rPr>
          <w:rtl w:val="0"/>
        </w:rPr>
      </w:r>
    </w:p>
    <w:p w:rsidR="00000000" w:rsidDel="00000000" w:rsidP="00000000" w:rsidRDefault="00000000" w:rsidRPr="00000000" w14:paraId="00000036">
      <w:pPr>
        <w:spacing w:line="360" w:lineRule="auto"/>
        <w:rPr/>
      </w:pPr>
      <w:r w:rsidDel="00000000" w:rsidR="00000000" w:rsidRPr="00000000">
        <w:rPr>
          <w:rtl w:val="0"/>
        </w:rPr>
        <w:t xml:space="preserve">Johnston, T. (1966) “Judges Rules and Police INterrogation in England Today”, Journal of Criminal Law and Criminology, 57:1, pp. 1-9.</w:t>
      </w:r>
    </w:p>
    <w:p w:rsidR="00000000" w:rsidDel="00000000" w:rsidP="00000000" w:rsidRDefault="00000000" w:rsidRPr="00000000" w14:paraId="00000037">
      <w:pPr>
        <w:spacing w:line="360" w:lineRule="auto"/>
        <w:rPr/>
      </w:pP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t xml:space="preserve">LawTeacher. (2013). “Criminal Law and Procedure for Police and Criminal Evidence”, [online]. Available:</w:t>
      </w:r>
      <w:hyperlink r:id="rId8">
        <w:r w:rsidDel="00000000" w:rsidR="00000000" w:rsidRPr="00000000">
          <w:rPr>
            <w:color w:val="1155cc"/>
            <w:u w:val="single"/>
            <w:rtl w:val="0"/>
          </w:rPr>
          <w:t xml:space="preserve">https://www.lawteacher.net/free-law-essays/criminal-law/criminal-law-and-procedure-for-police-and-criminal-evidence-law-essays.php?vref=1</w:t>
        </w:r>
      </w:hyperlink>
      <w:r w:rsidDel="00000000" w:rsidR="00000000" w:rsidRPr="00000000">
        <w:rPr>
          <w:rtl w:val="0"/>
        </w:rPr>
        <w:t xml:space="preserve"> [2019, 11, 01].</w:t>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Londonlives.org. (2018), “Policing”, [Online]. Available: </w:t>
      </w:r>
      <w:hyperlink r:id="rId9">
        <w:r w:rsidDel="00000000" w:rsidR="00000000" w:rsidRPr="00000000">
          <w:rPr>
            <w:color w:val="1155cc"/>
            <w:u w:val="single"/>
            <w:rtl w:val="0"/>
          </w:rPr>
          <w:t xml:space="preserve">https://www.londonlives.org/static/Policing.jsp</w:t>
        </w:r>
      </w:hyperlink>
      <w:r w:rsidDel="00000000" w:rsidR="00000000" w:rsidRPr="00000000">
        <w:rPr>
          <w:rtl w:val="0"/>
        </w:rPr>
        <w:t xml:space="preserve">, [2019, 11, 01].</w:t>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spacing w:line="360" w:lineRule="auto"/>
        <w:rPr/>
      </w:pPr>
      <w:r w:rsidDel="00000000" w:rsidR="00000000" w:rsidRPr="00000000">
        <w:rPr>
          <w:rtl w:val="0"/>
        </w:rPr>
        <w:t xml:space="preserve">Police and Criminal Evidence Act. (2019), “Police and Criminal Evidence Act 1984”, [Online]. Available:</w:t>
      </w:r>
      <w:hyperlink r:id="rId10">
        <w:r w:rsidDel="00000000" w:rsidR="00000000" w:rsidRPr="00000000">
          <w:rPr>
            <w:color w:val="1155cc"/>
            <w:u w:val="single"/>
            <w:rtl w:val="0"/>
          </w:rPr>
          <w:t xml:space="preserve">http://www.legislation.gov.uk/ukpga/1984/60/contents</w:t>
        </w:r>
      </w:hyperlink>
      <w:r w:rsidDel="00000000" w:rsidR="00000000" w:rsidRPr="00000000">
        <w:rPr>
          <w:rtl w:val="0"/>
        </w:rPr>
        <w:t xml:space="preserve">, [2019, 1, 01].</w:t>
      </w:r>
    </w:p>
    <w:p w:rsidR="00000000" w:rsidDel="00000000" w:rsidP="00000000" w:rsidRDefault="00000000" w:rsidRPr="00000000" w14:paraId="0000003D">
      <w:pPr>
        <w:spacing w:line="360" w:lineRule="auto"/>
        <w:rPr/>
      </w:pPr>
      <w:r w:rsidDel="00000000" w:rsidR="00000000" w:rsidRPr="00000000">
        <w:rPr>
          <w:rtl w:val="0"/>
        </w:rPr>
      </w:r>
    </w:p>
    <w:p w:rsidR="00000000" w:rsidDel="00000000" w:rsidP="00000000" w:rsidRDefault="00000000" w:rsidRPr="00000000" w14:paraId="0000003E">
      <w:pPr>
        <w:spacing w:line="360" w:lineRule="auto"/>
        <w:rPr/>
      </w:pPr>
      <w:r w:rsidDel="00000000" w:rsidR="00000000" w:rsidRPr="00000000">
        <w:rPr>
          <w:rtl w:val="0"/>
        </w:rPr>
        <w:t xml:space="preserve">Poyser, S. &amp; Milne, R. (2011). Miscarriages of justice: A call for continued research focussing on reforming the investigative process. British Journal of Forensic Practice. 13. 61-71.</w:t>
      </w:r>
    </w:p>
    <w:p w:rsidR="00000000" w:rsidDel="00000000" w:rsidP="00000000" w:rsidRDefault="00000000" w:rsidRPr="00000000" w14:paraId="0000003F">
      <w:pPr>
        <w:spacing w:line="360" w:lineRule="auto"/>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Reiner, R. (2000), “Politics of the Police”, (Third edition), New York: Oxford University Press, Inc.</w:t>
      </w:r>
    </w:p>
    <w:p w:rsidR="00000000" w:rsidDel="00000000" w:rsidP="00000000" w:rsidRDefault="00000000" w:rsidRPr="00000000" w14:paraId="00000041">
      <w:pPr>
        <w:spacing w:line="360" w:lineRule="auto"/>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White, M. (2009), “Crime and punishment in Georgian Britain”, [Online]. Available:</w:t>
      </w:r>
      <w:hyperlink r:id="rId11">
        <w:r w:rsidDel="00000000" w:rsidR="00000000" w:rsidRPr="00000000">
          <w:rPr>
            <w:color w:val="1155cc"/>
            <w:u w:val="single"/>
            <w:rtl w:val="0"/>
          </w:rPr>
          <w:t xml:space="preserve">https://www.bl.uk/georgian-britain/articles/crime-and-punishment-in-georgian-britain</w:t>
        </w:r>
      </w:hyperlink>
      <w:r w:rsidDel="00000000" w:rsidR="00000000" w:rsidRPr="00000000">
        <w:rPr>
          <w:rtl w:val="0"/>
        </w:rPr>
        <w:t xml:space="preserve">, [2019, 11, 01].</w:t>
      </w:r>
    </w:p>
    <w:p w:rsidR="00000000" w:rsidDel="00000000" w:rsidP="00000000" w:rsidRDefault="00000000" w:rsidRPr="00000000" w14:paraId="00000043">
      <w:pPr>
        <w:spacing w:line="360" w:lineRule="auto"/>
        <w:rPr/>
      </w:pPr>
      <w:r w:rsidDel="00000000" w:rsidR="00000000" w:rsidRPr="00000000">
        <w:rPr>
          <w:rtl w:val="0"/>
        </w:rPr>
      </w:r>
    </w:p>
    <w:p w:rsidR="00000000" w:rsidDel="00000000" w:rsidP="00000000" w:rsidRDefault="00000000" w:rsidRPr="00000000" w14:paraId="00000044">
      <w:pPr>
        <w:ind w:firstLine="720"/>
        <w:rPr/>
      </w:pPr>
      <w:r w:rsidDel="00000000" w:rsidR="00000000" w:rsidRPr="00000000">
        <w:rPr>
          <w:rtl w:val="0"/>
        </w:rPr>
        <w:t xml:space="preserve">.     </w:t>
      </w:r>
    </w:p>
    <w:p w:rsidR="00000000" w:rsidDel="00000000" w:rsidP="00000000" w:rsidRDefault="00000000" w:rsidRPr="00000000" w14:paraId="00000045">
      <w:pPr>
        <w:ind w:firstLine="720"/>
        <w:rPr/>
      </w:pPr>
      <w:r w:rsidDel="00000000" w:rsidR="00000000" w:rsidRPr="00000000">
        <w:rPr>
          <w:rtl w:val="0"/>
        </w:rPr>
        <w:t xml:space="preserve">.     </w:t>
      </w:r>
    </w:p>
    <w:p w:rsidR="00000000" w:rsidDel="00000000" w:rsidP="00000000" w:rsidRDefault="00000000" w:rsidRPr="00000000" w14:paraId="00000046">
      <w:pPr>
        <w:ind w:firstLine="720"/>
        <w:rPr/>
      </w:pPr>
      <w:r w:rsidDel="00000000" w:rsidR="00000000" w:rsidRPr="00000000">
        <w:rPr>
          <w:rtl w:val="0"/>
        </w:rPr>
        <w:t xml:space="preserve">  </w:t>
      </w:r>
    </w:p>
    <w:p w:rsidR="00000000" w:rsidDel="00000000" w:rsidP="00000000" w:rsidRDefault="00000000" w:rsidRPr="00000000" w14:paraId="00000047">
      <w:pPr>
        <w:jc w:val="center"/>
        <w:rPr>
          <w:u w:val="single"/>
        </w:rPr>
      </w:pPr>
      <w:r w:rsidDel="00000000" w:rsidR="00000000" w:rsidRPr="00000000">
        <w:rPr>
          <w:rtl w:val="0"/>
        </w:rPr>
      </w:r>
    </w:p>
    <w:p w:rsidR="00000000" w:rsidDel="00000000" w:rsidP="00000000" w:rsidRDefault="00000000" w:rsidRPr="00000000" w14:paraId="00000048">
      <w:pPr>
        <w:jc w:val="center"/>
        <w:rPr>
          <w:u w:val="singl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bl.uk/georgian-britain/articles/crime-and-punishment-in-georgian-britain" TargetMode="External"/><Relationship Id="rId10" Type="http://schemas.openxmlformats.org/officeDocument/2006/relationships/hyperlink" Target="http://www.legislation.gov.uk/ukpga/1984/60/contents" TargetMode="External"/><Relationship Id="rId9" Type="http://schemas.openxmlformats.org/officeDocument/2006/relationships/hyperlink" Target="https://www.londonlives.org/static/Policing.jsp" TargetMode="External"/><Relationship Id="rId5" Type="http://schemas.openxmlformats.org/officeDocument/2006/relationships/styles" Target="styles.xml"/><Relationship Id="rId6" Type="http://schemas.openxmlformats.org/officeDocument/2006/relationships/hyperlink" Target="http://www.julianburnside.com.au/law/the-stefan-kiszko-case/" TargetMode="External"/><Relationship Id="rId7" Type="http://schemas.openxmlformats.org/officeDocument/2006/relationships/hyperlink" Target="http://www.sciencedaily.com/releases/2019/02/190226155011.htm" TargetMode="External"/><Relationship Id="rId8" Type="http://schemas.openxmlformats.org/officeDocument/2006/relationships/hyperlink" Target="https://www.lawteacher.net/free-law-essays/criminal-law/criminal-law-and-procedure-for-police-and-criminal-evidence-law-essays.php?vre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