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956DB7" w14:textId="77777777" w:rsidR="007F050E" w:rsidRPr="00F23D56" w:rsidRDefault="007F050E" w:rsidP="003C3731">
      <w:pPr>
        <w:pStyle w:val="Heading1"/>
        <w:jc w:val="both"/>
      </w:pPr>
      <w:r w:rsidRPr="00F23D56">
        <w:t xml:space="preserve">MON 27/04 – </w:t>
      </w:r>
      <w:r>
        <w:t>Class</w:t>
      </w:r>
      <w:r w:rsidRPr="00F23D56">
        <w:t xml:space="preserve"> 1</w:t>
      </w:r>
      <w:r>
        <w:t xml:space="preserve"> </w:t>
      </w:r>
      <w:r w:rsidRPr="00F23D56">
        <w:t>Anthropologies of Religion in the Contemporary World</w:t>
      </w:r>
    </w:p>
    <w:p w14:paraId="669EBDAD" w14:textId="77777777" w:rsidR="007F050E" w:rsidRPr="00F23D56" w:rsidRDefault="00313263" w:rsidP="003C3731">
      <w:pPr>
        <w:jc w:val="both"/>
      </w:pPr>
      <w:r>
        <w:pict w14:anchorId="56F68675">
          <v:rect id="_x0000_i1025" style="width:0;height:1.5pt" o:hralign="center" o:hrstd="t" o:hr="t" fillcolor="#a0a0a0" stroked="f"/>
        </w:pict>
      </w:r>
    </w:p>
    <w:p w14:paraId="72DF7887" w14:textId="224D6563" w:rsidR="007F050E" w:rsidRPr="00F23D56" w:rsidRDefault="00E63764" w:rsidP="003C3731">
      <w:pPr>
        <w:pStyle w:val="Heading2"/>
        <w:jc w:val="both"/>
      </w:pPr>
      <w:r w:rsidRPr="00F23D56">
        <w:t>0:00–0:</w:t>
      </w:r>
      <w:r w:rsidR="00755033">
        <w:t>30</w:t>
      </w:r>
      <w:r>
        <w:t xml:space="preserve">: </w:t>
      </w:r>
      <w:r w:rsidR="007F050E" w:rsidRPr="00F23D56">
        <w:t xml:space="preserve">PART </w:t>
      </w:r>
      <w:r w:rsidR="00187B5C">
        <w:t>1</w:t>
      </w:r>
      <w:r>
        <w:t>-</w:t>
      </w:r>
      <w:r w:rsidR="007F050E" w:rsidRPr="00F23D56">
        <w:t>FRAMING RELIGION + HISTORICAL POSITIONING</w:t>
      </w:r>
    </w:p>
    <w:p w14:paraId="021FB55A" w14:textId="77777777" w:rsidR="007F050E" w:rsidRDefault="00313263" w:rsidP="003C3731">
      <w:pPr>
        <w:jc w:val="both"/>
        <w:rPr>
          <w:b/>
          <w:bCs/>
        </w:rPr>
      </w:pPr>
      <w:r>
        <w:pict w14:anchorId="4A910D58">
          <v:rect id="_x0000_i1026" style="width:0;height:1.5pt" o:hralign="center" o:hrstd="t" o:hr="t" fillcolor="#a0a0a0" stroked="f"/>
        </w:pict>
      </w:r>
    </w:p>
    <w:p w14:paraId="157CFD2A" w14:textId="73CDE5DB" w:rsidR="007F050E" w:rsidRPr="00F23D56" w:rsidRDefault="00906664" w:rsidP="003C3731">
      <w:pPr>
        <w:pStyle w:val="Heading3"/>
        <w:jc w:val="both"/>
      </w:pPr>
      <w:r>
        <w:t>1.</w:t>
      </w:r>
      <w:r w:rsidR="007F050E" w:rsidRPr="00F23D56">
        <w:t xml:space="preserve"> What Is Religion?</w:t>
      </w:r>
    </w:p>
    <w:p w14:paraId="75F0527D" w14:textId="77777777" w:rsidR="009D73E5" w:rsidRDefault="009D73E5" w:rsidP="009D73E5">
      <w:pPr>
        <w:jc w:val="both"/>
      </w:pPr>
      <w:r>
        <w:t>What is religion?</w:t>
      </w:r>
    </w:p>
    <w:p w14:paraId="1F9979B3" w14:textId="2702D980" w:rsidR="009D73E5" w:rsidRDefault="009D73E5" w:rsidP="009D73E5">
      <w:pPr>
        <w:jc w:val="both"/>
      </w:pPr>
      <w:r>
        <w:t xml:space="preserve">The first answers </w:t>
      </w:r>
      <w:r w:rsidR="00EC6D5D">
        <w:t xml:space="preserve">people </w:t>
      </w:r>
      <w:r>
        <w:t xml:space="preserve">are usually </w:t>
      </w:r>
      <w:r w:rsidR="00EC6D5D">
        <w:t xml:space="preserve">pretty </w:t>
      </w:r>
      <w:r>
        <w:t>familiar: belief, God</w:t>
      </w:r>
      <w:r w:rsidR="00F9047F">
        <w:t xml:space="preserve"> or gods</w:t>
      </w:r>
      <w:r>
        <w:t xml:space="preserve">, faith, ritual, morality, tradition, superstition. None of those answers is </w:t>
      </w:r>
      <w:r w:rsidR="00AA4D26">
        <w:t>necessarily wrong, b</w:t>
      </w:r>
      <w:r>
        <w:t>ut none is enough. Th</w:t>
      </w:r>
      <w:r w:rsidR="00AA4D26">
        <w:t>is is because th</w:t>
      </w:r>
      <w:r>
        <w:t xml:space="preserve">ey tell us less about religion itself than about the assumptions through which religion is often </w:t>
      </w:r>
      <w:r w:rsidR="008F7968">
        <w:t xml:space="preserve">considered and </w:t>
      </w:r>
      <w:r>
        <w:t>recognised in modern public life. Belief already narrows the field. It suggests that religion is primarily inward conviction, something held privately in the mind</w:t>
      </w:r>
      <w:r w:rsidR="001464DF">
        <w:t>, and has</w:t>
      </w:r>
      <w:r w:rsidR="007319DD">
        <w:t xml:space="preserve"> historical tie</w:t>
      </w:r>
      <w:r w:rsidR="001464DF">
        <w:t>s</w:t>
      </w:r>
      <w:r w:rsidR="007319DD">
        <w:t xml:space="preserve"> to theological evolution</w:t>
      </w:r>
      <w:r w:rsidR="001464DF">
        <w:t xml:space="preserve">s </w:t>
      </w:r>
      <w:r w:rsidR="007319DD">
        <w:t xml:space="preserve">in Europe during the Protestant reformation. </w:t>
      </w:r>
      <w:r>
        <w:t>God</w:t>
      </w:r>
      <w:r w:rsidR="00F9047F">
        <w:t>(s)</w:t>
      </w:r>
      <w:r>
        <w:t xml:space="preserve"> narrows it further, because it assumes that religion is centred on </w:t>
      </w:r>
      <w:r w:rsidR="00F9047F">
        <w:t xml:space="preserve">one or more </w:t>
      </w:r>
      <w:r>
        <w:t>deit</w:t>
      </w:r>
      <w:r w:rsidR="00F9047F">
        <w:t>ies</w:t>
      </w:r>
      <w:r>
        <w:t>. Superstition does different work</w:t>
      </w:r>
      <w:r w:rsidR="00B0312F">
        <w:t xml:space="preserve">, because this </w:t>
      </w:r>
      <w:r>
        <w:t xml:space="preserve">is </w:t>
      </w:r>
      <w:r w:rsidR="00B0312F">
        <w:t xml:space="preserve">less </w:t>
      </w:r>
      <w:r>
        <w:t>a neutral description</w:t>
      </w:r>
      <w:r w:rsidR="00B0312F">
        <w:t xml:space="preserve"> than </w:t>
      </w:r>
      <w:r>
        <w:t>a judgment, a way of marking some practice as irrational, embarrassing, excessive, or backward.</w:t>
      </w:r>
    </w:p>
    <w:p w14:paraId="5C474C88" w14:textId="77777777" w:rsidR="00621D7A" w:rsidRDefault="00621D7A" w:rsidP="009D73E5">
      <w:pPr>
        <w:jc w:val="both"/>
      </w:pPr>
    </w:p>
    <w:p w14:paraId="5DDE9E45" w14:textId="00615146" w:rsidR="009D73E5" w:rsidRDefault="009D73E5" w:rsidP="009D73E5">
      <w:pPr>
        <w:jc w:val="both"/>
      </w:pPr>
      <w:r>
        <w:t>Anthropology approaches the question differently. It does not begin by asking whether a religious claim is true. It asks what that claim does in social life. How does it organise meaning? How does it shape moral order? How does it authorise some persons and constrain others? How does it make suffering intelligible, or bind people to obligations they did not choose</w:t>
      </w:r>
      <w:r w:rsidR="00177E96">
        <w:t>?</w:t>
      </w:r>
      <w:r>
        <w:t xml:space="preserve"> </w:t>
      </w:r>
      <w:r w:rsidR="00177E96">
        <w:t xml:space="preserve">How does it </w:t>
      </w:r>
      <w:r>
        <w:t xml:space="preserve">give form to fear, hope, danger, and repair? </w:t>
      </w:r>
      <w:r w:rsidR="00786998" w:rsidRPr="00786998">
        <w:t>Once those questions come into view, religion stops looking like a set of free-floating ideas and appears instead as a social form through which meaning, authority, obligation, and power are organised.</w:t>
      </w:r>
      <w:r w:rsidR="00177E96">
        <w:t xml:space="preserve"> </w:t>
      </w:r>
    </w:p>
    <w:p w14:paraId="3206C648" w14:textId="77777777" w:rsidR="00621D7A" w:rsidRDefault="00621D7A" w:rsidP="009D73E5">
      <w:pPr>
        <w:jc w:val="both"/>
      </w:pPr>
    </w:p>
    <w:p w14:paraId="406A9987" w14:textId="7838066A" w:rsidR="009D73E5" w:rsidRDefault="009D73E5" w:rsidP="009D73E5">
      <w:pPr>
        <w:jc w:val="both"/>
      </w:pPr>
      <w:r>
        <w:t xml:space="preserve">That is why religion cannot be reduced to private belief. Clifford Geertz’s classic definition remains influential because he described religion as “a system of symbols” that establishes “powerful, pervasive, and long-lasting moods and motivations” by formulating a general order of existence and making that order seem “uniquely realistic” (Geertz, 1973, p. 90). That </w:t>
      </w:r>
      <w:r w:rsidR="00431976">
        <w:t>definition</w:t>
      </w:r>
      <w:r>
        <w:t xml:space="preserve"> insists religion does not merely explain a world that is already there</w:t>
      </w:r>
      <w:r w:rsidR="00431976">
        <w:t xml:space="preserve"> but instead</w:t>
      </w:r>
      <w:r>
        <w:t xml:space="preserve"> helps make that world feel coherent, inhabited, and real.</w:t>
      </w:r>
    </w:p>
    <w:p w14:paraId="747B0C53" w14:textId="77777777" w:rsidR="00621D7A" w:rsidRDefault="00621D7A" w:rsidP="009D73E5">
      <w:pPr>
        <w:jc w:val="both"/>
      </w:pPr>
    </w:p>
    <w:p w14:paraId="168203EA" w14:textId="6DE4F6E3" w:rsidR="006B171A" w:rsidRDefault="00983B0D" w:rsidP="009D73E5">
      <w:pPr>
        <w:jc w:val="both"/>
      </w:pPr>
      <w:r w:rsidRPr="00983B0D">
        <w:t>Talal Asad argued that modern definitions of religion are themselves historical products, shaped by specifically Christian and, more narrowly, Protestant assumptions about inward belief, private conscience, and religion as a distinct sphere of life (Asad, 1993, pp. 27–54). Religion cannot then be treated simply as what people think. It has to be approached through practice, discipline, authority, embodied formation, and the worlds of relation and force that people take to be real.</w:t>
      </w:r>
      <w:r>
        <w:t xml:space="preserve"> </w:t>
      </w:r>
      <w:r w:rsidR="009D73E5">
        <w:t xml:space="preserve">Religion, then, is not private belief floating above society. It is </w:t>
      </w:r>
      <w:r w:rsidR="0075675D">
        <w:t xml:space="preserve">always </w:t>
      </w:r>
      <w:r w:rsidR="009D73E5">
        <w:t>socially embedded, politically entangled, and materially consequential.</w:t>
      </w:r>
    </w:p>
    <w:p w14:paraId="6224C8C5" w14:textId="77777777" w:rsidR="00AB0BC7" w:rsidRPr="00F23D56" w:rsidRDefault="00AB0BC7" w:rsidP="009D73E5">
      <w:pPr>
        <w:jc w:val="both"/>
      </w:pPr>
    </w:p>
    <w:p w14:paraId="4CC4046E" w14:textId="77777777" w:rsidR="007F050E" w:rsidRPr="00F23D56" w:rsidRDefault="00313263" w:rsidP="003C3731">
      <w:pPr>
        <w:jc w:val="both"/>
      </w:pPr>
      <w:r>
        <w:pict w14:anchorId="39B9D6D0">
          <v:rect id="_x0000_i1027" style="width:0;height:1.5pt" o:hralign="center" o:hrstd="t" o:hr="t" fillcolor="#a0a0a0" stroked="f"/>
        </w:pict>
      </w:r>
    </w:p>
    <w:p w14:paraId="16EACC93" w14:textId="719EAAB4" w:rsidR="007F050E" w:rsidRPr="00F23D56" w:rsidRDefault="0060566E" w:rsidP="003C3731">
      <w:pPr>
        <w:pStyle w:val="Heading3"/>
        <w:jc w:val="both"/>
      </w:pPr>
      <w:r>
        <w:t>2.</w:t>
      </w:r>
      <w:r w:rsidR="007F050E" w:rsidRPr="00F23D56">
        <w:t xml:space="preserve"> </w:t>
      </w:r>
      <w:r w:rsidR="004F506F" w:rsidRPr="004F506F">
        <w:t>Early Anthropology of Religion</w:t>
      </w:r>
    </w:p>
    <w:p w14:paraId="264E355A" w14:textId="54F57010" w:rsidR="008D3772" w:rsidRDefault="00432F4D" w:rsidP="008D3772">
      <w:pPr>
        <w:jc w:val="both"/>
      </w:pPr>
      <w:r w:rsidRPr="00432F4D">
        <w:t>In early anthropology, religion was often used to rank societies within a civilisational hierarchy. Nineteenth-century evolutionism treated forms of religion as evidence of how far different peoples had supposedly advanced along a single path of development (Tylor, 1871; Frazer, 1890).</w:t>
      </w:r>
      <w:r>
        <w:t xml:space="preserve"> </w:t>
      </w:r>
      <w:r w:rsidR="008D3772" w:rsidRPr="008D3772">
        <w:t>Human societies were imagined to move through stages, and religious life was sorted accordingly. Magic, religion, science: that sequence became one of the best-known ways of telling the story. It looked like an account of intellectual development</w:t>
      </w:r>
      <w:r w:rsidR="00885FB8">
        <w:t xml:space="preserve"> but i</w:t>
      </w:r>
      <w:r w:rsidR="008D3772" w:rsidRPr="008D3772">
        <w:t>t was also a political classification of the world.</w:t>
      </w:r>
    </w:p>
    <w:p w14:paraId="5124F814" w14:textId="77777777" w:rsidR="0075675D" w:rsidRPr="008D3772" w:rsidRDefault="0075675D" w:rsidP="008D3772">
      <w:pPr>
        <w:jc w:val="both"/>
      </w:pPr>
    </w:p>
    <w:p w14:paraId="2161779E" w14:textId="52575C36" w:rsidR="008D3772" w:rsidRDefault="008D3772" w:rsidP="008D3772">
      <w:pPr>
        <w:jc w:val="both"/>
      </w:pPr>
      <w:r w:rsidRPr="008D3772">
        <w:t xml:space="preserve">Edward Tylor’s definition of religion as “belief in spiritual beings” belonged to that comparative moment (Tylor, 1871, p. 383). It was influential partly because it gave anthropology a very broad starting point. Religion, on this account, did not have to mean theology or organised doctrine. It could include spirits, souls, ancestors, and unseen agencies of many different kinds. But Tylor’s formulation also carried the limits of its time. It treated religion primarily as belief, and it positioned some forms of belief as earlier, simpler, or less developed than others. </w:t>
      </w:r>
      <w:r w:rsidR="00831BA3" w:rsidRPr="00831BA3">
        <w:t>Once that move is made, forms of religion are no longer described on their own terms but arranged as evidence of relative advancement.</w:t>
      </w:r>
    </w:p>
    <w:p w14:paraId="5443FDAD" w14:textId="2190E616" w:rsidR="0075675D" w:rsidRDefault="0075675D" w:rsidP="008D3772">
      <w:pPr>
        <w:jc w:val="both"/>
      </w:pPr>
      <w:r>
        <w:t>CHANGE SLIDE</w:t>
      </w:r>
    </w:p>
    <w:p w14:paraId="41E19DA8" w14:textId="77777777" w:rsidR="0075675D" w:rsidRPr="008D3772" w:rsidRDefault="0075675D" w:rsidP="008D3772">
      <w:pPr>
        <w:jc w:val="both"/>
      </w:pPr>
    </w:p>
    <w:p w14:paraId="6E257B24" w14:textId="749A2A1D" w:rsidR="00AE4D67" w:rsidRDefault="00AE4D67" w:rsidP="008D3772">
      <w:pPr>
        <w:jc w:val="both"/>
      </w:pPr>
      <w:r w:rsidRPr="00AE4D67">
        <w:t xml:space="preserve">James Frazer gave this hierarchy a temporal form. In </w:t>
      </w:r>
      <w:r w:rsidRPr="00AE4D67">
        <w:rPr>
          <w:i/>
          <w:iCs/>
        </w:rPr>
        <w:t>The Golden Bough</w:t>
      </w:r>
      <w:r w:rsidRPr="00AE4D67">
        <w:t xml:space="preserve">, he proposed that human thought moved from magic to religion and from religion to science (Frazer, 1922, pp. 48–49). The sequence did more than describe difference. It turned difference into a developmental order. Practices that did not resemble modern secular reason were treated as evidence of an earlier stage of human history, so that some peoples appeared as survivors of the past while others stood for the future. </w:t>
      </w:r>
      <w:r w:rsidR="00651EBB" w:rsidRPr="00651EBB">
        <w:t>Frazer was not just comparing different practices. He was placing them in a single historical sequence and treating those that differed from modern European reason as earlier in kind.</w:t>
      </w:r>
    </w:p>
    <w:p w14:paraId="23C22755" w14:textId="77777777" w:rsidR="00651EBB" w:rsidRPr="008D3772" w:rsidRDefault="00651EBB" w:rsidP="008D3772">
      <w:pPr>
        <w:jc w:val="both"/>
      </w:pPr>
    </w:p>
    <w:p w14:paraId="2EA7330C" w14:textId="77777777" w:rsidR="00475D66" w:rsidRDefault="001479C2" w:rsidP="008D3772">
      <w:pPr>
        <w:jc w:val="both"/>
      </w:pPr>
      <w:r w:rsidRPr="001479C2">
        <w:t xml:space="preserve">That is why the issue is not only theoretical. Terms such as animism, fetishism, sorcery, and primitive belief did not simply describe religious difference. They placed colonised peoples lower on a scale of reason and civilisation, while allowing Europe to appear more advanced, more rational, and more fit to govern. Religion was one of the languages through which those distinctions were drawn. </w:t>
      </w:r>
      <w:r w:rsidR="00475D66" w:rsidRPr="00475D66">
        <w:t>To describe others through magic, fetishism, or primitive belief was also to place them lower on a scale of reason and civilisation.</w:t>
      </w:r>
    </w:p>
    <w:p w14:paraId="5C4561D3" w14:textId="550EAA46" w:rsidR="00257CB4" w:rsidRDefault="00257CB4" w:rsidP="008D3772">
      <w:pPr>
        <w:jc w:val="both"/>
      </w:pPr>
      <w:r>
        <w:t>CHANGE SLIDE</w:t>
      </w:r>
    </w:p>
    <w:p w14:paraId="2DF0D8B0" w14:textId="77777777" w:rsidR="00257CB4" w:rsidRPr="008D3772" w:rsidRDefault="00257CB4" w:rsidP="008D3772">
      <w:pPr>
        <w:jc w:val="both"/>
      </w:pPr>
    </w:p>
    <w:p w14:paraId="51E56E52" w14:textId="528B2DD5" w:rsidR="00257CB4" w:rsidRDefault="00CB3B74" w:rsidP="008D3772">
      <w:pPr>
        <w:jc w:val="both"/>
      </w:pPr>
      <w:r w:rsidRPr="00CB3B74">
        <w:t>The point is not only that Tylor and Frazer were wrong about religion. Their work belonged to a broader project in which human difference was ordered through the language of civilisation, progress, and primitive society; Stocking (1987) and Kuper (1988) later showed how deeply anthropology itself helped construct that field of comparison.</w:t>
      </w:r>
      <w:r w:rsidR="00CF192B">
        <w:t xml:space="preserve"> </w:t>
      </w:r>
      <w:r w:rsidR="004C61BA" w:rsidRPr="004C61BA">
        <w:t xml:space="preserve">What followed was not a retreat from the study of religion, but a break with the habit of ranking religious worlds on a single scale of development. </w:t>
      </w:r>
      <w:r w:rsidR="00CF192B" w:rsidRPr="00CF192B">
        <w:t>The question was no longer which religions were more advanced, but how religious worlds organise meaning, causality, morality, and power. That shift opened the way to a different anthropology of religion: one concerned not with civilisational hierarchy, but with social life, ritual form, and lived worlds.</w:t>
      </w:r>
    </w:p>
    <w:p w14:paraId="4C5FEC65" w14:textId="77777777" w:rsidR="00AB0BC7" w:rsidRPr="00F23D56" w:rsidRDefault="00AB0BC7" w:rsidP="00F46598">
      <w:pPr>
        <w:jc w:val="both"/>
      </w:pPr>
    </w:p>
    <w:p w14:paraId="7A5A4596" w14:textId="77777777" w:rsidR="007F050E" w:rsidRPr="00F23D56" w:rsidRDefault="00313263" w:rsidP="003C3731">
      <w:pPr>
        <w:jc w:val="both"/>
      </w:pPr>
      <w:r>
        <w:pict w14:anchorId="2972CE58">
          <v:rect id="_x0000_i1028" style="width:0;height:1.5pt" o:hralign="center" o:hrstd="t" o:hr="t" fillcolor="#a0a0a0" stroked="f"/>
        </w:pict>
      </w:r>
    </w:p>
    <w:p w14:paraId="2FD3761E" w14:textId="57597221" w:rsidR="004F506F" w:rsidRDefault="0060566E" w:rsidP="00F3549B">
      <w:pPr>
        <w:pStyle w:val="Heading3"/>
        <w:jc w:val="both"/>
      </w:pPr>
      <w:r>
        <w:t>3.</w:t>
      </w:r>
      <w:r w:rsidR="007F050E" w:rsidRPr="00F23D56">
        <w:t xml:space="preserve"> </w:t>
      </w:r>
      <w:r w:rsidR="00F3549B" w:rsidRPr="00F3549B">
        <w:t>Later Foundational Developments</w:t>
      </w:r>
    </w:p>
    <w:p w14:paraId="7FA6A572" w14:textId="7E19BEB4" w:rsidR="008E19A9" w:rsidRDefault="008E19A9" w:rsidP="008E19A9">
      <w:pPr>
        <w:jc w:val="both"/>
      </w:pPr>
      <w:r w:rsidRPr="008E19A9">
        <w:t xml:space="preserve">Émile Durkheim was a founding French sociologist whose work became central to the anthropology of religion because he argued that religion is not simply belief in gods or spirits, but one of the ways a society constitutes and sustains its moral order. In </w:t>
      </w:r>
      <w:r w:rsidRPr="008E19A9">
        <w:rPr>
          <w:i/>
          <w:iCs/>
        </w:rPr>
        <w:t>The Elementary Forms of Religious Life</w:t>
      </w:r>
      <w:r w:rsidRPr="008E19A9">
        <w:t>, he defined religion as “a unified system of beliefs and practices relative to sacred things, that is to say, things set apart and forbidden” (Durkheim,</w:t>
      </w:r>
      <w:r>
        <w:t xml:space="preserve"> </w:t>
      </w:r>
      <w:r w:rsidRPr="008E19A9">
        <w:t xml:space="preserve">1995, p.44). The </w:t>
      </w:r>
      <w:r w:rsidRPr="008E19A9">
        <w:rPr>
          <w:i/>
          <w:iCs/>
        </w:rPr>
        <w:t>sacred</w:t>
      </w:r>
      <w:r w:rsidRPr="008E19A9">
        <w:t xml:space="preserve">, in Durkheim’s sense, is not limited to the supernatural. It refers to whatever is marked off from ordinary use and surrounded by rules, restrictions, and reverence. The </w:t>
      </w:r>
      <w:r w:rsidRPr="008E19A9">
        <w:rPr>
          <w:i/>
          <w:iCs/>
        </w:rPr>
        <w:t>profane</w:t>
      </w:r>
      <w:r w:rsidRPr="008E19A9">
        <w:t xml:space="preserve"> is the ordinary domain of everyday life, not set apart in that way.</w:t>
      </w:r>
    </w:p>
    <w:p w14:paraId="32AC5DF8" w14:textId="77777777" w:rsidR="008E19A9" w:rsidRPr="008E19A9" w:rsidRDefault="008E19A9" w:rsidP="008E19A9">
      <w:pPr>
        <w:jc w:val="both"/>
      </w:pPr>
    </w:p>
    <w:p w14:paraId="37260BF0" w14:textId="33CD70DF" w:rsidR="008E19A9" w:rsidRPr="008E19A9" w:rsidRDefault="008E19A9" w:rsidP="008E19A9">
      <w:pPr>
        <w:jc w:val="both"/>
      </w:pPr>
      <w:r w:rsidRPr="008E19A9">
        <w:t xml:space="preserve">Religion, on this view, is not a failed explanation of natural events, nor simply a body of private beliefs. It is one of the ways a </w:t>
      </w:r>
      <w:proofErr w:type="spellStart"/>
      <w:r w:rsidRPr="008E19A9">
        <w:t>collectivity</w:t>
      </w:r>
      <w:proofErr w:type="spellEnd"/>
      <w:r w:rsidRPr="008E19A9">
        <w:t xml:space="preserve"> becomes conscious of itself and binds itself to a moral order. Ritual matters because it gathers people, intensifies feeling, renews attachment, and marks out what must be treated as more than ordinary. In moments of what Durkheim called </w:t>
      </w:r>
      <w:r w:rsidRPr="008E19A9">
        <w:rPr>
          <w:i/>
          <w:iCs/>
        </w:rPr>
        <w:t>collective effervescence</w:t>
      </w:r>
      <w:r w:rsidRPr="008E19A9">
        <w:t>, assembled participants are swept up into a heightened shared intensity and experience a force greater than themselves; his argument is that this force is at once sacred and social (Durkheim</w:t>
      </w:r>
      <w:r>
        <w:t xml:space="preserve"> </w:t>
      </w:r>
      <w:r w:rsidRPr="008E19A9">
        <w:t>1995, pp. 217–218, 220). Religion does not merely reflect a group already in existence. It helps produce the bonds, distinctions, and shared intensities through which a group becomes real to itself.</w:t>
      </w:r>
    </w:p>
    <w:p w14:paraId="451E3919" w14:textId="0C10BC85" w:rsidR="004C61BA" w:rsidRDefault="004C61BA" w:rsidP="00F3549B">
      <w:pPr>
        <w:jc w:val="both"/>
      </w:pPr>
      <w:r>
        <w:t>CHANGE SLIDE</w:t>
      </w:r>
    </w:p>
    <w:p w14:paraId="554CA16B" w14:textId="77777777" w:rsidR="004C61BA" w:rsidRPr="00F3549B" w:rsidRDefault="004C61BA" w:rsidP="00F3549B">
      <w:pPr>
        <w:jc w:val="both"/>
      </w:pPr>
    </w:p>
    <w:p w14:paraId="1A083838" w14:textId="352C2DFB" w:rsidR="00F3549B" w:rsidRDefault="00F3549B" w:rsidP="00F3549B">
      <w:pPr>
        <w:jc w:val="both"/>
      </w:pPr>
      <w:r w:rsidRPr="00F3549B">
        <w:t>Bronis</w:t>
      </w:r>
      <w:r w:rsidR="00F95A89">
        <w:t>l</w:t>
      </w:r>
      <w:r w:rsidRPr="00F3549B">
        <w:t xml:space="preserve">aw </w:t>
      </w:r>
      <w:r w:rsidR="00805D67" w:rsidRPr="00805D67">
        <w:t>Malinowski took the question in a more practical direction. Working in the Trobriand Islands, he argued that magic and ritual were not random survivals from a primitive past, nor evidence that people lacked technical knowledge; they appeared most strongly where danger and uncertainty remained built into the task itself (Malinowski, 1948, pp. 29–30). His well-known contrast is between lagoon fishing and fishing on the open sea: where outcomes were relatively predictable and skill gave people control, magic was limited, but where risk, exposure, and uncertainty increased, ritual became much more elaborate. The same logic appeared in gardening, where spells and rites accompanied labour at precisely the points where effort alone could not guarantee fertility or yield (Malinowski, 1935). The underlying claim is a strong one. Magic does not replace practical action; it operates alongside it. Technical knowledge addresses what can be controlled, while ritual addresses what cannot. Religion and magic, in this account, belong to the practical problem of acting in a world where knowledge is never complete and success is never fully secure. They help produce confidence, organise expectation, and make action possible in the face of contingency</w:t>
      </w:r>
      <w:r w:rsidRPr="00F3549B">
        <w:t>.</w:t>
      </w:r>
    </w:p>
    <w:p w14:paraId="270D3BF8" w14:textId="77777777" w:rsidR="005A2F07" w:rsidRPr="00F3549B" w:rsidRDefault="005A2F07" w:rsidP="00F3549B">
      <w:pPr>
        <w:jc w:val="both"/>
      </w:pPr>
    </w:p>
    <w:p w14:paraId="5722A77B" w14:textId="0950ED61" w:rsidR="00C203CA" w:rsidRDefault="009A4D4C" w:rsidP="00F3549B">
      <w:pPr>
        <w:jc w:val="both"/>
      </w:pPr>
      <w:r w:rsidRPr="009A4D4C">
        <w:t>Malinowski had already shifted attention toward what religion and magic do under conditions of uncertainty. Evans-Pritchard took the next step by insisting that such practices also had to be understood as forms of reasoning within a social world, not merely as emotional support in the face of risk. Working among the Azande</w:t>
      </w:r>
      <w:r>
        <w:t xml:space="preserve"> </w:t>
      </w:r>
      <w:r w:rsidR="00C203CA">
        <w:t xml:space="preserve">of what is now South Sudan </w:t>
      </w:r>
      <w:r w:rsidR="000614D5" w:rsidRPr="000614D5">
        <w:t>he argued that witchcraft belonged to a wider moral and explanatory order through which misfortune, accusation, and responsibility became intelligible (Evans-Pritchard, 1937, pp. 18–32).</w:t>
      </w:r>
      <w:r w:rsidR="000614D5">
        <w:t xml:space="preserve"> </w:t>
      </w:r>
      <w:r w:rsidR="00415842" w:rsidRPr="00415842">
        <w:t>Religion and related practices could no longer be treated either as survivals from an earlier stage of thought or only as emotional support in the face of risk. They had to be approached as serious ways of making sense of events, action, and responsibility within particular social worlds.</w:t>
      </w:r>
    </w:p>
    <w:p w14:paraId="6DD8F9C0" w14:textId="77777777" w:rsidR="000614D5" w:rsidRPr="00F3549B" w:rsidRDefault="000614D5" w:rsidP="00F3549B">
      <w:pPr>
        <w:jc w:val="both"/>
      </w:pPr>
    </w:p>
    <w:p w14:paraId="0CB9755F" w14:textId="4004AD66" w:rsidR="002B6521" w:rsidRDefault="008362B8" w:rsidP="008362B8">
      <w:pPr>
        <w:jc w:val="both"/>
      </w:pPr>
      <w:r w:rsidRPr="008362B8">
        <w:t>What changed was not only anthropology’s view of religion, but the terms in which religion could be studied at all. Religion no longer served as evidence of supposed civilisational level. It became a way of investigating how collective life is organised, how uncertainty is managed, how causality is interpreted, and how suffering, accusation, and obligation are made intelligible within particular worlds. Durkheim, Malinowski, and Evans-Pritchard each helped produce that shift, moving the anthropology of religion away from evolutionary ranking and toward social form, practice, and explanation.</w:t>
      </w:r>
    </w:p>
    <w:p w14:paraId="145EB705" w14:textId="77777777" w:rsidR="008362B8" w:rsidRDefault="008362B8" w:rsidP="004F506F"/>
    <w:p w14:paraId="657F58BB" w14:textId="6A2AF4E8" w:rsidR="004F506F" w:rsidRDefault="00313263" w:rsidP="004F506F">
      <w:r>
        <w:pict w14:anchorId="617BEC73">
          <v:rect id="_x0000_i1029" style="width:0;height:1.5pt" o:hralign="center" o:hrstd="t" o:hr="t" fillcolor="#a0a0a0" stroked="f"/>
        </w:pict>
      </w:r>
    </w:p>
    <w:p w14:paraId="2C697CEE" w14:textId="60033620" w:rsidR="00F4533F" w:rsidRDefault="004F506F" w:rsidP="00AB0BC7">
      <w:pPr>
        <w:pStyle w:val="Heading3"/>
        <w:jc w:val="both"/>
      </w:pPr>
      <w:r>
        <w:t xml:space="preserve">4. </w:t>
      </w:r>
      <w:r w:rsidR="007F050E" w:rsidRPr="00F23D56">
        <w:t xml:space="preserve">Transition </w:t>
      </w:r>
      <w:r w:rsidR="00E63764">
        <w:t>and</w:t>
      </w:r>
      <w:r w:rsidR="007F050E" w:rsidRPr="00F23D56">
        <w:t xml:space="preserve"> Foundations</w:t>
      </w:r>
    </w:p>
    <w:p w14:paraId="000FA053" w14:textId="2AB5BFCF" w:rsidR="00DF4D4E" w:rsidRDefault="00B47343" w:rsidP="00DF4D4E">
      <w:pPr>
        <w:jc w:val="both"/>
      </w:pPr>
      <w:r w:rsidRPr="00B47343">
        <w:t>The real problem is not how to define religion in the abstract, but where to find it in social life. Anthropology does not look only to doctrine or statements of belief. It looks for religion where it becomes socially and existentially tangible: in action, classification, obligation, causality, authority, and the wider organisation of experience. In other words, religion becomes anthropologically visible where it is enacted, organised, and made consequential in social life.</w:t>
      </w:r>
    </w:p>
    <w:p w14:paraId="246F1BF9" w14:textId="77777777" w:rsidR="00B47343" w:rsidRPr="00DF4D4E" w:rsidRDefault="00B47343" w:rsidP="00DF4D4E">
      <w:pPr>
        <w:jc w:val="both"/>
      </w:pPr>
    </w:p>
    <w:p w14:paraId="52DAFCCB" w14:textId="71195DE9" w:rsidR="00DF4D4E" w:rsidRDefault="00DF4D4E" w:rsidP="00DF4D4E">
      <w:pPr>
        <w:jc w:val="both"/>
      </w:pPr>
      <w:r w:rsidRPr="00DF4D4E">
        <w:t>Religion is lived before it is defined. Most people do not encounter it first as a theory</w:t>
      </w:r>
      <w:r w:rsidR="00B37044">
        <w:t xml:space="preserve"> or doctrine to be believed in</w:t>
      </w:r>
      <w:r w:rsidRPr="00DF4D4E">
        <w:t>. They encounter it in practice: in prayer, mourning, fasting, blessing, sacrifice, pilgrimage, discipline, prohibition, obligation, and the repeated handling of bodies, objects, words, and times. Religious life is woven into the ordinary organisation of social existence. It enters family life, public authority, moral judgement, responses to illness and death, and the everyday learning of what counts as danger, virtue, transgression, and repair.</w:t>
      </w:r>
    </w:p>
    <w:p w14:paraId="407B77E3" w14:textId="77777777" w:rsidR="00DF4D4E" w:rsidRPr="00DF4D4E" w:rsidRDefault="00DF4D4E" w:rsidP="00DF4D4E">
      <w:pPr>
        <w:jc w:val="both"/>
      </w:pPr>
    </w:p>
    <w:p w14:paraId="6520B5C0" w14:textId="058C873B" w:rsidR="00DF4D4E" w:rsidRDefault="00764AEA" w:rsidP="00DF4D4E">
      <w:pPr>
        <w:jc w:val="both"/>
      </w:pPr>
      <w:r w:rsidRPr="00764AEA">
        <w:t>Religion is ritualised because it takes form through patterned, repeated, and socially recognisable action. Prayer, mourning, fasting, blessing, sacrifice, pilgrimage, and prohibition are not secondary expressions added onto an already complete belief system. They are among the means by which religious life is enacted, authorised, and made consequential. Ritual marks occasions off from ordinary time, gives action a formal sequence, and places bodies, words, and objects under special conditions. It is one of the ways religion becomes publicly visible and socially binding.</w:t>
      </w:r>
    </w:p>
    <w:p w14:paraId="3B6042DD" w14:textId="77777777" w:rsidR="00764AEA" w:rsidRPr="00DF4D4E" w:rsidRDefault="00764AEA" w:rsidP="00DF4D4E">
      <w:pPr>
        <w:jc w:val="both"/>
      </w:pPr>
    </w:p>
    <w:p w14:paraId="25F82370" w14:textId="2FDE4DC4" w:rsidR="00DF4D4E" w:rsidRDefault="006D4164" w:rsidP="00DF4D4E">
      <w:pPr>
        <w:jc w:val="both"/>
      </w:pPr>
      <w:r w:rsidRPr="006D4164">
        <w:t>Religion is symbolic because it gathers large orders of meaning into forms that can be inhabited. As Geertz put it, religion is “a system of symbols” that establishes powerful, pervasive, and long-lasting moods and motivations by giving an account of the general order of existence and making that order feel compellingly real (Geertz, 1973, p. 90).</w:t>
      </w:r>
      <w:r w:rsidR="00DF4D4E" w:rsidRPr="00DF4D4E">
        <w:t xml:space="preserve"> A sacred object, a repeated phrase, a pure substance, a protected place: these are not ornaments added to social life. They condense meanings, affects, obligations, and assumptions about the world.</w:t>
      </w:r>
    </w:p>
    <w:p w14:paraId="1BD04D9C" w14:textId="77777777" w:rsidR="00DF4D4E" w:rsidRPr="00DF4D4E" w:rsidRDefault="00DF4D4E" w:rsidP="00DF4D4E">
      <w:pPr>
        <w:jc w:val="both"/>
      </w:pPr>
    </w:p>
    <w:p w14:paraId="0421DE05" w14:textId="016B231D" w:rsidR="00F86DDE" w:rsidRPr="00F86DDE" w:rsidRDefault="00F86DDE" w:rsidP="00F86DDE">
      <w:pPr>
        <w:jc w:val="both"/>
      </w:pPr>
      <w:r w:rsidRPr="00F86DDE">
        <w:t>Religion is relational because it binds persons to gods, spirits, ancestors, institutions, and one another. It links the living to the dead, the pure to the impure, the protected to the exposed, the ordinary to the exceptional. Asad argues that religion cannot be reduced to private belief alone, because it is also learned in practice and sustained through forms of discipline and obedience (Asad, 1993). That matters because it shifts analysis away from belief on its own and toward the concrete relations, rules, and authorities through which religious life is made durable.</w:t>
      </w:r>
    </w:p>
    <w:p w14:paraId="5227DEFE" w14:textId="77777777" w:rsidR="00DF4D4E" w:rsidRPr="00DF4D4E" w:rsidRDefault="00DF4D4E" w:rsidP="00DF4D4E">
      <w:pPr>
        <w:jc w:val="both"/>
      </w:pPr>
    </w:p>
    <w:p w14:paraId="36133B7D" w14:textId="08282202" w:rsidR="00DF4D4E" w:rsidRDefault="000F2D56" w:rsidP="00DF4D4E">
      <w:pPr>
        <w:jc w:val="both"/>
      </w:pPr>
      <w:r w:rsidRPr="000F2D56">
        <w:t xml:space="preserve">Religion is explanatory because it addresses not only what happened, but why it happened here, now, to these people, under these conditions. A death, a failed harvest, a dangerous journey, a run of bad luck, or an unexpected recovery may all have immediate material causes, but religious explanation often asks a different kind of question. It asks how an event fits into a wider moral and cosmological order. </w:t>
      </w:r>
      <w:r w:rsidR="006E09B7" w:rsidRPr="006E09B7">
        <w:t>Under conditions of risk, Malinowski argues, uncertainty generates not only anxiety but a demand for interpretation (Malinowski, 1948, pp. 29–30).</w:t>
      </w:r>
      <w:r w:rsidR="006E09B7">
        <w:t xml:space="preserve"> </w:t>
      </w:r>
      <w:r w:rsidR="008F29B1" w:rsidRPr="008F29B1">
        <w:t>Religion becomes explanatory where events such as illness, loss, danger, or sudden success are not left as simple occurrences, but are drawn into questions of cause, meaning, and responsibility.</w:t>
      </w:r>
    </w:p>
    <w:p w14:paraId="66380700" w14:textId="77777777" w:rsidR="000F2D56" w:rsidRPr="00DF4D4E" w:rsidRDefault="000F2D56" w:rsidP="00DF4D4E">
      <w:pPr>
        <w:jc w:val="both"/>
      </w:pPr>
    </w:p>
    <w:p w14:paraId="55DB03DC" w14:textId="5FBDE376" w:rsidR="00F4533F" w:rsidRDefault="00DF4D4E" w:rsidP="00F4533F">
      <w:pPr>
        <w:jc w:val="both"/>
      </w:pPr>
      <w:r w:rsidRPr="00DF4D4E">
        <w:t xml:space="preserve">That is why the lecture now turns to ritual, witchcraft, and occult economy. They are not random examples. Ritual brings religion into view as collective process and transformation. Witchcraft brings it into view as moralised causality and accusation. </w:t>
      </w:r>
      <w:r w:rsidR="00717830">
        <w:t xml:space="preserve">The idea of </w:t>
      </w:r>
      <w:r w:rsidR="00980B8D">
        <w:t>o</w:t>
      </w:r>
      <w:r w:rsidRPr="00DF4D4E">
        <w:t xml:space="preserve">ccult economy brings </w:t>
      </w:r>
      <w:r w:rsidR="00980B8D">
        <w:t>the religious</w:t>
      </w:r>
      <w:r w:rsidRPr="00DF4D4E">
        <w:t xml:space="preserve"> into view as an interpretation of wealth, hidden force, and uncertainty in modern life. Together they </w:t>
      </w:r>
      <w:r w:rsidR="00980B8D">
        <w:t xml:space="preserve">help </w:t>
      </w:r>
      <w:r w:rsidRPr="00DF4D4E">
        <w:t xml:space="preserve">make religion </w:t>
      </w:r>
      <w:r w:rsidR="00980B8D">
        <w:t xml:space="preserve">analytically </w:t>
      </w:r>
      <w:r w:rsidRPr="00DF4D4E">
        <w:t xml:space="preserve">visible not </w:t>
      </w:r>
      <w:r w:rsidR="00980B8D">
        <w:t xml:space="preserve">just </w:t>
      </w:r>
      <w:r w:rsidRPr="00DF4D4E">
        <w:t xml:space="preserve">as an abstract </w:t>
      </w:r>
      <w:r w:rsidR="00980B8D">
        <w:t xml:space="preserve">academic </w:t>
      </w:r>
      <w:r w:rsidRPr="00DF4D4E">
        <w:t>category, but as something lived, enacted, interpreted, and socially consequential</w:t>
      </w:r>
      <w:r w:rsidR="00F4533F">
        <w:t>.</w:t>
      </w:r>
    </w:p>
    <w:p w14:paraId="5CC7B8E3" w14:textId="77777777" w:rsidR="00F4533F" w:rsidRPr="00F23D56" w:rsidRDefault="00F4533F" w:rsidP="00F4533F">
      <w:pPr>
        <w:jc w:val="both"/>
      </w:pPr>
    </w:p>
    <w:p w14:paraId="1B9102D0" w14:textId="77777777" w:rsidR="007F050E" w:rsidRPr="00F23D56" w:rsidRDefault="00313263" w:rsidP="003C3731">
      <w:pPr>
        <w:jc w:val="both"/>
      </w:pPr>
      <w:r>
        <w:pict w14:anchorId="3462C536">
          <v:rect id="_x0000_i1030" style="width:0;height:1.5pt" o:hralign="center" o:hrstd="t" o:hr="t" fillcolor="#a0a0a0" stroked="f"/>
        </w:pict>
      </w:r>
    </w:p>
    <w:p w14:paraId="2525A242" w14:textId="49FD2727" w:rsidR="007F050E" w:rsidRPr="00F23D56" w:rsidRDefault="00E63764" w:rsidP="003C3731">
      <w:pPr>
        <w:pStyle w:val="Heading2"/>
        <w:jc w:val="both"/>
      </w:pPr>
      <w:r w:rsidRPr="00F23D56">
        <w:t>0:</w:t>
      </w:r>
      <w:r w:rsidR="00755033">
        <w:t>30</w:t>
      </w:r>
      <w:r w:rsidRPr="00F23D56">
        <w:t>–0:</w:t>
      </w:r>
      <w:r w:rsidR="00BB7B49">
        <w:t>5</w:t>
      </w:r>
      <w:r w:rsidRPr="00F23D56">
        <w:t>0</w:t>
      </w:r>
      <w:r>
        <w:t xml:space="preserve">: </w:t>
      </w:r>
      <w:r w:rsidR="007F050E" w:rsidRPr="00F23D56">
        <w:t xml:space="preserve">PART </w:t>
      </w:r>
      <w:r w:rsidR="00187B5C">
        <w:t>2</w:t>
      </w:r>
      <w:r w:rsidR="007F050E" w:rsidRPr="00F23D56">
        <w:t xml:space="preserve"> —</w:t>
      </w:r>
      <w:r w:rsidR="004037A1">
        <w:t xml:space="preserve"> </w:t>
      </w:r>
      <w:r w:rsidR="007F050E" w:rsidRPr="00F23D56">
        <w:t>RITUAL AND SYMBOL (TURNER)</w:t>
      </w:r>
    </w:p>
    <w:p w14:paraId="2FCE7666" w14:textId="77777777" w:rsidR="007F050E" w:rsidRDefault="00313263" w:rsidP="003C3731">
      <w:pPr>
        <w:jc w:val="both"/>
        <w:rPr>
          <w:b/>
          <w:bCs/>
        </w:rPr>
      </w:pPr>
      <w:r>
        <w:pict w14:anchorId="4C3467C8">
          <v:rect id="_x0000_i1031" style="width:0;height:1.5pt" o:hralign="center" o:hrstd="t" o:hr="t" fillcolor="#a0a0a0" stroked="f"/>
        </w:pict>
      </w:r>
    </w:p>
    <w:p w14:paraId="1EA0F848" w14:textId="25DC6B54" w:rsidR="007F050E" w:rsidRPr="00F23D56" w:rsidRDefault="00E63764" w:rsidP="003C3731">
      <w:pPr>
        <w:pStyle w:val="Heading3"/>
        <w:jc w:val="both"/>
      </w:pPr>
      <w:r>
        <w:t>1.</w:t>
      </w:r>
      <w:r w:rsidR="007F050E" w:rsidRPr="00F23D56">
        <w:t xml:space="preserve"> Ritual as Process</w:t>
      </w:r>
    </w:p>
    <w:p w14:paraId="3032F1D4" w14:textId="031C35BD" w:rsidR="00933F5C" w:rsidRDefault="006C018F" w:rsidP="00933F5C">
      <w:pPr>
        <w:jc w:val="both"/>
      </w:pPr>
      <w:r>
        <w:t xml:space="preserve">It is </w:t>
      </w:r>
      <w:r w:rsidR="00CD5B0E">
        <w:t>with</w:t>
      </w:r>
      <w:r>
        <w:t>in</w:t>
      </w:r>
      <w:r w:rsidR="00CD5B0E">
        <w:t xml:space="preserve"> r</w:t>
      </w:r>
      <w:r w:rsidRPr="006C018F">
        <w:t>itual</w:t>
      </w:r>
      <w:r w:rsidR="00CD5B0E">
        <w:t xml:space="preserve"> practice</w:t>
      </w:r>
      <w:r w:rsidRPr="006C018F">
        <w:t xml:space="preserve"> </w:t>
      </w:r>
      <w:r w:rsidR="00CD5B0E">
        <w:t>that</w:t>
      </w:r>
      <w:r w:rsidRPr="006C018F">
        <w:t xml:space="preserve"> religion becomes </w:t>
      </w:r>
      <w:r w:rsidRPr="00CD5B0E">
        <w:t>publicly observable as action</w:t>
      </w:r>
      <w:r w:rsidRPr="006C018F">
        <w:t xml:space="preserve"> rather than remaining at the level of inward conviction or abstract definition.</w:t>
      </w:r>
      <w:r w:rsidR="00CD5B0E">
        <w:t xml:space="preserve"> </w:t>
      </w:r>
      <w:r w:rsidR="00933F5C" w:rsidRPr="00933F5C">
        <w:t xml:space="preserve">A birth, </w:t>
      </w:r>
      <w:r w:rsidR="00BC1EC7" w:rsidRPr="00933F5C">
        <w:t>death</w:t>
      </w:r>
      <w:r w:rsidR="00BC1EC7">
        <w:t xml:space="preserve">, </w:t>
      </w:r>
      <w:r w:rsidR="00933F5C" w:rsidRPr="00933F5C">
        <w:t xml:space="preserve">initiation, </w:t>
      </w:r>
      <w:r w:rsidR="00BC1EC7">
        <w:t>or</w:t>
      </w:r>
      <w:r w:rsidR="00933F5C" w:rsidRPr="00933F5C">
        <w:t xml:space="preserve"> marriage, a healing, conversion, </w:t>
      </w:r>
      <w:r w:rsidR="00BC1EC7">
        <w:t xml:space="preserve">or </w:t>
      </w:r>
      <w:r w:rsidR="00933F5C" w:rsidRPr="00933F5C">
        <w:t>public crisis: all of these involve</w:t>
      </w:r>
      <w:r w:rsidR="0087357D">
        <w:t xml:space="preserve"> the</w:t>
      </w:r>
      <w:r w:rsidR="00933F5C" w:rsidRPr="00933F5C">
        <w:t xml:space="preserve"> movement </w:t>
      </w:r>
      <w:r w:rsidR="0087357D">
        <w:t xml:space="preserve">of individuals or groups </w:t>
      </w:r>
      <w:r w:rsidR="00933F5C" w:rsidRPr="00933F5C">
        <w:t xml:space="preserve">from one </w:t>
      </w:r>
      <w:r w:rsidR="0087357D">
        <w:t xml:space="preserve">social </w:t>
      </w:r>
      <w:r w:rsidR="00933F5C" w:rsidRPr="00933F5C">
        <w:t xml:space="preserve">condition </w:t>
      </w:r>
      <w:r w:rsidR="0084023D">
        <w:t xml:space="preserve">or stage </w:t>
      </w:r>
      <w:r w:rsidR="00933F5C" w:rsidRPr="00933F5C">
        <w:t xml:space="preserve">to another. That movement is never purely personal. It </w:t>
      </w:r>
      <w:r w:rsidR="0084023D">
        <w:t xml:space="preserve">always involves others. It always </w:t>
      </w:r>
      <w:r w:rsidR="007C302C">
        <w:t xml:space="preserve">needs </w:t>
      </w:r>
      <w:r w:rsidR="00933F5C" w:rsidRPr="00933F5C">
        <w:t xml:space="preserve">to be </w:t>
      </w:r>
      <w:r w:rsidR="0084023D" w:rsidRPr="00933F5C">
        <w:t xml:space="preserve">socially </w:t>
      </w:r>
      <w:r w:rsidR="00933F5C" w:rsidRPr="00933F5C">
        <w:t xml:space="preserve">recognised, staged, and made real. A person cannot simply decide themselves into a new status. The change has to be </w:t>
      </w:r>
      <w:r w:rsidR="007C302C" w:rsidRPr="00933F5C">
        <w:t xml:space="preserve">socially </w:t>
      </w:r>
      <w:r w:rsidR="00933F5C" w:rsidRPr="00933F5C">
        <w:t>marked.</w:t>
      </w:r>
    </w:p>
    <w:p w14:paraId="52C8DB61" w14:textId="77777777" w:rsidR="0012150D" w:rsidRPr="00933F5C" w:rsidRDefault="0012150D" w:rsidP="00933F5C">
      <w:pPr>
        <w:jc w:val="both"/>
      </w:pPr>
    </w:p>
    <w:p w14:paraId="72F26DFD" w14:textId="55CC53AD" w:rsidR="0045539D" w:rsidRDefault="0045539D" w:rsidP="00933F5C">
      <w:pPr>
        <w:jc w:val="both"/>
      </w:pPr>
      <w:r>
        <w:t>I</w:t>
      </w:r>
      <w:r w:rsidRPr="0045539D">
        <w:t xml:space="preserve">n </w:t>
      </w:r>
      <w:r w:rsidRPr="0045539D">
        <w:rPr>
          <w:i/>
          <w:iCs/>
        </w:rPr>
        <w:t>The Rites of Passage</w:t>
      </w:r>
      <w:r>
        <w:rPr>
          <w:i/>
          <w:iCs/>
        </w:rPr>
        <w:t xml:space="preserve">, </w:t>
      </w:r>
      <w:r w:rsidR="00467C7B">
        <w:t xml:space="preserve">early twentieth century </w:t>
      </w:r>
      <w:r w:rsidRPr="0045539D">
        <w:t>French folklorist and ethnographer</w:t>
      </w:r>
      <w:r w:rsidR="0013079E">
        <w:t>,</w:t>
      </w:r>
      <w:r w:rsidRPr="0045539D">
        <w:t xml:space="preserve"> Arnold van </w:t>
      </w:r>
      <w:proofErr w:type="spellStart"/>
      <w:r w:rsidRPr="0045539D">
        <w:t>Gennep</w:t>
      </w:r>
      <w:proofErr w:type="spellEnd"/>
      <w:r w:rsidR="0013079E">
        <w:t>,</w:t>
      </w:r>
      <w:r>
        <w:t xml:space="preserve"> </w:t>
      </w:r>
      <w:r w:rsidRPr="0045539D">
        <w:t xml:space="preserve">gave ritual analysis one of its </w:t>
      </w:r>
      <w:r w:rsidR="00467C7B">
        <w:t>fundamental continuing</w:t>
      </w:r>
      <w:r w:rsidRPr="0045539D">
        <w:t xml:space="preserve"> frameworks. He argued that major changes of social status are often organised through three linked phases: </w:t>
      </w:r>
      <w:r w:rsidRPr="0013079E">
        <w:rPr>
          <w:i/>
          <w:iCs/>
        </w:rPr>
        <w:t xml:space="preserve">separation, transition, and incorporation </w:t>
      </w:r>
      <w:r w:rsidRPr="0045539D">
        <w:t xml:space="preserve">(van </w:t>
      </w:r>
      <w:proofErr w:type="spellStart"/>
      <w:r w:rsidRPr="0045539D">
        <w:t>Gennep</w:t>
      </w:r>
      <w:proofErr w:type="spellEnd"/>
      <w:r w:rsidRPr="0045539D">
        <w:t xml:space="preserve">, 1960 pp. 10–11). </w:t>
      </w:r>
      <w:r w:rsidRPr="0013079E">
        <w:rPr>
          <w:i/>
          <w:iCs/>
        </w:rPr>
        <w:t>Separation</w:t>
      </w:r>
      <w:r w:rsidRPr="0045539D">
        <w:t xml:space="preserve"> removes a person from an earlier position. </w:t>
      </w:r>
      <w:r w:rsidRPr="0013079E">
        <w:rPr>
          <w:i/>
          <w:iCs/>
        </w:rPr>
        <w:t>Transition</w:t>
      </w:r>
      <w:r w:rsidRPr="0045539D">
        <w:t xml:space="preserve"> is the interval in which the old status has been left behind but the new one is not yet secure. </w:t>
      </w:r>
      <w:r w:rsidRPr="0013079E">
        <w:rPr>
          <w:i/>
          <w:iCs/>
        </w:rPr>
        <w:t>Incorporation</w:t>
      </w:r>
      <w:r w:rsidRPr="0045539D">
        <w:t xml:space="preserve"> brings the person back into social life in a newly recognised condition. </w:t>
      </w:r>
      <w:r w:rsidR="0013079E">
        <w:t>This</w:t>
      </w:r>
      <w:r w:rsidRPr="0045539D">
        <w:t xml:space="preserve"> </w:t>
      </w:r>
      <w:r w:rsidR="00B43B31">
        <w:t xml:space="preserve">allowed for both the specific and comparative </w:t>
      </w:r>
      <w:r w:rsidRPr="0045539D">
        <w:t xml:space="preserve">analyse </w:t>
      </w:r>
      <w:r w:rsidR="00B43B31">
        <w:t xml:space="preserve">of </w:t>
      </w:r>
      <w:r w:rsidRPr="0045539D">
        <w:t xml:space="preserve">ritual </w:t>
      </w:r>
      <w:r w:rsidR="00B43B31">
        <w:t xml:space="preserve">practices </w:t>
      </w:r>
      <w:r w:rsidRPr="0045539D">
        <w:t>as general social form rather than as a collection of isolated ceremonies</w:t>
      </w:r>
      <w:r w:rsidR="00A8046A" w:rsidRPr="0045539D">
        <w:t xml:space="preserve">. </w:t>
      </w:r>
      <w:r w:rsidR="00A8046A">
        <w:t>Take a</w:t>
      </w:r>
      <w:r w:rsidR="00A8046A" w:rsidRPr="004F6AE9">
        <w:t xml:space="preserve"> wedding</w:t>
      </w:r>
      <w:r w:rsidR="00A8046A">
        <w:t>, for example</w:t>
      </w:r>
      <w:r w:rsidR="00A8046A" w:rsidRPr="004F6AE9">
        <w:t xml:space="preserve">. </w:t>
      </w:r>
      <w:r w:rsidR="00A8046A">
        <w:t>The people involved</w:t>
      </w:r>
      <w:r w:rsidR="00A8046A" w:rsidRPr="004F6AE9">
        <w:t xml:space="preserve"> </w:t>
      </w:r>
      <w:r w:rsidR="00A8046A">
        <w:t xml:space="preserve">are </w:t>
      </w:r>
      <w:r w:rsidR="00A8046A" w:rsidRPr="004F6AE9">
        <w:t>no longer unmarried</w:t>
      </w:r>
      <w:r w:rsidR="002D22BF">
        <w:t>, as such</w:t>
      </w:r>
      <w:r w:rsidR="00A8046A" w:rsidRPr="004F6AE9">
        <w:t xml:space="preserve">, but </w:t>
      </w:r>
      <w:r w:rsidR="00A8046A">
        <w:t xml:space="preserve">they are </w:t>
      </w:r>
      <w:r w:rsidR="00A8046A" w:rsidRPr="004F6AE9">
        <w:t xml:space="preserve">not yet fully </w:t>
      </w:r>
      <w:r w:rsidR="00A8046A">
        <w:t xml:space="preserve">socially or legally </w:t>
      </w:r>
      <w:r w:rsidR="00A8046A" w:rsidRPr="004F6AE9">
        <w:t xml:space="preserve">recognised as </w:t>
      </w:r>
      <w:r w:rsidR="002D22BF">
        <w:t xml:space="preserve">properly </w:t>
      </w:r>
      <w:r w:rsidR="00A8046A" w:rsidRPr="004F6AE9">
        <w:t xml:space="preserve">married until </w:t>
      </w:r>
      <w:r w:rsidR="000A08B3">
        <w:t xml:space="preserve">undergoing </w:t>
      </w:r>
      <w:r w:rsidR="00A8046A" w:rsidRPr="004F6AE9">
        <w:t xml:space="preserve">a </w:t>
      </w:r>
      <w:r w:rsidR="00A8046A">
        <w:t xml:space="preserve">ritualised </w:t>
      </w:r>
      <w:r w:rsidR="00A8046A" w:rsidRPr="004F6AE9">
        <w:t xml:space="preserve">sequence of acts </w:t>
      </w:r>
      <w:r w:rsidR="000A08B3">
        <w:t xml:space="preserve">to </w:t>
      </w:r>
      <w:r w:rsidR="00A8046A" w:rsidRPr="004F6AE9">
        <w:t>mark</w:t>
      </w:r>
      <w:r w:rsidR="00A8046A">
        <w:t xml:space="preserve"> </w:t>
      </w:r>
      <w:r w:rsidR="00A8046A" w:rsidRPr="004F6AE9">
        <w:t>the passage</w:t>
      </w:r>
      <w:r w:rsidR="00A8046A">
        <w:t xml:space="preserve"> from one state to another</w:t>
      </w:r>
      <w:r w:rsidR="00A8046A" w:rsidRPr="004F6AE9">
        <w:t>.</w:t>
      </w:r>
      <w:r w:rsidR="00A8046A">
        <w:t xml:space="preserve"> Thus, b</w:t>
      </w:r>
      <w:r w:rsidRPr="0045539D">
        <w:t xml:space="preserve">irth, initiation, marriage, healing, and death </w:t>
      </w:r>
      <w:r w:rsidR="00A8046A">
        <w:t xml:space="preserve">may </w:t>
      </w:r>
      <w:r w:rsidRPr="0045539D">
        <w:t xml:space="preserve">differ in content, but they share the </w:t>
      </w:r>
      <w:r w:rsidR="005834CC">
        <w:t xml:space="preserve">wider social </w:t>
      </w:r>
      <w:r w:rsidRPr="0045539D">
        <w:t>problem of how a person mov</w:t>
      </w:r>
      <w:r w:rsidR="005834CC">
        <w:t>es</w:t>
      </w:r>
      <w:r w:rsidRPr="0045539D">
        <w:t xml:space="preserve"> </w:t>
      </w:r>
      <w:r w:rsidR="000A08B3">
        <w:t>across socially recognised categories</w:t>
      </w:r>
      <w:r w:rsidR="005834CC">
        <w:t>.</w:t>
      </w:r>
      <w:r w:rsidR="004F6AE9" w:rsidRPr="004F6AE9">
        <w:t xml:space="preserve"> </w:t>
      </w:r>
      <w:r w:rsidR="005834CC">
        <w:t xml:space="preserve">Van </w:t>
      </w:r>
      <w:proofErr w:type="spellStart"/>
      <w:r w:rsidR="005834CC">
        <w:t>Gennup’s</w:t>
      </w:r>
      <w:proofErr w:type="spellEnd"/>
      <w:r w:rsidR="005834CC">
        <w:t xml:space="preserve"> enduring </w:t>
      </w:r>
      <w:r w:rsidR="000A08B3">
        <w:t xml:space="preserve">significance is </w:t>
      </w:r>
      <w:r w:rsidR="005834CC">
        <w:t>that r</w:t>
      </w:r>
      <w:r w:rsidRPr="0045539D">
        <w:t>itual addresses that problem by marking the passage in a form others can witness, recognise, and enforce.</w:t>
      </w:r>
    </w:p>
    <w:p w14:paraId="7BD402AC" w14:textId="4A13C17B" w:rsidR="004F6944" w:rsidRDefault="004F6944" w:rsidP="00933F5C">
      <w:pPr>
        <w:jc w:val="both"/>
      </w:pPr>
      <w:r>
        <w:t>CHANGE SLIDE</w:t>
      </w:r>
    </w:p>
    <w:p w14:paraId="3285DECA" w14:textId="77777777" w:rsidR="004F6944" w:rsidRPr="00933F5C" w:rsidRDefault="004F6944" w:rsidP="00933F5C">
      <w:pPr>
        <w:jc w:val="both"/>
      </w:pPr>
    </w:p>
    <w:p w14:paraId="58177807" w14:textId="797BC139" w:rsidR="00933F5C" w:rsidRDefault="009D3767" w:rsidP="00933F5C">
      <w:pPr>
        <w:jc w:val="both"/>
      </w:pPr>
      <w:r w:rsidRPr="009D3767">
        <w:t xml:space="preserve">Victor Turner was a British anthropologist best known for his work on ritual, symbolism, and social process, developed especially through research among the </w:t>
      </w:r>
      <w:proofErr w:type="spellStart"/>
      <w:r w:rsidRPr="009D3767">
        <w:t>Ndembu</w:t>
      </w:r>
      <w:proofErr w:type="spellEnd"/>
      <w:r w:rsidRPr="009D3767">
        <w:t xml:space="preserve"> of what is now Zambia. Building on van </w:t>
      </w:r>
      <w:proofErr w:type="spellStart"/>
      <w:r w:rsidRPr="009D3767">
        <w:t>Gennep’s</w:t>
      </w:r>
      <w:proofErr w:type="spellEnd"/>
      <w:r w:rsidRPr="009D3767">
        <w:t xml:space="preserve"> account of rites of passage, Turner argued that the middle </w:t>
      </w:r>
      <w:r>
        <w:t xml:space="preserve">or </w:t>
      </w:r>
      <w:r w:rsidRPr="009D3767">
        <w:t xml:space="preserve">transition phase of the sequence is often the most socially charged part of the whole process, not a brief interval between two stable states (Turner, 1969, p. 95). He called this </w:t>
      </w:r>
      <w:r w:rsidRPr="00940DE3">
        <w:rPr>
          <w:i/>
          <w:iCs/>
        </w:rPr>
        <w:t>liminality</w:t>
      </w:r>
      <w:r w:rsidRPr="009D3767">
        <w:t xml:space="preserve">, from the Latin </w:t>
      </w:r>
      <w:r w:rsidRPr="009D3767">
        <w:rPr>
          <w:i/>
          <w:iCs/>
        </w:rPr>
        <w:t>limen</w:t>
      </w:r>
      <w:r w:rsidRPr="009D3767">
        <w:t>, meaning threshold. In a liminal condition, people have left one recognised status but have not yet securely entered another.</w:t>
      </w:r>
      <w:r>
        <w:t xml:space="preserve"> </w:t>
      </w:r>
      <w:r w:rsidR="00933F5C" w:rsidRPr="00933F5C">
        <w:t xml:space="preserve">They stand between </w:t>
      </w:r>
      <w:r>
        <w:t>statuses</w:t>
      </w:r>
      <w:r w:rsidR="000F733A">
        <w:t>, a social and ritual position that is at once both dangerous and powerful.</w:t>
      </w:r>
      <w:r w:rsidR="00933F5C" w:rsidRPr="00933F5C">
        <w:t xml:space="preserve"> </w:t>
      </w:r>
      <w:r w:rsidR="000C54DD" w:rsidRPr="000C54DD">
        <w:t>Ordinary markers of rank and identity may be stripped away; clothing, names, routines, and everyday distinctions can be suspended, while participants are secluded, tested, instructed, or subjected to ordeal</w:t>
      </w:r>
      <w:r w:rsidR="00933F5C" w:rsidRPr="00933F5C">
        <w:t xml:space="preserve">. </w:t>
      </w:r>
      <w:r w:rsidR="00404A48" w:rsidRPr="00404A48">
        <w:t>Liminality is the condition of being between recognised social positions, when ordinary classifications no longer fit securely and ritual has to manage the passage through it.</w:t>
      </w:r>
      <w:r w:rsidR="00404A48">
        <w:t xml:space="preserve"> Turner famously called this status “betwixt and between” (</w:t>
      </w:r>
      <w:r w:rsidR="00404A48" w:rsidRPr="009D3767">
        <w:t xml:space="preserve">Turner, 1969, p. </w:t>
      </w:r>
      <w:r w:rsidR="00940DE3">
        <w:t>95</w:t>
      </w:r>
      <w:r w:rsidR="00404A48">
        <w:t>)</w:t>
      </w:r>
      <w:r w:rsidR="00933F5C" w:rsidRPr="00933F5C">
        <w:t>.</w:t>
      </w:r>
    </w:p>
    <w:p w14:paraId="76B7340B" w14:textId="77777777" w:rsidR="00481526" w:rsidRPr="00933F5C" w:rsidRDefault="00481526" w:rsidP="00933F5C">
      <w:pPr>
        <w:jc w:val="both"/>
      </w:pPr>
    </w:p>
    <w:p w14:paraId="4D536C3B" w14:textId="313F913F" w:rsidR="00D71B6E" w:rsidRDefault="002805F0" w:rsidP="000A124D">
      <w:pPr>
        <w:jc w:val="both"/>
      </w:pPr>
      <w:r>
        <w:t xml:space="preserve">Significantly, </w:t>
      </w:r>
      <w:r w:rsidR="00E515F5" w:rsidRPr="00E515F5">
        <w:t xml:space="preserve">Turner did not treat ritual as a static </w:t>
      </w:r>
      <w:r>
        <w:t xml:space="preserve">part of or </w:t>
      </w:r>
      <w:r w:rsidR="00E515F5" w:rsidRPr="00E515F5">
        <w:t>reflection o</w:t>
      </w:r>
      <w:r>
        <w:t>n</w:t>
      </w:r>
      <w:r w:rsidR="00E515F5" w:rsidRPr="00E515F5">
        <w:t xml:space="preserve"> an already settled social order. </w:t>
      </w:r>
      <w:r w:rsidR="00A714FC">
        <w:t>Instead, h</w:t>
      </w:r>
      <w:r w:rsidR="00E515F5" w:rsidRPr="00E515F5">
        <w:t xml:space="preserve">e treated it as </w:t>
      </w:r>
      <w:r>
        <w:t xml:space="preserve">critical </w:t>
      </w:r>
      <w:r w:rsidR="00E515F5" w:rsidRPr="00E515F5">
        <w:t xml:space="preserve">part of </w:t>
      </w:r>
      <w:r>
        <w:t xml:space="preserve">ongoing </w:t>
      </w:r>
      <w:r w:rsidR="00E515F5" w:rsidRPr="00E515F5">
        <w:t>social process</w:t>
      </w:r>
      <w:r>
        <w:t xml:space="preserve"> in which all elements of society get continually remade, </w:t>
      </w:r>
      <w:r w:rsidR="00E515F5" w:rsidRPr="00E515F5">
        <w:t xml:space="preserve">especially </w:t>
      </w:r>
      <w:r w:rsidR="001B38BE">
        <w:t xml:space="preserve">in those situations in which </w:t>
      </w:r>
      <w:r w:rsidR="00E515F5" w:rsidRPr="00E515F5">
        <w:t xml:space="preserve">persons move between statuses and where crisis forces </w:t>
      </w:r>
      <w:r w:rsidR="001B38BE" w:rsidRPr="00E515F5">
        <w:t xml:space="preserve">visible transformation </w:t>
      </w:r>
      <w:r w:rsidR="001B38BE">
        <w:t xml:space="preserve">within social </w:t>
      </w:r>
      <w:r w:rsidR="00E515F5" w:rsidRPr="00E515F5">
        <w:t xml:space="preserve">relations. </w:t>
      </w:r>
      <w:r w:rsidR="003B2AC8" w:rsidRPr="003B2AC8">
        <w:t>Kapferer stresses that Turner treats ritual as part of social process, especially in moments of crisis and transition, rather than as a simple expression of an already settled social order (Kapferer, 2019, p. 1).</w:t>
      </w:r>
      <w:r w:rsidR="00D22B73">
        <w:t xml:space="preserve"> </w:t>
      </w:r>
      <w:r w:rsidR="001D4EAB" w:rsidRPr="001D4EAB">
        <w:t>Ritual does not simply reflect social life. It provides a controlled setting in which tensions around status, belonging, and transition can be made public, ordinary distinctions can be temporarily loosened, and a person’s new social position can be collectively recognised</w:t>
      </w:r>
      <w:r w:rsidR="00D71B6E" w:rsidRPr="00D71B6E">
        <w:t>.</w:t>
      </w:r>
    </w:p>
    <w:p w14:paraId="56F9CCBE" w14:textId="5667206A" w:rsidR="000A124D" w:rsidRDefault="000A124D" w:rsidP="000A124D">
      <w:pPr>
        <w:jc w:val="both"/>
      </w:pPr>
      <w:r>
        <w:t>CHANGE SLIDE</w:t>
      </w:r>
    </w:p>
    <w:p w14:paraId="1286C32A" w14:textId="77777777" w:rsidR="000A124D" w:rsidRDefault="000A124D" w:rsidP="00933F5C">
      <w:pPr>
        <w:jc w:val="both"/>
      </w:pPr>
    </w:p>
    <w:p w14:paraId="71FA0761" w14:textId="187FBA47" w:rsidR="006F0A62" w:rsidRDefault="009978E3" w:rsidP="00933F5C">
      <w:pPr>
        <w:jc w:val="both"/>
      </w:pPr>
      <w:r w:rsidRPr="009978E3">
        <w:t xml:space="preserve">Within Turner’s theorisation of liminality, communitas is the term he gives to the intense but temporary togetherness that can emerge when ordinary distinctions of status, office, and rank are loosened or suspended through the shared experience of ritual (Turner, 1969, pp. 96–97). In the liminal interval, participants no longer engage one another through their usual social positions but as persons of the same status undergoing the same rite of passage. The importance of communitas is that it shows ritual not only moving an individual from one social category to another but also reorganising relations among those involved by suspending some of the distinctions that ordinarily separate them. Communitas is thus a brief reorganisation of social relations in which hierarchy is relaxed without being abolished. The significance is not that ritual makes </w:t>
      </w:r>
      <w:proofErr w:type="spellStart"/>
      <w:r w:rsidRPr="009978E3">
        <w:t>everyday</w:t>
      </w:r>
      <w:proofErr w:type="spellEnd"/>
      <w:r w:rsidRPr="009978E3">
        <w:t xml:space="preserve"> social structures disappear, but that it can suspend them temporarily in order to allow social transformation.</w:t>
      </w:r>
    </w:p>
    <w:p w14:paraId="7EBC30AB" w14:textId="77777777" w:rsidR="009978E3" w:rsidRPr="00933F5C" w:rsidRDefault="009978E3" w:rsidP="00933F5C">
      <w:pPr>
        <w:jc w:val="both"/>
      </w:pPr>
    </w:p>
    <w:p w14:paraId="0A8DC931" w14:textId="2C63788B" w:rsidR="003C6CB5" w:rsidRDefault="00056C05" w:rsidP="003C3731">
      <w:pPr>
        <w:jc w:val="both"/>
      </w:pPr>
      <w:r w:rsidRPr="00056C05">
        <w:t xml:space="preserve">Symbols are central to ritual because ritual does not work through explanation alone but through forms that carry and organise meaning. A symbol is something materially or publicly present that stands within a wider field of associations and makes those associations available in a condensed form. </w:t>
      </w:r>
      <w:r w:rsidR="00256FA0">
        <w:t>For example, a</w:t>
      </w:r>
      <w:r w:rsidR="00256FA0" w:rsidRPr="00256FA0">
        <w:t xml:space="preserve"> flag is more than a piece of cloth. It condenses ideas of nation, sacrifice, belonging, history, and political authority into a visible object. </w:t>
      </w:r>
      <w:r w:rsidR="00256FA0">
        <w:t>Similarly, a</w:t>
      </w:r>
      <w:r w:rsidR="00256FA0" w:rsidRPr="00256FA0">
        <w:t xml:space="preserve"> crucifix is more than shaped wood or metal. It condenses suffering, sacrifice, redemption, divine presence, and Christian identity into a form that can be displayed, worn, prayed before, or carried in ritual.</w:t>
      </w:r>
      <w:r w:rsidR="00256FA0">
        <w:t xml:space="preserve"> </w:t>
      </w:r>
      <w:r w:rsidRPr="00056C05">
        <w:t>For Turner, ritual symbols bring together several levels of significance at once: bodily, emotional, social, moral, and historical (Turner, 1967, pp. 28–30). A symbol therefore does more than point to something else. It condenses meanings, values, memories, and relations into an act, object, image, substance, or phrase that can be publicly performed and collectively recognised. This is how ritual symbols work. They give social tensions and transitions a visible and shared form, allowing participants to experience and interpret change through materially and emotionally charged signs. That is why ritual can mark crisis, manage uncertainty, produce belonging, and return people to an ordered world.</w:t>
      </w:r>
    </w:p>
    <w:p w14:paraId="705A2D15" w14:textId="77777777" w:rsidR="00056C05" w:rsidRPr="00F23D56" w:rsidRDefault="00056C05" w:rsidP="003C3731">
      <w:pPr>
        <w:jc w:val="both"/>
      </w:pPr>
    </w:p>
    <w:p w14:paraId="35CAFB39" w14:textId="77777777" w:rsidR="007F050E" w:rsidRPr="00F23D56" w:rsidRDefault="00313263" w:rsidP="003C3731">
      <w:pPr>
        <w:jc w:val="both"/>
      </w:pPr>
      <w:r>
        <w:pict w14:anchorId="117E4238">
          <v:rect id="_x0000_i1032" style="width:0;height:1.5pt" o:hralign="center" o:hrstd="t" o:hr="t" fillcolor="#a0a0a0" stroked="f"/>
        </w:pict>
      </w:r>
    </w:p>
    <w:p w14:paraId="47149A37" w14:textId="571623F8" w:rsidR="007F050E" w:rsidRPr="00F23D56" w:rsidRDefault="00E63764" w:rsidP="003C3731">
      <w:pPr>
        <w:pStyle w:val="Heading3"/>
        <w:jc w:val="both"/>
      </w:pPr>
      <w:r>
        <w:t>2.</w:t>
      </w:r>
      <w:r w:rsidR="007F050E" w:rsidRPr="00F23D56">
        <w:t xml:space="preserve"> Critique + Extension</w:t>
      </w:r>
    </w:p>
    <w:p w14:paraId="0AAB411E" w14:textId="71571A00" w:rsidR="00F35489" w:rsidRDefault="00F35489" w:rsidP="00F35489">
      <w:pPr>
        <w:jc w:val="both"/>
      </w:pPr>
      <w:r w:rsidRPr="00F35489">
        <w:t xml:space="preserve">Ritual does not simply gather people into shared meaning. It also organises differentiation. It marks off who may speak, who must submit, who is purified, who remains suspect, who may cross a threshold, and who is stopped at it. That is why ritual cannot be treated as </w:t>
      </w:r>
      <w:r w:rsidR="004D2EAC">
        <w:t xml:space="preserve">solely or </w:t>
      </w:r>
      <w:r w:rsidRPr="00F35489">
        <w:t xml:space="preserve">naturally </w:t>
      </w:r>
      <w:r w:rsidR="004D2EAC">
        <w:t xml:space="preserve">an </w:t>
      </w:r>
      <w:r w:rsidRPr="00F35489">
        <w:t xml:space="preserve">integrative force. </w:t>
      </w:r>
      <w:r w:rsidR="00410CAA">
        <w:t xml:space="preserve">It is for these reasons that </w:t>
      </w:r>
      <w:r w:rsidRPr="00F35489">
        <w:t>Catherine Bell</w:t>
      </w:r>
      <w:r w:rsidR="00410CAA">
        <w:t xml:space="preserve"> </w:t>
      </w:r>
      <w:r w:rsidRPr="00F35489">
        <w:t xml:space="preserve">refuses the idea that ritual is just the symbolic expression of an already existing social order. Ritualisation, for Bell, is a way of acting that produces </w:t>
      </w:r>
      <w:r w:rsidR="00DE1D85">
        <w:t xml:space="preserve">particular </w:t>
      </w:r>
      <w:r w:rsidRPr="00F35489">
        <w:t xml:space="preserve">distinctions, privileges some forms of authority, and makes certain arrangements of power appear natural or self-evident (Bell, 1992). Ritual can therefore create belonging, but it </w:t>
      </w:r>
      <w:r w:rsidR="00DE1D85">
        <w:t>often</w:t>
      </w:r>
      <w:r w:rsidRPr="00F35489">
        <w:t xml:space="preserve"> do</w:t>
      </w:r>
      <w:r w:rsidR="00DE1D85">
        <w:t>es</w:t>
      </w:r>
      <w:r w:rsidRPr="00F35489">
        <w:t xml:space="preserve"> so by sharpening lines of exclusion at the same time.</w:t>
      </w:r>
    </w:p>
    <w:p w14:paraId="5A956599" w14:textId="77777777" w:rsidR="004D2EAC" w:rsidRPr="00F35489" w:rsidRDefault="004D2EAC" w:rsidP="00F35489">
      <w:pPr>
        <w:jc w:val="both"/>
      </w:pPr>
    </w:p>
    <w:p w14:paraId="088C4610" w14:textId="0CC55F2A" w:rsidR="00551374" w:rsidRPr="00551374" w:rsidRDefault="00551374" w:rsidP="00551374">
      <w:pPr>
        <w:jc w:val="both"/>
      </w:pPr>
      <w:r w:rsidRPr="00551374">
        <w:t xml:space="preserve">A second problem follows from this. If ritual is treated mainly as symbol, its disciplinary force is too easily missed. Talal Asad objected to approaches that understand ritual primarily through meaning or belief, because they risk ignoring the ways traditions form subjects through repeated bodily practice, training, and authority (Asad, 1993, pp. 55–79). </w:t>
      </w:r>
      <w:r w:rsidR="00A86B35" w:rsidRPr="00A86B35">
        <w:t>Ritual is not only a matter of assigning meaning to actions after they occur, but of being formed through actions whose repetition trains the body, disciplines conduct, and cultivates particular moral dispositions</w:t>
      </w:r>
      <w:r w:rsidR="00A86B35">
        <w:t>.</w:t>
      </w:r>
      <w:r w:rsidRPr="00551374">
        <w:t xml:space="preserve"> It is </w:t>
      </w:r>
      <w:r w:rsidR="00A86B35">
        <w:t>therefore</w:t>
      </w:r>
      <w:r w:rsidRPr="00551374">
        <w:t xml:space="preserve"> learned, enacted, and embodied</w:t>
      </w:r>
      <w:r w:rsidR="00DF3E78">
        <w:t xml:space="preserve"> </w:t>
      </w:r>
      <w:r w:rsidRPr="00551374">
        <w:t xml:space="preserve">through </w:t>
      </w:r>
      <w:r w:rsidR="00DF3E78">
        <w:t>things like p</w:t>
      </w:r>
      <w:r w:rsidRPr="00551374">
        <w:t xml:space="preserve">osture, speech, timing, sensation, obedience, </w:t>
      </w:r>
      <w:r w:rsidR="00DF3E78">
        <w:t xml:space="preserve">and </w:t>
      </w:r>
      <w:r w:rsidRPr="00551374">
        <w:t>endurance. From this perspective, ritual looks less like collective expression alone and more like a practical means through which moral worlds are inscribed in bodies.</w:t>
      </w:r>
    </w:p>
    <w:p w14:paraId="41657CE7" w14:textId="77777777" w:rsidR="000A124D" w:rsidRDefault="000A124D" w:rsidP="000A124D">
      <w:pPr>
        <w:jc w:val="both"/>
      </w:pPr>
      <w:r>
        <w:t>CHANGE SLIDE</w:t>
      </w:r>
    </w:p>
    <w:p w14:paraId="2637AFF1" w14:textId="77777777" w:rsidR="000A124D" w:rsidRPr="00F35489" w:rsidRDefault="000A124D" w:rsidP="00F35489">
      <w:pPr>
        <w:jc w:val="both"/>
      </w:pPr>
    </w:p>
    <w:p w14:paraId="4FFA046A" w14:textId="6EEF72D5" w:rsidR="00E64A47" w:rsidRPr="00E64A47" w:rsidRDefault="007C0C23" w:rsidP="00E64A47">
      <w:pPr>
        <w:jc w:val="both"/>
      </w:pPr>
      <w:r w:rsidRPr="007C0C23">
        <w:t xml:space="preserve">Seeing ritual as discipline rather than symbol alone also clarifies why </w:t>
      </w:r>
      <w:r>
        <w:t>both ritual specifically and religion more broadly</w:t>
      </w:r>
      <w:r w:rsidRPr="007C0C23">
        <w:t xml:space="preserve"> </w:t>
      </w:r>
      <w:r>
        <w:t>can so easily</w:t>
      </w:r>
      <w:r w:rsidRPr="007C0C23">
        <w:t xml:space="preserve"> legitimise violence rather than merely contain</w:t>
      </w:r>
      <w:r>
        <w:t>ing</w:t>
      </w:r>
      <w:r w:rsidRPr="007C0C23">
        <w:t xml:space="preserve"> danger</w:t>
      </w:r>
      <w:r>
        <w:t xml:space="preserve">. Indeed, </w:t>
      </w:r>
      <w:r w:rsidR="00E64A47" w:rsidRPr="00E64A47">
        <w:t xml:space="preserve">Bloch argues that ritual can </w:t>
      </w:r>
      <w:r>
        <w:t xml:space="preserve">easily </w:t>
      </w:r>
      <w:r w:rsidR="00E64A47" w:rsidRPr="00E64A47">
        <w:t>convert historically produced power into something that appears timeless, necessary, and morally protected</w:t>
      </w:r>
      <w:r>
        <w:t xml:space="preserve"> </w:t>
      </w:r>
      <w:r w:rsidR="00E64A47" w:rsidRPr="00E64A47">
        <w:t>(Bloch, 1986). It can raise authority above ordinary contestation, place persons within relations they have not chosen, and present domination as part of a sacred or ancestral order rather than as politics. Ritual, then, cannot be romanticised as harmony. It can console, but it can also command. It can bind, but it can also subordinate.</w:t>
      </w:r>
    </w:p>
    <w:p w14:paraId="60E3C638" w14:textId="77777777" w:rsidR="00DF3E78" w:rsidRPr="00F35489" w:rsidRDefault="00DF3E78" w:rsidP="00F35489">
      <w:pPr>
        <w:jc w:val="both"/>
      </w:pPr>
    </w:p>
    <w:p w14:paraId="03C73EF7" w14:textId="56C658A4" w:rsidR="006B171A" w:rsidRDefault="000C5A80" w:rsidP="003C3731">
      <w:pPr>
        <w:jc w:val="both"/>
      </w:pPr>
      <w:r w:rsidRPr="000C5A80">
        <w:t>Those criticisms are not only theoretical. In the present, ritual continues to organise belonging, authority, and exclusion. Nationalist rallies are ritualised forms of collective action that produce solidarity by publicly marking who does and does not belong. Public mourning rituals do more than express grief; they rank lives and deaths, making some losses visible as collective tragedy while others pass with little recognition. Healing crusades and digital worship likewise show that ritual has not disappeared under modern conditions but adapted to new media, new publics, and new forms of authority. Ritual therefore does more than symbolise. It organises bodies, authorises power, and gives social distinctions a public form</w:t>
      </w:r>
      <w:r>
        <w:t>.</w:t>
      </w:r>
    </w:p>
    <w:p w14:paraId="41DB05E9" w14:textId="77777777" w:rsidR="000C5A80" w:rsidRPr="00F23D56" w:rsidRDefault="000C5A80" w:rsidP="003C3731">
      <w:pPr>
        <w:jc w:val="both"/>
      </w:pPr>
    </w:p>
    <w:p w14:paraId="2556A15D" w14:textId="77777777" w:rsidR="007F050E" w:rsidRPr="00F23D56" w:rsidRDefault="00313263" w:rsidP="003C3731">
      <w:pPr>
        <w:jc w:val="both"/>
      </w:pPr>
      <w:r>
        <w:pict w14:anchorId="33BF1AA9">
          <v:rect id="_x0000_i1033" style="width:0;height:1.5pt" o:hralign="center" o:hrstd="t" o:hr="t" fillcolor="#a0a0a0" stroked="f"/>
        </w:pict>
      </w:r>
    </w:p>
    <w:p w14:paraId="0779413C" w14:textId="02EE4AB8" w:rsidR="007F050E" w:rsidRPr="00F23D56" w:rsidRDefault="00E63764" w:rsidP="003C3731">
      <w:pPr>
        <w:pStyle w:val="Heading3"/>
        <w:jc w:val="both"/>
      </w:pPr>
      <w:r>
        <w:t>3.</w:t>
      </w:r>
      <w:r w:rsidR="007F050E" w:rsidRPr="00F23D56">
        <w:t xml:space="preserve"> </w:t>
      </w:r>
      <w:r w:rsidR="008E07E1">
        <w:t>Transition</w:t>
      </w:r>
    </w:p>
    <w:p w14:paraId="0AB73A45" w14:textId="77777777" w:rsidR="00614C78" w:rsidRPr="00614C78" w:rsidRDefault="00614C78" w:rsidP="00614C78">
      <w:pPr>
        <w:jc w:val="both"/>
      </w:pPr>
      <w:r w:rsidRPr="00614C78">
        <w:t>Ritual gives crisis a form. It marks dangerous passages, orders uncertainty, and makes transformation socially legible.</w:t>
      </w:r>
    </w:p>
    <w:p w14:paraId="32432828" w14:textId="77777777" w:rsidR="00614C78" w:rsidRPr="00614C78" w:rsidRDefault="00614C78" w:rsidP="00614C78">
      <w:pPr>
        <w:jc w:val="both"/>
      </w:pPr>
      <w:r w:rsidRPr="00614C78">
        <w:t>But crisis also generates another kind of question. Not only: how should this be managed? Also: why has this happened here? Why to this person? Why now?</w:t>
      </w:r>
    </w:p>
    <w:p w14:paraId="55685E1F" w14:textId="77777777" w:rsidR="00614C78" w:rsidRPr="00614C78" w:rsidRDefault="00614C78" w:rsidP="00614C78">
      <w:pPr>
        <w:jc w:val="both"/>
      </w:pPr>
      <w:r w:rsidRPr="00614C78">
        <w:t>That is where witchcraft becomes anthropologically central. Witchcraft does not simply name harm. It explains the social and moral distribution of harm. It asks why misfortune attaches itself to particular persons within particular relations.</w:t>
      </w:r>
    </w:p>
    <w:p w14:paraId="1FEFB211" w14:textId="77777777" w:rsidR="00614C78" w:rsidRPr="00614C78" w:rsidRDefault="00614C78" w:rsidP="00614C78">
      <w:pPr>
        <w:jc w:val="both"/>
      </w:pPr>
      <w:r w:rsidRPr="00614C78">
        <w:t>Ritual manages crisis.</w:t>
      </w:r>
    </w:p>
    <w:p w14:paraId="03220E21" w14:textId="630DD9CC" w:rsidR="007F050E" w:rsidRDefault="00614C78" w:rsidP="003C3731">
      <w:pPr>
        <w:jc w:val="both"/>
      </w:pPr>
      <w:r w:rsidRPr="00614C78">
        <w:t>Witchcraft explains misfortune</w:t>
      </w:r>
      <w:r w:rsidR="007F050E" w:rsidRPr="00F23D56">
        <w:t>.</w:t>
      </w:r>
    </w:p>
    <w:p w14:paraId="1A2BD61B" w14:textId="77777777" w:rsidR="006B171A" w:rsidRDefault="006B171A" w:rsidP="003C3731">
      <w:pPr>
        <w:jc w:val="both"/>
      </w:pPr>
    </w:p>
    <w:p w14:paraId="4D732CFB" w14:textId="1BF760F8" w:rsidR="00187B5C" w:rsidRDefault="00313263" w:rsidP="003C3731">
      <w:pPr>
        <w:jc w:val="both"/>
      </w:pPr>
      <w:r>
        <w:pict w14:anchorId="6A7EC278">
          <v:rect id="_x0000_i1034" style="width:0;height:1.5pt" o:hralign="center" o:hrstd="t" o:hr="t" fillcolor="#a0a0a0" stroked="f"/>
        </w:pict>
      </w:r>
    </w:p>
    <w:p w14:paraId="23896F47" w14:textId="2D2D83DE" w:rsidR="00187B5C" w:rsidRPr="00F23D56" w:rsidRDefault="00187B5C" w:rsidP="003C3731">
      <w:pPr>
        <w:pStyle w:val="Heading2"/>
        <w:jc w:val="both"/>
      </w:pPr>
      <w:r>
        <w:t xml:space="preserve">BREAK </w:t>
      </w:r>
      <w:r w:rsidRPr="00F23D56">
        <w:t>0:</w:t>
      </w:r>
      <w:r w:rsidR="00BB7B49">
        <w:t>5</w:t>
      </w:r>
      <w:r w:rsidRPr="00F23D56">
        <w:t>0–0:</w:t>
      </w:r>
      <w:r w:rsidR="00BB7B49">
        <w:t>5</w:t>
      </w:r>
      <w:r w:rsidRPr="00F23D56">
        <w:t>5</w:t>
      </w:r>
    </w:p>
    <w:p w14:paraId="4C84C4C1" w14:textId="77777777" w:rsidR="007F050E" w:rsidRPr="00F23D56" w:rsidRDefault="00313263" w:rsidP="003C3731">
      <w:pPr>
        <w:jc w:val="both"/>
      </w:pPr>
      <w:r>
        <w:pict w14:anchorId="456EA7B3">
          <v:rect id="_x0000_i1035" style="width:0;height:1.5pt" o:hralign="center" o:hrstd="t" o:hr="t" fillcolor="#a0a0a0" stroked="f"/>
        </w:pict>
      </w:r>
    </w:p>
    <w:p w14:paraId="1C7D05DF" w14:textId="0CF3FEC6" w:rsidR="007F050E" w:rsidRPr="00F23D56" w:rsidRDefault="001123D8" w:rsidP="003C3731">
      <w:pPr>
        <w:pStyle w:val="Heading2"/>
        <w:jc w:val="both"/>
      </w:pPr>
      <w:r w:rsidRPr="00F23D56">
        <w:t>0:</w:t>
      </w:r>
      <w:r w:rsidR="00BB7B49">
        <w:t>5</w:t>
      </w:r>
      <w:r>
        <w:t>5</w:t>
      </w:r>
      <w:r w:rsidRPr="00F23D56">
        <w:t>–</w:t>
      </w:r>
      <w:r w:rsidR="00A856F4">
        <w:t>1</w:t>
      </w:r>
      <w:r w:rsidRPr="00F23D56">
        <w:t>:</w:t>
      </w:r>
      <w:r w:rsidR="00A856F4">
        <w:t>15</w:t>
      </w:r>
      <w:r>
        <w:t xml:space="preserve">: </w:t>
      </w:r>
      <w:r w:rsidR="007F050E" w:rsidRPr="00F23D56">
        <w:t xml:space="preserve">PART </w:t>
      </w:r>
      <w:r w:rsidR="00187B5C">
        <w:t>3</w:t>
      </w:r>
      <w:r w:rsidR="007F050E" w:rsidRPr="00F23D56">
        <w:t xml:space="preserve"> — EVANS-PRITCHARD &amp; WITCHCRAFT</w:t>
      </w:r>
    </w:p>
    <w:p w14:paraId="0356F9C2" w14:textId="77777777" w:rsidR="007F050E" w:rsidRDefault="00313263" w:rsidP="003C3731">
      <w:pPr>
        <w:jc w:val="both"/>
        <w:rPr>
          <w:b/>
          <w:bCs/>
        </w:rPr>
      </w:pPr>
      <w:r>
        <w:pict w14:anchorId="412463DB">
          <v:rect id="_x0000_i1036" style="width:0;height:1.5pt" o:hralign="center" o:hrstd="t" o:hr="t" fillcolor="#a0a0a0" stroked="f"/>
        </w:pict>
      </w:r>
    </w:p>
    <w:p w14:paraId="50985EF9" w14:textId="1280E17D" w:rsidR="005E55B4" w:rsidRPr="005E55B4" w:rsidRDefault="00187B5C" w:rsidP="005E55B4">
      <w:pPr>
        <w:pStyle w:val="Heading3"/>
        <w:jc w:val="both"/>
      </w:pPr>
      <w:r w:rsidRPr="005E55B4">
        <w:t xml:space="preserve">1. </w:t>
      </w:r>
      <w:r w:rsidR="005E55B4">
        <w:t>T</w:t>
      </w:r>
      <w:r w:rsidR="005E55B4" w:rsidRPr="005E55B4">
        <w:t>he problem of misfortune</w:t>
      </w:r>
    </w:p>
    <w:p w14:paraId="4CE68FE2" w14:textId="77777777" w:rsidR="00335609" w:rsidRDefault="00335609" w:rsidP="00335609">
      <w:pPr>
        <w:jc w:val="both"/>
      </w:pPr>
      <w:r w:rsidRPr="00335609">
        <w:t>E. E. Evans-Pritchard was a British anthropologist writing in the first half of the twentieth century. In Witchcraft, Oracles and Magic among the Azande, based on fieldwork among the Azande of what is now South Sudan, he produced one of the classic texts in the anthropology of religion. Its enduring importance lies in the claim that Azande witchcraft should not be dismissed as irrational superstition or as a failed attempt at natural science. Instead, Evans-Pritchard showed that it provides a coherent way of reasoning about misfortune within a social world structured by accusation, suspicion, injury, and the search for responsibility (Evans-Pritchard, 1937). The issue, then, was not simply whether witchcraft was true or false. It was what kind of explanation witchcraft provided, what sort of problem it answered, and why that explanation carried such force in everyday life.</w:t>
      </w:r>
    </w:p>
    <w:p w14:paraId="65B0F09C" w14:textId="77777777" w:rsidR="00335609" w:rsidRPr="00335609" w:rsidRDefault="00335609" w:rsidP="00335609">
      <w:pPr>
        <w:jc w:val="both"/>
      </w:pPr>
    </w:p>
    <w:p w14:paraId="442AB894" w14:textId="589FC99E" w:rsidR="00335609" w:rsidRPr="00335609" w:rsidRDefault="00335609" w:rsidP="00335609">
      <w:pPr>
        <w:jc w:val="both"/>
      </w:pPr>
      <w:r w:rsidRPr="00335609">
        <w:t>The example for which the book is most famous is straightforward. A granary collapses because termites have weakened the supports. The physical cause is clear and does not require witchcraft to explain it. But physical cause is not the only question people ask when misfortune occurs. People also ask why the collapse happened then rather than earlier or later, and why it happened to those particular people rather than to anyone else. Evans-Pritchard’s point is that these are different questions</w:t>
      </w:r>
      <w:r w:rsidR="00B579D8">
        <w:t xml:space="preserve"> </w:t>
      </w:r>
      <w:r w:rsidR="00B579D8" w:rsidRPr="00335609">
        <w:t>(1937</w:t>
      </w:r>
      <w:r w:rsidR="00B579D8">
        <w:t>, pp. 69-70</w:t>
      </w:r>
      <w:r w:rsidR="00B579D8" w:rsidRPr="00335609">
        <w:t>)</w:t>
      </w:r>
      <w:r w:rsidRPr="00335609">
        <w:t>. One concerns material mechanism; the other concerns misfortune, that is, the relation between an event, its timing, and the persons harmed by it. Witchcraft answers that second question. It does not deny the physical cause. It explains why a natural event became a socially and morally charged injury for these people at that moment rather than for someone else or at some other time.</w:t>
      </w:r>
    </w:p>
    <w:p w14:paraId="6D540450" w14:textId="09E17D94" w:rsidR="0086474E" w:rsidRDefault="0086474E" w:rsidP="0086474E">
      <w:pPr>
        <w:jc w:val="both"/>
      </w:pPr>
      <w:r>
        <w:t>CHANGE SLIDE</w:t>
      </w:r>
    </w:p>
    <w:p w14:paraId="39DCF948" w14:textId="77777777" w:rsidR="0086474E" w:rsidRPr="005E55B4" w:rsidRDefault="0086474E" w:rsidP="005E55B4">
      <w:pPr>
        <w:jc w:val="both"/>
      </w:pPr>
    </w:p>
    <w:p w14:paraId="02FD6D77" w14:textId="0F93ED03" w:rsidR="006A3790" w:rsidRDefault="006A3790" w:rsidP="006A3790">
      <w:pPr>
        <w:jc w:val="both"/>
      </w:pPr>
      <w:r w:rsidRPr="006A3790">
        <w:t xml:space="preserve">Witchcraft, sorcery, and magic are not interchangeable. </w:t>
      </w:r>
      <w:r w:rsidR="00C8515B" w:rsidRPr="006A3790">
        <w:t>Magic is the wider practical field of occult action through which effects are sought in the world, whether to protect, diagnose, retaliate, or attack. Hicks underlines the moral differentiation within that field when he writes that, among the Azande, ‘good magic works for ends society defines as good’, whereas ‘bad magic’ is sorcery (Hicks, 2010, p. 239).</w:t>
      </w:r>
      <w:r w:rsidR="00C8515B">
        <w:t xml:space="preserve"> In this, he follows </w:t>
      </w:r>
      <w:r w:rsidRPr="006A3790">
        <w:t>Evans-Pritchard</w:t>
      </w:r>
      <w:r w:rsidR="00C8515B">
        <w:t>, who insisted</w:t>
      </w:r>
      <w:r w:rsidRPr="006A3790">
        <w:t xml:space="preserve"> that ‘</w:t>
      </w:r>
      <w:r w:rsidR="00C8515B">
        <w:t>like the Zande themselves, w</w:t>
      </w:r>
      <w:r w:rsidRPr="006A3790">
        <w:t xml:space="preserve">e must distinguish between bad magic (or sorcery) and witchcraft’ (Evans-Pritchard, 1935, p. 417). </w:t>
      </w:r>
      <w:r w:rsidR="005E1601">
        <w:t xml:space="preserve">According to </w:t>
      </w:r>
      <w:r w:rsidR="005E1601" w:rsidRPr="006A3790">
        <w:t>Evans-Pritchard</w:t>
      </w:r>
      <w:r w:rsidR="005E1601">
        <w:t xml:space="preserve">, </w:t>
      </w:r>
      <w:r w:rsidR="007E1576">
        <w:t xml:space="preserve">among the Zande </w:t>
      </w:r>
      <w:r w:rsidR="005E1601">
        <w:t>w</w:t>
      </w:r>
      <w:r w:rsidRPr="006A3790">
        <w:t xml:space="preserve">itchcraft refers to an occult power attributed to persons </w:t>
      </w:r>
      <w:r w:rsidR="008603D3">
        <w:t xml:space="preserve">in </w:t>
      </w:r>
      <w:r w:rsidRPr="006A3790">
        <w:t xml:space="preserve">themselves, a capacity to injure others without the visible use of </w:t>
      </w:r>
      <w:r w:rsidR="008603D3">
        <w:t xml:space="preserve">physical objects or </w:t>
      </w:r>
      <w:r w:rsidRPr="006A3790">
        <w:t>learned ritual means. Sorcery</w:t>
      </w:r>
      <w:r w:rsidR="0092523A">
        <w:t>, on the other hand,</w:t>
      </w:r>
      <w:r w:rsidRPr="006A3790">
        <w:t xml:space="preserve"> refers to intentional harm carried out through acquired techniques, substances, or operations; as Evans-Pritchard puts it, </w:t>
      </w:r>
      <w:r w:rsidR="007E1576">
        <w:t xml:space="preserve">although a witch does not know that they are powerful and does not intend to harm their victims, </w:t>
      </w:r>
      <w:r w:rsidRPr="006A3790">
        <w:t>‘</w:t>
      </w:r>
      <w:r w:rsidR="007E1576">
        <w:t>a</w:t>
      </w:r>
      <w:r w:rsidRPr="006A3790">
        <w:t xml:space="preserve"> sorcerer, on the other hand, may make magic to kill his neighbours’ (Evans-Pritchard, 1935, p. 418). Once </w:t>
      </w:r>
      <w:r w:rsidR="00C070A8">
        <w:t>these processes</w:t>
      </w:r>
      <w:r w:rsidRPr="006A3790">
        <w:t xml:space="preserve"> are separated, invisible harm no longer appears as a single undifferentiated realm. </w:t>
      </w:r>
      <w:r w:rsidR="00F521B3">
        <w:t>Rather, d</w:t>
      </w:r>
      <w:r w:rsidRPr="006A3790">
        <w:t>ifferences of agency, intention, technique, and moral evaluation come into view.</w:t>
      </w:r>
    </w:p>
    <w:p w14:paraId="6232B004" w14:textId="77777777" w:rsidR="006A3790" w:rsidRPr="006A3790" w:rsidRDefault="006A3790" w:rsidP="006A3790">
      <w:pPr>
        <w:jc w:val="both"/>
      </w:pPr>
    </w:p>
    <w:p w14:paraId="4F5D0E73" w14:textId="01E77976" w:rsidR="006A3790" w:rsidRPr="006A3790" w:rsidRDefault="00F521B3" w:rsidP="006A3790">
      <w:pPr>
        <w:jc w:val="both"/>
      </w:pPr>
      <w:r>
        <w:t>Among the Zande, as in many places, t</w:t>
      </w:r>
      <w:r w:rsidR="006A3790" w:rsidRPr="006A3790">
        <w:t>hese forms of occult action operate together. Evans-Pritchard writes that</w:t>
      </w:r>
      <w:r w:rsidR="00B72409">
        <w:t>, for the Zande,</w:t>
      </w:r>
      <w:r w:rsidR="006A3790" w:rsidRPr="006A3790">
        <w:t xml:space="preserve"> ‘witchcraft, magic, witch-doctors, and oracles are all functions of each other’ and are ‘meaningless if deprived of their interrelations’ (Evans-Pritchard, 1935, p. 418). </w:t>
      </w:r>
      <w:r w:rsidR="001B35BB" w:rsidRPr="001B35BB">
        <w:t>Misfortune therefore leads not only to explanation but also to action. If witchcraft explains why harm has occurred, oracles are the means through which responsibility is identified, their ‘chief object’ being ‘to reveal witches’ (Evans-Pritchard, 1935, p. 418). Witch-doctors then enter as specialists who detect and expose occult danger, while magic provides the practical means of protection, retaliation, or revenge.</w:t>
      </w:r>
      <w:r w:rsidR="001B35BB">
        <w:t xml:space="preserve"> </w:t>
      </w:r>
      <w:r w:rsidR="006A3790" w:rsidRPr="006A3790">
        <w:t xml:space="preserve">Misfortune </w:t>
      </w:r>
      <w:r w:rsidR="001B35BB">
        <w:t xml:space="preserve">here </w:t>
      </w:r>
      <w:r w:rsidR="006A3790" w:rsidRPr="006A3790">
        <w:t>is drawn into an organised apparatus of interpretation and response. The same analytic problems recur in later work on occult economy, where invisible agency, harmful intention, and morally charged causality are reworked through questions of money, labour, accumulation, and inequality.</w:t>
      </w:r>
    </w:p>
    <w:p w14:paraId="16BBA3A6" w14:textId="77777777" w:rsidR="005D5209" w:rsidRPr="00F23D56" w:rsidRDefault="005D5209" w:rsidP="003C3731">
      <w:pPr>
        <w:jc w:val="both"/>
      </w:pPr>
    </w:p>
    <w:p w14:paraId="4851CDF3" w14:textId="77777777" w:rsidR="007F050E" w:rsidRPr="00F23D56" w:rsidRDefault="00313263" w:rsidP="003C3731">
      <w:pPr>
        <w:jc w:val="both"/>
      </w:pPr>
      <w:r>
        <w:pict w14:anchorId="2C179CA1">
          <v:rect id="_x0000_i1037" style="width:0;height:1.5pt" o:hralign="center" o:hrstd="t" o:hr="t" fillcolor="#a0a0a0" stroked="f"/>
        </w:pict>
      </w:r>
    </w:p>
    <w:p w14:paraId="0556ABE3" w14:textId="5E168F5E" w:rsidR="007F050E" w:rsidRPr="00F23D56" w:rsidRDefault="00187B5C" w:rsidP="003C3731">
      <w:pPr>
        <w:pStyle w:val="Heading3"/>
        <w:jc w:val="both"/>
      </w:pPr>
      <w:r>
        <w:t>2.</w:t>
      </w:r>
      <w:r w:rsidR="007F050E" w:rsidRPr="00F23D56">
        <w:t xml:space="preserve"> Critique</w:t>
      </w:r>
    </w:p>
    <w:p w14:paraId="4486907D" w14:textId="77777777" w:rsidR="00B42B22" w:rsidRDefault="00B42B22" w:rsidP="00B42B22">
      <w:pPr>
        <w:jc w:val="both"/>
      </w:pPr>
      <w:r w:rsidRPr="00B42B22">
        <w:t xml:space="preserve">Evans-Pritchard presents witchcraft as more orderly than it often appears in lived social life. The strength of </w:t>
      </w:r>
      <w:r w:rsidRPr="00B42B22">
        <w:rPr>
          <w:i/>
          <w:iCs/>
        </w:rPr>
        <w:t>Witchcraft, Oracles and Magic among the Azande</w:t>
      </w:r>
      <w:r w:rsidRPr="00B42B22">
        <w:t xml:space="preserve"> lies in showing that witchcraft is not nonsense but a patterned way of reasoning about misfortune (Evans-Pritchard, 1937). At the same time, that emphasis on coherence can make witchcraft appear too systematic, as though the central task were simply to reconstruct a stable body of thought. Later work on accusation moves in a rougher direction. Gluckman argues that witchcraft and gossip have to be analysed through tension, jealousy, quarrel, and social strain as well as through explanatory logic (Gluckman, 1968). Witchcraft, on this view, is less settled and more conflictual than Evans-Pritchard sometimes suggests.</w:t>
      </w:r>
    </w:p>
    <w:p w14:paraId="44BFF48C" w14:textId="77777777" w:rsidR="00B42B22" w:rsidRPr="00B42B22" w:rsidRDefault="00B42B22" w:rsidP="00B42B22">
      <w:pPr>
        <w:jc w:val="both"/>
      </w:pPr>
    </w:p>
    <w:p w14:paraId="7961DB81" w14:textId="77777777" w:rsidR="00B42B22" w:rsidRPr="00B42B22" w:rsidRDefault="00B42B22" w:rsidP="00B42B22">
      <w:pPr>
        <w:jc w:val="both"/>
      </w:pPr>
      <w:r w:rsidRPr="00B42B22">
        <w:t>Witchcraft is also not only explanation. It is accusation, and accusation has effects. It marks people out, isolates them, exposes them to fear, and can turn suspicion into social fact. La Fontaine’s work on witchcraft, satanism, and accusation shows that such claims are not merely private beliefs. They move through families, rumours, churches, police, courts, and other institutions, gathering force as they circulate (La Fontaine, 2016). The issue, then, is not only what witchcraft explains, but what accusing someone of witchcraft does to them and to the relations around them.</w:t>
      </w:r>
    </w:p>
    <w:p w14:paraId="1614DDED" w14:textId="77777777" w:rsidR="00B42B22" w:rsidRDefault="00B42B22" w:rsidP="00262D52">
      <w:pPr>
        <w:jc w:val="both"/>
      </w:pPr>
    </w:p>
    <w:p w14:paraId="75ABACD0" w14:textId="573E8F86" w:rsidR="00262D52" w:rsidRDefault="00262D52" w:rsidP="00262D52">
      <w:pPr>
        <w:jc w:val="both"/>
      </w:pPr>
      <w:r>
        <w:t>CHANGE SLIDE</w:t>
      </w:r>
    </w:p>
    <w:p w14:paraId="5E837EFE" w14:textId="77777777" w:rsidR="00262D52" w:rsidRPr="00924E76" w:rsidRDefault="00262D52" w:rsidP="00924E76">
      <w:pPr>
        <w:jc w:val="both"/>
      </w:pPr>
    </w:p>
    <w:p w14:paraId="337CFD6B" w14:textId="77777777" w:rsidR="00677857" w:rsidRDefault="00677857" w:rsidP="00677857">
      <w:pPr>
        <w:jc w:val="both"/>
      </w:pPr>
      <w:r w:rsidRPr="00677857">
        <w:t xml:space="preserve">Witchcraft accusations are historically variable. Evans-Pritchard’s Azande material can suggest a relatively bounded social field in which misfortune, accusation, and redress form a stable system. Later anthropology shows that witchcraft changes with the conditions of social life in which it is articulated. </w:t>
      </w:r>
      <w:proofErr w:type="spellStart"/>
      <w:r w:rsidRPr="00677857">
        <w:t>Pype’s</w:t>
      </w:r>
      <w:proofErr w:type="spellEnd"/>
      <w:r w:rsidRPr="00677857">
        <w:t xml:space="preserve"> work in Kinshasa demonstrates this with particular force. Her analysis of urban femininity, Pentecostalism, and contemporary witch figures shows accusations taking shape within changing forms of city life, moral surveillance, and economic precarity (</w:t>
      </w:r>
      <w:proofErr w:type="spellStart"/>
      <w:r w:rsidRPr="00677857">
        <w:t>Pype</w:t>
      </w:r>
      <w:proofErr w:type="spellEnd"/>
      <w:r w:rsidRPr="00677857">
        <w:t>, 2016). In that setting, witchcraft is not an unchanged survival from an earlier world. It is reworked through new forms of visibility and vulnerability. Questions of sexuality, domestic authority, public reputation, and the management of the body become newly charged under Pentecostal moral regimes, and accusations condense around those tensions. Witchcraft therefore has to be understood historically. It changes as media, churches, gendered expectations, and urban inequalities change.</w:t>
      </w:r>
    </w:p>
    <w:p w14:paraId="473BBE92" w14:textId="77777777" w:rsidR="00677857" w:rsidRPr="00677857" w:rsidRDefault="00677857" w:rsidP="00677857">
      <w:pPr>
        <w:jc w:val="both"/>
      </w:pPr>
    </w:p>
    <w:p w14:paraId="5D12C56A" w14:textId="6F7F2206" w:rsidR="00677857" w:rsidRDefault="00677857" w:rsidP="00677857">
      <w:pPr>
        <w:jc w:val="both"/>
      </w:pPr>
      <w:r w:rsidRPr="00677857">
        <w:t xml:space="preserve">Rumour pushes the critique further because it shows that witchcraft accusation is often generated through circulation itself. Bonhomme argues that accusation thrives where anonymity, mistrust, and institutional opacity make it difficult to know who intends harm, how harm is done, and whom to trust (Bonhomme, 2012). Under those conditions, rumour is not simply a distorted report of prior facts. It is one of the forms through which uncertainty is organised and suspicion is made socially shareable. Because rumours travel without stable authorship, they allow fear to detach from direct interpersonal knowledge and move across wider publics. Accusation no longer depends only on the intimate setting of kinship, neighbourhood, or face-to-face quarrel. It can be amplified through markets, transport, media, and other spaces in which people encounter one another without durable relations of trust. </w:t>
      </w:r>
      <w:r w:rsidR="00A04A70" w:rsidRPr="00A04A70">
        <w:t>In such settings, witchcraft accusation takes shape through uncertainty, limited knowledge, and the rapid circulation of suspicion</w:t>
      </w:r>
      <w:r w:rsidRPr="00677857">
        <w:t>.</w:t>
      </w:r>
    </w:p>
    <w:p w14:paraId="078E0062" w14:textId="77777777" w:rsidR="00677857" w:rsidRPr="00677857" w:rsidRDefault="00677857" w:rsidP="00677857">
      <w:pPr>
        <w:jc w:val="both"/>
      </w:pPr>
    </w:p>
    <w:p w14:paraId="342C61A7" w14:textId="77777777" w:rsidR="00677857" w:rsidRPr="00677857" w:rsidRDefault="00677857" w:rsidP="00677857">
      <w:pPr>
        <w:jc w:val="both"/>
      </w:pPr>
      <w:r w:rsidRPr="00677857">
        <w:t>Later anthropology does not overturn Evans-Pritchard’s central insight that witchcraft is intelligible. It retains his refusal to treat witchcraft as failed science or mere irrationality. What changes is the object of analysis. The question is no longer only how a coherent system of thought explains misfortune. It is also how accusations arise from conflict, how they move through institutions and publics, and how they are reshaped by urbanisation, Pentecostalism, media, gendered anxiety, and inequality. Witchcraft is therefore not only an explanatory idiom. It is also a historically changing social practice of accusation, moral judgement, and power.</w:t>
      </w:r>
    </w:p>
    <w:p w14:paraId="09CA219C" w14:textId="77777777" w:rsidR="00795853" w:rsidRPr="00F23D56" w:rsidRDefault="00795853" w:rsidP="003C3731">
      <w:pPr>
        <w:jc w:val="both"/>
      </w:pPr>
    </w:p>
    <w:p w14:paraId="7B54968D" w14:textId="77777777" w:rsidR="007F050E" w:rsidRPr="00F23D56" w:rsidRDefault="00313263" w:rsidP="003C3731">
      <w:pPr>
        <w:jc w:val="both"/>
      </w:pPr>
      <w:r>
        <w:pict w14:anchorId="20E09EB0">
          <v:rect id="_x0000_i1038" style="width:0;height:1.5pt" o:hralign="center" o:hrstd="t" o:hr="t" fillcolor="#a0a0a0" stroked="f"/>
        </w:pict>
      </w:r>
    </w:p>
    <w:p w14:paraId="77208ECA" w14:textId="5A0AB8C9" w:rsidR="007F050E" w:rsidRPr="00F23D56" w:rsidRDefault="00187B5C" w:rsidP="003C3731">
      <w:pPr>
        <w:pStyle w:val="Heading3"/>
        <w:jc w:val="both"/>
      </w:pPr>
      <w:r>
        <w:t>3.</w:t>
      </w:r>
      <w:r w:rsidR="007F050E" w:rsidRPr="00F23D56">
        <w:t xml:space="preserve"> Transition </w:t>
      </w:r>
    </w:p>
    <w:p w14:paraId="3100AEB4" w14:textId="77777777" w:rsidR="00EF1140" w:rsidRDefault="00EF1140" w:rsidP="00EF1140">
      <w:pPr>
        <w:jc w:val="both"/>
      </w:pPr>
      <w:r w:rsidRPr="00EF1140">
        <w:t>Witchcraft comes into focus when misfortune can no longer be left at the level of accident. A granary falls, a child becomes ill, a household begins to fail, and the issue is not only what happened but why it happened here, to these people, within these relations. In Evans-Pritchard’s account, witchcraft answers that question by making harm socially and morally intelligible. Misfortune is no longer treated as an isolated event. It is read through envy, tension, proximity, and hidden force (Evans-Pritchard, 1937).</w:t>
      </w:r>
    </w:p>
    <w:p w14:paraId="68BC7F54" w14:textId="77777777" w:rsidR="00EF1140" w:rsidRPr="00EF1140" w:rsidRDefault="00EF1140" w:rsidP="00EF1140">
      <w:pPr>
        <w:jc w:val="both"/>
      </w:pPr>
    </w:p>
    <w:p w14:paraId="023B0D5B" w14:textId="77777777" w:rsidR="00EF1140" w:rsidRDefault="00EF1140" w:rsidP="00EF1140">
      <w:pPr>
        <w:jc w:val="both"/>
      </w:pPr>
      <w:r w:rsidRPr="00EF1140">
        <w:t>The same problem reappears when what demands explanation is not loss but wealth. Sudden money, rapid enrichment, and forms of prosperity that seem detached from visible labour raise a related question: how has this gain become possible, and why does it appear opaque, excessive, or morally unsettling? The object of explanation has changed, but the structure of the problem has not. What still requires interpretation is the relation between visible outcomes and hidden powers.</w:t>
      </w:r>
    </w:p>
    <w:p w14:paraId="6136762B" w14:textId="77777777" w:rsidR="00EF1140" w:rsidRPr="00EF1140" w:rsidRDefault="00EF1140" w:rsidP="00EF1140">
      <w:pPr>
        <w:jc w:val="both"/>
      </w:pPr>
    </w:p>
    <w:p w14:paraId="5B0B5722" w14:textId="2DA41526" w:rsidR="006B171A" w:rsidRDefault="005D47B8" w:rsidP="003C3731">
      <w:pPr>
        <w:jc w:val="both"/>
      </w:pPr>
      <w:r w:rsidRPr="005D47B8">
        <w:t>Anthropologists use ‘occult economy’ for situations in which wealth is suspected to come from hidden powers, dangerous agency, or morally dubious means. Money, consumption, and sudden success become objects of suspicion when their sources appear opaque, socially unearned, or ethically compromised. Bonhomme shows that such suspicion thrives where trust is weak and rumour circulates quickly under conditions of uncertainty (Bonhomme, 2012). If witchcraft makes misfortune intelligible, occult economy does the same for wealth that appears excessive, unaccountable, or threatening</w:t>
      </w:r>
      <w:r>
        <w:t>.</w:t>
      </w:r>
    </w:p>
    <w:p w14:paraId="534A2519" w14:textId="77777777" w:rsidR="005D47B8" w:rsidRPr="00F23D56" w:rsidRDefault="005D47B8" w:rsidP="003C3731">
      <w:pPr>
        <w:jc w:val="both"/>
      </w:pPr>
    </w:p>
    <w:p w14:paraId="105347DE" w14:textId="77777777" w:rsidR="007F050E" w:rsidRPr="00F23D56" w:rsidRDefault="00313263" w:rsidP="003C3731">
      <w:pPr>
        <w:jc w:val="both"/>
      </w:pPr>
      <w:r>
        <w:pict w14:anchorId="64348360">
          <v:rect id="_x0000_i1039" style="width:0;height:1.5pt" o:hralign="center" o:hrstd="t" o:hr="t" fillcolor="#a0a0a0" stroked="f"/>
        </w:pict>
      </w:r>
    </w:p>
    <w:p w14:paraId="65F8BB41" w14:textId="0DA9F6C3" w:rsidR="007F050E" w:rsidRPr="00F23D56" w:rsidRDefault="00A856F4" w:rsidP="003C3731">
      <w:pPr>
        <w:pStyle w:val="Heading2"/>
        <w:jc w:val="both"/>
      </w:pPr>
      <w:r w:rsidRPr="00F23D56">
        <w:t>1:</w:t>
      </w:r>
      <w:r>
        <w:t>15</w:t>
      </w:r>
      <w:r w:rsidR="001123D8" w:rsidRPr="00F23D56">
        <w:t>–1:</w:t>
      </w:r>
      <w:r w:rsidR="00752A87">
        <w:t>30</w:t>
      </w:r>
      <w:r w:rsidR="001123D8">
        <w:t xml:space="preserve">: </w:t>
      </w:r>
      <w:r w:rsidR="007F050E" w:rsidRPr="00F23D56">
        <w:t xml:space="preserve">PART </w:t>
      </w:r>
      <w:r w:rsidR="00187B5C">
        <w:t>4</w:t>
      </w:r>
      <w:r w:rsidR="007F050E" w:rsidRPr="00F23D56">
        <w:t xml:space="preserve"> — OCCULT ECONOMY</w:t>
      </w:r>
    </w:p>
    <w:p w14:paraId="1234A1E1" w14:textId="77777777" w:rsidR="007F050E" w:rsidRDefault="00313263" w:rsidP="003C3731">
      <w:pPr>
        <w:jc w:val="both"/>
        <w:rPr>
          <w:b/>
          <w:bCs/>
        </w:rPr>
      </w:pPr>
      <w:r>
        <w:pict w14:anchorId="4DA0F7FB">
          <v:rect id="_x0000_i1040" style="width:0;height:1.5pt" o:hralign="center" o:hrstd="t" o:hr="t" fillcolor="#a0a0a0" stroked="f"/>
        </w:pict>
      </w:r>
    </w:p>
    <w:p w14:paraId="0832F27C" w14:textId="1F84537A" w:rsidR="007F050E" w:rsidRPr="00F23D56" w:rsidRDefault="00187B5C" w:rsidP="003C3731">
      <w:pPr>
        <w:pStyle w:val="Heading3"/>
        <w:jc w:val="both"/>
      </w:pPr>
      <w:r>
        <w:t>1.</w:t>
      </w:r>
      <w:r w:rsidR="007F050E" w:rsidRPr="00F23D56">
        <w:t xml:space="preserve"> Classic Occult Economy</w:t>
      </w:r>
    </w:p>
    <w:p w14:paraId="37A7A2C9" w14:textId="6BE4197D" w:rsidR="00EC7394" w:rsidRDefault="00EC7394" w:rsidP="00EC7394">
      <w:pPr>
        <w:jc w:val="both"/>
      </w:pPr>
      <w:r w:rsidRPr="00EC7394">
        <w:t>Wealth becomes suspicious when it no longer appears to follow visible labour, recognised exchange, or any settled moral logic. Money arrives suddenly. Success seems detached from work. Value appears to move through hidden channels, dangerous gifts, or invisible extraction. That is the terrain Jean and John Comaroff describe in their account of occult economies in southern Africa: not a survival of premodern superstition, but a social field in which capitalism itself appears magical because accumulation has become opaque, uneven, and morally disturbing (</w:t>
      </w:r>
      <w:proofErr w:type="spellStart"/>
      <w:r w:rsidRPr="00EC7394">
        <w:t>Comaroff</w:t>
      </w:r>
      <w:proofErr w:type="spellEnd"/>
      <w:r w:rsidRPr="00EC7394">
        <w:t xml:space="preserve"> and </w:t>
      </w:r>
      <w:proofErr w:type="spellStart"/>
      <w:r w:rsidRPr="00EC7394">
        <w:t>Comaroff</w:t>
      </w:r>
      <w:proofErr w:type="spellEnd"/>
      <w:r w:rsidRPr="00EC7394">
        <w:t xml:space="preserve">, 1999). </w:t>
      </w:r>
      <w:r>
        <w:t>South Sudanese in my own work discuss similar issues, and so I also</w:t>
      </w:r>
      <w:r w:rsidRPr="00EC7394">
        <w:t xml:space="preserve"> treat the occult economy as a way of understanding forms of wealth, power, and accumulation believed to arise through hidden, morally troubling, and spiritually dangerous relations of exchange, and as a means through which wealth, danger, and power are made morally legible in the present</w:t>
      </w:r>
      <w:r>
        <w:t xml:space="preserve"> (</w:t>
      </w:r>
      <w:r w:rsidRPr="00EC7394">
        <w:t>O’Byrne 2021).</w:t>
      </w:r>
    </w:p>
    <w:p w14:paraId="712EC3F6" w14:textId="77777777" w:rsidR="00EC7394" w:rsidRPr="00EC7394" w:rsidRDefault="00EC7394" w:rsidP="00EC7394">
      <w:pPr>
        <w:jc w:val="both"/>
      </w:pPr>
    </w:p>
    <w:p w14:paraId="351CB7E3" w14:textId="77777777" w:rsidR="00EC7394" w:rsidRPr="00EC7394" w:rsidRDefault="00EC7394" w:rsidP="00EC7394">
      <w:pPr>
        <w:jc w:val="both"/>
      </w:pPr>
      <w:r w:rsidRPr="00EC7394">
        <w:t>For many people, contemporary capitalism makes wealth, value, and economic success difficult to explain. Labour is dispersed across supply chains. Finance circulates without visible substance. Debt multiplies through abstraction. Fortunes concentrate in ways that seem detached from effort, reciprocity, or recognised obligation. Suspicion emerges from that experience of opacity. Wealth calls for interpretation when its sources seem hidden, its movements unreadable, and its consequences unevenly distributed. Frank’s distinction between permitted and prohibited wealth captures the issue well: the problem is not simply that some people are rich, but what kind of wealth this is, where it came from, and what relations made it possible (Frank, 1995).</w:t>
      </w:r>
    </w:p>
    <w:p w14:paraId="48629112" w14:textId="77777777" w:rsidR="00262D52" w:rsidRDefault="00262D52" w:rsidP="00262D52">
      <w:pPr>
        <w:jc w:val="both"/>
      </w:pPr>
      <w:r>
        <w:t>CHANGE SLIDE</w:t>
      </w:r>
    </w:p>
    <w:p w14:paraId="36ED4AFD" w14:textId="77777777" w:rsidR="00262D52" w:rsidRPr="00153361" w:rsidRDefault="00262D52" w:rsidP="00153361">
      <w:pPr>
        <w:jc w:val="both"/>
      </w:pPr>
    </w:p>
    <w:p w14:paraId="05396927" w14:textId="7E0E4A61" w:rsidR="006F70A2" w:rsidRDefault="006F70A2" w:rsidP="006F70A2">
      <w:pPr>
        <w:jc w:val="both"/>
      </w:pPr>
      <w:r w:rsidRPr="006F70A2">
        <w:t>Narratives of zombie labour, satanic wealth, and demonic pacts give that problem a concrete form. They are explanatory figures for accumulation that already appears predatory, inhuman, or socially unearned. Zombie labour explains how wealth can seem to be produced by life severed from personhood, reciprocity, and recognised labour relations. Demonic pacts explain suspicious success by locating it in hidden exchanges whose benefits always carry a cost, often paid by kin, dependants, or other unseen victims. In such cases, capitalist accumulation and occult power are not opposed domains of life but entangled ones.</w:t>
      </w:r>
      <w:r>
        <w:t xml:space="preserve"> My</w:t>
      </w:r>
      <w:r w:rsidRPr="006F70A2">
        <w:t xml:space="preserve"> </w:t>
      </w:r>
      <w:r w:rsidR="000D4784">
        <w:t xml:space="preserve">own </w:t>
      </w:r>
      <w:r w:rsidRPr="006F70A2">
        <w:t>South Sudan</w:t>
      </w:r>
      <w:r>
        <w:t>ese</w:t>
      </w:r>
      <w:r w:rsidRPr="006F70A2">
        <w:t xml:space="preserve"> material and </w:t>
      </w:r>
      <w:r>
        <w:t xml:space="preserve">Letha </w:t>
      </w:r>
      <w:r w:rsidRPr="006F70A2">
        <w:t xml:space="preserve">Victor’s </w:t>
      </w:r>
      <w:r>
        <w:t xml:space="preserve">work in </w:t>
      </w:r>
      <w:r w:rsidRPr="006F70A2">
        <w:t>northern Uganda both describe wealth as emerging from hidden infrastructures of labour, extraction, and exchange that lie beyond ordinary social accountability (O’Byrne, 2021; Victor, 2019).</w:t>
      </w:r>
    </w:p>
    <w:p w14:paraId="59298631" w14:textId="77777777" w:rsidR="006F70A2" w:rsidRPr="006F70A2" w:rsidRDefault="006F70A2" w:rsidP="006F70A2">
      <w:pPr>
        <w:jc w:val="both"/>
      </w:pPr>
    </w:p>
    <w:p w14:paraId="0683BA2A" w14:textId="77777777" w:rsidR="006F70A2" w:rsidRDefault="006F70A2" w:rsidP="006F70A2">
      <w:pPr>
        <w:jc w:val="both"/>
      </w:pPr>
      <w:proofErr w:type="spellStart"/>
      <w:r w:rsidRPr="006F70A2">
        <w:t>Geschiere</w:t>
      </w:r>
      <w:proofErr w:type="spellEnd"/>
      <w:r w:rsidRPr="006F70A2">
        <w:t xml:space="preserve"> shows that such suspicions intensify not outside modernity but within it. Democratisation, market reform, migration, political competition, and widening inequality do not dissolve occult interpretation; they generate new conditions in which it becomes compelling (</w:t>
      </w:r>
      <w:proofErr w:type="spellStart"/>
      <w:r w:rsidRPr="006F70A2">
        <w:t>Geschiere</w:t>
      </w:r>
      <w:proofErr w:type="spellEnd"/>
      <w:r w:rsidRPr="006F70A2">
        <w:t>, 1997). The prosperous trader, the politically connected businessman, the suddenly rich neighbour, the person who acquires wealth without visible effort: these figures attract rumour because they seem to violate the ordinary moral expectations through which wealth is meant to become visible and legitimate. Wealth, in such circumstances, is not merely admired or envied. It is questioned, traced, and morally interrogated.</w:t>
      </w:r>
    </w:p>
    <w:p w14:paraId="2F805C94" w14:textId="77777777" w:rsidR="006F70A2" w:rsidRPr="006F70A2" w:rsidRDefault="006F70A2" w:rsidP="006F70A2">
      <w:pPr>
        <w:jc w:val="both"/>
      </w:pPr>
    </w:p>
    <w:p w14:paraId="6625A1AD" w14:textId="543EEFC5" w:rsidR="00D64484" w:rsidRPr="00D64484" w:rsidRDefault="006F70A2" w:rsidP="00D64484">
      <w:pPr>
        <w:jc w:val="both"/>
      </w:pPr>
      <w:r w:rsidRPr="006F70A2">
        <w:t>Once value becomes opaque, religion and economy can no longer be separated by assigning belief to one sphere and material life to the other. Markets rely on confidence, projection, speculation, credit, and abstractions that cannot themselves be seen. Occult narratives address that same terrain in explicitly moral terms. They insist that wealth has a source, a cost, and often a victim. Bonhomme shows how suspicion thrives where trust is weak, anonymity is common, and rumour circulates quickly under conditions of uncertainty (Bonhomme, 2012). The occult economy is therefore not only about hidden exchange. It is a way of making accumulation morally intelligible when the official language of the market no longer explains why some forms of wealth appear excessive, dangerous, or stolen</w:t>
      </w:r>
      <w:r w:rsidR="00D64484" w:rsidRPr="00D64484">
        <w:t>.</w:t>
      </w:r>
    </w:p>
    <w:p w14:paraId="5656EF72" w14:textId="77777777" w:rsidR="005F1691" w:rsidRPr="00F23D56" w:rsidRDefault="005F1691" w:rsidP="005F1691">
      <w:pPr>
        <w:jc w:val="both"/>
      </w:pPr>
    </w:p>
    <w:p w14:paraId="709BFAE9" w14:textId="77777777" w:rsidR="007F050E" w:rsidRPr="00F23D56" w:rsidRDefault="00313263" w:rsidP="003C3731">
      <w:pPr>
        <w:jc w:val="both"/>
      </w:pPr>
      <w:r>
        <w:pict w14:anchorId="3356268F">
          <v:rect id="_x0000_i1041" style="width:0;height:1.5pt" o:hralign="center" o:hrstd="t" o:hr="t" fillcolor="#a0a0a0" stroked="f"/>
        </w:pict>
      </w:r>
    </w:p>
    <w:p w14:paraId="2AF5A685" w14:textId="14AC2742" w:rsidR="007F050E" w:rsidRPr="00F23D56" w:rsidRDefault="007C121D" w:rsidP="003C3731">
      <w:pPr>
        <w:pStyle w:val="Heading3"/>
        <w:jc w:val="both"/>
      </w:pPr>
      <w:r>
        <w:t xml:space="preserve">2. </w:t>
      </w:r>
      <w:r w:rsidR="007F050E" w:rsidRPr="00F23D56">
        <w:t xml:space="preserve">Critique </w:t>
      </w:r>
      <w:r w:rsidR="00EF0920">
        <w:t>and extension</w:t>
      </w:r>
    </w:p>
    <w:p w14:paraId="727AC2B4" w14:textId="77777777" w:rsidR="00D30A15" w:rsidRDefault="00D30A15" w:rsidP="00D30A15">
      <w:pPr>
        <w:jc w:val="both"/>
      </w:pPr>
      <w:r w:rsidRPr="00D30A15">
        <w:t>The difficulty with the concept of occult economy begins when demons, spirits, pacts, and occult gifts are too quickly translated into commentary on capitalism. The appeal of that move lies in its apparent precision: hidden wealth, invisible force, and predatory gain seem to align neatly with capitalist opacity and inequality. But that neatness is analytically costly. Once the spiritual is treated as symbolic surface and political economy as explanatory depth, the ontological force of these narratives is reduced in advance. What disappears is the world as interlocutors describe and inhabit it.</w:t>
      </w:r>
    </w:p>
    <w:p w14:paraId="757E721A" w14:textId="77777777" w:rsidR="00D30A15" w:rsidRPr="00D30A15" w:rsidRDefault="00D30A15" w:rsidP="00D30A15">
      <w:pPr>
        <w:jc w:val="both"/>
      </w:pPr>
    </w:p>
    <w:p w14:paraId="6A8C752A" w14:textId="77777777" w:rsidR="00D30A15" w:rsidRPr="00D30A15" w:rsidRDefault="00D30A15" w:rsidP="00D30A15">
      <w:pPr>
        <w:jc w:val="both"/>
      </w:pPr>
      <w:r w:rsidRPr="00D30A15">
        <w:t>In my own work on evangelical South Sudan, I argue that demonic gifts are not adequately understood as metaphors for inequality or corruption. They are understood as gifts from demons. Their danger lies in the fact that they are held to carry spiritually active evil, and redemption matters because it is taken to mark a real rupture with those relations rather than a symbolic resolution of social strain (O’Byrne, 2021). Occult narratives therefore do more than register exploitative accumulation. They also describe a world inhabited by beings, powers, and moral forces that are held to be real.</w:t>
      </w:r>
    </w:p>
    <w:p w14:paraId="05580F5A" w14:textId="77777777" w:rsidR="0033102C" w:rsidRDefault="0033102C" w:rsidP="0033102C">
      <w:pPr>
        <w:jc w:val="both"/>
      </w:pPr>
      <w:r>
        <w:t>CHANGE SLIDE</w:t>
      </w:r>
    </w:p>
    <w:p w14:paraId="46249AEB" w14:textId="77777777" w:rsidR="0033102C" w:rsidRPr="00807367" w:rsidRDefault="0033102C" w:rsidP="00807367">
      <w:pPr>
        <w:jc w:val="both"/>
      </w:pPr>
    </w:p>
    <w:p w14:paraId="7C88739A" w14:textId="75C9F2C3" w:rsidR="005F4839" w:rsidRDefault="00460B1C" w:rsidP="005F4839">
      <w:pPr>
        <w:jc w:val="both"/>
      </w:pPr>
      <w:proofErr w:type="spellStart"/>
      <w:r w:rsidRPr="00460B1C">
        <w:t>Pype’s</w:t>
      </w:r>
      <w:proofErr w:type="spellEnd"/>
      <w:r w:rsidRPr="00460B1C">
        <w:t xml:space="preserve"> work on Kinshasa shows the limits of reductive political-economic readings in a different ethnographic settin</w:t>
      </w:r>
      <w:r>
        <w:t>g</w:t>
      </w:r>
      <w:r w:rsidR="005F4839" w:rsidRPr="005F4839">
        <w:t xml:space="preserve">. </w:t>
      </w:r>
      <w:proofErr w:type="spellStart"/>
      <w:r w:rsidR="005F4839" w:rsidRPr="005F4839">
        <w:t>Pype</w:t>
      </w:r>
      <w:proofErr w:type="spellEnd"/>
      <w:r w:rsidR="005F4839" w:rsidRPr="005F4839">
        <w:t xml:space="preserve"> shows that occult suspicion gathers around urban femininity, Pentecostal morality, visibility, aspiration, and media circulation in ways that exceed any simple account of capitalism in symbolic disguise (</w:t>
      </w:r>
      <w:proofErr w:type="spellStart"/>
      <w:r w:rsidR="005F4839" w:rsidRPr="005F4839">
        <w:t>Pype</w:t>
      </w:r>
      <w:proofErr w:type="spellEnd"/>
      <w:r w:rsidR="005F4839" w:rsidRPr="005F4839">
        <w:t>, 2016). Money, inequality, and insecurity remain central, but they do not exhaust the field. The problem also concerns which bodies become newly visible, which desires become morally charged, which lives become spiritually dangerous, and how moral authority is asserted within a dense urban Christian public. A purely reductive political economy cannot account for that wider terrain.</w:t>
      </w:r>
    </w:p>
    <w:p w14:paraId="3A6DA508" w14:textId="77777777" w:rsidR="005F4839" w:rsidRPr="005F4839" w:rsidRDefault="005F4839" w:rsidP="005F4839">
      <w:pPr>
        <w:jc w:val="both"/>
      </w:pPr>
    </w:p>
    <w:p w14:paraId="19C7C51F" w14:textId="77777777" w:rsidR="005F4839" w:rsidRDefault="005F4839" w:rsidP="005F4839">
      <w:pPr>
        <w:jc w:val="both"/>
      </w:pPr>
      <w:r w:rsidRPr="005F4839">
        <w:t>Bonhomme makes a different correction. His work on rumour and witchcraft in Africa shows that anonymity, mistrust, and unstable attribution are constitutive rather than incidental conditions of occult accusation (Bonhomme, 2012). Suspicion thrives where relations are opaque, intentions are difficult to know, and hidden agency remains plausible. The analytic object is therefore not wealth alone. It is also the problem of interpretation under conditions of uncertainty.</w:t>
      </w:r>
    </w:p>
    <w:p w14:paraId="72AE5D29" w14:textId="77777777" w:rsidR="005F4839" w:rsidRPr="005F4839" w:rsidRDefault="005F4839" w:rsidP="005F4839">
      <w:pPr>
        <w:jc w:val="both"/>
      </w:pPr>
    </w:p>
    <w:p w14:paraId="72AFA5D6" w14:textId="4D653B07" w:rsidR="00807367" w:rsidRDefault="0032430F" w:rsidP="00807367">
      <w:pPr>
        <w:jc w:val="both"/>
      </w:pPr>
      <w:r w:rsidRPr="0032430F">
        <w:t xml:space="preserve">De Boeck does not separate economy from death, urban crisis, spiritual force, and damaged futures; he treats them as elements of one fractured social reality (de Boeck, 2005). </w:t>
      </w:r>
      <w:r>
        <w:t>This</w:t>
      </w:r>
      <w:r w:rsidRPr="0032430F">
        <w:t xml:space="preserve"> avoids the central reductionism of much occult economy writing. Spiritual beings, powers, and forces do not appear as symbolic decoration laid over a more fundamental economic process. They belong to the process itself as people live, interpret, and judge it. Wealth is feared through spirits, crisis is experienced through cosmology, and urban breakdown is understood through forces that are at once material, moral, and spiritual. The concept of occult economy remains analytically productive only where it preserves that entanglement. Once cosmology is reduced to metaphor and the spiritual is treated as a coded language for political economy, the analysis ceases to describe the world under study with any precision</w:t>
      </w:r>
      <w:r w:rsidR="00807367" w:rsidRPr="00807367">
        <w:t>.</w:t>
      </w:r>
    </w:p>
    <w:p w14:paraId="13B9F7AB" w14:textId="77777777" w:rsidR="006B171A" w:rsidRPr="00F23D56" w:rsidRDefault="006B171A" w:rsidP="003C3731">
      <w:pPr>
        <w:jc w:val="both"/>
      </w:pPr>
    </w:p>
    <w:p w14:paraId="123E5E51" w14:textId="77777777" w:rsidR="007F050E" w:rsidRPr="00F23D56" w:rsidRDefault="00313263" w:rsidP="003C3731">
      <w:pPr>
        <w:jc w:val="both"/>
      </w:pPr>
      <w:r>
        <w:pict w14:anchorId="0B1215A4">
          <v:rect id="_x0000_i1042" style="width:0;height:1.5pt" o:hralign="center" o:hrstd="t" o:hr="t" fillcolor="#a0a0a0" stroked="f"/>
        </w:pict>
      </w:r>
    </w:p>
    <w:p w14:paraId="7DB51746" w14:textId="43F2426A" w:rsidR="007F050E" w:rsidRPr="00F23D56" w:rsidRDefault="007C121D" w:rsidP="003C3731">
      <w:pPr>
        <w:pStyle w:val="Heading3"/>
        <w:jc w:val="both"/>
      </w:pPr>
      <w:r>
        <w:t>3.</w:t>
      </w:r>
      <w:r w:rsidR="007F050E" w:rsidRPr="00F23D56">
        <w:t xml:space="preserve"> Synthesis</w:t>
      </w:r>
    </w:p>
    <w:p w14:paraId="53A7A795" w14:textId="77777777" w:rsidR="00C75D5C" w:rsidRPr="00C75D5C" w:rsidRDefault="00C75D5C" w:rsidP="00C75D5C">
      <w:pPr>
        <w:jc w:val="both"/>
      </w:pPr>
      <w:r w:rsidRPr="00C75D5C">
        <w:t>Religion has now appeared as one of the ways social life confronts what cannot be left uninterpreted.</w:t>
      </w:r>
    </w:p>
    <w:p w14:paraId="61D4EC86" w14:textId="77777777" w:rsidR="00C75D5C" w:rsidRPr="00C75D5C" w:rsidRDefault="00C75D5C" w:rsidP="00C75D5C">
      <w:pPr>
        <w:jc w:val="both"/>
      </w:pPr>
      <w:r w:rsidRPr="00C75D5C">
        <w:t>Misfortune demands more than mechanism. That is why witchcraft matters. It answers not only how something happened, but why harm attached itself here, to these people, in these relations.</w:t>
      </w:r>
    </w:p>
    <w:p w14:paraId="4082B203" w14:textId="77777777" w:rsidR="00C75D5C" w:rsidRPr="00C75D5C" w:rsidRDefault="00C75D5C" w:rsidP="00C75D5C">
      <w:pPr>
        <w:jc w:val="both"/>
      </w:pPr>
      <w:r w:rsidRPr="00C75D5C">
        <w:t>Crisis demands more than feeling. That is why ritual matters. It orders dangerous passages, marks transformations, disciplines bodies, and gives uncertainty a public form.</w:t>
      </w:r>
    </w:p>
    <w:p w14:paraId="70F3F50E" w14:textId="77777777" w:rsidR="00C75D5C" w:rsidRPr="00C75D5C" w:rsidRDefault="00C75D5C" w:rsidP="00C75D5C">
      <w:pPr>
        <w:jc w:val="both"/>
      </w:pPr>
      <w:r w:rsidRPr="00C75D5C">
        <w:t>Inequality demands more than statistics. That is why occult economy matters. It asks what kind of world makes wealth appear predatory, enchanted, or morally contaminated.</w:t>
      </w:r>
    </w:p>
    <w:p w14:paraId="5A0CFD5D" w14:textId="77777777" w:rsidR="00C75D5C" w:rsidRPr="00C75D5C" w:rsidRDefault="00C75D5C" w:rsidP="00C75D5C">
      <w:pPr>
        <w:jc w:val="both"/>
      </w:pPr>
      <w:r w:rsidRPr="00C75D5C">
        <w:t>Across all three, religion is not a private supplement to social life. It is one of the ways reality is composed, interpreted, and acted in. It gives force to relations between visible and invisible powers. It makes suffering meaningful, success suspicious, danger legible, and transformation possible. That is why the spiritual dimension cannot be dismissed as symbolic residue and cannot be translated too quickly into some other analytic language. Religion does not merely reflect the world. It helps constitute the world people live in.</w:t>
      </w:r>
    </w:p>
    <w:p w14:paraId="56E51414" w14:textId="77777777" w:rsidR="006B171A" w:rsidRPr="00F23D56" w:rsidRDefault="006B171A" w:rsidP="003C3731">
      <w:pPr>
        <w:jc w:val="both"/>
      </w:pPr>
    </w:p>
    <w:p w14:paraId="1E580391" w14:textId="77777777" w:rsidR="007F050E" w:rsidRPr="00F23D56" w:rsidRDefault="00313263" w:rsidP="003C3731">
      <w:pPr>
        <w:jc w:val="both"/>
      </w:pPr>
      <w:r>
        <w:pict w14:anchorId="4FD4F850">
          <v:rect id="_x0000_i1043" style="width:0;height:1.5pt" o:hralign="center" o:hrstd="t" o:hr="t" fillcolor="#a0a0a0" stroked="f"/>
        </w:pict>
      </w:r>
    </w:p>
    <w:p w14:paraId="318D8A66" w14:textId="3DDC916E" w:rsidR="007F050E" w:rsidRPr="00F23D56" w:rsidRDefault="007F050E" w:rsidP="003C3731">
      <w:pPr>
        <w:pStyle w:val="Heading2"/>
        <w:jc w:val="both"/>
      </w:pPr>
      <w:r w:rsidRPr="00F23D56">
        <w:t>BREAK 1:</w:t>
      </w:r>
      <w:r w:rsidR="00752A87">
        <w:t>30</w:t>
      </w:r>
      <w:r w:rsidRPr="00F23D56">
        <w:t>–1:</w:t>
      </w:r>
      <w:r w:rsidR="00752A87">
        <w:t>35</w:t>
      </w:r>
    </w:p>
    <w:p w14:paraId="1E0331CA" w14:textId="77777777" w:rsidR="007F050E" w:rsidRPr="00F23D56" w:rsidRDefault="00313263" w:rsidP="003C3731">
      <w:pPr>
        <w:jc w:val="both"/>
      </w:pPr>
      <w:r>
        <w:pict w14:anchorId="3846F6B2">
          <v:rect id="_x0000_i1044" style="width:0;height:1.5pt" o:hralign="center" o:hrstd="t" o:hr="t" fillcolor="#a0a0a0" stroked="f"/>
        </w:pict>
      </w:r>
    </w:p>
    <w:p w14:paraId="73089A7F" w14:textId="43974C15" w:rsidR="007025D2" w:rsidRPr="00F23D56" w:rsidRDefault="001123D8" w:rsidP="003C3731">
      <w:pPr>
        <w:pStyle w:val="Heading2"/>
        <w:jc w:val="both"/>
      </w:pPr>
      <w:r w:rsidRPr="00F23D56">
        <w:t>1:</w:t>
      </w:r>
      <w:r w:rsidR="00752A87">
        <w:t>35</w:t>
      </w:r>
      <w:r w:rsidRPr="00F23D56">
        <w:t>–</w:t>
      </w:r>
      <w:r>
        <w:t>2:</w:t>
      </w:r>
      <w:r w:rsidR="00AC52DC">
        <w:t>0</w:t>
      </w:r>
      <w:r>
        <w:t xml:space="preserve">0: </w:t>
      </w:r>
      <w:r w:rsidR="007F050E" w:rsidRPr="00F23D56">
        <w:t xml:space="preserve">PART V — </w:t>
      </w:r>
      <w:r w:rsidR="007025D2" w:rsidRPr="00F23D56">
        <w:t xml:space="preserve">RELIGION &amp; </w:t>
      </w:r>
      <w:r w:rsidR="007025D2">
        <w:t>CONTEMPORARY LIFE</w:t>
      </w:r>
    </w:p>
    <w:p w14:paraId="4794206C" w14:textId="77BCEA3C" w:rsidR="007025D2" w:rsidRDefault="00313263" w:rsidP="003C3731">
      <w:pPr>
        <w:jc w:val="both"/>
      </w:pPr>
      <w:r>
        <w:pict w14:anchorId="17B4375F">
          <v:rect id="_x0000_i1045" style="width:0;height:1.5pt" o:hralign="center" o:hrstd="t" o:hr="t" fillcolor="#a0a0a0" stroked="f"/>
        </w:pict>
      </w:r>
    </w:p>
    <w:p w14:paraId="7B99D7D7" w14:textId="57B62DDC" w:rsidR="007F050E" w:rsidRPr="00F23D56" w:rsidRDefault="009762F5" w:rsidP="003C3731">
      <w:pPr>
        <w:pStyle w:val="Heading3"/>
        <w:jc w:val="both"/>
      </w:pPr>
      <w:r>
        <w:t xml:space="preserve">1. </w:t>
      </w:r>
      <w:r w:rsidR="007F050E" w:rsidRPr="00F23D56">
        <w:t>RELIGION &amp; THE STATE</w:t>
      </w:r>
    </w:p>
    <w:p w14:paraId="7B92B900" w14:textId="7C580BB6" w:rsidR="00CD3B12" w:rsidRDefault="00CD3B12" w:rsidP="00CD3B12">
      <w:pPr>
        <w:jc w:val="both"/>
      </w:pPr>
      <w:r w:rsidRPr="00CD3B12">
        <w:t xml:space="preserve">Religion enters public life not only through belief, worship, or moral controversy, but through the state’s power to classify, regulate, and recognise. </w:t>
      </w:r>
      <w:r w:rsidR="00CB734F" w:rsidRPr="00CB734F">
        <w:t>The relation is not one between a public political state on one side and a private spiritual religion on the other. The modern state helps define, regulate, and produce religion as a social and political category</w:t>
      </w:r>
      <w:r w:rsidR="000F1A1D">
        <w:t xml:space="preserve">, </w:t>
      </w:r>
      <w:r w:rsidRPr="00CD3B12">
        <w:t>produc</w:t>
      </w:r>
      <w:r w:rsidR="000F1A1D">
        <w:t>ing</w:t>
      </w:r>
      <w:r w:rsidRPr="00CD3B12">
        <w:t xml:space="preserve"> the very boundaries through which religion becomes governable. </w:t>
      </w:r>
      <w:r w:rsidR="00E025E7" w:rsidRPr="00E025E7">
        <w:t>Talal Asad shows that ‘religion’ and ‘the secular’ do not exist as naturally separate domains. They are made historically through modern forms of law, power, and discipline</w:t>
      </w:r>
      <w:r w:rsidR="00E025E7">
        <w:t xml:space="preserve"> </w:t>
      </w:r>
      <w:r w:rsidRPr="00CD3B12">
        <w:t xml:space="preserve">(Asad, 1993). Secularism, </w:t>
      </w:r>
      <w:r w:rsidR="00E025E7">
        <w:t>according to Asad</w:t>
      </w:r>
      <w:r w:rsidRPr="00CD3B12">
        <w:t xml:space="preserve">, is not </w:t>
      </w:r>
      <w:r w:rsidR="0051353C">
        <w:t xml:space="preserve">actually </w:t>
      </w:r>
      <w:r w:rsidRPr="00CD3B12">
        <w:t>the absence of religion</w:t>
      </w:r>
      <w:r w:rsidR="0051353C">
        <w:t xml:space="preserve">, but </w:t>
      </w:r>
      <w:r w:rsidRPr="00CD3B12">
        <w:t xml:space="preserve">a way of </w:t>
      </w:r>
      <w:r w:rsidR="00E025E7">
        <w:t>re</w:t>
      </w:r>
      <w:r w:rsidRPr="00CD3B12">
        <w:t xml:space="preserve">arranging </w:t>
      </w:r>
      <w:r w:rsidR="00E025E7">
        <w:t>it</w:t>
      </w:r>
      <w:r w:rsidRPr="00CD3B12">
        <w:t>, defining its proper place, and deciding when it becomes excessive, dangerous, or illegible.</w:t>
      </w:r>
    </w:p>
    <w:p w14:paraId="5EF92D93" w14:textId="77777777" w:rsidR="00497096" w:rsidRDefault="00497096" w:rsidP="00497096">
      <w:pPr>
        <w:jc w:val="both"/>
      </w:pPr>
      <w:r>
        <w:t>CHANGE SLIDE</w:t>
      </w:r>
    </w:p>
    <w:p w14:paraId="24DA1F8D" w14:textId="77777777" w:rsidR="00497096" w:rsidRPr="00CD3B12" w:rsidRDefault="00497096" w:rsidP="00CD3B12">
      <w:pPr>
        <w:jc w:val="both"/>
      </w:pPr>
    </w:p>
    <w:p w14:paraId="375459CA" w14:textId="77777777" w:rsidR="00B60529" w:rsidRPr="00B60529" w:rsidRDefault="00B60529" w:rsidP="00B60529">
      <w:pPr>
        <w:jc w:val="both"/>
      </w:pPr>
      <w:r w:rsidRPr="00B60529">
        <w:t>Once ‘religion’ and ‘the secular’ are understood as historically produced categories, the next question is how those categories are enforced in everyday public life. Mahmood shows that courts, ministries, schools, police, and other public authorities do not merely administer religious difference after the fact. Through legal and administrative decisions, they determine which practices are recognised as religion, which are reclassified as culture, politics, extremism, or disorder, who is authorised to speak for a tradition, and which forms of public expression are treated as legitimate or threatening (Mahmood, 2015). In that sense, public institutions do not simply regulate religious life; they actively shape its recognised forms. Secularism is therefore one of the political arrangements through which religious difference is sorted, ranked, and governed.</w:t>
      </w:r>
    </w:p>
    <w:p w14:paraId="19EF4F76" w14:textId="77777777" w:rsidR="006C3D69" w:rsidRPr="00CD3B12" w:rsidRDefault="006C3D69" w:rsidP="00CD3B12">
      <w:pPr>
        <w:jc w:val="both"/>
      </w:pPr>
    </w:p>
    <w:p w14:paraId="5AACAA79" w14:textId="217A20DC" w:rsidR="00497096" w:rsidRDefault="00B550D6" w:rsidP="00497096">
      <w:pPr>
        <w:jc w:val="both"/>
      </w:pPr>
      <w:r w:rsidRPr="00B550D6">
        <w:t>Religion therefore helps organise political belonging in a concrete institutional sense. It contributes to defining who appears as a proper citizen and who does not. The issue is not confined to personal conviction. It extends to schools, dress, marriage, law, conversion, ritual authority, public speech, and national history. Under such conditions, orthodoxy is never only theological. It is also produced through administrative and political decisions about legitimacy, recognition, and public order. The question of who counts as a good believer thus becomes entangled with the question of who counts as a good citizen.</w:t>
      </w:r>
      <w:r w:rsidR="00497096">
        <w:br w:type="page"/>
      </w:r>
    </w:p>
    <w:p w14:paraId="2D14D5B3" w14:textId="77777777" w:rsidR="00497096" w:rsidRDefault="00497096" w:rsidP="00497096">
      <w:pPr>
        <w:jc w:val="both"/>
      </w:pPr>
      <w:r>
        <w:t>CHANGE SLIDE</w:t>
      </w:r>
    </w:p>
    <w:p w14:paraId="7B23054D" w14:textId="77777777" w:rsidR="00CD3B12" w:rsidRPr="00CD3B12" w:rsidRDefault="00CD3B12" w:rsidP="00CD3B12">
      <w:pPr>
        <w:jc w:val="both"/>
      </w:pPr>
    </w:p>
    <w:p w14:paraId="194CC38B" w14:textId="42365C74" w:rsidR="00B550D6" w:rsidRDefault="00AD0450" w:rsidP="00CD3B12">
      <w:pPr>
        <w:jc w:val="both"/>
      </w:pPr>
      <w:r w:rsidRPr="00AD0450">
        <w:t>Nationalism has to be analysed as more than strategic competition or administrative power. Kapferer’s work on Sri Lanka shows that state authority was not sustained by bureaucratic procedure alone, but by myth, sacred history, and cosmological understandings of peoplehood and territory (Kapferer, 1988; 2001). In that context, violence drew legitimacy from narratives of sacred geography, historical destiny, and a morally charged vision of sovereignty. The point is not simply that political actors borrowed religious symbols for political ends. It is that sovereignty itself could be imagined through religious history, sacred territory, and collective destiny.</w:t>
      </w:r>
    </w:p>
    <w:p w14:paraId="34EAB2C1" w14:textId="77777777" w:rsidR="00AD0450" w:rsidRPr="00CD3B12" w:rsidRDefault="00AD0450" w:rsidP="00CD3B12">
      <w:pPr>
        <w:jc w:val="both"/>
      </w:pPr>
    </w:p>
    <w:p w14:paraId="44AB7F22" w14:textId="77777777" w:rsidR="00CA41C4" w:rsidRPr="00CA41C4" w:rsidRDefault="00CA41C4" w:rsidP="00CA41C4">
      <w:pPr>
        <w:jc w:val="both"/>
      </w:pPr>
      <w:r w:rsidRPr="00CA41C4">
        <w:t>Hansen shows that Hindu nationalism cannot be explained as doctrine or party ideology alone. It operates through public performance, bodily discipline, affect, and aggression, turning religious belonging into a claim on the nation itself (Hansen, 1999). The nation then appears not simply as a legal or territorial entity, but as a moral and civilisational community whose rightful owners are already imagined in religious terms. Under those conditions, citizenship exceeds formal status. It becomes tied to historical depth, cultural legitimacy, and conformity to the dominant account of national belonging. Those who fit that account appear as full members of the nation; those who do not are more easily cast as partial, alien, or suspect.</w:t>
      </w:r>
    </w:p>
    <w:p w14:paraId="5B1BE82E" w14:textId="77777777" w:rsidR="00F71B7A" w:rsidRDefault="00F71B7A" w:rsidP="00F71B7A">
      <w:pPr>
        <w:jc w:val="both"/>
      </w:pPr>
      <w:r>
        <w:t>CHANGE SLIDE</w:t>
      </w:r>
    </w:p>
    <w:p w14:paraId="2B43979B" w14:textId="77777777" w:rsidR="00F71B7A" w:rsidRPr="00CD3B12" w:rsidRDefault="00F71B7A" w:rsidP="00CD3B12">
      <w:pPr>
        <w:jc w:val="both"/>
      </w:pPr>
    </w:p>
    <w:p w14:paraId="22584C1B" w14:textId="77777777" w:rsidR="00F4682F" w:rsidRPr="00F4682F" w:rsidRDefault="00F4682F" w:rsidP="00F4682F">
      <w:pPr>
        <w:jc w:val="both"/>
      </w:pPr>
      <w:r w:rsidRPr="00F4682F">
        <w:t>Debates over Islamic revival movements raise the same issue in a different form. They are often framed as though the central question were simply whether religion has become too visible in public life. Anthropology shows that the problem lies elsewhere. What is at stake is not visibility by itself, but the way visible Islamic practice exposes the norms through which public authorities define, classify, and regulate religion. Veiling, mosque politics, piety movements, reformist preaching, and Islamic education become contentious not because they are religious in any abstract sense, but because they press on established assumptions about where religion ought to be located, who may authorise it, and which forms of public personhood are treated as compatible with citizenship.</w:t>
      </w:r>
    </w:p>
    <w:p w14:paraId="15C9329F" w14:textId="77777777" w:rsidR="00F4682F" w:rsidRDefault="00F4682F" w:rsidP="00CD3B12">
      <w:pPr>
        <w:jc w:val="both"/>
      </w:pPr>
    </w:p>
    <w:p w14:paraId="51A1380D" w14:textId="14E2752F" w:rsidR="00CD3B12" w:rsidRDefault="00456B4E" w:rsidP="00CD3B12">
      <w:pPr>
        <w:jc w:val="both"/>
      </w:pPr>
      <w:proofErr w:type="spellStart"/>
      <w:r w:rsidRPr="00456B4E">
        <w:t>Iteanu’s</w:t>
      </w:r>
      <w:proofErr w:type="spellEnd"/>
      <w:r w:rsidRPr="00456B4E">
        <w:t xml:space="preserve"> discussion of France makes the point in a contemporary setting. He argues not that French secularism has collapsed, but that republican incorporation is imagined as a demanding moral process through which those seen as excessively attached to family, community, or religion must be remade as proper individuals (</w:t>
      </w:r>
      <w:proofErr w:type="spellStart"/>
      <w:r w:rsidRPr="00456B4E">
        <w:t>Iteanu</w:t>
      </w:r>
      <w:proofErr w:type="spellEnd"/>
      <w:r w:rsidRPr="00456B4E">
        <w:t>, 2019). Incorporation, in that account, is not a neutral legal inclusion. It is a programme of transformation. Some attachments are treated as signs of autonomy and citizenship, while others are marked as obstacles to both. The broader anthropological point follows directly: public institutions do not simply regulate religion from outside. They also help produce the categories of personhood through which some ways of living appear modern and legitimate, while others are cast as backward, excessive, or incompatible with full citizenship</w:t>
      </w:r>
      <w:r w:rsidR="00CD3B12" w:rsidRPr="00CD3B12">
        <w:t>.</w:t>
      </w:r>
    </w:p>
    <w:p w14:paraId="55476E57" w14:textId="77777777" w:rsidR="00F4682F" w:rsidRPr="00CD3B12" w:rsidRDefault="00F4682F" w:rsidP="00CD3B12">
      <w:pPr>
        <w:jc w:val="both"/>
      </w:pPr>
    </w:p>
    <w:p w14:paraId="1127F41D" w14:textId="77777777" w:rsidR="007F0BAD" w:rsidRPr="007F0BAD" w:rsidRDefault="007F0BAD" w:rsidP="007F0BAD">
      <w:pPr>
        <w:jc w:val="both"/>
      </w:pPr>
      <w:r w:rsidRPr="007F0BAD">
        <w:t>The central question is not whether religion belongs in public life, because public life is already structured through disputes over religious form, authority, and legitimacy. The harder question is who has the power to define acceptable religion, to regulate its public expression, and to decide which forms of attachment are compatible with belonging. Religion, in this context, is not a private remainder left behind by secular rule. It is one of the means through which populations are classified, national identities are articulated, and citizens are distinguished from those whose attachments are treated as excessive, suspect, or insufficiently national.</w:t>
      </w:r>
    </w:p>
    <w:p w14:paraId="0FBFE137" w14:textId="77777777" w:rsidR="005C61ED" w:rsidRPr="00F23D56" w:rsidRDefault="005C61ED" w:rsidP="003C3731">
      <w:pPr>
        <w:jc w:val="both"/>
      </w:pPr>
    </w:p>
    <w:p w14:paraId="599806EF" w14:textId="77777777" w:rsidR="007F050E" w:rsidRPr="00F23D56" w:rsidRDefault="00313263" w:rsidP="003C3731">
      <w:pPr>
        <w:jc w:val="both"/>
      </w:pPr>
      <w:r>
        <w:pict w14:anchorId="1572D825">
          <v:rect id="_x0000_i1046" style="width:0;height:1.5pt" o:hralign="center" o:hrstd="t" o:hr="t" fillcolor="#a0a0a0" stroked="f"/>
        </w:pict>
      </w:r>
    </w:p>
    <w:p w14:paraId="384ED358" w14:textId="372F29C8" w:rsidR="007F050E" w:rsidRPr="00F23D56" w:rsidRDefault="009762F5" w:rsidP="003C3731">
      <w:pPr>
        <w:pStyle w:val="Heading3"/>
        <w:jc w:val="both"/>
      </w:pPr>
      <w:r>
        <w:t>2.</w:t>
      </w:r>
      <w:r w:rsidR="007F050E" w:rsidRPr="00F23D56">
        <w:t xml:space="preserve"> MIGRATION &amp; MEDIA</w:t>
      </w:r>
    </w:p>
    <w:p w14:paraId="1FD97C16" w14:textId="2499DDA1" w:rsidR="007F0BAD" w:rsidRDefault="002B4B42" w:rsidP="00693480">
      <w:pPr>
        <w:jc w:val="both"/>
      </w:pPr>
      <w:r w:rsidRPr="002B4B42">
        <w:t>Religion rarely remains contained within the spatial and institutional boundaries through which states try to organise public life. Borders may regulate citizenship, documentation, and jurisdiction, but they do not neatly contain prayer, ritual obligation, sacred authority, or moral attachment. Migration makes that especially clear. As people move, religious life moves with them, not as something simply transported intact, but as something reassembled across distance. Practices are repeated in new neighbourhoods, institutions are rebuilt in unfamiliar settings, and ties to shrines, teachers, congregations, and kin are sustained across national space. Migration therefore shows with particular force that religion does not belong naturally within a single public, a single state, or a single territory.</w:t>
      </w:r>
    </w:p>
    <w:p w14:paraId="3B4BCF53" w14:textId="77777777" w:rsidR="002B4B42" w:rsidRPr="00693480" w:rsidRDefault="002B4B42" w:rsidP="00693480">
      <w:pPr>
        <w:jc w:val="both"/>
      </w:pPr>
    </w:p>
    <w:p w14:paraId="28B63F1D" w14:textId="77777777" w:rsidR="00161D73" w:rsidRDefault="00161D73" w:rsidP="00F71B7A">
      <w:pPr>
        <w:jc w:val="both"/>
      </w:pPr>
      <w:r w:rsidRPr="00161D73">
        <w:t>Levitt shows that migration moves more than people, money, or legal status. It also moves styles of worship, moral norms, organisational forms, and everyday habits of religious life. Her term ‘religious remittances’ names these circulating transfers of practice and value (Levitt, 2007). What travels, then, is not private belief alone but ways of praying, models of authority, ideas of family and gender, and expectations about obligation and proper personhood. These do not simply leave one place and arrive in another unchanged. They circulate back and forth across transnational social fields. A migrant church, mosque, or prayer group is therefore rarely just a local adjustment to a new setting. It is often one institutional node within a wider network of exchange, care, discipline, and imagination.</w:t>
      </w:r>
    </w:p>
    <w:p w14:paraId="5EAC9967" w14:textId="5FE9D5A7" w:rsidR="00F71B7A" w:rsidRDefault="00F71B7A" w:rsidP="00F71B7A">
      <w:pPr>
        <w:jc w:val="both"/>
      </w:pPr>
      <w:r>
        <w:t>CHANGE SLIDE</w:t>
      </w:r>
    </w:p>
    <w:p w14:paraId="2227747D" w14:textId="77777777" w:rsidR="00F71B7A" w:rsidRPr="00693480" w:rsidRDefault="00F71B7A" w:rsidP="00693480">
      <w:pPr>
        <w:jc w:val="both"/>
      </w:pPr>
    </w:p>
    <w:p w14:paraId="211DD813" w14:textId="77777777" w:rsidR="00693480" w:rsidRPr="00693480" w:rsidRDefault="00693480" w:rsidP="00693480">
      <w:pPr>
        <w:jc w:val="both"/>
      </w:pPr>
      <w:r w:rsidRPr="00693480">
        <w:t>That matters because migration unsettles older assumptions about public religion. In the previous section, the focus fell on how states regulate religion and define proper citizenship. Migration complicates that immediately. Religious belonging now exceeds the nation-state. Authority may lie elsewhere. Moral obligation may be directed toward people far away. A sermon heard in London may answer to a teacher in Cairo, Lagos, or Karachi. A family ritual in one country may depend on the timing of a festival in another. The point is not simply that religion “goes global.” The point is that migration reveals religion as already organised through relations that cut across legal and territorial containers.</w:t>
      </w:r>
    </w:p>
    <w:p w14:paraId="10F72460" w14:textId="77777777" w:rsidR="00693480" w:rsidRDefault="00693480" w:rsidP="00693480">
      <w:pPr>
        <w:jc w:val="both"/>
      </w:pPr>
      <w:r w:rsidRPr="00693480">
        <w:t>Peter Mandaville’s work on diasporic Islam is especially strong here because he shows that Muslim public life cannot be understood adequately within national frames alone. Debate, authority, reform, and belonging circulate across transnational Muslim publics in ways that make the old equation between religion and territory harder to sustain (</w:t>
      </w:r>
      <w:proofErr w:type="spellStart"/>
      <w:r w:rsidRPr="00693480">
        <w:t>Mandaville</w:t>
      </w:r>
      <w:proofErr w:type="spellEnd"/>
      <w:r w:rsidRPr="00693480">
        <w:t>, 2001). This is not just a matter of people carrying old traditions into new settings. Migration can multiply religious voices, unsettle inherited hierarchies, and widen the field of possible authority. A person may now take guidance from a local imam, an online preacher, a WhatsApp group, a scholar abroad, and kin networks spread across several countries, all at once. The result is not freedom from authority, but authority in a more dispersed and contested form.</w:t>
      </w:r>
    </w:p>
    <w:p w14:paraId="30DAC020" w14:textId="77777777" w:rsidR="00F71B7A" w:rsidRDefault="00F71B7A" w:rsidP="00F71B7A">
      <w:pPr>
        <w:jc w:val="both"/>
      </w:pPr>
      <w:r>
        <w:t>CHANGE SLIDE</w:t>
      </w:r>
    </w:p>
    <w:p w14:paraId="5655B3AC" w14:textId="77777777" w:rsidR="00F71B7A" w:rsidRPr="00693480" w:rsidRDefault="00F71B7A" w:rsidP="00693480">
      <w:pPr>
        <w:jc w:val="both"/>
      </w:pPr>
    </w:p>
    <w:p w14:paraId="38A4AD3C" w14:textId="76D8BBAA" w:rsidR="0040476C" w:rsidRPr="0040476C" w:rsidRDefault="0040476C" w:rsidP="0040476C">
      <w:pPr>
        <w:jc w:val="both"/>
      </w:pPr>
      <w:r w:rsidRPr="0040476C">
        <w:t xml:space="preserve">Media is </w:t>
      </w:r>
      <w:r w:rsidR="001D19FD">
        <w:t xml:space="preserve">important here, as it serves as </w:t>
      </w:r>
      <w:r w:rsidRPr="0040476C">
        <w:t xml:space="preserve">one of the </w:t>
      </w:r>
      <w:r w:rsidR="001D19FD">
        <w:t xml:space="preserve">primary </w:t>
      </w:r>
      <w:r w:rsidRPr="0040476C">
        <w:t>infrastructures through which transnational religious life is sustained. Livestreamed sermons, voice notes, online classes, recorded recitations, prayer groups, devotional clips, and WhatsApp exchanges allow religious authority, ritual participation, and moral discipline to continue across distance. Physical absence does not therefore mean religious disconnection. A service watched from elsewhere can still organise the week; a message from a pastor, imam, or teacher can still direct conduct; a family spread across several countries can still share prayer, ritual timing, and scriptural interpretation through phones and digital platforms. Technology does not remove mediation from religion. It multiplies and intensifies the mediated forms through which religious life is maintained.</w:t>
      </w:r>
    </w:p>
    <w:p w14:paraId="254EDE16" w14:textId="77777777" w:rsidR="0040476C" w:rsidRDefault="0040476C" w:rsidP="00693480">
      <w:pPr>
        <w:jc w:val="both"/>
      </w:pPr>
    </w:p>
    <w:p w14:paraId="6910A88B" w14:textId="77777777" w:rsidR="001D19FD" w:rsidRPr="001D19FD" w:rsidRDefault="001D19FD" w:rsidP="001D19FD">
      <w:pPr>
        <w:jc w:val="both"/>
      </w:pPr>
      <w:r w:rsidRPr="001D19FD">
        <w:t>Campbell’s work on digital religion shows that media do more than extend religious communication across distance. They alter the conditions under which religious authority is exercised, recognised, and contested (Campbell, 2013). Digital platforms can amplify existing authorities, but they can also multiply competing voices, expose claims to immediate scrutiny, and loosen the control once exercised by bounded local institutions. A preacher or teacher no longer speaks only to one co-present congregation. Sermons, rulings, lessons, and exhortations can be recorded, clipped, forwarded, challenged, and recontextualised across different settings. Religious authority thus becomes more mobile, but also more dispersed and less securely controlled.</w:t>
      </w:r>
    </w:p>
    <w:p w14:paraId="757AEE16" w14:textId="77777777" w:rsidR="00666DD5" w:rsidRDefault="00666DD5" w:rsidP="00666DD5">
      <w:pPr>
        <w:jc w:val="both"/>
      </w:pPr>
      <w:r>
        <w:t>CHANGE SLIDE</w:t>
      </w:r>
    </w:p>
    <w:p w14:paraId="260A5566" w14:textId="77777777" w:rsidR="00666DD5" w:rsidRPr="00693480" w:rsidRDefault="00666DD5" w:rsidP="00693480">
      <w:pPr>
        <w:jc w:val="both"/>
      </w:pPr>
    </w:p>
    <w:p w14:paraId="0FE27C8A" w14:textId="77777777" w:rsidR="00340045" w:rsidRPr="00340045" w:rsidRDefault="00340045" w:rsidP="00340045">
      <w:pPr>
        <w:jc w:val="both"/>
      </w:pPr>
      <w:r w:rsidRPr="00340045">
        <w:t>Migration does not weaken religion in any straightforward way. It often intensifies it. Distance can deepen attachment, dislocation can increase the importance of ritual continuity, and religious communities can become key sites for reworking kinship, language, care, and memory under unfamiliar conditions. Media extends that continuity across space, but also changes its form. It allows co-presence without physical co-location: people may be embedded in one social world while remaining morally and ritually tied to another. A congregation abroad can still organise conduct, obligation, and belonging from a distance. Digital religion therefore makes especially clear that social life depends not only on face-to-face relations, but also on mediated attachments that are no less real for being spatially dispersed.</w:t>
      </w:r>
    </w:p>
    <w:p w14:paraId="4EF53D03" w14:textId="77777777" w:rsidR="00340045" w:rsidRPr="00693480" w:rsidRDefault="00340045" w:rsidP="00693480">
      <w:pPr>
        <w:jc w:val="both"/>
      </w:pPr>
    </w:p>
    <w:p w14:paraId="7697E20F" w14:textId="58D77972" w:rsidR="00340045" w:rsidRDefault="00C11503" w:rsidP="00693480">
      <w:pPr>
        <w:jc w:val="both"/>
      </w:pPr>
      <w:r w:rsidRPr="00C11503">
        <w:t>Meyer’s work on mediation shows that religion is never immediate or unmediated. Sound, image, text, performance, and sensation are among the means through which religious presence is made real in practice (Meyer, 2011). Once that is recognised, online worship and WhatsApp theology no longer appear as modern distortions of an otherwise pure religious form. They appear instead as contemporary instances of a more general anthropological point: religion is always mediated, and the forms of mediation help shape authority, belonging, and experience.</w:t>
      </w:r>
    </w:p>
    <w:p w14:paraId="1A5B095D" w14:textId="77777777" w:rsidR="00C11503" w:rsidRPr="00693480" w:rsidRDefault="00C11503" w:rsidP="00693480">
      <w:pPr>
        <w:jc w:val="both"/>
      </w:pPr>
    </w:p>
    <w:p w14:paraId="3CCD93B0" w14:textId="77777777" w:rsidR="00680997" w:rsidRPr="00680997" w:rsidRDefault="00680997" w:rsidP="00680997">
      <w:pPr>
        <w:jc w:val="both"/>
      </w:pPr>
      <w:r w:rsidRPr="00680997">
        <w:t>Migration and media together show that religion cannot be confined to a single territory, institution, or authorised voice. As religion travels, it is reworked across distance, new settings, and dispersed communities. As media connect those communities, they also redistribute authority, participation, and presence. What emerges is not simply religion maintained at a distance, but religion reorganised through movement, dispersion, and mediated forms of connection.</w:t>
      </w:r>
    </w:p>
    <w:p w14:paraId="25C8875C" w14:textId="77777777" w:rsidR="006B171A" w:rsidRDefault="006B171A" w:rsidP="003C3731">
      <w:pPr>
        <w:jc w:val="both"/>
      </w:pPr>
    </w:p>
    <w:p w14:paraId="27B56538" w14:textId="77777777" w:rsidR="009B2617" w:rsidRPr="00F23D56" w:rsidRDefault="00313263" w:rsidP="003C3731">
      <w:pPr>
        <w:jc w:val="both"/>
      </w:pPr>
      <w:r>
        <w:pict w14:anchorId="5E9F7E19">
          <v:rect id="_x0000_i1047" style="width:0;height:1.5pt" o:hralign="center" o:hrstd="t" o:hr="t" fillcolor="#a0a0a0" stroked="f"/>
        </w:pict>
      </w:r>
    </w:p>
    <w:p w14:paraId="69190DDF" w14:textId="2FF89786" w:rsidR="005C61ED" w:rsidRPr="00F23D56" w:rsidRDefault="009B2617" w:rsidP="003C3731">
      <w:pPr>
        <w:pStyle w:val="Heading2"/>
        <w:jc w:val="both"/>
      </w:pPr>
      <w:r w:rsidRPr="00F23D56">
        <w:t xml:space="preserve">BREAK </w:t>
      </w:r>
      <w:r w:rsidR="00AC52DC">
        <w:t>2</w:t>
      </w:r>
      <w:r w:rsidRPr="00F23D56">
        <w:t>:</w:t>
      </w:r>
      <w:r w:rsidR="00AC52DC">
        <w:t>00</w:t>
      </w:r>
      <w:r w:rsidRPr="00F23D56">
        <w:t>–</w:t>
      </w:r>
      <w:r w:rsidR="009917CE">
        <w:t>2</w:t>
      </w:r>
      <w:r w:rsidRPr="00F23D56">
        <w:t>:</w:t>
      </w:r>
      <w:r w:rsidR="009917CE">
        <w:t>3</w:t>
      </w:r>
      <w:r w:rsidR="004E4D86">
        <w:t>0</w:t>
      </w:r>
    </w:p>
    <w:p w14:paraId="05C6BBB2" w14:textId="77777777" w:rsidR="007F050E" w:rsidRPr="00F23D56" w:rsidRDefault="00313263" w:rsidP="003C3731">
      <w:pPr>
        <w:jc w:val="both"/>
      </w:pPr>
      <w:r>
        <w:pict w14:anchorId="71DAAFDF">
          <v:rect id="_x0000_i1048" style="width:0;height:1.5pt" o:hralign="center" o:hrstd="t" o:hr="t" fillcolor="#a0a0a0" stroked="f"/>
        </w:pict>
      </w:r>
    </w:p>
    <w:p w14:paraId="341B59EE" w14:textId="7AEEE5E6" w:rsidR="007F050E" w:rsidRPr="00F23D56" w:rsidRDefault="005C61ED" w:rsidP="003C3731">
      <w:pPr>
        <w:pStyle w:val="Heading3"/>
        <w:jc w:val="both"/>
      </w:pPr>
      <w:r>
        <w:t>3.</w:t>
      </w:r>
      <w:r w:rsidR="007F050E" w:rsidRPr="00F23D56">
        <w:t xml:space="preserve"> PECCs IN GLOBAL CONTEXT</w:t>
      </w:r>
    </w:p>
    <w:p w14:paraId="6B8F08CB" w14:textId="15AA064B" w:rsidR="003033BF" w:rsidRDefault="00547F24" w:rsidP="003033BF">
      <w:pPr>
        <w:jc w:val="both"/>
      </w:pPr>
      <w:r w:rsidRPr="00547F24">
        <w:t xml:space="preserve">Pentecostal, Evangelical, and Charismatic </w:t>
      </w:r>
      <w:proofErr w:type="spellStart"/>
      <w:r w:rsidRPr="00547F24">
        <w:t>Christianities</w:t>
      </w:r>
      <w:proofErr w:type="spellEnd"/>
      <w:r w:rsidRPr="00547F24">
        <w:t xml:space="preserve"> are forms of Christianity organised around conversion, biblical authority, moral discipline, and the active presence of the Holy Spirit in everyday life. In practice, that usually means strong emphasis on being ‘born again’, prayer, healing, deliverance, testimony, spiritual warfare, and the remaking of the self through explicitly Christian norms. Their anthropological importance is not that they represent Christianity as a whole, but that they make some of the most important contemporary questions about religion especially clear: how religion travels, how it expands through conversion, how it reorganises moral life, and how it addresses uncertainty, affliction, aspiration, and social change. Christianity, as Engelke remarked, has </w:t>
      </w:r>
      <w:r w:rsidR="009976FD">
        <w:t>thus</w:t>
      </w:r>
      <w:r w:rsidRPr="00547F24">
        <w:t xml:space="preserve"> ‘forced itself upon’ anthropology (Engelke, 2005, cited in Garriott and O’Neill, 2008, p. 382). This is particularly true of PECCs, whose expansion has been one of the most striking features of contemporary global Christianity. In Africa especially, the scale of Christian growth has been so significant that Hastings argued the continent is now ‘totally inconceivable apart from the presence of Christianity’ (1990, p. 208)</w:t>
      </w:r>
      <w:r w:rsidR="003033BF" w:rsidRPr="003033BF">
        <w:t>.</w:t>
      </w:r>
    </w:p>
    <w:p w14:paraId="6638A618" w14:textId="77777777" w:rsidR="003033BF" w:rsidRPr="003033BF" w:rsidRDefault="003033BF" w:rsidP="003033BF">
      <w:pPr>
        <w:jc w:val="both"/>
      </w:pPr>
    </w:p>
    <w:p w14:paraId="7D697ECF" w14:textId="589393C3" w:rsidR="006E60C3" w:rsidRDefault="003033BF" w:rsidP="00777B33">
      <w:pPr>
        <w:jc w:val="both"/>
      </w:pPr>
      <w:r w:rsidRPr="003033BF">
        <w:t>Conversion is central to this form of Christianity. It is commonly presented not as a gradual adjustment of opinion but as rupture: not the addition of new beliefs to an existing life, but a break with prior obligations, substances, habits, spiritual ties, and inherited ways of narrating kinship and the past. Robbins argues that Christianity has been especially productive for anthropology because it so often demands discontinuity, making it a powerful site for analysing how religion remakes persons and social worlds (Robbins, 2004). In Pentecostal and Charismatic contexts, conversion is therefore more than doctrinal assent. It is an ethical and ontological reorientation through which persons become newly accountable, newly exposed to judgement, and newly required to interpret themselves and the world through Christian categories such as sin, blessing, evil, and redemption</w:t>
      </w:r>
      <w:r w:rsidR="00777B33" w:rsidRPr="00777B33">
        <w:t>.</w:t>
      </w:r>
    </w:p>
    <w:p w14:paraId="191F63F7" w14:textId="4932D7B8" w:rsidR="006E60C3" w:rsidRDefault="006E60C3" w:rsidP="006E60C3">
      <w:r>
        <w:t>CHANGE SLIDE</w:t>
      </w:r>
    </w:p>
    <w:p w14:paraId="7B5DAEF3" w14:textId="77777777" w:rsidR="00777B33" w:rsidRPr="00777B33" w:rsidRDefault="00777B33" w:rsidP="00777B33">
      <w:pPr>
        <w:jc w:val="both"/>
      </w:pPr>
    </w:p>
    <w:p w14:paraId="0672166F" w14:textId="05CC5704" w:rsidR="00A87C3B" w:rsidRDefault="00A87C3B" w:rsidP="00A87C3B">
      <w:pPr>
        <w:jc w:val="both"/>
      </w:pPr>
      <w:r w:rsidRPr="00A87C3B">
        <w:t xml:space="preserve">PECC conversion is inseparable from a densely inhabited account of the world. Spiritual warfare, deliverance, healing, prophecy, prosperity, and demonic attack all presuppose that unseen forces are active in ordinary life rather than marginal to it. Affliction may be attributed to spirits, failure to occult attack, sickness to demonic influence, and success to divine favour. PECCs therefore do not displace the invisible; they intensify its significance. </w:t>
      </w:r>
      <w:r w:rsidR="00DD0EEA" w:rsidRPr="00DD0EEA">
        <w:t>This is also where PECCs reconnect to earlier questions of witchcraft and occult economy, though through condemnation and reclassification rather than simple continuity</w:t>
      </w:r>
      <w:r w:rsidRPr="00A87C3B">
        <w:t>. Pentecostalism frequently condemns older ritual forms, spirit relations, and witchcraft practices as satanic, and presents conversion as a break with them. Yet it retains the central proposition that hidden agencies are real and consequential. Meyer’s work on Ghana is important here because it shows Pentecostalism demonising the past while preserving a world in which spirits remain decisively active (Meyer, 1998; 2004). What changes is not the reality of invisible force, but its moral classification and Christian reorganisation.</w:t>
      </w:r>
    </w:p>
    <w:p w14:paraId="72D48AAA" w14:textId="77777777" w:rsidR="00A87C3B" w:rsidRPr="00A87C3B" w:rsidRDefault="00A87C3B" w:rsidP="00A87C3B">
      <w:pPr>
        <w:jc w:val="both"/>
      </w:pPr>
    </w:p>
    <w:p w14:paraId="61D366D4" w14:textId="2C62F996" w:rsidR="00A87C3B" w:rsidRPr="00A87C3B" w:rsidRDefault="00A87C3B" w:rsidP="00A87C3B">
      <w:pPr>
        <w:jc w:val="both"/>
      </w:pPr>
      <w:r w:rsidRPr="00A87C3B">
        <w:t xml:space="preserve">Deliverance shows this with particular clarity. It is not only a dramatic ritual performance, but a mode of diagnosis, attribution, and transformation. It identifies the source of suffering, assigns responsibility, and publicly enacts the remaking of the afflicted person. Demons are named, curses are broken, bodies shake, collapse, cry, or recover, and affliction is rendered morally intelligible through those acts. That is one reason PECCs often become powerful in conditions of uncertainty and precarity. They do not offer comfort alone. They offer explanation. They tell people why life is going wrong, what or who is acting against them, and how those forces may be overcome. </w:t>
      </w:r>
      <w:r w:rsidR="00DD0EEA" w:rsidRPr="00DD0EEA">
        <w:t>Healing is part of that same structure of interpretation and intervention</w:t>
      </w:r>
      <w:r w:rsidRPr="00A87C3B">
        <w:t>. It is not only bodily repair, but evidence of divine presence, confirmation of moral order, and proof that the invisible world can be acted upon in this one.</w:t>
      </w:r>
    </w:p>
    <w:p w14:paraId="340F52C3" w14:textId="77777777" w:rsidR="006E60C3" w:rsidRDefault="006E60C3" w:rsidP="006E60C3">
      <w:pPr>
        <w:jc w:val="both"/>
      </w:pPr>
      <w:r>
        <w:t>CHANGE SLIDE</w:t>
      </w:r>
    </w:p>
    <w:p w14:paraId="630E3B8C" w14:textId="77777777" w:rsidR="006E60C3" w:rsidRPr="00777B33" w:rsidRDefault="006E60C3" w:rsidP="00777B33">
      <w:pPr>
        <w:jc w:val="both"/>
      </w:pPr>
    </w:p>
    <w:p w14:paraId="15E1749A" w14:textId="1FBC2749" w:rsidR="00AE1B1A" w:rsidRDefault="006A0995" w:rsidP="00AE1B1A">
      <w:pPr>
        <w:jc w:val="both"/>
      </w:pPr>
      <w:r w:rsidRPr="006A0995">
        <w:t>Prosperity theology is part of the same Pentecostal moral and ritual formation, and anthropology has at times handled it too reductively by treating it as greed in religious idiom</w:t>
      </w:r>
      <w:r w:rsidR="00AE1B1A" w:rsidRPr="00AE1B1A">
        <w:t xml:space="preserve">. That misses its internal moral logic. Prosperity preaching does not merely promise money. It links giving, blessing, sacrifice, obedience, discipline, and expectation within a wider moral economy. Coleman shows that prosperity is not a marginal doctrinal oddity but part of a broader Pentecostal style in which words, gifts, bodies, and futures are made to circulate with spiritual force (Coleman, 2000). Wealth is certainly desired, but not only as consumption. It may also be taken as evidence of divine favour, proof of spiritual efficacy, and confirmation that disciplined giving returns in multiplied form. </w:t>
      </w:r>
      <w:r w:rsidRPr="006A0995">
        <w:t>Offerings are better understood through the anthropology of gift than through the language of donation alone</w:t>
      </w:r>
      <w:r w:rsidR="00AE1B1A" w:rsidRPr="00AE1B1A">
        <w:t>. Offerings are not framed simply as donations. They may be cast as seeds, sacrifices, covenantal acts, or materially consequential exchanges with God. The convert gives in order to receive, but what is expected in return is not understood as price in any ordinary market sense. It is blessing, breakthrough, protection, enlargement, or opened possibility. The relation is therefore transactional, but never exhausted by transaction.</w:t>
      </w:r>
    </w:p>
    <w:p w14:paraId="378AF94B" w14:textId="77777777" w:rsidR="00AE1B1A" w:rsidRPr="00AE1B1A" w:rsidRDefault="00AE1B1A" w:rsidP="00AE1B1A">
      <w:pPr>
        <w:jc w:val="both"/>
      </w:pPr>
    </w:p>
    <w:p w14:paraId="0542E6A1" w14:textId="77777777" w:rsidR="00AE1B1A" w:rsidRDefault="00AE1B1A" w:rsidP="00AE1B1A">
      <w:pPr>
        <w:jc w:val="both"/>
      </w:pPr>
      <w:r w:rsidRPr="00AE1B1A">
        <w:t xml:space="preserve">The same structure helps explain the transnational reach of PECCs. They travel effectively because they combine strong moral demands with marked organisational flexibility. They can take institutional form in megachurches, storefront congregations, rented halls, living rooms, industrial estates, university classrooms, and digitally mediated publics. They offer compelling diagnoses of misfortune and equally strong promises of transformation. They move easily through migration, media, and aspiration without becoming uniform. </w:t>
      </w:r>
      <w:proofErr w:type="spellStart"/>
      <w:r w:rsidRPr="00AE1B1A">
        <w:t>Adogame</w:t>
      </w:r>
      <w:proofErr w:type="spellEnd"/>
      <w:r w:rsidRPr="00AE1B1A">
        <w:t xml:space="preserve"> shows that Pentecostal and charismatic forms circulate through global and diasporic networks while remaining locally inflected rather than dissolving into a single standard model (</w:t>
      </w:r>
      <w:proofErr w:type="spellStart"/>
      <w:r w:rsidRPr="00AE1B1A">
        <w:t>Adogame</w:t>
      </w:r>
      <w:proofErr w:type="spellEnd"/>
      <w:r w:rsidRPr="00AE1B1A">
        <w:t>, 2010). What emerges is not one Pentecostalism but a family of related formations organised around recurrent emphases: conversion, warfare, healing, deliverance, prosperity, testimony, and the remaking of self and world.</w:t>
      </w:r>
    </w:p>
    <w:p w14:paraId="04B3E814" w14:textId="77777777" w:rsidR="00AE1B1A" w:rsidRPr="00AE1B1A" w:rsidRDefault="00AE1B1A" w:rsidP="00AE1B1A">
      <w:pPr>
        <w:jc w:val="both"/>
      </w:pPr>
    </w:p>
    <w:p w14:paraId="7296682E" w14:textId="77777777" w:rsidR="00AE1B1A" w:rsidRPr="00AE1B1A" w:rsidRDefault="00AE1B1A" w:rsidP="00AE1B1A">
      <w:pPr>
        <w:jc w:val="both"/>
      </w:pPr>
      <w:r w:rsidRPr="00AE1B1A">
        <w:t>PECCs therefore need to be placed comparatively rather than inflated into the story of religion in the present. They are not the universal case, but they are an especially revealing one. Anthropologically, they bring several problems into unusually sharp focus: rupture and continuity, visible and invisible causality, affliction and aspiration, gift and return, moral discipline and expansive desire. They also show how Christianity can condemn witchcraft while preserving a world densely populated by spiritual agencies. The value of PECCs for anthropology is not that they explain religion as such, but that they clarify how religion can remake persons, diagnose suffering, and organise hope under contemporary conditions.</w:t>
      </w:r>
    </w:p>
    <w:p w14:paraId="477897BE" w14:textId="77777777" w:rsidR="005C61ED" w:rsidRPr="00F23D56" w:rsidRDefault="005C61ED" w:rsidP="003C3731">
      <w:pPr>
        <w:jc w:val="both"/>
      </w:pPr>
    </w:p>
    <w:p w14:paraId="24E4AA49" w14:textId="77777777" w:rsidR="007F050E" w:rsidRPr="00F23D56" w:rsidRDefault="00313263" w:rsidP="003C3731">
      <w:pPr>
        <w:jc w:val="both"/>
      </w:pPr>
      <w:r>
        <w:pict w14:anchorId="6D99F332">
          <v:rect id="_x0000_i1049" style="width:0;height:1.5pt" o:hralign="center" o:hrstd="t" o:hr="t" fillcolor="#a0a0a0" stroked="f"/>
        </w:pict>
      </w:r>
    </w:p>
    <w:p w14:paraId="73657D98" w14:textId="65A75155" w:rsidR="007F050E" w:rsidRPr="00F23D56" w:rsidRDefault="005C61ED" w:rsidP="003C3731">
      <w:pPr>
        <w:pStyle w:val="Heading3"/>
        <w:jc w:val="both"/>
      </w:pPr>
      <w:r>
        <w:t>4.</w:t>
      </w:r>
      <w:r w:rsidR="007F050E" w:rsidRPr="00F23D56">
        <w:t xml:space="preserve"> RELIGION &amp; EMBODIMENT</w:t>
      </w:r>
    </w:p>
    <w:p w14:paraId="7708D827" w14:textId="487E2698" w:rsidR="005D724B" w:rsidRDefault="00A011E6" w:rsidP="005D724B">
      <w:pPr>
        <w:jc w:val="both"/>
      </w:pPr>
      <w:r w:rsidRPr="00A011E6">
        <w:t>Religion takes shape through bodily practice as much as through thought or belief</w:t>
      </w:r>
      <w:r w:rsidR="005D724B" w:rsidRPr="005D724B">
        <w:t xml:space="preserve">. It is enacted in and through </w:t>
      </w:r>
      <w:r>
        <w:t>f</w:t>
      </w:r>
      <w:r w:rsidR="005D724B" w:rsidRPr="005D724B">
        <w:t>ood, sexuality, dress, gender, healing, and affliction</w:t>
      </w:r>
      <w:r>
        <w:t xml:space="preserve">, </w:t>
      </w:r>
      <w:r w:rsidR="005D724B" w:rsidRPr="005D724B">
        <w:t xml:space="preserve">each </w:t>
      </w:r>
      <w:r>
        <w:t xml:space="preserve">of which becomes </w:t>
      </w:r>
      <w:r w:rsidR="005D724B" w:rsidRPr="005D724B">
        <w:t>a site through which religious life becomes material, disciplined, and publicly visible. Fasting alters appetite and temporal rhythm. Dress codes regulate movement, exposure, and recognisability. Rules governing sex and marriage organise desire, kinship, and reproduction. Ritual healing works through breath, touch, posture, pain, release, and sensation. Religion does not stand above bodily life as an abstract system of ideas. It forms persons through embodied practice.</w:t>
      </w:r>
    </w:p>
    <w:p w14:paraId="3188B7DA" w14:textId="77777777" w:rsidR="00BD587F" w:rsidRPr="005D724B" w:rsidRDefault="00BD587F" w:rsidP="005D724B">
      <w:pPr>
        <w:jc w:val="both"/>
      </w:pPr>
    </w:p>
    <w:p w14:paraId="6DC53673" w14:textId="17651689" w:rsidR="005F3986" w:rsidRDefault="00BD587F" w:rsidP="005F3986">
      <w:pPr>
        <w:jc w:val="both"/>
      </w:pPr>
      <w:r w:rsidRPr="00BD587F">
        <w:t>This is precisely why Asad rejects accounts of religion centred mainly on meaning or symbol (Asad, 1993).</w:t>
      </w:r>
      <w:r w:rsidR="005D724B" w:rsidRPr="005D724B">
        <w:t xml:space="preserve"> In his account, religious traditions form subjects through discipline, repetition, authority, and embodied training rather than through belief alone (Asad, 1993). A religious body is therefore not a natural body to which ideas have been added. It is cultivated. It learns restraint, posture, proper speech, acceptable desire, appropriate shame, right conduct, and the bodily signs of moral seriousness. Bodily regulation is not an optional supplement to religion. It is one of the ways religion takes social and material form</w:t>
      </w:r>
      <w:r w:rsidR="005F3986" w:rsidRPr="005F3986">
        <w:t>.</w:t>
      </w:r>
    </w:p>
    <w:p w14:paraId="1130B201" w14:textId="77777777" w:rsidR="006E60C3" w:rsidRDefault="006E60C3" w:rsidP="006E60C3">
      <w:pPr>
        <w:jc w:val="both"/>
      </w:pPr>
      <w:r>
        <w:t>CHANGE SLIDE</w:t>
      </w:r>
    </w:p>
    <w:p w14:paraId="0ED15EDB" w14:textId="77777777" w:rsidR="006E60C3" w:rsidRPr="005F3986" w:rsidRDefault="006E60C3" w:rsidP="005F3986">
      <w:pPr>
        <w:jc w:val="both"/>
      </w:pPr>
    </w:p>
    <w:p w14:paraId="6AD6973A" w14:textId="77777777" w:rsidR="006C0716" w:rsidRDefault="006C0716" w:rsidP="006C0716">
      <w:pPr>
        <w:jc w:val="both"/>
      </w:pPr>
      <w:r w:rsidRPr="006C0716">
        <w:t>Mahmood develops this point through her work on the women’s piety movement in Egypt. Veiling, modest comportment, disciplined prayer, and cultivated restraint are not treated as simple signs of either liberation or oppression. They are analysed as practices through which ethical subjects are formed (Mahmood, 2005). The claim is therefore stronger than the observation that religion regulates bodies. Bodily discipline is one of the means through which moral interiority is produced. Dress, gesture, speech, and restraint do not merely express a prior inner state; they help bring it into being. Religious embodiment is thus not reducible to prohibition. It also involves the cultivation of dispositions, capacities, sensibilities, and habits oriented towards virtue.</w:t>
      </w:r>
    </w:p>
    <w:p w14:paraId="7FEFF906" w14:textId="77777777" w:rsidR="006C0716" w:rsidRPr="006C0716" w:rsidRDefault="006C0716" w:rsidP="006C0716">
      <w:pPr>
        <w:jc w:val="both"/>
      </w:pPr>
    </w:p>
    <w:p w14:paraId="6243B4DB" w14:textId="77777777" w:rsidR="007324AF" w:rsidRDefault="007324AF" w:rsidP="00A60737">
      <w:pPr>
        <w:jc w:val="both"/>
      </w:pPr>
      <w:r w:rsidRPr="007324AF">
        <w:t>Questions of food show the same broader structure in another domain. Dietary rules are rarely about nutrition alone. They classify what may be eaten, with whom, under what conditions, and with what consequences. Douglas’s analysis is still important here because it treats purity and pollution not as irrational leftovers but as systems of boundary-making through which moral order is maintained (Douglas, 1966). Food taboos, fasting, avoidance, ritual preparation, and rules of ingestion matter because the body is not treated as a closed private container. It is a point of contact between social order and cosmological order. What enters the body may preserve or violate that order. Consumption, refusal, and restraint are therefore bound to holiness, contamination, discipline, and belonging. Sexual regulation operates in an analogous way. It concerns not only individual conduct but kinship, inheritance, gendered authority, virtue, danger, fertility, and the legitimate organisation of bodily power.</w:t>
      </w:r>
    </w:p>
    <w:p w14:paraId="0D55CBDF" w14:textId="009B5620" w:rsidR="00A60737" w:rsidRDefault="00A60737" w:rsidP="00A60737">
      <w:pPr>
        <w:jc w:val="both"/>
      </w:pPr>
      <w:r>
        <w:t>CHANGE SLIDE</w:t>
      </w:r>
    </w:p>
    <w:p w14:paraId="0F355DA2" w14:textId="77777777" w:rsidR="00A60737" w:rsidRPr="005F3986" w:rsidRDefault="00A60737" w:rsidP="005F3986">
      <w:pPr>
        <w:jc w:val="both"/>
      </w:pPr>
    </w:p>
    <w:p w14:paraId="55D78904" w14:textId="77777777" w:rsidR="00EC0574" w:rsidRDefault="00EC0574" w:rsidP="00EC0574">
      <w:pPr>
        <w:jc w:val="both"/>
      </w:pPr>
      <w:r w:rsidRPr="00EC0574">
        <w:t>Religious traditions often organise gender through the body. They determine who may speak publicly, who may uncover hair or skin, who may lead ritual, who may touch whom, how masculinity and femininity are to be carried, which desires are legitimate, and what counts as bodily virtue. These are not secondary rules attached to a prior social order. They are among the practices through which bodies become morally intelligible and socially legible. Appearance, comportment, sexuality, and reproductive life are thus given religious significance, and the body becomes one of the sites where authority, cosmology, and social order are made concrete.</w:t>
      </w:r>
    </w:p>
    <w:p w14:paraId="1D1057F6" w14:textId="77777777" w:rsidR="00EC0574" w:rsidRPr="00EC0574" w:rsidRDefault="00EC0574" w:rsidP="00EC0574">
      <w:pPr>
        <w:jc w:val="both"/>
      </w:pPr>
    </w:p>
    <w:p w14:paraId="48B02FC0" w14:textId="77777777" w:rsidR="00EC0574" w:rsidRPr="00EC0574" w:rsidRDefault="00EC0574" w:rsidP="00EC0574">
      <w:pPr>
        <w:jc w:val="both"/>
      </w:pPr>
      <w:r w:rsidRPr="00EC0574">
        <w:t>Religious healing shows the same body not only as disciplined but as transformed. In many religious settings, affliction is not treated as biology alone. Pain may be interpreted through spiritual attack, broken relations, envy, sin, possession, divine testing, or blocked blessing. Csordas argues that embodiment is not the passive object of belief but the ground of religious experience itself. In charismatic healing, suffering is named, presence is felt, and transformation becomes experientially real through prayer, gesture, touch, voice, and sensation (Csordas, 1994). Healing is therefore not a symbolic supplement added to illness. It is an embodied reorganisation of suffering through which affliction is reinterpreted and the person is remade.</w:t>
      </w:r>
    </w:p>
    <w:p w14:paraId="00A0467E" w14:textId="77777777" w:rsidR="00BB6231" w:rsidRDefault="00BB6231" w:rsidP="00BB6231">
      <w:pPr>
        <w:jc w:val="both"/>
      </w:pPr>
      <w:r>
        <w:t>CHANGE SLIDE</w:t>
      </w:r>
    </w:p>
    <w:p w14:paraId="779DED29" w14:textId="77777777" w:rsidR="00BB6231" w:rsidRPr="005F3986" w:rsidRDefault="00BB6231" w:rsidP="005F3986">
      <w:pPr>
        <w:jc w:val="both"/>
      </w:pPr>
    </w:p>
    <w:p w14:paraId="0DAD3BB1" w14:textId="77777777" w:rsidR="00C83515" w:rsidRDefault="00C83515" w:rsidP="00C83515">
      <w:pPr>
        <w:jc w:val="both"/>
      </w:pPr>
      <w:r w:rsidRPr="00C83515">
        <w:t>Affliction makes the point sharply because pain is rarely interpreted in only one register. A suffering body may be read through pathogens and injury, but also through broken kin relations, occult attack, divine punishment, or spiritual vulnerability. Religious explanations of illness therefore do not simply compete with physiological ones. They place suffering within moral, relational, and cosmological worlds. The question is not only what has happened in the body, but why it has happened to this person, in these relations, and under these conditions. Religion is one of the means by which suffering becomes intelligible, and that is why illness cannot be reduced in advance to physiology alone.</w:t>
      </w:r>
    </w:p>
    <w:p w14:paraId="2D623B96" w14:textId="77777777" w:rsidR="00C83515" w:rsidRPr="00C83515" w:rsidRDefault="00C83515" w:rsidP="00C83515">
      <w:pPr>
        <w:jc w:val="both"/>
      </w:pPr>
    </w:p>
    <w:p w14:paraId="49D7BF8E" w14:textId="7A775229" w:rsidR="00C83515" w:rsidRDefault="00C83515" w:rsidP="00C83515">
      <w:pPr>
        <w:jc w:val="both"/>
      </w:pPr>
      <w:r w:rsidRPr="00C83515">
        <w:t>Kleinman’s distinction between disease and illness is useful at this point because it makes that problem analytically explicit. Disease refers to disorder in the body as biomedicine defines it. Illness refers to the lived, interpreted, and socially situated experience of that disorder (Kleinman, 1988). The distinction belongs here because religion often helps organise illness rather than disease. It places bodily suffering within moral histories, cosmological locations, and relational fields of meaning. Pain is then not only a physical event, but something interpreted through obligation, virtue, danger, blame, vulnerability, and hope. Th</w:t>
      </w:r>
      <w:r>
        <w:t>is is a</w:t>
      </w:r>
      <w:r w:rsidRPr="00C83515">
        <w:t xml:space="preserve"> point </w:t>
      </w:r>
      <w:r>
        <w:t xml:space="preserve">that </w:t>
      </w:r>
      <w:r w:rsidRPr="00C83515">
        <w:t xml:space="preserve">will be developed much further in </w:t>
      </w:r>
      <w:r>
        <w:t xml:space="preserve">the lecture of </w:t>
      </w:r>
      <w:r w:rsidRPr="00C83515">
        <w:t xml:space="preserve">medical </w:t>
      </w:r>
      <w:r>
        <w:t xml:space="preserve">and bodily </w:t>
      </w:r>
      <w:r w:rsidRPr="00C83515">
        <w:t>anthropolog</w:t>
      </w:r>
      <w:r>
        <w:t>ies</w:t>
      </w:r>
      <w:r w:rsidRPr="00C83515">
        <w:t>.</w:t>
      </w:r>
    </w:p>
    <w:p w14:paraId="6241839C" w14:textId="77777777" w:rsidR="00C83515" w:rsidRPr="00C83515" w:rsidRDefault="00C83515" w:rsidP="00C83515">
      <w:pPr>
        <w:jc w:val="both"/>
      </w:pPr>
    </w:p>
    <w:p w14:paraId="27A8F997" w14:textId="612C5096" w:rsidR="00DF51B6" w:rsidRPr="00F23D56" w:rsidRDefault="00F7449A" w:rsidP="003C3731">
      <w:pPr>
        <w:jc w:val="both"/>
      </w:pPr>
      <w:r w:rsidRPr="00F7449A">
        <w:t xml:space="preserve">Religion works through the body as discipline, classification, sensation, affliction, and repair. Food, dress, sexuality, gender, healing, and pain are not peripheral to religious life. They are among the principal means through which religion becomes socially real. </w:t>
      </w:r>
      <w:r w:rsidR="00264187" w:rsidRPr="00264187">
        <w:t>This is the point at which medical anthropology becomes necessary, because once bodily suffering is recognised as something interpreted through morality, social relations, cosmology, and lived experience, it can no longer be treated as a matter of physiology alone. The central question then shifts from what is happening in the body in strictly biomedical terms to how pain, illness, and affliction are understood, narrated, managed, and contested within particular social worlds.</w:t>
      </w:r>
    </w:p>
    <w:p w14:paraId="1DFE9829" w14:textId="77777777" w:rsidR="007F050E" w:rsidRPr="00F23D56" w:rsidRDefault="00313263" w:rsidP="003C3731">
      <w:pPr>
        <w:jc w:val="both"/>
      </w:pPr>
      <w:r>
        <w:pict w14:anchorId="4613C8AA">
          <v:rect id="_x0000_i1050" style="width:0;height:1.5pt" o:hralign="center" o:hrstd="t" o:hr="t" fillcolor="#a0a0a0" stroked="f"/>
        </w:pict>
      </w:r>
    </w:p>
    <w:p w14:paraId="4B20299F" w14:textId="2A2D7211" w:rsidR="007F050E" w:rsidRPr="00F23D56" w:rsidRDefault="005C61ED" w:rsidP="003C3731">
      <w:pPr>
        <w:pStyle w:val="Heading3"/>
        <w:jc w:val="both"/>
      </w:pPr>
      <w:r>
        <w:t>5.</w:t>
      </w:r>
      <w:r w:rsidR="007F050E" w:rsidRPr="00F23D56">
        <w:t xml:space="preserve"> ANTHROPOLOGY TODAY CONNECTION</w:t>
      </w:r>
    </w:p>
    <w:p w14:paraId="03D026DC" w14:textId="77777777" w:rsidR="00C44E02" w:rsidRDefault="00C44E02" w:rsidP="00C44E02">
      <w:pPr>
        <w:jc w:val="both"/>
      </w:pPr>
      <w:r w:rsidRPr="00C44E02">
        <w:t>The Anthropology Today readings bring these questions into the present. They show that debates over religion, value, mediation, uncertainty, and power are not settled legacies of earlier anthropology, but continuing problems in contemporary analysis. The issue is not whether anthropology has already explained religion under modern conditions, but how these problems persist in altered forms.</w:t>
      </w:r>
    </w:p>
    <w:p w14:paraId="747398B9" w14:textId="77777777" w:rsidR="00415B11" w:rsidRPr="00C44E02" w:rsidRDefault="00415B11" w:rsidP="00C44E02">
      <w:pPr>
        <w:jc w:val="both"/>
      </w:pPr>
    </w:p>
    <w:p w14:paraId="636F8084" w14:textId="3E6987A6" w:rsidR="00C44E02" w:rsidRPr="00C44E02" w:rsidRDefault="00415B11" w:rsidP="00C44E02">
      <w:pPr>
        <w:jc w:val="both"/>
      </w:pPr>
      <w:r w:rsidRPr="00415B11">
        <w:t>The pieces on capitalism and magic are the most relevant here because they show that enchantment has not disappeared in modern life, but has been reorganised within it</w:t>
      </w:r>
      <w:r w:rsidR="00C44E02" w:rsidRPr="00C44E02">
        <w:t xml:space="preserve">. Its value lies in showing that enchantment has not disappeared in modern life, but has been reorganised within it. De Waal Malefyt makes this point directly: modernity has not replaced magic with pure rationality, because contemporary life still depends on systems, technologies, abstractions, and mediated forms of trust whose operations remain only partially visible and never fully controllable (de Waal Malefyt, 2017). </w:t>
      </w:r>
      <w:r w:rsidRPr="00415B11">
        <w:t>The same problem has structured this lecture from the outset: first in witchcraft as an explanation of misfortune, then in occult economy as an explanation of wealth whose origins appear hidden, dangerous, or morally troubling</w:t>
      </w:r>
      <w:r w:rsidR="00C44E02" w:rsidRPr="00C44E02">
        <w:t>. The point is not that modern subjects are secretly ‘primitive’. It is that modern worlds are themselves structured by opacity, projection, unseen causality, and acts of faith.</w:t>
      </w:r>
    </w:p>
    <w:p w14:paraId="390071E9" w14:textId="4AAE092F" w:rsidR="00987BFD" w:rsidRDefault="00C44E02" w:rsidP="006C4B75">
      <w:pPr>
        <w:jc w:val="both"/>
      </w:pPr>
      <w:r>
        <w:t>CHANGE SLIDE</w:t>
      </w:r>
    </w:p>
    <w:p w14:paraId="3A1058C0" w14:textId="77777777" w:rsidR="00C44E02" w:rsidRPr="006C4B75" w:rsidRDefault="00C44E02" w:rsidP="006C4B75">
      <w:pPr>
        <w:jc w:val="both"/>
      </w:pPr>
    </w:p>
    <w:p w14:paraId="19785C82" w14:textId="77777777" w:rsidR="00CB5281" w:rsidRDefault="00CB5281" w:rsidP="00CB5281">
      <w:pPr>
        <w:jc w:val="both"/>
      </w:pPr>
      <w:r w:rsidRPr="00CB5281">
        <w:t xml:space="preserve">Pels links enchantment to science fiction and print capitalism (Pels, 2017). </w:t>
      </w:r>
      <w:proofErr w:type="spellStart"/>
      <w:r w:rsidRPr="00CB5281">
        <w:t>Moeran</w:t>
      </w:r>
      <w:proofErr w:type="spellEnd"/>
      <w:r w:rsidRPr="00CB5281">
        <w:t xml:space="preserve"> shows how fashion magazines generate value through aura and aspiration rather than information alone (</w:t>
      </w:r>
      <w:proofErr w:type="spellStart"/>
      <w:r w:rsidRPr="00CB5281">
        <w:t>Moeran</w:t>
      </w:r>
      <w:proofErr w:type="spellEnd"/>
      <w:r w:rsidRPr="00CB5281">
        <w:t>, 2017). Vangkilde treats the designer as a figure invested with near-prophetic powers of vision and transformation (Vangkilde, 2017), while Hagen shows something comparable in architecture, where built form carries charisma, promise, and imaginative force (Hagen, 2017). Arnould, Cayla and Dion bring the same problem into marketing and fetishism (Arnould, Cayla and Dion, 2017). What these pieces share is a refusal of the idea that value is produced by transparent calculation alone. Value is also made through mediation, style, atmosphere, charisma, projection, and attachments that depend on belief-like investments.</w:t>
      </w:r>
    </w:p>
    <w:p w14:paraId="5D5C14D3" w14:textId="77777777" w:rsidR="00CB5281" w:rsidRPr="00CB5281" w:rsidRDefault="00CB5281" w:rsidP="00CB5281">
      <w:pPr>
        <w:jc w:val="both"/>
      </w:pPr>
    </w:p>
    <w:p w14:paraId="3981B6BA" w14:textId="77777777" w:rsidR="00CB5281" w:rsidRDefault="00CB5281" w:rsidP="00CB5281">
      <w:pPr>
        <w:jc w:val="both"/>
      </w:pPr>
      <w:r w:rsidRPr="00CB5281">
        <w:t>These readings are useful here because they make two points with unusual clarity. First, religion cannot be reduced to private belief, and modernity cannot be reduced to disenchantment. Domains usually described as secular, technical, or economic still depend on trust, hidden efficacy, mediated presence, aspiration, and forms of attachment that exceed instrumental reason. Second, the same anthropological questions recur across settings that are often kept apart analytically. Capitalism, media, design, fashion, marketing, and architecture all involve struggles over how value becomes convincing, how presence is made real, and how efficacy is attributed to persons, objects, and systems.</w:t>
      </w:r>
    </w:p>
    <w:p w14:paraId="4B267CEA" w14:textId="77777777" w:rsidR="00CB5281" w:rsidRPr="00CB5281" w:rsidRDefault="00CB5281" w:rsidP="00CB5281">
      <w:pPr>
        <w:jc w:val="both"/>
      </w:pPr>
    </w:p>
    <w:p w14:paraId="404BCCB2" w14:textId="77777777" w:rsidR="00CB5281" w:rsidRPr="00CB5281" w:rsidRDefault="00CB5281" w:rsidP="00CB5281">
      <w:pPr>
        <w:jc w:val="both"/>
      </w:pPr>
      <w:proofErr w:type="spellStart"/>
      <w:r w:rsidRPr="00CB5281">
        <w:t>Iteanu’s</w:t>
      </w:r>
      <w:proofErr w:type="spellEnd"/>
      <w:r w:rsidRPr="00CB5281">
        <w:t xml:space="preserve"> piece on France places the same problem within secular public life. His point is not that religion has failed to disappear, but that public institutions remain deeply involved in shaping persons, attachments, and forms of belonging (</w:t>
      </w:r>
      <w:proofErr w:type="spellStart"/>
      <w:r w:rsidRPr="00CB5281">
        <w:t>Iteanu</w:t>
      </w:r>
      <w:proofErr w:type="spellEnd"/>
      <w:r w:rsidRPr="00CB5281">
        <w:t>, 2019). Secularism, in that account, is not an empty public space from which religion has been removed. It is an active project of classification, discipline, and moral transformation. Read together, these pieces show anthropology tracking the same underlying problems across apparently different domains: enchantment within capitalism, moral regulation within secular public life, and invisible efficacy within contemporary forms of value and power.</w:t>
      </w:r>
    </w:p>
    <w:p w14:paraId="0EDE6CBC" w14:textId="77777777" w:rsidR="005C61ED" w:rsidRPr="00F23D56" w:rsidRDefault="005C61ED" w:rsidP="003C3731">
      <w:pPr>
        <w:jc w:val="both"/>
      </w:pPr>
    </w:p>
    <w:p w14:paraId="3933689C" w14:textId="77777777" w:rsidR="007F050E" w:rsidRPr="00F23D56" w:rsidRDefault="00313263" w:rsidP="003C3731">
      <w:pPr>
        <w:jc w:val="both"/>
      </w:pPr>
      <w:r>
        <w:pict w14:anchorId="0005F336">
          <v:rect id="_x0000_i1051" style="width:0;height:1.5pt" o:hralign="center" o:hrstd="t" o:hr="t" fillcolor="#a0a0a0" stroked="f"/>
        </w:pict>
      </w:r>
    </w:p>
    <w:p w14:paraId="0440F46E" w14:textId="4C9CC4F1" w:rsidR="007F050E" w:rsidRPr="00F23D56" w:rsidRDefault="00CB0BB4" w:rsidP="00AE6E31">
      <w:pPr>
        <w:pStyle w:val="Heading2"/>
      </w:pPr>
      <w:r w:rsidRPr="00F23D56">
        <w:t>2:</w:t>
      </w:r>
      <w:r w:rsidR="009917CE">
        <w:t>30</w:t>
      </w:r>
      <w:r>
        <w:t>-2:</w:t>
      </w:r>
      <w:r w:rsidR="00763F1D">
        <w:t>3</w:t>
      </w:r>
      <w:r w:rsidR="009917CE">
        <w:t>5</w:t>
      </w:r>
      <w:r>
        <w:t xml:space="preserve">: </w:t>
      </w:r>
      <w:r w:rsidR="007F050E" w:rsidRPr="00F23D56">
        <w:t>FINAL SYNTHESIS</w:t>
      </w:r>
    </w:p>
    <w:p w14:paraId="5FE47DDC" w14:textId="77777777" w:rsidR="00AF57D3" w:rsidRDefault="00AF57D3" w:rsidP="00AF57D3">
      <w:pPr>
        <w:jc w:val="both"/>
      </w:pPr>
      <w:r w:rsidRPr="00AF57D3">
        <w:t>Religion in this lecture has been treated as one of the ways people make suffering, danger, value, obligation, and belonging intelligible. The question throughout has not been whether religion is true as opposed to false, or public as opposed to private, but what religion does in social life when events, relations, and inequalities cannot be left uninterpreted. Under those conditions, religion provides explanatory forms, moral classifications, embodied disciplines, and ways of acting on worlds understood to be charged with forces that are not immediately visible.</w:t>
      </w:r>
    </w:p>
    <w:p w14:paraId="5E57FB23" w14:textId="77777777" w:rsidR="00AF57D3" w:rsidRPr="00AF57D3" w:rsidRDefault="00AF57D3" w:rsidP="00AF57D3">
      <w:pPr>
        <w:jc w:val="both"/>
      </w:pPr>
    </w:p>
    <w:p w14:paraId="5BBD5AD4" w14:textId="77777777" w:rsidR="00AF57D3" w:rsidRPr="00AF57D3" w:rsidRDefault="00AF57D3" w:rsidP="00AF57D3">
      <w:pPr>
        <w:jc w:val="both"/>
      </w:pPr>
      <w:r w:rsidRPr="00AF57D3">
        <w:t>Across the lecture, that argument has taken several connected forms. Ritual showed that religion works through bodily discipline, collective form, and the management of dangerous passage. Witchcraft showed that misfortune is interpreted relationally and morally rather than left at the level of accident. Occult economy extended the same interpretive structure to wealth when accumulation appeared opaque, excessive, or predatory. The sections on the state, migration, and media showed that religion helps organise public belonging and travels across dispersed networks and mediated forms of authority. PECCs made visible a Christian world of conversion, deliverance, healing, prosperity, and spiritual warfare, while embodiment showed how food, sexuality, dress, gender, healing, and affliction become moral and cosmological matters.</w:t>
      </w:r>
    </w:p>
    <w:p w14:paraId="027BBAB7" w14:textId="77777777" w:rsidR="00954BDB" w:rsidRPr="00954BDB" w:rsidRDefault="00954BDB" w:rsidP="00954BDB">
      <w:pPr>
        <w:jc w:val="both"/>
      </w:pPr>
    </w:p>
    <w:p w14:paraId="67EAA438" w14:textId="77777777" w:rsidR="00954BDB" w:rsidRDefault="00954BDB" w:rsidP="00954BDB">
      <w:pPr>
        <w:jc w:val="both"/>
      </w:pPr>
      <w:r w:rsidRPr="00954BDB">
        <w:t>These dimensions do not stand apart. Religion is politically embedded because public institutions classify, regulate, and authorise moral life. It is economically entangled because labour, value, debt, gift, prosperity, and loss are never only material processes. It is embodied because bodies are where discipline, danger, suffering, and transformation become socially real. It is historically shaped because enchantment, secularism, public religion, and spiritual authority all change with the worlds in which they are articulated. It is cosmologically generative because religion does not merely comment on reality from outside. It helps compose the realities people inhabit by making suffering intelligible, success morally legible, danger interpretable, and transformation imaginable.</w:t>
      </w:r>
    </w:p>
    <w:p w14:paraId="3DD63808" w14:textId="77777777" w:rsidR="00954BDB" w:rsidRPr="00954BDB" w:rsidRDefault="00954BDB" w:rsidP="00954BDB">
      <w:pPr>
        <w:jc w:val="both"/>
      </w:pPr>
    </w:p>
    <w:p w14:paraId="2FAADE19" w14:textId="77777777" w:rsidR="00954BDB" w:rsidRPr="00954BDB" w:rsidRDefault="00954BDB" w:rsidP="00954BDB">
      <w:pPr>
        <w:jc w:val="both"/>
      </w:pPr>
      <w:r w:rsidRPr="00954BDB">
        <w:t>The next lecture follows directly from that final point. Once suffering is no longer treated as a purely physical event, the body becomes an explanatory field rather than a merely biological object. Illness may be biological and still demand moral, relational, and cosmological interpretation. That is where medical anthropology begins. Kleinman’s distinction between disease and illness remains useful because it marks the difference between disorder as biomedicine defines it and suffering as it is lived, interpreted, and socially situated (Kleinman, 1988). Csordas’s work on embodiment makes a related point from another direction: suffering is never detachable from the worlds bodies inhabit and the practices through which those worlds are experienced (Csordas, 2002).</w:t>
      </w:r>
    </w:p>
    <w:p w14:paraId="05BE1239" w14:textId="77777777" w:rsidR="0074105F" w:rsidRPr="00B1057B" w:rsidRDefault="0074105F" w:rsidP="00B1057B">
      <w:pPr>
        <w:jc w:val="both"/>
      </w:pPr>
    </w:p>
    <w:p w14:paraId="71E9787C" w14:textId="77777777" w:rsidR="007F050E" w:rsidRDefault="00313263" w:rsidP="003C3731">
      <w:pPr>
        <w:jc w:val="both"/>
      </w:pPr>
      <w:r>
        <w:pict w14:anchorId="7F4FFCBC">
          <v:rect id="_x0000_i1052" style="width:0;height:1.5pt" o:hralign="center" o:hrstd="t" o:hr="t" fillcolor="#a0a0a0" stroked="f"/>
        </w:pict>
      </w:r>
    </w:p>
    <w:p w14:paraId="45E7B0F9" w14:textId="754EDD27" w:rsidR="00305046" w:rsidRDefault="00477444" w:rsidP="00477444">
      <w:pPr>
        <w:pStyle w:val="Heading2"/>
      </w:pPr>
      <w:r>
        <w:t>References</w:t>
      </w:r>
    </w:p>
    <w:p w14:paraId="6645DE5A" w14:textId="77777777" w:rsidR="00B93B91" w:rsidRDefault="00B93B91" w:rsidP="00B93B91">
      <w:pPr>
        <w:jc w:val="both"/>
      </w:pPr>
      <w:proofErr w:type="spellStart"/>
      <w:r w:rsidRPr="00777B33">
        <w:t>Adogame</w:t>
      </w:r>
      <w:proofErr w:type="spellEnd"/>
      <w:r w:rsidRPr="00777B33">
        <w:t xml:space="preserve">, A. (2010) ‘Pentecostal and charismatic movements in a global perspective’, in </w:t>
      </w:r>
      <w:r w:rsidRPr="00777B33">
        <w:rPr>
          <w:i/>
          <w:iCs/>
        </w:rPr>
        <w:t>The Blackwell Companion to the Sociology of Religion</w:t>
      </w:r>
      <w:r w:rsidRPr="00777B33">
        <w:t>. Oxford: Blackwell.</w:t>
      </w:r>
    </w:p>
    <w:p w14:paraId="74F0C850" w14:textId="77777777" w:rsidR="002B3A09" w:rsidRPr="006C4B75" w:rsidRDefault="002B3A09" w:rsidP="002B3A09">
      <w:pPr>
        <w:jc w:val="both"/>
      </w:pPr>
      <w:r w:rsidRPr="006C4B75">
        <w:t>Arnould, E., Cayla, J. and Dion, D. (2017) ‘Fetish, magic, marketing’, Anthropology Today, 33(2), pp. 28–31.</w:t>
      </w:r>
    </w:p>
    <w:p w14:paraId="7C62A52F" w14:textId="77777777" w:rsidR="00932B41" w:rsidRDefault="00932B41" w:rsidP="00932B41">
      <w:pPr>
        <w:jc w:val="both"/>
      </w:pPr>
      <w:r w:rsidRPr="00AB0BC7">
        <w:t xml:space="preserve">Asad, T. (1993) </w:t>
      </w:r>
      <w:r w:rsidRPr="00AB0BC7">
        <w:rPr>
          <w:i/>
          <w:iCs/>
        </w:rPr>
        <w:t>Genealogies of Religion: Discipline and Reasons of Power in Christianity and Islam</w:t>
      </w:r>
      <w:r w:rsidRPr="00AB0BC7">
        <w:t>. Baltimore: Johns Hopkins University Press.</w:t>
      </w:r>
    </w:p>
    <w:p w14:paraId="102677EE" w14:textId="77777777" w:rsidR="004C4226" w:rsidRDefault="004C4226" w:rsidP="004C4226">
      <w:pPr>
        <w:jc w:val="both"/>
      </w:pPr>
      <w:r w:rsidRPr="00F35489">
        <w:t xml:space="preserve">Asad, T. (1993) ‘Toward a genealogy of the concept of ritual’, in </w:t>
      </w:r>
      <w:r w:rsidRPr="00F35489">
        <w:rPr>
          <w:i/>
          <w:iCs/>
        </w:rPr>
        <w:t>Genealogies of Religion: Discipline and Reasons of Power in Christianity and Islam</w:t>
      </w:r>
      <w:r w:rsidRPr="00F35489">
        <w:t>. Baltimore: Johns Hopkins University Press, pp. 55–79.</w:t>
      </w:r>
    </w:p>
    <w:p w14:paraId="2E5D7F8A" w14:textId="6AED9F77" w:rsidR="00C356C1" w:rsidRPr="00F35489" w:rsidRDefault="00C356C1" w:rsidP="00C356C1">
      <w:pPr>
        <w:jc w:val="both"/>
      </w:pPr>
      <w:r w:rsidRPr="00C356C1">
        <w:t>Asamoah-</w:t>
      </w:r>
      <w:proofErr w:type="spellStart"/>
      <w:r w:rsidRPr="00C356C1">
        <w:t>Gyadu</w:t>
      </w:r>
      <w:proofErr w:type="spellEnd"/>
      <w:r w:rsidRPr="00C356C1">
        <w:t xml:space="preserve">, J. Kwabena 2005 </w:t>
      </w:r>
      <w:r w:rsidRPr="00C356C1">
        <w:rPr>
          <w:i/>
          <w:iCs/>
        </w:rPr>
        <w:t>African Charismatics: Current Developments within Independent Indigenous Pentecostalism in Ghana</w:t>
      </w:r>
      <w:r w:rsidRPr="00C356C1">
        <w:t>. Leiden and Boston: Brill.</w:t>
      </w:r>
    </w:p>
    <w:p w14:paraId="2ED39079" w14:textId="77777777" w:rsidR="004C4226" w:rsidRPr="00F35489" w:rsidRDefault="004C4226" w:rsidP="004C4226">
      <w:pPr>
        <w:jc w:val="both"/>
      </w:pPr>
      <w:r w:rsidRPr="00F35489">
        <w:t xml:space="preserve">Bell, C. (1992) </w:t>
      </w:r>
      <w:r w:rsidRPr="00F35489">
        <w:rPr>
          <w:i/>
          <w:iCs/>
        </w:rPr>
        <w:t>Ritual Theory, Ritual Practice</w:t>
      </w:r>
      <w:r w:rsidRPr="00F35489">
        <w:t>. New York: Oxford University Press.</w:t>
      </w:r>
    </w:p>
    <w:p w14:paraId="35AB8552" w14:textId="20F83F11" w:rsidR="004C4226" w:rsidRDefault="004C4226" w:rsidP="00932B41">
      <w:pPr>
        <w:jc w:val="both"/>
      </w:pPr>
      <w:r w:rsidRPr="00F35489">
        <w:t xml:space="preserve">Bloch, M. (1986) </w:t>
      </w:r>
      <w:r w:rsidRPr="00F35489">
        <w:rPr>
          <w:i/>
          <w:iCs/>
        </w:rPr>
        <w:t>From Blessing to Violence: History and Ideology in the Circumcision Ritual of the Merina of Madagascar</w:t>
      </w:r>
      <w:r w:rsidRPr="00F35489">
        <w:t>. Cambridge: Cambridge University Press.</w:t>
      </w:r>
    </w:p>
    <w:p w14:paraId="13E10FFF" w14:textId="0E64AEB3" w:rsidR="002A0B7A" w:rsidRDefault="002A0B7A" w:rsidP="00932B41">
      <w:pPr>
        <w:jc w:val="both"/>
      </w:pPr>
      <w:r w:rsidRPr="00924E76">
        <w:t xml:space="preserve">Bonhomme, J. (2012) ‘The dangers of anonymity: Witchcraft, </w:t>
      </w:r>
      <w:proofErr w:type="spellStart"/>
      <w:r w:rsidRPr="00924E76">
        <w:t>rumor</w:t>
      </w:r>
      <w:proofErr w:type="spellEnd"/>
      <w:r w:rsidRPr="00924E76">
        <w:t xml:space="preserve">, and modernity in Africa’, </w:t>
      </w:r>
      <w:r w:rsidRPr="00924E76">
        <w:rPr>
          <w:i/>
          <w:iCs/>
        </w:rPr>
        <w:t>HAU: Journal of Ethnographic Theory</w:t>
      </w:r>
      <w:r w:rsidRPr="00924E76">
        <w:t>, 2(2), pp. 205–233.</w:t>
      </w:r>
    </w:p>
    <w:p w14:paraId="2B46796C" w14:textId="77777777" w:rsidR="00002120" w:rsidRDefault="00002120" w:rsidP="00002120">
      <w:pPr>
        <w:jc w:val="both"/>
      </w:pPr>
      <w:r w:rsidRPr="00693480">
        <w:t>Campbell, H.</w:t>
      </w:r>
      <w:r>
        <w:t>, ed</w:t>
      </w:r>
      <w:r w:rsidRPr="00693480">
        <w:t xml:space="preserve"> (201</w:t>
      </w:r>
      <w:r>
        <w:t>2</w:t>
      </w:r>
      <w:r w:rsidRPr="00693480">
        <w:t xml:space="preserve">) </w:t>
      </w:r>
      <w:r w:rsidRPr="00693480">
        <w:rPr>
          <w:i/>
          <w:iCs/>
        </w:rPr>
        <w:t>Digital Religion: Understanding Religious Practice in New Media Worlds</w:t>
      </w:r>
      <w:r w:rsidRPr="00693480">
        <w:t>. London: Routledge.</w:t>
      </w:r>
    </w:p>
    <w:p w14:paraId="75BEF7B3" w14:textId="65E90C7C" w:rsidR="00B93B91" w:rsidRPr="00693480" w:rsidRDefault="00B93B91" w:rsidP="00002120">
      <w:pPr>
        <w:jc w:val="both"/>
      </w:pPr>
      <w:r w:rsidRPr="00777B33">
        <w:t xml:space="preserve">Coleman, S. (2000) </w:t>
      </w:r>
      <w:r w:rsidRPr="00777B33">
        <w:rPr>
          <w:i/>
          <w:iCs/>
        </w:rPr>
        <w:t>The Globalisation of Charismatic Christianity: Spreading the Gospel of Prosperity</w:t>
      </w:r>
      <w:r w:rsidRPr="00777B33">
        <w:t>. Cambridge: Cambridge University Press.</w:t>
      </w:r>
    </w:p>
    <w:p w14:paraId="779B20CC" w14:textId="77777777" w:rsidR="002A47EE" w:rsidRDefault="002A47EE" w:rsidP="002A47EE">
      <w:pPr>
        <w:jc w:val="both"/>
      </w:pPr>
      <w:proofErr w:type="spellStart"/>
      <w:r w:rsidRPr="00B23793">
        <w:t>Comaroff</w:t>
      </w:r>
      <w:proofErr w:type="spellEnd"/>
      <w:r w:rsidRPr="00B23793">
        <w:t xml:space="preserve">, J. and </w:t>
      </w:r>
      <w:proofErr w:type="spellStart"/>
      <w:r w:rsidRPr="00B23793">
        <w:t>Comaroff</w:t>
      </w:r>
      <w:proofErr w:type="spellEnd"/>
      <w:r w:rsidRPr="00B23793">
        <w:t xml:space="preserve">, J.L. (1999) ‘Occult economies and the violence of abstraction: Notes from the South African </w:t>
      </w:r>
      <w:proofErr w:type="spellStart"/>
      <w:r w:rsidRPr="00B23793">
        <w:t>postcolony</w:t>
      </w:r>
      <w:proofErr w:type="spellEnd"/>
      <w:r w:rsidRPr="00B23793">
        <w:t xml:space="preserve">’, </w:t>
      </w:r>
      <w:r w:rsidRPr="00B23793">
        <w:rPr>
          <w:i/>
          <w:iCs/>
        </w:rPr>
        <w:t>American Ethnologist</w:t>
      </w:r>
      <w:r w:rsidRPr="00B23793">
        <w:t>, 26(2), pp. 279–303.</w:t>
      </w:r>
    </w:p>
    <w:p w14:paraId="07752743" w14:textId="45CB4512" w:rsidR="00D2423F" w:rsidRDefault="00D2423F" w:rsidP="002A47EE">
      <w:pPr>
        <w:jc w:val="both"/>
      </w:pPr>
      <w:r w:rsidRPr="005F3986">
        <w:t xml:space="preserve">Csordas, T.J. (1994) </w:t>
      </w:r>
      <w:r w:rsidRPr="005F3986">
        <w:rPr>
          <w:i/>
          <w:iCs/>
        </w:rPr>
        <w:t>The Sacred Self: A Cultural Phenomenology of Charismatic Healing</w:t>
      </w:r>
      <w:r w:rsidRPr="005F3986">
        <w:t>. Berkeley: University of California Press.</w:t>
      </w:r>
    </w:p>
    <w:p w14:paraId="11885127" w14:textId="44238D65" w:rsidR="006B1E9F" w:rsidRDefault="006B1E9F" w:rsidP="002A47EE">
      <w:pPr>
        <w:jc w:val="both"/>
      </w:pPr>
      <w:r w:rsidRPr="00B1057B">
        <w:t xml:space="preserve">Csordas, T.J. (2002) </w:t>
      </w:r>
      <w:r w:rsidRPr="00B1057B">
        <w:rPr>
          <w:i/>
          <w:iCs/>
        </w:rPr>
        <w:t>Body/Meaning/Healing</w:t>
      </w:r>
      <w:r w:rsidRPr="00B1057B">
        <w:t>. New York: Palgrave Macmillan.</w:t>
      </w:r>
    </w:p>
    <w:p w14:paraId="3635A513" w14:textId="4E2C7575" w:rsidR="00B97EA6" w:rsidRDefault="00B97EA6" w:rsidP="002A47EE">
      <w:pPr>
        <w:jc w:val="both"/>
      </w:pPr>
      <w:r w:rsidRPr="00807367">
        <w:t xml:space="preserve">de Boeck, F. (2005) ‘The apocalyptic interlude: Revealing death in Kinshasa’, </w:t>
      </w:r>
      <w:r w:rsidRPr="00807367">
        <w:rPr>
          <w:i/>
          <w:iCs/>
        </w:rPr>
        <w:t>African Studies Review</w:t>
      </w:r>
      <w:r w:rsidRPr="00807367">
        <w:t>, 48(2), pp. 11–32.</w:t>
      </w:r>
    </w:p>
    <w:p w14:paraId="203D3F4B" w14:textId="6A0074CF" w:rsidR="002B3A09" w:rsidRDefault="002B3A09" w:rsidP="002A47EE">
      <w:pPr>
        <w:jc w:val="both"/>
      </w:pPr>
      <w:r w:rsidRPr="006C4B75">
        <w:t>de Waal Malefyt, T. (2017) ‘Enchanting Technology’, Anthropology Today, 33(2), pp. 1–2.</w:t>
      </w:r>
    </w:p>
    <w:p w14:paraId="2B392619" w14:textId="77777777" w:rsidR="00D2423F" w:rsidRPr="005F3986" w:rsidRDefault="00D2423F" w:rsidP="00D2423F">
      <w:pPr>
        <w:jc w:val="both"/>
      </w:pPr>
      <w:r w:rsidRPr="005F3986">
        <w:t xml:space="preserve">Douglas, M. (1966) </w:t>
      </w:r>
      <w:r w:rsidRPr="005F3986">
        <w:rPr>
          <w:i/>
          <w:iCs/>
        </w:rPr>
        <w:t>Purity and Danger: An Analysis of Concepts of Pollution and Taboo</w:t>
      </w:r>
      <w:r w:rsidRPr="005F3986">
        <w:t>. London: Routledge &amp; Kegan Paul.</w:t>
      </w:r>
    </w:p>
    <w:p w14:paraId="70A26698" w14:textId="77777777" w:rsidR="00243BD2" w:rsidRDefault="00243BD2" w:rsidP="00F002E5">
      <w:pPr>
        <w:jc w:val="both"/>
      </w:pPr>
      <w:r w:rsidRPr="00243BD2">
        <w:t xml:space="preserve">Durkheim, E. (1912/1995) </w:t>
      </w:r>
      <w:r w:rsidRPr="00243BD2">
        <w:rPr>
          <w:i/>
          <w:iCs/>
        </w:rPr>
        <w:t>The Elementary Forms of Religious Life</w:t>
      </w:r>
      <w:r w:rsidRPr="00243BD2">
        <w:t>. Translated by K.E. Fields. New York: Free Press.</w:t>
      </w:r>
    </w:p>
    <w:p w14:paraId="46888A7E" w14:textId="77777777" w:rsidR="007F3D87" w:rsidRDefault="007F3D87" w:rsidP="007F3D87">
      <w:pPr>
        <w:jc w:val="both"/>
      </w:pPr>
      <w:r w:rsidRPr="007F3D87">
        <w:t>Evans-Pritchard, E.E. (1935) ‘Witchcraft’, Africa, 8(4), pp. 417–422.</w:t>
      </w:r>
    </w:p>
    <w:p w14:paraId="2DB31BA6" w14:textId="411E19AE" w:rsidR="007F3D87" w:rsidRDefault="007F3D87" w:rsidP="00F002E5">
      <w:pPr>
        <w:jc w:val="both"/>
      </w:pPr>
      <w:r w:rsidRPr="00F3549B">
        <w:t xml:space="preserve">Evans-Pritchard, E.E. (1937) </w:t>
      </w:r>
      <w:r w:rsidRPr="00F3549B">
        <w:rPr>
          <w:i/>
          <w:iCs/>
        </w:rPr>
        <w:t>Witchcraft, Oracles and Magic among the Azande</w:t>
      </w:r>
      <w:r w:rsidRPr="00F3549B">
        <w:t>. Oxford: Clarendon Press.</w:t>
      </w:r>
    </w:p>
    <w:p w14:paraId="67318F6E" w14:textId="26844C19" w:rsidR="007B7566" w:rsidRDefault="007B7566" w:rsidP="00F002E5">
      <w:pPr>
        <w:jc w:val="both"/>
      </w:pPr>
      <w:r w:rsidRPr="007B7566">
        <w:t>Frank, B. (1995) ‘Permitted and prohibited wealth: Commodity-possessing spirits, economic morals, and the goddess Mami Wata in West Africa’, Ethnology, 34(4), pp. 331–346.</w:t>
      </w:r>
    </w:p>
    <w:p w14:paraId="1FA335C7" w14:textId="77777777" w:rsidR="001F5D36" w:rsidRDefault="001F5D36" w:rsidP="001F5D36">
      <w:pPr>
        <w:jc w:val="both"/>
      </w:pPr>
      <w:r w:rsidRPr="008D3772">
        <w:t xml:space="preserve">Frazer, J.G. (1922 [1890]) </w:t>
      </w:r>
      <w:r w:rsidRPr="008D3772">
        <w:rPr>
          <w:i/>
          <w:iCs/>
        </w:rPr>
        <w:t>The Golden Bough: A Study in Magic and Religion</w:t>
      </w:r>
      <w:r w:rsidRPr="008D3772">
        <w:t>. London: Macmillan.</w:t>
      </w:r>
    </w:p>
    <w:p w14:paraId="28C4AA5F" w14:textId="73B29C60" w:rsidR="000E47E9" w:rsidRDefault="000E47E9" w:rsidP="000E47E9">
      <w:pPr>
        <w:jc w:val="both"/>
      </w:pPr>
      <w:r w:rsidRPr="000E47E9">
        <w:t xml:space="preserve">Garriott, William, and Kevin Lewis O'Neill </w:t>
      </w:r>
      <w:r>
        <w:t xml:space="preserve"> </w:t>
      </w:r>
      <w:r w:rsidRPr="000E47E9">
        <w:t xml:space="preserve">2008 Who is a Christian? Toward a dialogic approach in the anthropology of Christianity. </w:t>
      </w:r>
      <w:r w:rsidRPr="000E47E9">
        <w:rPr>
          <w:i/>
          <w:iCs/>
        </w:rPr>
        <w:t xml:space="preserve">Anthropological Theory </w:t>
      </w:r>
      <w:r w:rsidRPr="000E47E9">
        <w:t>8(4):381-398.</w:t>
      </w:r>
    </w:p>
    <w:p w14:paraId="6AF7EC38" w14:textId="77777777" w:rsidR="00A22AA4" w:rsidRDefault="00A22AA4" w:rsidP="00A22AA4">
      <w:pPr>
        <w:jc w:val="both"/>
      </w:pPr>
      <w:r w:rsidRPr="00AB0BC7">
        <w:t xml:space="preserve">Geertz, C. (1973) ‘Religion as a cultural system’, in </w:t>
      </w:r>
      <w:r w:rsidRPr="00AB0BC7">
        <w:rPr>
          <w:i/>
          <w:iCs/>
        </w:rPr>
        <w:t>The Interpretation of Cultures</w:t>
      </w:r>
      <w:r w:rsidRPr="00AB0BC7">
        <w:t>. New York: Basic Books, pp. 87–125.</w:t>
      </w:r>
    </w:p>
    <w:p w14:paraId="442E0499" w14:textId="77777777" w:rsidR="00A22AA4" w:rsidRDefault="00A22AA4" w:rsidP="00A22AA4">
      <w:pPr>
        <w:jc w:val="both"/>
      </w:pPr>
      <w:proofErr w:type="spellStart"/>
      <w:r w:rsidRPr="00B23793">
        <w:t>Geschiere</w:t>
      </w:r>
      <w:proofErr w:type="spellEnd"/>
      <w:r w:rsidRPr="00B23793">
        <w:t xml:space="preserve">, P. (1997) </w:t>
      </w:r>
      <w:r w:rsidRPr="00B23793">
        <w:rPr>
          <w:i/>
          <w:iCs/>
        </w:rPr>
        <w:t>The Modernity of Witchcraft: Politics and the Occult in Postcolonial Africa</w:t>
      </w:r>
      <w:r w:rsidRPr="00B23793">
        <w:t>. Charlottesville: University Press of Virginia.</w:t>
      </w:r>
    </w:p>
    <w:p w14:paraId="34733CEC" w14:textId="77777777" w:rsidR="00A22AA4" w:rsidRPr="00924E76" w:rsidRDefault="00A22AA4" w:rsidP="00A22AA4">
      <w:pPr>
        <w:jc w:val="both"/>
      </w:pPr>
      <w:r w:rsidRPr="00924E76">
        <w:t xml:space="preserve">Gluckman, M. (1968) ‘Psychological, sociological and anthropological explanations of witchcraft and gossip: A clarification’, </w:t>
      </w:r>
      <w:r w:rsidRPr="00924E76">
        <w:rPr>
          <w:i/>
          <w:iCs/>
        </w:rPr>
        <w:t>Man</w:t>
      </w:r>
      <w:r w:rsidRPr="00924E76">
        <w:t>, 3(1), pp. 20–34.</w:t>
      </w:r>
    </w:p>
    <w:p w14:paraId="12704D6C" w14:textId="24BF10CD" w:rsidR="0059704A" w:rsidRDefault="0059704A" w:rsidP="00C249B6">
      <w:pPr>
        <w:jc w:val="both"/>
      </w:pPr>
      <w:r w:rsidRPr="006C4B75">
        <w:t>Hagen, A.L. (2017) ‘Sketching with knives: Architects and the confidence theory of magic’, Anthropology Today, 33(2), pp. 24–27.</w:t>
      </w:r>
    </w:p>
    <w:p w14:paraId="2561FD66" w14:textId="77777777" w:rsidR="00A22AA4" w:rsidRDefault="00A22AA4" w:rsidP="00A22AA4">
      <w:pPr>
        <w:jc w:val="both"/>
      </w:pPr>
      <w:r w:rsidRPr="00CD3B12">
        <w:t xml:space="preserve">Hansen, T.B. (1999) </w:t>
      </w:r>
      <w:r w:rsidRPr="00CD3B12">
        <w:rPr>
          <w:i/>
          <w:iCs/>
        </w:rPr>
        <w:t>The Saffron Wave: Democracy and Hindu Nationalism in Modern India</w:t>
      </w:r>
      <w:r w:rsidRPr="00CD3B12">
        <w:t>. Princeton: Princeton University Press.</w:t>
      </w:r>
    </w:p>
    <w:p w14:paraId="1946303F" w14:textId="647A0A60" w:rsidR="000E47E9" w:rsidRDefault="0071792B" w:rsidP="0071792B">
      <w:pPr>
        <w:jc w:val="both"/>
      </w:pPr>
      <w:r w:rsidRPr="0071792B">
        <w:t xml:space="preserve">Hastings, </w:t>
      </w:r>
      <w:r>
        <w:t>A. (</w:t>
      </w:r>
      <w:r w:rsidRPr="0071792B">
        <w:t>1990</w:t>
      </w:r>
      <w:r>
        <w:t>)</w:t>
      </w:r>
      <w:r w:rsidRPr="0071792B">
        <w:t xml:space="preserve"> Christianity in Africa. In </w:t>
      </w:r>
      <w:r w:rsidRPr="0071792B">
        <w:rPr>
          <w:i/>
          <w:iCs/>
        </w:rPr>
        <w:t>Turning Points in Religious Studies: Essays in Honour of Geoffrey Parrinder</w:t>
      </w:r>
      <w:r w:rsidRPr="0071792B">
        <w:t>. U. K. King, ed. Edinburgh: T &amp; T Clark.</w:t>
      </w:r>
    </w:p>
    <w:p w14:paraId="64A83E11" w14:textId="4F083BB6" w:rsidR="00A22AA4" w:rsidRDefault="00A22AA4" w:rsidP="00C249B6">
      <w:pPr>
        <w:jc w:val="both"/>
      </w:pPr>
      <w:r w:rsidRPr="007F3D87">
        <w:t xml:space="preserve">Hicks, D. (2010) Ritual and Belief: Readings in the Anthropology of Religion. Lanham, MD: </w:t>
      </w:r>
      <w:proofErr w:type="spellStart"/>
      <w:r w:rsidRPr="007F3D87">
        <w:t>AltaMira</w:t>
      </w:r>
      <w:proofErr w:type="spellEnd"/>
      <w:r w:rsidRPr="007F3D87">
        <w:t xml:space="preserve"> Press.</w:t>
      </w:r>
    </w:p>
    <w:p w14:paraId="00D0994E" w14:textId="77777777" w:rsidR="00C249B6" w:rsidRPr="00CD3B12" w:rsidRDefault="00C249B6" w:rsidP="00C249B6">
      <w:pPr>
        <w:jc w:val="both"/>
      </w:pPr>
      <w:proofErr w:type="spellStart"/>
      <w:r w:rsidRPr="00052A5D">
        <w:t>Iteanu</w:t>
      </w:r>
      <w:proofErr w:type="spellEnd"/>
      <w:r w:rsidRPr="00052A5D">
        <w:t>, A., 2019. France and its purgatory. </w:t>
      </w:r>
      <w:r w:rsidRPr="00052A5D">
        <w:rPr>
          <w:i/>
          <w:iCs/>
        </w:rPr>
        <w:t>Anthropology Today</w:t>
      </w:r>
      <w:r w:rsidRPr="00052A5D">
        <w:t>, </w:t>
      </w:r>
      <w:r w:rsidRPr="00052A5D">
        <w:rPr>
          <w:i/>
          <w:iCs/>
        </w:rPr>
        <w:t>35</w:t>
      </w:r>
      <w:r w:rsidRPr="00052A5D">
        <w:t>(3), pp.20-23.</w:t>
      </w:r>
    </w:p>
    <w:p w14:paraId="67876179" w14:textId="77777777" w:rsidR="00C249B6" w:rsidRPr="00CD3B12" w:rsidRDefault="00C249B6" w:rsidP="00C249B6">
      <w:pPr>
        <w:jc w:val="both"/>
      </w:pPr>
      <w:r w:rsidRPr="00CD3B12">
        <w:t xml:space="preserve">Kapferer, B. (1988) </w:t>
      </w:r>
      <w:r w:rsidRPr="00CD3B12">
        <w:rPr>
          <w:i/>
          <w:iCs/>
        </w:rPr>
        <w:t>Legends of People, Myths of State: Violence, Intolerance and Political Culture in Sri Lanka and Australia</w:t>
      </w:r>
      <w:r w:rsidRPr="00CD3B12">
        <w:t>. Washington, DC: Smithsonian Institution Press.</w:t>
      </w:r>
    </w:p>
    <w:p w14:paraId="4FB34E73" w14:textId="77777777" w:rsidR="00C249B6" w:rsidRPr="00CD3B12" w:rsidRDefault="00C249B6" w:rsidP="00C249B6">
      <w:pPr>
        <w:jc w:val="both"/>
      </w:pPr>
      <w:r w:rsidRPr="00CD3B12">
        <w:t xml:space="preserve">Kapferer, B. (2001) ‘Ethnic nationalism and the discourses of violence in Sri Lanka’, </w:t>
      </w:r>
      <w:r w:rsidRPr="00CD3B12">
        <w:rPr>
          <w:i/>
          <w:iCs/>
        </w:rPr>
        <w:t>Communal/Plural</w:t>
      </w:r>
      <w:r w:rsidRPr="00CD3B12">
        <w:t>, 9(1), pp. 31–63.</w:t>
      </w:r>
    </w:p>
    <w:p w14:paraId="46C29B38" w14:textId="16E257D0" w:rsidR="00C249B6" w:rsidRDefault="00B35B7E" w:rsidP="001F5D36">
      <w:pPr>
        <w:jc w:val="both"/>
      </w:pPr>
      <w:r w:rsidRPr="00FB11A5">
        <w:t xml:space="preserve">Kapferer, B. (2019a) ‘Crisis and communitas: Victor Turner and social process’, </w:t>
      </w:r>
      <w:r w:rsidRPr="00FB11A5">
        <w:rPr>
          <w:i/>
          <w:iCs/>
        </w:rPr>
        <w:t>Anthropology Today</w:t>
      </w:r>
      <w:r w:rsidRPr="00FB11A5">
        <w:t>, 35(5), pp. 1–2.</w:t>
      </w:r>
    </w:p>
    <w:p w14:paraId="4AFE903A" w14:textId="41C2517D" w:rsidR="00D2423F" w:rsidRDefault="00D2423F" w:rsidP="001F5D36">
      <w:pPr>
        <w:jc w:val="both"/>
      </w:pPr>
      <w:r w:rsidRPr="005F3986">
        <w:t xml:space="preserve">Kleinman, A. (1988) </w:t>
      </w:r>
      <w:r w:rsidRPr="005F3986">
        <w:rPr>
          <w:i/>
          <w:iCs/>
        </w:rPr>
        <w:t>The Illness Narratives: Suffering, Healing and the Human Condition</w:t>
      </w:r>
      <w:r w:rsidRPr="005F3986">
        <w:t>. New York: Basic Books.</w:t>
      </w:r>
    </w:p>
    <w:p w14:paraId="5352E916" w14:textId="77777777" w:rsidR="001F5D36" w:rsidRDefault="001F5D36" w:rsidP="001F5D36">
      <w:pPr>
        <w:jc w:val="both"/>
      </w:pPr>
      <w:r w:rsidRPr="008D3772">
        <w:t xml:space="preserve">Kuper, A. (1988) </w:t>
      </w:r>
      <w:r w:rsidRPr="008D3772">
        <w:rPr>
          <w:i/>
          <w:iCs/>
        </w:rPr>
        <w:t>The Invention of Primitive Society: Transformations of an Illusion</w:t>
      </w:r>
      <w:r w:rsidRPr="008D3772">
        <w:t>. London: Routledge.</w:t>
      </w:r>
    </w:p>
    <w:p w14:paraId="682AC5C9" w14:textId="44FF6C8C" w:rsidR="006A1A41" w:rsidRDefault="006A1A41" w:rsidP="001F5D36">
      <w:pPr>
        <w:jc w:val="both"/>
      </w:pPr>
      <w:r w:rsidRPr="00924E76">
        <w:t xml:space="preserve">La Fontaine, J. (2016) </w:t>
      </w:r>
      <w:r w:rsidRPr="00924E76">
        <w:rPr>
          <w:i/>
          <w:iCs/>
        </w:rPr>
        <w:t>Witches and Demons: A Comparative Perspective on Witchcraft and Satanism</w:t>
      </w:r>
      <w:r w:rsidRPr="00924E76">
        <w:t xml:space="preserve">. New York: </w:t>
      </w:r>
      <w:proofErr w:type="spellStart"/>
      <w:r w:rsidRPr="00924E76">
        <w:t>Berghahn</w:t>
      </w:r>
      <w:proofErr w:type="spellEnd"/>
      <w:r w:rsidRPr="00924E76">
        <w:t>.</w:t>
      </w:r>
    </w:p>
    <w:p w14:paraId="5219CF68" w14:textId="77777777" w:rsidR="00002120" w:rsidRDefault="00002120" w:rsidP="00002120">
      <w:pPr>
        <w:jc w:val="both"/>
      </w:pPr>
      <w:r w:rsidRPr="00693480">
        <w:t xml:space="preserve">Levitt, P. (2007) </w:t>
      </w:r>
      <w:r w:rsidRPr="00693480">
        <w:rPr>
          <w:i/>
          <w:iCs/>
        </w:rPr>
        <w:t>God Needs No Passport: Immigrants and the Changing American Religious Landscape</w:t>
      </w:r>
      <w:r w:rsidRPr="00693480">
        <w:t>. New York: New Press.</w:t>
      </w:r>
    </w:p>
    <w:p w14:paraId="2BA9D78D" w14:textId="1DFB2AAD" w:rsidR="008C37F1" w:rsidRPr="00693480" w:rsidRDefault="008C37F1" w:rsidP="00002120">
      <w:pPr>
        <w:jc w:val="both"/>
      </w:pPr>
      <w:r w:rsidRPr="005F3986">
        <w:t xml:space="preserve">Mahmood, S. (2005) </w:t>
      </w:r>
      <w:r w:rsidRPr="005F3986">
        <w:rPr>
          <w:i/>
          <w:iCs/>
        </w:rPr>
        <w:t>Politics of Piety: The Islamic Revival and the Feminist Subject</w:t>
      </w:r>
      <w:r w:rsidRPr="005F3986">
        <w:t>. Princeton: Princeton University Press.</w:t>
      </w:r>
    </w:p>
    <w:p w14:paraId="77EA04B9" w14:textId="75833C38" w:rsidR="00C249B6" w:rsidRDefault="00C249B6" w:rsidP="001F5D36">
      <w:pPr>
        <w:jc w:val="both"/>
      </w:pPr>
      <w:r w:rsidRPr="00CD3B12">
        <w:t xml:space="preserve">Mahmood, S. (2015) </w:t>
      </w:r>
      <w:r w:rsidRPr="00CD3B12">
        <w:rPr>
          <w:i/>
          <w:iCs/>
        </w:rPr>
        <w:t>Religious Difference in a Secular Age: A Minority Report</w:t>
      </w:r>
      <w:r w:rsidRPr="00CD3B12">
        <w:t>. Princeton: Princeton University Press.</w:t>
      </w:r>
    </w:p>
    <w:p w14:paraId="4EE305B1" w14:textId="77777777" w:rsidR="00BC51CE" w:rsidRPr="00BC51CE" w:rsidRDefault="00BC51CE" w:rsidP="00BC51CE">
      <w:pPr>
        <w:jc w:val="both"/>
      </w:pPr>
      <w:r w:rsidRPr="00BC51CE">
        <w:t xml:space="preserve">Malinowski, B. (1935) </w:t>
      </w:r>
      <w:r w:rsidRPr="00BC51CE">
        <w:rPr>
          <w:i/>
          <w:iCs/>
        </w:rPr>
        <w:t>Coral Gardens and Their Magic: A Study of the Methods of Tilling the Soil and of Agricultural Rites in the Trobriand Islands</w:t>
      </w:r>
      <w:r w:rsidRPr="00BC51CE">
        <w:t>. 2 vols. London: George Allen &amp; Unwin.</w:t>
      </w:r>
    </w:p>
    <w:p w14:paraId="765E23F3" w14:textId="77777777" w:rsidR="00BC51CE" w:rsidRPr="00BC51CE" w:rsidRDefault="00BC51CE" w:rsidP="00BC51CE">
      <w:pPr>
        <w:jc w:val="both"/>
      </w:pPr>
      <w:r w:rsidRPr="00BC51CE">
        <w:t xml:space="preserve">Malinowski, B. (1948) </w:t>
      </w:r>
      <w:r w:rsidRPr="00BC51CE">
        <w:rPr>
          <w:i/>
          <w:iCs/>
        </w:rPr>
        <w:t>Magic, Science and Religion and Other Essays</w:t>
      </w:r>
      <w:r w:rsidRPr="00BC51CE">
        <w:t>. Boston: Beacon Press.</w:t>
      </w:r>
    </w:p>
    <w:p w14:paraId="042ADF4A" w14:textId="77777777" w:rsidR="00002120" w:rsidRDefault="00002120" w:rsidP="00002120">
      <w:pPr>
        <w:jc w:val="both"/>
      </w:pPr>
      <w:proofErr w:type="spellStart"/>
      <w:r w:rsidRPr="00693480">
        <w:t>Mandaville</w:t>
      </w:r>
      <w:proofErr w:type="spellEnd"/>
      <w:r w:rsidRPr="00693480">
        <w:t xml:space="preserve">, P. (2001) </w:t>
      </w:r>
      <w:r w:rsidRPr="00693480">
        <w:rPr>
          <w:i/>
          <w:iCs/>
        </w:rPr>
        <w:t>Transnational Muslim Politics: Reimagining the Umma</w:t>
      </w:r>
      <w:r w:rsidRPr="00693480">
        <w:t>. London: Routledge.</w:t>
      </w:r>
    </w:p>
    <w:p w14:paraId="682ABDBF" w14:textId="77777777" w:rsidR="00A636C3" w:rsidRPr="00777B33" w:rsidRDefault="00A636C3" w:rsidP="00A636C3">
      <w:pPr>
        <w:jc w:val="both"/>
      </w:pPr>
      <w:r w:rsidRPr="00777B33">
        <w:t xml:space="preserve">Meyer, B. (1998) ‘“Make a complete break with the past”: Memory and post-colonial modernity in Ghanaian Pentecostalist discourse’, </w:t>
      </w:r>
      <w:r w:rsidRPr="00777B33">
        <w:rPr>
          <w:i/>
          <w:iCs/>
        </w:rPr>
        <w:t>Journal of Religion in Africa</w:t>
      </w:r>
      <w:r w:rsidRPr="00777B33">
        <w:t>, 28(3), pp. 316–349.</w:t>
      </w:r>
    </w:p>
    <w:p w14:paraId="69C29067" w14:textId="060C020C" w:rsidR="00A636C3" w:rsidRPr="00693480" w:rsidRDefault="00A636C3" w:rsidP="00002120">
      <w:pPr>
        <w:jc w:val="both"/>
      </w:pPr>
      <w:r w:rsidRPr="00777B33">
        <w:t xml:space="preserve">Meyer, B. (2004) ‘Christianity in Africa: From African independent to Pentecostal-charismatic churches’, </w:t>
      </w:r>
      <w:r w:rsidRPr="00777B33">
        <w:rPr>
          <w:i/>
          <w:iCs/>
        </w:rPr>
        <w:t>Annual Review of Anthropology</w:t>
      </w:r>
      <w:r w:rsidRPr="00777B33">
        <w:t>, 33, pp. 447–474.</w:t>
      </w:r>
    </w:p>
    <w:p w14:paraId="2E90CD90" w14:textId="32C360CB" w:rsidR="00002120" w:rsidRDefault="00002120" w:rsidP="001F5D36">
      <w:pPr>
        <w:jc w:val="both"/>
      </w:pPr>
      <w:r w:rsidRPr="00693480">
        <w:t xml:space="preserve">Meyer, B. (2011) ‘Mediation and immediacy: Sensational forms, semiotic ideologies and the question of the medium’, </w:t>
      </w:r>
      <w:r w:rsidRPr="00693480">
        <w:rPr>
          <w:i/>
          <w:iCs/>
        </w:rPr>
        <w:t>Social Anthropology</w:t>
      </w:r>
      <w:r w:rsidRPr="00693480">
        <w:t>, 19(1), pp. 23–39</w:t>
      </w:r>
      <w:r w:rsidRPr="00F23D56">
        <w:t>.</w:t>
      </w:r>
    </w:p>
    <w:p w14:paraId="14DE80F0" w14:textId="77777777" w:rsidR="00842220" w:rsidRDefault="00842220" w:rsidP="00842220">
      <w:pPr>
        <w:jc w:val="both"/>
      </w:pPr>
      <w:r w:rsidRPr="006C4B75">
        <w:t>Moeran, B. (2017) ‘Fashion magazines and fashion as a system of magic’, Anthropology Today, 33(2), pp. 3–9.</w:t>
      </w:r>
    </w:p>
    <w:p w14:paraId="2AFE2FFE" w14:textId="7C432A70" w:rsidR="00842220" w:rsidRPr="006C4B75" w:rsidRDefault="00842220" w:rsidP="00842220">
      <w:pPr>
        <w:jc w:val="both"/>
      </w:pPr>
      <w:r w:rsidRPr="00807367">
        <w:t xml:space="preserve">O’Byrne, R.J. (2021) ‘Occult economies, demonic gifts, and ontological alterity: an evangelical biography of evil and redemption in rural South Sudan’, </w:t>
      </w:r>
      <w:r w:rsidRPr="00807367">
        <w:rPr>
          <w:i/>
          <w:iCs/>
        </w:rPr>
        <w:t>Journal of Religion in Africa</w:t>
      </w:r>
      <w:r w:rsidRPr="00807367">
        <w:t>, 50(1–2), pp. 137–168.</w:t>
      </w:r>
    </w:p>
    <w:p w14:paraId="4FD7622F" w14:textId="3C692AD4" w:rsidR="00842220" w:rsidRDefault="00842220" w:rsidP="001F5D36">
      <w:pPr>
        <w:jc w:val="both"/>
      </w:pPr>
      <w:r w:rsidRPr="006C4B75">
        <w:t>Pels, P. (2017) ‘Enchanted reason: Science fiction, print capitalism and the magic of anthropology’, Anthropology Today, 33(2), pp. 10–14.</w:t>
      </w:r>
    </w:p>
    <w:p w14:paraId="4DACFC5C" w14:textId="11979E83" w:rsidR="00A9399B" w:rsidRDefault="00A9399B" w:rsidP="001F5D36">
      <w:pPr>
        <w:jc w:val="both"/>
      </w:pPr>
      <w:proofErr w:type="spellStart"/>
      <w:r w:rsidRPr="00924E76">
        <w:t>Pype</w:t>
      </w:r>
      <w:proofErr w:type="spellEnd"/>
      <w:r w:rsidRPr="00924E76">
        <w:t xml:space="preserve">, K. (2016) ‘Blackberry girls and Jesus’s brides: Pentecostal-Charismatic Christianity and the (im-)moralization of urban femininities in contemporary Kinshasa’, </w:t>
      </w:r>
      <w:r w:rsidRPr="00924E76">
        <w:rPr>
          <w:i/>
          <w:iCs/>
        </w:rPr>
        <w:t>Journal of Religion in Africa</w:t>
      </w:r>
      <w:r w:rsidRPr="00924E76">
        <w:t>, 46(4), pp. 390–414.</w:t>
      </w:r>
    </w:p>
    <w:p w14:paraId="0B1DECAC" w14:textId="700395AF" w:rsidR="00E233B6" w:rsidRDefault="00E233B6" w:rsidP="001F5D36">
      <w:pPr>
        <w:jc w:val="both"/>
      </w:pPr>
      <w:r w:rsidRPr="00777B33">
        <w:t xml:space="preserve">Robbins, J. (2004) ‘The globalization of Pentecostal and charismatic Christianity’, </w:t>
      </w:r>
      <w:r w:rsidRPr="00777B33">
        <w:rPr>
          <w:i/>
          <w:iCs/>
        </w:rPr>
        <w:t>Annual Review of Anthropology</w:t>
      </w:r>
      <w:r w:rsidRPr="00777B33">
        <w:t>, 33, pp. 117–143.</w:t>
      </w:r>
    </w:p>
    <w:p w14:paraId="2EC4CA02" w14:textId="77777777" w:rsidR="001F5D36" w:rsidRDefault="001F5D36" w:rsidP="001F5D36">
      <w:pPr>
        <w:jc w:val="both"/>
      </w:pPr>
      <w:r w:rsidRPr="008D3772">
        <w:t xml:space="preserve">Stocking, G.W. (1987) </w:t>
      </w:r>
      <w:r w:rsidRPr="008D3772">
        <w:rPr>
          <w:i/>
          <w:iCs/>
        </w:rPr>
        <w:t>Victorian Anthropology</w:t>
      </w:r>
      <w:r w:rsidRPr="008D3772">
        <w:t>. New York: Free Press.</w:t>
      </w:r>
    </w:p>
    <w:p w14:paraId="0AFF9476" w14:textId="77777777" w:rsidR="00B35B7E" w:rsidRPr="003C6CB5" w:rsidRDefault="00B35B7E" w:rsidP="00B35B7E">
      <w:pPr>
        <w:jc w:val="both"/>
      </w:pPr>
      <w:r w:rsidRPr="003C6CB5">
        <w:t xml:space="preserve">Turner, V. (1967) </w:t>
      </w:r>
      <w:r w:rsidRPr="003C6CB5">
        <w:rPr>
          <w:i/>
          <w:iCs/>
        </w:rPr>
        <w:t xml:space="preserve">The Forest of Symbols: Aspects of </w:t>
      </w:r>
      <w:proofErr w:type="spellStart"/>
      <w:r w:rsidRPr="003C6CB5">
        <w:rPr>
          <w:i/>
          <w:iCs/>
        </w:rPr>
        <w:t>Ndembu</w:t>
      </w:r>
      <w:proofErr w:type="spellEnd"/>
      <w:r w:rsidRPr="003C6CB5">
        <w:rPr>
          <w:i/>
          <w:iCs/>
        </w:rPr>
        <w:t xml:space="preserve"> Ritual</w:t>
      </w:r>
      <w:r w:rsidRPr="003C6CB5">
        <w:t>. Ithaca, NY: Cornell University Press.</w:t>
      </w:r>
    </w:p>
    <w:p w14:paraId="09EF2A8B" w14:textId="77777777" w:rsidR="00B35B7E" w:rsidRPr="003C6CB5" w:rsidRDefault="00B35B7E" w:rsidP="00B35B7E">
      <w:pPr>
        <w:jc w:val="both"/>
      </w:pPr>
      <w:r w:rsidRPr="003C6CB5">
        <w:t xml:space="preserve">Turner, V. (1969) </w:t>
      </w:r>
      <w:r w:rsidRPr="003C6CB5">
        <w:rPr>
          <w:i/>
          <w:iCs/>
        </w:rPr>
        <w:t>The Ritual Process: Structure and Anti-Structure</w:t>
      </w:r>
      <w:r w:rsidRPr="003C6CB5">
        <w:t>. London: Routledge &amp; Kegan Paul.</w:t>
      </w:r>
    </w:p>
    <w:p w14:paraId="4E868079" w14:textId="77777777" w:rsidR="001F5D36" w:rsidRPr="008D3772" w:rsidRDefault="001F5D36" w:rsidP="001F5D36">
      <w:pPr>
        <w:jc w:val="both"/>
      </w:pPr>
      <w:r w:rsidRPr="008D3772">
        <w:t xml:space="preserve">Tylor, E.B. (1871) </w:t>
      </w:r>
      <w:r w:rsidRPr="008D3772">
        <w:rPr>
          <w:i/>
          <w:iCs/>
        </w:rPr>
        <w:t>Primitive Culture</w:t>
      </w:r>
      <w:r w:rsidRPr="008D3772">
        <w:t>. London: John Murray.</w:t>
      </w:r>
    </w:p>
    <w:p w14:paraId="56DF93B8" w14:textId="77777777" w:rsidR="00B35B7E" w:rsidRDefault="00B35B7E" w:rsidP="00B35B7E">
      <w:pPr>
        <w:jc w:val="both"/>
      </w:pPr>
      <w:r w:rsidRPr="003C6CB5">
        <w:t xml:space="preserve">van </w:t>
      </w:r>
      <w:proofErr w:type="spellStart"/>
      <w:r w:rsidRPr="003C6CB5">
        <w:t>Gennep</w:t>
      </w:r>
      <w:proofErr w:type="spellEnd"/>
      <w:r w:rsidRPr="003C6CB5">
        <w:t xml:space="preserve">, A. (1960 [1909]) </w:t>
      </w:r>
      <w:r w:rsidRPr="003C6CB5">
        <w:rPr>
          <w:i/>
          <w:iCs/>
        </w:rPr>
        <w:t>The Rites of Passage</w:t>
      </w:r>
      <w:r w:rsidRPr="003C6CB5">
        <w:t>. London: Routledge &amp; Kegan Paul.</w:t>
      </w:r>
    </w:p>
    <w:p w14:paraId="21BD87E8" w14:textId="24866671" w:rsidR="00477444" w:rsidRDefault="008A1650" w:rsidP="003C3731">
      <w:pPr>
        <w:jc w:val="both"/>
      </w:pPr>
      <w:r w:rsidRPr="006C4B75">
        <w:t>Vangkilde, K.T. (2017) ‘Foretelling the future: The fashion designer as shaman’, Anthropology Today, 33(2), pp. 15–18.</w:t>
      </w:r>
    </w:p>
    <w:p w14:paraId="651BF401" w14:textId="576E60C6" w:rsidR="00E36AFA" w:rsidRDefault="00E36AFA" w:rsidP="003C3731">
      <w:pPr>
        <w:jc w:val="both"/>
      </w:pPr>
      <w:r w:rsidRPr="00E36AFA">
        <w:t>Victor, L. (2019) ‘Those who go underwater: Indignation, sentiment, and ethical immanence in northern Uganda’, Anthropological Theory, 19(3), pp. 385–411.</w:t>
      </w:r>
    </w:p>
    <w:sectPr w:rsidR="00E36AF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B06E5A"/>
    <w:multiLevelType w:val="multilevel"/>
    <w:tmpl w:val="7DD000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630B2A"/>
    <w:multiLevelType w:val="multilevel"/>
    <w:tmpl w:val="F704F0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D578FE"/>
    <w:multiLevelType w:val="multilevel"/>
    <w:tmpl w:val="D6EA63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9C31633"/>
    <w:multiLevelType w:val="multilevel"/>
    <w:tmpl w:val="CFC44F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C644F0D"/>
    <w:multiLevelType w:val="multilevel"/>
    <w:tmpl w:val="F3F838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F72164C"/>
    <w:multiLevelType w:val="multilevel"/>
    <w:tmpl w:val="0F50B3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0B33619"/>
    <w:multiLevelType w:val="multilevel"/>
    <w:tmpl w:val="1BD408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0137A39"/>
    <w:multiLevelType w:val="multilevel"/>
    <w:tmpl w:val="50647E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23F6170"/>
    <w:multiLevelType w:val="multilevel"/>
    <w:tmpl w:val="B4E0A4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27D145A"/>
    <w:multiLevelType w:val="multilevel"/>
    <w:tmpl w:val="E8A80A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E6A21A9"/>
    <w:multiLevelType w:val="multilevel"/>
    <w:tmpl w:val="121290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2514189"/>
    <w:multiLevelType w:val="multilevel"/>
    <w:tmpl w:val="F2262B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0072815"/>
    <w:multiLevelType w:val="multilevel"/>
    <w:tmpl w:val="C3E497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3EB7C9D"/>
    <w:multiLevelType w:val="multilevel"/>
    <w:tmpl w:val="AF70DA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2F45D90"/>
    <w:multiLevelType w:val="multilevel"/>
    <w:tmpl w:val="6AD045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5A17080"/>
    <w:multiLevelType w:val="multilevel"/>
    <w:tmpl w:val="67F69E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A57208B"/>
    <w:multiLevelType w:val="multilevel"/>
    <w:tmpl w:val="631CBE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3021043">
    <w:abstractNumId w:val="5"/>
  </w:num>
  <w:num w:numId="2" w16cid:durableId="1874538950">
    <w:abstractNumId w:val="16"/>
  </w:num>
  <w:num w:numId="3" w16cid:durableId="637494568">
    <w:abstractNumId w:val="10"/>
  </w:num>
  <w:num w:numId="4" w16cid:durableId="944314963">
    <w:abstractNumId w:val="0"/>
  </w:num>
  <w:num w:numId="5" w16cid:durableId="1314674981">
    <w:abstractNumId w:val="6"/>
  </w:num>
  <w:num w:numId="6" w16cid:durableId="385033486">
    <w:abstractNumId w:val="8"/>
  </w:num>
  <w:num w:numId="7" w16cid:durableId="239683651">
    <w:abstractNumId w:val="9"/>
  </w:num>
  <w:num w:numId="8" w16cid:durableId="1504591289">
    <w:abstractNumId w:val="1"/>
  </w:num>
  <w:num w:numId="9" w16cid:durableId="1009696">
    <w:abstractNumId w:val="7"/>
  </w:num>
  <w:num w:numId="10" w16cid:durableId="458307594">
    <w:abstractNumId w:val="11"/>
  </w:num>
  <w:num w:numId="11" w16cid:durableId="371417948">
    <w:abstractNumId w:val="2"/>
  </w:num>
  <w:num w:numId="12" w16cid:durableId="1280717857">
    <w:abstractNumId w:val="3"/>
  </w:num>
  <w:num w:numId="13" w16cid:durableId="753284632">
    <w:abstractNumId w:val="4"/>
  </w:num>
  <w:num w:numId="14" w16cid:durableId="1588231145">
    <w:abstractNumId w:val="13"/>
  </w:num>
  <w:num w:numId="15" w16cid:durableId="391269677">
    <w:abstractNumId w:val="14"/>
  </w:num>
  <w:num w:numId="16" w16cid:durableId="2082291855">
    <w:abstractNumId w:val="15"/>
  </w:num>
  <w:num w:numId="17" w16cid:durableId="12520453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2C60"/>
    <w:rsid w:val="00002120"/>
    <w:rsid w:val="00052A5D"/>
    <w:rsid w:val="00056C05"/>
    <w:rsid w:val="000603E6"/>
    <w:rsid w:val="000614D5"/>
    <w:rsid w:val="00062DFB"/>
    <w:rsid w:val="00085E05"/>
    <w:rsid w:val="000977DB"/>
    <w:rsid w:val="000A08B3"/>
    <w:rsid w:val="000A124D"/>
    <w:rsid w:val="000C3E5D"/>
    <w:rsid w:val="000C54DD"/>
    <w:rsid w:val="000C5A80"/>
    <w:rsid w:val="000D4784"/>
    <w:rsid w:val="000D717C"/>
    <w:rsid w:val="000E47E9"/>
    <w:rsid w:val="000F1A1D"/>
    <w:rsid w:val="000F2D56"/>
    <w:rsid w:val="000F733A"/>
    <w:rsid w:val="00105609"/>
    <w:rsid w:val="001123D8"/>
    <w:rsid w:val="0011483B"/>
    <w:rsid w:val="0012150D"/>
    <w:rsid w:val="001223F9"/>
    <w:rsid w:val="0013079E"/>
    <w:rsid w:val="001464DF"/>
    <w:rsid w:val="001479C2"/>
    <w:rsid w:val="00153361"/>
    <w:rsid w:val="00161D73"/>
    <w:rsid w:val="00177E96"/>
    <w:rsid w:val="00187B5C"/>
    <w:rsid w:val="001A59B7"/>
    <w:rsid w:val="001B35BB"/>
    <w:rsid w:val="001B38BE"/>
    <w:rsid w:val="001D19FD"/>
    <w:rsid w:val="001D4EAB"/>
    <w:rsid w:val="001F5D36"/>
    <w:rsid w:val="00203A5B"/>
    <w:rsid w:val="00206A3D"/>
    <w:rsid w:val="00221EA5"/>
    <w:rsid w:val="00235F85"/>
    <w:rsid w:val="0024074D"/>
    <w:rsid w:val="002422AA"/>
    <w:rsid w:val="002426AD"/>
    <w:rsid w:val="00243BD2"/>
    <w:rsid w:val="0025348C"/>
    <w:rsid w:val="00256FA0"/>
    <w:rsid w:val="00257CB4"/>
    <w:rsid w:val="00262D52"/>
    <w:rsid w:val="00264187"/>
    <w:rsid w:val="002805F0"/>
    <w:rsid w:val="002905F8"/>
    <w:rsid w:val="002A0B7A"/>
    <w:rsid w:val="002A47EE"/>
    <w:rsid w:val="002B3A09"/>
    <w:rsid w:val="002B4B42"/>
    <w:rsid w:val="002B6521"/>
    <w:rsid w:val="002D0344"/>
    <w:rsid w:val="002D22BF"/>
    <w:rsid w:val="003033BF"/>
    <w:rsid w:val="00304BB3"/>
    <w:rsid w:val="00305046"/>
    <w:rsid w:val="003113E7"/>
    <w:rsid w:val="00313263"/>
    <w:rsid w:val="003162B4"/>
    <w:rsid w:val="00322835"/>
    <w:rsid w:val="0032430F"/>
    <w:rsid w:val="00326546"/>
    <w:rsid w:val="0033102C"/>
    <w:rsid w:val="00335609"/>
    <w:rsid w:val="00340045"/>
    <w:rsid w:val="00367F47"/>
    <w:rsid w:val="00377106"/>
    <w:rsid w:val="003A3DF7"/>
    <w:rsid w:val="003B01D4"/>
    <w:rsid w:val="003B2AC8"/>
    <w:rsid w:val="003C1240"/>
    <w:rsid w:val="003C1EE6"/>
    <w:rsid w:val="003C3731"/>
    <w:rsid w:val="003C6CB5"/>
    <w:rsid w:val="003E1588"/>
    <w:rsid w:val="003F0431"/>
    <w:rsid w:val="004037A1"/>
    <w:rsid w:val="0040476C"/>
    <w:rsid w:val="00404A48"/>
    <w:rsid w:val="00410CAA"/>
    <w:rsid w:val="00415842"/>
    <w:rsid w:val="00415B11"/>
    <w:rsid w:val="0043194D"/>
    <w:rsid w:val="00431976"/>
    <w:rsid w:val="00432F4D"/>
    <w:rsid w:val="0045539D"/>
    <w:rsid w:val="00456B4E"/>
    <w:rsid w:val="00460B1C"/>
    <w:rsid w:val="00465668"/>
    <w:rsid w:val="00467C7B"/>
    <w:rsid w:val="00475D66"/>
    <w:rsid w:val="00477444"/>
    <w:rsid w:val="00481526"/>
    <w:rsid w:val="00482C91"/>
    <w:rsid w:val="004851D2"/>
    <w:rsid w:val="00485262"/>
    <w:rsid w:val="0049475D"/>
    <w:rsid w:val="00497096"/>
    <w:rsid w:val="004B6E9F"/>
    <w:rsid w:val="004C4226"/>
    <w:rsid w:val="004C61BA"/>
    <w:rsid w:val="004C6C40"/>
    <w:rsid w:val="004D2EAC"/>
    <w:rsid w:val="004D5E2F"/>
    <w:rsid w:val="004E377D"/>
    <w:rsid w:val="004E4D86"/>
    <w:rsid w:val="004E6796"/>
    <w:rsid w:val="004F506F"/>
    <w:rsid w:val="004F6944"/>
    <w:rsid w:val="004F6AE9"/>
    <w:rsid w:val="0051353C"/>
    <w:rsid w:val="0052138F"/>
    <w:rsid w:val="0054011E"/>
    <w:rsid w:val="00540F7B"/>
    <w:rsid w:val="00547F24"/>
    <w:rsid w:val="00551374"/>
    <w:rsid w:val="00563A5B"/>
    <w:rsid w:val="005834CC"/>
    <w:rsid w:val="0059704A"/>
    <w:rsid w:val="005A021B"/>
    <w:rsid w:val="005A2F07"/>
    <w:rsid w:val="005C61ED"/>
    <w:rsid w:val="005D47B8"/>
    <w:rsid w:val="005D5209"/>
    <w:rsid w:val="005D724B"/>
    <w:rsid w:val="005E104F"/>
    <w:rsid w:val="005E1601"/>
    <w:rsid w:val="005E2FF5"/>
    <w:rsid w:val="005E55B4"/>
    <w:rsid w:val="005F05EA"/>
    <w:rsid w:val="005F1107"/>
    <w:rsid w:val="005F1691"/>
    <w:rsid w:val="005F3986"/>
    <w:rsid w:val="005F4839"/>
    <w:rsid w:val="005F4DDB"/>
    <w:rsid w:val="0060566E"/>
    <w:rsid w:val="00614C78"/>
    <w:rsid w:val="00621D7A"/>
    <w:rsid w:val="006349E2"/>
    <w:rsid w:val="00651EBB"/>
    <w:rsid w:val="00666DD5"/>
    <w:rsid w:val="0067203B"/>
    <w:rsid w:val="00673559"/>
    <w:rsid w:val="00677857"/>
    <w:rsid w:val="00680997"/>
    <w:rsid w:val="00693480"/>
    <w:rsid w:val="006A0995"/>
    <w:rsid w:val="006A1A41"/>
    <w:rsid w:val="006A3790"/>
    <w:rsid w:val="006A53DA"/>
    <w:rsid w:val="006A6931"/>
    <w:rsid w:val="006B171A"/>
    <w:rsid w:val="006B1E9F"/>
    <w:rsid w:val="006B6103"/>
    <w:rsid w:val="006C018F"/>
    <w:rsid w:val="006C03D1"/>
    <w:rsid w:val="006C0716"/>
    <w:rsid w:val="006C3D69"/>
    <w:rsid w:val="006C4B75"/>
    <w:rsid w:val="006D4164"/>
    <w:rsid w:val="006E09B7"/>
    <w:rsid w:val="006E60C3"/>
    <w:rsid w:val="006F0A62"/>
    <w:rsid w:val="006F5CFD"/>
    <w:rsid w:val="006F70A2"/>
    <w:rsid w:val="00700B5F"/>
    <w:rsid w:val="007025D2"/>
    <w:rsid w:val="00717830"/>
    <w:rsid w:val="0071792B"/>
    <w:rsid w:val="00726126"/>
    <w:rsid w:val="007319DD"/>
    <w:rsid w:val="007324AF"/>
    <w:rsid w:val="00736368"/>
    <w:rsid w:val="0074105F"/>
    <w:rsid w:val="00752A87"/>
    <w:rsid w:val="00755033"/>
    <w:rsid w:val="0075675D"/>
    <w:rsid w:val="00763F1D"/>
    <w:rsid w:val="00764573"/>
    <w:rsid w:val="00764AEA"/>
    <w:rsid w:val="00777B33"/>
    <w:rsid w:val="00786998"/>
    <w:rsid w:val="00795853"/>
    <w:rsid w:val="007B7566"/>
    <w:rsid w:val="007C0C23"/>
    <w:rsid w:val="007C121D"/>
    <w:rsid w:val="007C2C60"/>
    <w:rsid w:val="007C302C"/>
    <w:rsid w:val="007D5EAD"/>
    <w:rsid w:val="007E1576"/>
    <w:rsid w:val="007E6C85"/>
    <w:rsid w:val="007F050E"/>
    <w:rsid w:val="007F0BAD"/>
    <w:rsid w:val="007F398C"/>
    <w:rsid w:val="007F3D87"/>
    <w:rsid w:val="00805D67"/>
    <w:rsid w:val="00807367"/>
    <w:rsid w:val="00807441"/>
    <w:rsid w:val="00812971"/>
    <w:rsid w:val="00831BA3"/>
    <w:rsid w:val="008362B8"/>
    <w:rsid w:val="0084023D"/>
    <w:rsid w:val="00842220"/>
    <w:rsid w:val="0085392D"/>
    <w:rsid w:val="00853B3D"/>
    <w:rsid w:val="008603D3"/>
    <w:rsid w:val="0086474E"/>
    <w:rsid w:val="0086481D"/>
    <w:rsid w:val="0087357D"/>
    <w:rsid w:val="00885FB8"/>
    <w:rsid w:val="008A1650"/>
    <w:rsid w:val="008A2DB1"/>
    <w:rsid w:val="008B0F17"/>
    <w:rsid w:val="008C37F1"/>
    <w:rsid w:val="008D064A"/>
    <w:rsid w:val="008D3772"/>
    <w:rsid w:val="008E07E1"/>
    <w:rsid w:val="008E19A9"/>
    <w:rsid w:val="008F29B1"/>
    <w:rsid w:val="008F7968"/>
    <w:rsid w:val="00906664"/>
    <w:rsid w:val="009106E7"/>
    <w:rsid w:val="00924E76"/>
    <w:rsid w:val="0092523A"/>
    <w:rsid w:val="00932B41"/>
    <w:rsid w:val="00932BA2"/>
    <w:rsid w:val="00933F5C"/>
    <w:rsid w:val="00940DE3"/>
    <w:rsid w:val="00954BDB"/>
    <w:rsid w:val="00970303"/>
    <w:rsid w:val="009762F5"/>
    <w:rsid w:val="00980B8D"/>
    <w:rsid w:val="00983B0D"/>
    <w:rsid w:val="009865B2"/>
    <w:rsid w:val="00987BFD"/>
    <w:rsid w:val="009917CE"/>
    <w:rsid w:val="009976FD"/>
    <w:rsid w:val="009978E3"/>
    <w:rsid w:val="009A4D4C"/>
    <w:rsid w:val="009B2617"/>
    <w:rsid w:val="009C5A9E"/>
    <w:rsid w:val="009C5EFE"/>
    <w:rsid w:val="009D3767"/>
    <w:rsid w:val="009D73E5"/>
    <w:rsid w:val="00A011E6"/>
    <w:rsid w:val="00A04A70"/>
    <w:rsid w:val="00A22AA4"/>
    <w:rsid w:val="00A473C0"/>
    <w:rsid w:val="00A51F15"/>
    <w:rsid w:val="00A52132"/>
    <w:rsid w:val="00A60737"/>
    <w:rsid w:val="00A636C3"/>
    <w:rsid w:val="00A714FC"/>
    <w:rsid w:val="00A76524"/>
    <w:rsid w:val="00A8046A"/>
    <w:rsid w:val="00A856F4"/>
    <w:rsid w:val="00A86B35"/>
    <w:rsid w:val="00A87C3B"/>
    <w:rsid w:val="00A92935"/>
    <w:rsid w:val="00A9399B"/>
    <w:rsid w:val="00A97424"/>
    <w:rsid w:val="00AA250E"/>
    <w:rsid w:val="00AA4D26"/>
    <w:rsid w:val="00AB0BC7"/>
    <w:rsid w:val="00AC52DC"/>
    <w:rsid w:val="00AD0450"/>
    <w:rsid w:val="00AE1B1A"/>
    <w:rsid w:val="00AE4D67"/>
    <w:rsid w:val="00AE6E31"/>
    <w:rsid w:val="00AF57D3"/>
    <w:rsid w:val="00B0312F"/>
    <w:rsid w:val="00B06109"/>
    <w:rsid w:val="00B1057B"/>
    <w:rsid w:val="00B15925"/>
    <w:rsid w:val="00B230D3"/>
    <w:rsid w:val="00B234E2"/>
    <w:rsid w:val="00B23793"/>
    <w:rsid w:val="00B23CEE"/>
    <w:rsid w:val="00B35B7E"/>
    <w:rsid w:val="00B37044"/>
    <w:rsid w:val="00B42B22"/>
    <w:rsid w:val="00B43B31"/>
    <w:rsid w:val="00B47343"/>
    <w:rsid w:val="00B550D6"/>
    <w:rsid w:val="00B579D8"/>
    <w:rsid w:val="00B60529"/>
    <w:rsid w:val="00B72409"/>
    <w:rsid w:val="00B766AF"/>
    <w:rsid w:val="00B93B91"/>
    <w:rsid w:val="00B97EA6"/>
    <w:rsid w:val="00BB6231"/>
    <w:rsid w:val="00BB7B49"/>
    <w:rsid w:val="00BC1EC7"/>
    <w:rsid w:val="00BC51CE"/>
    <w:rsid w:val="00BC5CA3"/>
    <w:rsid w:val="00BD03DB"/>
    <w:rsid w:val="00BD587F"/>
    <w:rsid w:val="00BD6F74"/>
    <w:rsid w:val="00BF083B"/>
    <w:rsid w:val="00C070A8"/>
    <w:rsid w:val="00C11503"/>
    <w:rsid w:val="00C203CA"/>
    <w:rsid w:val="00C249B6"/>
    <w:rsid w:val="00C31428"/>
    <w:rsid w:val="00C328B0"/>
    <w:rsid w:val="00C356C1"/>
    <w:rsid w:val="00C44E02"/>
    <w:rsid w:val="00C61E2E"/>
    <w:rsid w:val="00C671FE"/>
    <w:rsid w:val="00C75D5C"/>
    <w:rsid w:val="00C81142"/>
    <w:rsid w:val="00C83515"/>
    <w:rsid w:val="00C8515B"/>
    <w:rsid w:val="00C8563B"/>
    <w:rsid w:val="00C87928"/>
    <w:rsid w:val="00C87F68"/>
    <w:rsid w:val="00CA41C4"/>
    <w:rsid w:val="00CB0BB4"/>
    <w:rsid w:val="00CB3B74"/>
    <w:rsid w:val="00CB5281"/>
    <w:rsid w:val="00CB734F"/>
    <w:rsid w:val="00CD3B12"/>
    <w:rsid w:val="00CD5B0E"/>
    <w:rsid w:val="00CF162A"/>
    <w:rsid w:val="00CF192B"/>
    <w:rsid w:val="00D07590"/>
    <w:rsid w:val="00D07C8A"/>
    <w:rsid w:val="00D22B73"/>
    <w:rsid w:val="00D23DEA"/>
    <w:rsid w:val="00D2423F"/>
    <w:rsid w:val="00D30A15"/>
    <w:rsid w:val="00D34F2A"/>
    <w:rsid w:val="00D366F8"/>
    <w:rsid w:val="00D5316C"/>
    <w:rsid w:val="00D53EDA"/>
    <w:rsid w:val="00D555BB"/>
    <w:rsid w:val="00D64484"/>
    <w:rsid w:val="00D71B6E"/>
    <w:rsid w:val="00DA0843"/>
    <w:rsid w:val="00DC0F92"/>
    <w:rsid w:val="00DD0EEA"/>
    <w:rsid w:val="00DD1E22"/>
    <w:rsid w:val="00DE1D85"/>
    <w:rsid w:val="00DE4611"/>
    <w:rsid w:val="00DF09F2"/>
    <w:rsid w:val="00DF3E78"/>
    <w:rsid w:val="00DF4D4E"/>
    <w:rsid w:val="00DF51B6"/>
    <w:rsid w:val="00E025E7"/>
    <w:rsid w:val="00E233B6"/>
    <w:rsid w:val="00E36AFA"/>
    <w:rsid w:val="00E515F5"/>
    <w:rsid w:val="00E62652"/>
    <w:rsid w:val="00E63764"/>
    <w:rsid w:val="00E63A61"/>
    <w:rsid w:val="00E64A47"/>
    <w:rsid w:val="00E76E48"/>
    <w:rsid w:val="00E83415"/>
    <w:rsid w:val="00E835CB"/>
    <w:rsid w:val="00EC0574"/>
    <w:rsid w:val="00EC2528"/>
    <w:rsid w:val="00EC6D5D"/>
    <w:rsid w:val="00EC7394"/>
    <w:rsid w:val="00ED247F"/>
    <w:rsid w:val="00EE2603"/>
    <w:rsid w:val="00EF0920"/>
    <w:rsid w:val="00EF1140"/>
    <w:rsid w:val="00F002E5"/>
    <w:rsid w:val="00F00CCC"/>
    <w:rsid w:val="00F14F81"/>
    <w:rsid w:val="00F23470"/>
    <w:rsid w:val="00F237A2"/>
    <w:rsid w:val="00F23CAE"/>
    <w:rsid w:val="00F35489"/>
    <w:rsid w:val="00F3549B"/>
    <w:rsid w:val="00F4533F"/>
    <w:rsid w:val="00F46598"/>
    <w:rsid w:val="00F4682F"/>
    <w:rsid w:val="00F51939"/>
    <w:rsid w:val="00F521B3"/>
    <w:rsid w:val="00F62D91"/>
    <w:rsid w:val="00F71B7A"/>
    <w:rsid w:val="00F7449A"/>
    <w:rsid w:val="00F8448B"/>
    <w:rsid w:val="00F86DDE"/>
    <w:rsid w:val="00F9047F"/>
    <w:rsid w:val="00F95817"/>
    <w:rsid w:val="00F95A89"/>
    <w:rsid w:val="00FA69BA"/>
    <w:rsid w:val="00FB11A5"/>
    <w:rsid w:val="00FF6E6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54"/>
    <o:shapelayout v:ext="edit">
      <o:idmap v:ext="edit" data="1"/>
    </o:shapelayout>
  </w:shapeDefaults>
  <w:decimalSymbol w:val="."/>
  <w:listSeparator w:val=","/>
  <w14:docId w14:val="6673EC53"/>
  <w15:chartTrackingRefBased/>
  <w15:docId w15:val="{8B68D78F-DBDC-41D9-9E96-658280A570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050E"/>
  </w:style>
  <w:style w:type="paragraph" w:styleId="Heading1">
    <w:name w:val="heading 1"/>
    <w:basedOn w:val="Normal"/>
    <w:next w:val="Normal"/>
    <w:link w:val="Heading1Char"/>
    <w:uiPriority w:val="9"/>
    <w:qFormat/>
    <w:rsid w:val="007C2C6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C2C6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C2C6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7C2C6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C2C6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C2C6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C2C6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C2C6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C2C6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2C6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C2C6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C2C6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7C2C6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C2C6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C2C6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C2C6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C2C6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C2C60"/>
    <w:rPr>
      <w:rFonts w:eastAsiaTheme="majorEastAsia" w:cstheme="majorBidi"/>
      <w:color w:val="272727" w:themeColor="text1" w:themeTint="D8"/>
    </w:rPr>
  </w:style>
  <w:style w:type="paragraph" w:styleId="Title">
    <w:name w:val="Title"/>
    <w:basedOn w:val="Normal"/>
    <w:next w:val="Normal"/>
    <w:link w:val="TitleChar"/>
    <w:uiPriority w:val="10"/>
    <w:qFormat/>
    <w:rsid w:val="007C2C6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C2C6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C2C6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C2C6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C2C60"/>
    <w:pPr>
      <w:spacing w:before="160"/>
      <w:jc w:val="center"/>
    </w:pPr>
    <w:rPr>
      <w:i/>
      <w:iCs/>
      <w:color w:val="404040" w:themeColor="text1" w:themeTint="BF"/>
    </w:rPr>
  </w:style>
  <w:style w:type="character" w:customStyle="1" w:styleId="QuoteChar">
    <w:name w:val="Quote Char"/>
    <w:basedOn w:val="DefaultParagraphFont"/>
    <w:link w:val="Quote"/>
    <w:uiPriority w:val="29"/>
    <w:rsid w:val="007C2C60"/>
    <w:rPr>
      <w:i/>
      <w:iCs/>
      <w:color w:val="404040" w:themeColor="text1" w:themeTint="BF"/>
    </w:rPr>
  </w:style>
  <w:style w:type="paragraph" w:styleId="ListParagraph">
    <w:name w:val="List Paragraph"/>
    <w:basedOn w:val="Normal"/>
    <w:uiPriority w:val="34"/>
    <w:qFormat/>
    <w:rsid w:val="007C2C60"/>
    <w:pPr>
      <w:ind w:left="720"/>
      <w:contextualSpacing/>
    </w:pPr>
  </w:style>
  <w:style w:type="character" w:styleId="IntenseEmphasis">
    <w:name w:val="Intense Emphasis"/>
    <w:basedOn w:val="DefaultParagraphFont"/>
    <w:uiPriority w:val="21"/>
    <w:qFormat/>
    <w:rsid w:val="007C2C60"/>
    <w:rPr>
      <w:i/>
      <w:iCs/>
      <w:color w:val="0F4761" w:themeColor="accent1" w:themeShade="BF"/>
    </w:rPr>
  </w:style>
  <w:style w:type="paragraph" w:styleId="IntenseQuote">
    <w:name w:val="Intense Quote"/>
    <w:basedOn w:val="Normal"/>
    <w:next w:val="Normal"/>
    <w:link w:val="IntenseQuoteChar"/>
    <w:uiPriority w:val="30"/>
    <w:qFormat/>
    <w:rsid w:val="007C2C6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C2C60"/>
    <w:rPr>
      <w:i/>
      <w:iCs/>
      <w:color w:val="0F4761" w:themeColor="accent1" w:themeShade="BF"/>
    </w:rPr>
  </w:style>
  <w:style w:type="character" w:styleId="IntenseReference">
    <w:name w:val="Intense Reference"/>
    <w:basedOn w:val="DefaultParagraphFont"/>
    <w:uiPriority w:val="32"/>
    <w:qFormat/>
    <w:rsid w:val="007C2C60"/>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7B23F9-FE1D-47EF-85F0-8F958318F5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35</Pages>
  <Words>12569</Words>
  <Characters>71645</Characters>
  <Application>Microsoft Office Word</Application>
  <DocSecurity>0</DocSecurity>
  <Lines>597</Lines>
  <Paragraphs>168</Paragraphs>
  <ScaleCrop>false</ScaleCrop>
  <Company>University of Wales Trinity Saint David</Company>
  <LinksUpToDate>false</LinksUpToDate>
  <CharactersWithSpaces>84046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O'Byrne</dc:creator>
  <cp:keywords/>
  <dc:description/>
  <cp:lastModifiedBy>Ryan O'Byrne</cp:lastModifiedBy>
  <cp:revision>300</cp:revision>
  <dcterms:created xsi:type="dcterms:W3CDTF">2026-03-25T14:00:00Z</dcterms:created>
  <dcterms:modified xsi:type="dcterms:W3CDTF">2026-04-23T10:40:00Z</dcterms:modified>
</cp:coreProperties>
</file>