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95EF2B" w14:textId="45C2296F" w:rsidR="00D150A9" w:rsidRPr="007C4904" w:rsidRDefault="00C456DD">
      <w:pPr>
        <w:rPr>
          <w:rFonts w:ascii="Arial" w:hAnsi="Arial" w:cs="Arial"/>
          <w:b/>
          <w:bCs/>
          <w:sz w:val="36"/>
          <w:szCs w:val="36"/>
        </w:rPr>
      </w:pPr>
      <w:r>
        <w:rPr>
          <w:rFonts w:ascii="Arial" w:hAnsi="Arial" w:cs="Arial"/>
          <w:noProof/>
        </w:rPr>
        <w:drawing>
          <wp:anchor distT="0" distB="0" distL="114300" distR="114300" simplePos="0" relativeHeight="251658240" behindDoc="0" locked="0" layoutInCell="1" allowOverlap="1" wp14:anchorId="4EBBDC5B" wp14:editId="48407552">
            <wp:simplePos x="0" y="0"/>
            <wp:positionH relativeFrom="column">
              <wp:posOffset>-518160</wp:posOffset>
            </wp:positionH>
            <wp:positionV relativeFrom="topMargin">
              <wp:posOffset>678180</wp:posOffset>
            </wp:positionV>
            <wp:extent cx="2974975" cy="1866900"/>
            <wp:effectExtent l="0" t="0" r="0" b="0"/>
            <wp:wrapSquare wrapText="bothSides"/>
            <wp:docPr id="992349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49862" name="Picture 992349862"/>
                    <pic:cNvPicPr/>
                  </pic:nvPicPr>
                  <pic:blipFill>
                    <a:blip r:embed="rId7">
                      <a:extLst>
                        <a:ext uri="{28A0092B-C50C-407E-A947-70E740481C1C}">
                          <a14:useLocalDpi xmlns:a14="http://schemas.microsoft.com/office/drawing/2010/main" val="0"/>
                        </a:ext>
                      </a:extLst>
                    </a:blip>
                    <a:stretch>
                      <a:fillRect/>
                    </a:stretch>
                  </pic:blipFill>
                  <pic:spPr>
                    <a:xfrm>
                      <a:off x="0" y="0"/>
                      <a:ext cx="2974975" cy="1866900"/>
                    </a:xfrm>
                    <a:prstGeom prst="rect">
                      <a:avLst/>
                    </a:prstGeom>
                  </pic:spPr>
                </pic:pic>
              </a:graphicData>
            </a:graphic>
            <wp14:sizeRelH relativeFrom="margin">
              <wp14:pctWidth>0</wp14:pctWidth>
            </wp14:sizeRelH>
            <wp14:sizeRelV relativeFrom="margin">
              <wp14:pctHeight>0</wp14:pctHeight>
            </wp14:sizeRelV>
          </wp:anchor>
        </w:drawing>
      </w:r>
      <w:r w:rsidR="00941760" w:rsidRPr="007C4904">
        <w:rPr>
          <w:rFonts w:ascii="Arial" w:hAnsi="Arial" w:cs="Arial"/>
          <w:b/>
          <w:bCs/>
          <w:sz w:val="36"/>
          <w:szCs w:val="36"/>
        </w:rPr>
        <w:t>Organisational Culture: Individual Report on the NHS</w:t>
      </w:r>
    </w:p>
    <w:p w14:paraId="3AE92D36" w14:textId="77777777" w:rsidR="00941760" w:rsidRPr="007C4904" w:rsidRDefault="00941760" w:rsidP="00941760">
      <w:pPr>
        <w:rPr>
          <w:rFonts w:ascii="Arial" w:hAnsi="Arial" w:cs="Arial"/>
        </w:rPr>
      </w:pPr>
    </w:p>
    <w:p w14:paraId="05325A2F" w14:textId="4E616821" w:rsidR="00941760" w:rsidRPr="007C4904" w:rsidRDefault="00941760" w:rsidP="00941760">
      <w:pPr>
        <w:rPr>
          <w:rFonts w:ascii="Arial" w:hAnsi="Arial" w:cs="Arial"/>
        </w:rPr>
      </w:pPr>
    </w:p>
    <w:p w14:paraId="45F868D8" w14:textId="77777777" w:rsidR="00941760" w:rsidRPr="007C4904" w:rsidRDefault="00941760" w:rsidP="00941760">
      <w:pPr>
        <w:rPr>
          <w:rFonts w:ascii="Arial" w:hAnsi="Arial" w:cs="Arial"/>
        </w:rPr>
      </w:pPr>
    </w:p>
    <w:p w14:paraId="06B1213D" w14:textId="568BA779" w:rsidR="00941760" w:rsidRPr="007C4904" w:rsidRDefault="00941760" w:rsidP="00941760">
      <w:pPr>
        <w:rPr>
          <w:rFonts w:ascii="Arial" w:hAnsi="Arial" w:cs="Arial"/>
        </w:rPr>
      </w:pPr>
      <w:r w:rsidRPr="007C4904">
        <w:rPr>
          <w:rFonts w:ascii="Arial" w:hAnsi="Arial" w:cs="Arial"/>
        </w:rPr>
        <w:t xml:space="preserve">                                                           Assessment Component 1- Organisational Culture </w:t>
      </w:r>
    </w:p>
    <w:p w14:paraId="26B9624B" w14:textId="2D071FAA" w:rsidR="00941760" w:rsidRPr="007C4904" w:rsidRDefault="00941760" w:rsidP="00941760">
      <w:pPr>
        <w:rPr>
          <w:rFonts w:ascii="Arial" w:hAnsi="Arial" w:cs="Arial"/>
        </w:rPr>
      </w:pPr>
      <w:r w:rsidRPr="007C4904">
        <w:rPr>
          <w:rFonts w:ascii="Arial" w:hAnsi="Arial" w:cs="Arial"/>
        </w:rPr>
        <w:t xml:space="preserve">                                                           Student Name: Andreia Farcas</w:t>
      </w:r>
    </w:p>
    <w:p w14:paraId="4207B277" w14:textId="549BF2F0" w:rsidR="00941760" w:rsidRPr="007C4904" w:rsidRDefault="00941760" w:rsidP="00941760">
      <w:pPr>
        <w:rPr>
          <w:rFonts w:ascii="Arial" w:hAnsi="Arial" w:cs="Arial"/>
        </w:rPr>
      </w:pPr>
      <w:r w:rsidRPr="007C4904">
        <w:rPr>
          <w:rFonts w:ascii="Arial" w:hAnsi="Arial" w:cs="Arial"/>
        </w:rPr>
        <w:t xml:space="preserve">                                                           Student ID: 2421345</w:t>
      </w:r>
    </w:p>
    <w:p w14:paraId="49F13A81" w14:textId="77777777" w:rsidR="00A15091" w:rsidRDefault="00941760" w:rsidP="00941760">
      <w:pPr>
        <w:rPr>
          <w:rFonts w:ascii="Arial" w:hAnsi="Arial" w:cs="Arial"/>
        </w:rPr>
      </w:pPr>
      <w:r w:rsidRPr="007C4904">
        <w:rPr>
          <w:rFonts w:ascii="Arial" w:hAnsi="Arial" w:cs="Arial"/>
        </w:rPr>
        <w:t xml:space="preserve">                                                          Module Name &amp; Code: Organisational Culture</w:t>
      </w:r>
      <w:r w:rsidR="00A15091">
        <w:rPr>
          <w:rFonts w:ascii="Arial" w:hAnsi="Arial" w:cs="Arial"/>
        </w:rPr>
        <w:t xml:space="preserve"> </w:t>
      </w:r>
    </w:p>
    <w:p w14:paraId="075D6871" w14:textId="41F5CDFD" w:rsidR="00941760" w:rsidRPr="007C4904" w:rsidRDefault="00A15091" w:rsidP="00941760">
      <w:pPr>
        <w:rPr>
          <w:rFonts w:ascii="Arial" w:hAnsi="Arial" w:cs="Arial"/>
        </w:rPr>
      </w:pPr>
      <w:r>
        <w:rPr>
          <w:rFonts w:ascii="Arial" w:hAnsi="Arial" w:cs="Arial"/>
        </w:rPr>
        <w:t xml:space="preserve">                                                           </w:t>
      </w:r>
      <w:r w:rsidR="00F02E66">
        <w:rPr>
          <w:rFonts w:ascii="Arial" w:hAnsi="Arial" w:cs="Arial"/>
        </w:rPr>
        <w:t>LCLM5005</w:t>
      </w:r>
      <w:r w:rsidR="0070551C">
        <w:rPr>
          <w:rFonts w:ascii="Arial" w:hAnsi="Arial" w:cs="Arial"/>
        </w:rPr>
        <w:t xml:space="preserve">                                                           </w:t>
      </w:r>
    </w:p>
    <w:p w14:paraId="2D6A00D0" w14:textId="7CC14548" w:rsidR="00941760" w:rsidRPr="007C4904" w:rsidRDefault="00941760" w:rsidP="00941760">
      <w:pPr>
        <w:rPr>
          <w:rFonts w:ascii="Arial" w:hAnsi="Arial" w:cs="Arial"/>
        </w:rPr>
      </w:pPr>
      <w:r w:rsidRPr="007C4904">
        <w:rPr>
          <w:rFonts w:ascii="Arial" w:hAnsi="Arial" w:cs="Arial"/>
        </w:rPr>
        <w:t xml:space="preserve">                                                          Word Count: 3,2</w:t>
      </w:r>
      <w:r w:rsidR="002F072A">
        <w:rPr>
          <w:rFonts w:ascii="Arial" w:hAnsi="Arial" w:cs="Arial"/>
        </w:rPr>
        <w:t>9</w:t>
      </w:r>
      <w:r w:rsidR="0065149B">
        <w:rPr>
          <w:rFonts w:ascii="Arial" w:hAnsi="Arial" w:cs="Arial"/>
        </w:rPr>
        <w:t>6</w:t>
      </w:r>
    </w:p>
    <w:p w14:paraId="7C37B635" w14:textId="741E36FC" w:rsidR="00941760" w:rsidRPr="007C4904" w:rsidRDefault="00941760" w:rsidP="00941760">
      <w:pPr>
        <w:rPr>
          <w:rFonts w:ascii="Arial" w:hAnsi="Arial" w:cs="Arial"/>
        </w:rPr>
      </w:pPr>
      <w:r w:rsidRPr="007C4904">
        <w:rPr>
          <w:rFonts w:ascii="Arial" w:hAnsi="Arial" w:cs="Arial"/>
        </w:rPr>
        <w:t xml:space="preserve">                                                          Submission Date: 2</w:t>
      </w:r>
      <w:r w:rsidRPr="007C4904">
        <w:rPr>
          <w:rFonts w:ascii="Arial" w:hAnsi="Arial" w:cs="Arial"/>
          <w:vertAlign w:val="superscript"/>
        </w:rPr>
        <w:t>nd</w:t>
      </w:r>
      <w:r w:rsidRPr="007C4904">
        <w:rPr>
          <w:rFonts w:ascii="Arial" w:hAnsi="Arial" w:cs="Arial"/>
        </w:rPr>
        <w:t xml:space="preserve"> November 2026 </w:t>
      </w:r>
    </w:p>
    <w:p w14:paraId="44EFC4DD" w14:textId="55AA68C6" w:rsidR="00941760" w:rsidRPr="007C4904" w:rsidRDefault="00941760" w:rsidP="00941760">
      <w:pPr>
        <w:rPr>
          <w:rFonts w:ascii="Arial" w:hAnsi="Arial" w:cs="Arial"/>
        </w:rPr>
      </w:pPr>
      <w:r w:rsidRPr="007C4904">
        <w:rPr>
          <w:rFonts w:ascii="Arial" w:hAnsi="Arial" w:cs="Arial"/>
        </w:rPr>
        <w:t xml:space="preserve">                                                          Lecturer Name:</w:t>
      </w:r>
      <w:r w:rsidR="000C4D45" w:rsidRPr="007C4904">
        <w:rPr>
          <w:rFonts w:ascii="Arial" w:hAnsi="Arial" w:cs="Arial"/>
        </w:rPr>
        <w:t xml:space="preserve"> Taonga Kaonga </w:t>
      </w:r>
      <w:proofErr w:type="spellStart"/>
      <w:r w:rsidR="000C4D45" w:rsidRPr="007C4904">
        <w:rPr>
          <w:rFonts w:ascii="Arial" w:hAnsi="Arial" w:cs="Arial"/>
        </w:rPr>
        <w:t>Sobere-Snithers</w:t>
      </w:r>
      <w:proofErr w:type="spellEnd"/>
    </w:p>
    <w:p w14:paraId="30D30D6D" w14:textId="77777777" w:rsidR="00941760" w:rsidRPr="007C4904" w:rsidRDefault="00941760" w:rsidP="00941760">
      <w:pPr>
        <w:rPr>
          <w:rFonts w:ascii="Arial" w:hAnsi="Arial" w:cs="Arial"/>
        </w:rPr>
      </w:pPr>
    </w:p>
    <w:p w14:paraId="1ED85236" w14:textId="77777777" w:rsidR="00941760" w:rsidRPr="007C4904" w:rsidRDefault="00941760" w:rsidP="00941760">
      <w:pPr>
        <w:rPr>
          <w:rFonts w:ascii="Arial" w:hAnsi="Arial" w:cs="Arial"/>
        </w:rPr>
      </w:pPr>
    </w:p>
    <w:p w14:paraId="265B5AC4" w14:textId="72787323" w:rsidR="00941760" w:rsidRPr="007C4904" w:rsidRDefault="00941760" w:rsidP="00941760">
      <w:pPr>
        <w:rPr>
          <w:rFonts w:ascii="Arial" w:hAnsi="Arial" w:cs="Arial"/>
        </w:rPr>
      </w:pPr>
    </w:p>
    <w:p w14:paraId="70BC710C" w14:textId="17CA44E8" w:rsidR="00941760" w:rsidRPr="007C4904" w:rsidRDefault="00941760" w:rsidP="00941760">
      <w:pPr>
        <w:rPr>
          <w:rFonts w:ascii="Arial" w:hAnsi="Arial" w:cs="Arial"/>
        </w:rPr>
      </w:pPr>
    </w:p>
    <w:p w14:paraId="60F4A3BF" w14:textId="77777777" w:rsidR="00DA6194" w:rsidRPr="007C4904" w:rsidRDefault="00DA6194" w:rsidP="00941760">
      <w:pPr>
        <w:tabs>
          <w:tab w:val="left" w:pos="2424"/>
        </w:tabs>
        <w:rPr>
          <w:rFonts w:ascii="Arial" w:hAnsi="Arial" w:cs="Arial"/>
        </w:rPr>
      </w:pPr>
    </w:p>
    <w:p w14:paraId="7BAF856B" w14:textId="30A65766" w:rsidR="00DA6194" w:rsidRPr="007C4904" w:rsidRDefault="00DA6194" w:rsidP="00941760">
      <w:pPr>
        <w:tabs>
          <w:tab w:val="left" w:pos="2424"/>
        </w:tabs>
        <w:rPr>
          <w:rFonts w:ascii="Arial" w:hAnsi="Arial" w:cs="Arial"/>
        </w:rPr>
      </w:pPr>
    </w:p>
    <w:p w14:paraId="3082419F" w14:textId="58DC12CA" w:rsidR="00DA6194" w:rsidRPr="007C4904" w:rsidRDefault="00DA6194" w:rsidP="00941760">
      <w:pPr>
        <w:tabs>
          <w:tab w:val="left" w:pos="2424"/>
        </w:tabs>
        <w:rPr>
          <w:rFonts w:ascii="Arial" w:hAnsi="Arial" w:cs="Arial"/>
        </w:rPr>
      </w:pPr>
    </w:p>
    <w:p w14:paraId="23AC9E11" w14:textId="5AFD063C" w:rsidR="00DA6194" w:rsidRPr="007C4904" w:rsidRDefault="00DA6194" w:rsidP="00941760">
      <w:pPr>
        <w:tabs>
          <w:tab w:val="left" w:pos="2424"/>
        </w:tabs>
        <w:rPr>
          <w:rFonts w:ascii="Arial" w:hAnsi="Arial" w:cs="Arial"/>
        </w:rPr>
      </w:pPr>
    </w:p>
    <w:p w14:paraId="09711B3F" w14:textId="06F4F7A1" w:rsidR="00DA6194" w:rsidRPr="007C4904" w:rsidRDefault="00DA6194" w:rsidP="00941760">
      <w:pPr>
        <w:tabs>
          <w:tab w:val="left" w:pos="2424"/>
        </w:tabs>
        <w:rPr>
          <w:rFonts w:ascii="Arial" w:hAnsi="Arial" w:cs="Arial"/>
        </w:rPr>
      </w:pPr>
    </w:p>
    <w:p w14:paraId="4CD615F7" w14:textId="075620D2" w:rsidR="00DA6194" w:rsidRPr="007C4904" w:rsidRDefault="00DA6194" w:rsidP="00941760">
      <w:pPr>
        <w:tabs>
          <w:tab w:val="left" w:pos="2424"/>
        </w:tabs>
        <w:rPr>
          <w:rFonts w:ascii="Arial" w:hAnsi="Arial" w:cs="Arial"/>
        </w:rPr>
      </w:pPr>
    </w:p>
    <w:p w14:paraId="6D807169" w14:textId="15174D5F" w:rsidR="00DA6194" w:rsidRPr="007C4904" w:rsidRDefault="00DA6194" w:rsidP="00941760">
      <w:pPr>
        <w:tabs>
          <w:tab w:val="left" w:pos="2424"/>
        </w:tabs>
        <w:rPr>
          <w:rFonts w:ascii="Arial" w:hAnsi="Arial" w:cs="Arial"/>
        </w:rPr>
      </w:pPr>
    </w:p>
    <w:p w14:paraId="51E0EDDF" w14:textId="2AB12901" w:rsidR="00DA6194" w:rsidRPr="007C4904" w:rsidRDefault="00DA6194" w:rsidP="00941760">
      <w:pPr>
        <w:tabs>
          <w:tab w:val="left" w:pos="2424"/>
        </w:tabs>
        <w:rPr>
          <w:rFonts w:ascii="Arial" w:hAnsi="Arial" w:cs="Arial"/>
        </w:rPr>
      </w:pPr>
    </w:p>
    <w:p w14:paraId="07B522B2" w14:textId="77777777" w:rsidR="00DA6194" w:rsidRPr="007C4904" w:rsidRDefault="00DA6194" w:rsidP="00941760">
      <w:pPr>
        <w:tabs>
          <w:tab w:val="left" w:pos="2424"/>
        </w:tabs>
        <w:rPr>
          <w:rFonts w:ascii="Arial" w:hAnsi="Arial" w:cs="Arial"/>
        </w:rPr>
      </w:pPr>
    </w:p>
    <w:p w14:paraId="749E9802" w14:textId="4071AD3B" w:rsidR="00DA6194" w:rsidRPr="007C4904" w:rsidRDefault="00DA6194" w:rsidP="00941760">
      <w:pPr>
        <w:tabs>
          <w:tab w:val="left" w:pos="2424"/>
        </w:tabs>
        <w:rPr>
          <w:rFonts w:ascii="Arial" w:hAnsi="Arial" w:cs="Arial"/>
        </w:rPr>
      </w:pPr>
    </w:p>
    <w:p w14:paraId="751C0673" w14:textId="77777777" w:rsidR="00DA6194" w:rsidRPr="007C4904" w:rsidRDefault="00DA6194" w:rsidP="00941760">
      <w:pPr>
        <w:tabs>
          <w:tab w:val="left" w:pos="2424"/>
        </w:tabs>
        <w:rPr>
          <w:rFonts w:ascii="Arial" w:hAnsi="Arial" w:cs="Arial"/>
        </w:rPr>
      </w:pPr>
    </w:p>
    <w:p w14:paraId="0D566258" w14:textId="77777777" w:rsidR="00DA6194" w:rsidRPr="007C4904" w:rsidRDefault="00DA6194" w:rsidP="00941760">
      <w:pPr>
        <w:tabs>
          <w:tab w:val="left" w:pos="2424"/>
        </w:tabs>
        <w:rPr>
          <w:rFonts w:ascii="Arial" w:hAnsi="Arial" w:cs="Arial"/>
        </w:rPr>
      </w:pPr>
    </w:p>
    <w:p w14:paraId="139C8187" w14:textId="4F305C6B" w:rsidR="00941760" w:rsidRPr="007C4904" w:rsidRDefault="00941760" w:rsidP="00941760">
      <w:pPr>
        <w:tabs>
          <w:tab w:val="left" w:pos="2424"/>
        </w:tabs>
        <w:rPr>
          <w:rFonts w:ascii="Arial" w:hAnsi="Arial" w:cs="Arial"/>
        </w:rPr>
      </w:pPr>
      <w:r w:rsidRPr="007C4904">
        <w:rPr>
          <w:rFonts w:ascii="Arial" w:hAnsi="Arial" w:cs="Arial"/>
        </w:rPr>
        <w:tab/>
      </w:r>
    </w:p>
    <w:p w14:paraId="4D0A1D16" w14:textId="77777777" w:rsidR="00941760" w:rsidRPr="007C4904" w:rsidRDefault="00941760" w:rsidP="00941760">
      <w:pPr>
        <w:tabs>
          <w:tab w:val="left" w:pos="2424"/>
        </w:tabs>
        <w:rPr>
          <w:rFonts w:ascii="Arial" w:hAnsi="Arial" w:cs="Arial"/>
        </w:rPr>
      </w:pPr>
    </w:p>
    <w:p w14:paraId="703D6C61" w14:textId="77777777" w:rsidR="00941760" w:rsidRPr="007C4904" w:rsidRDefault="00941760" w:rsidP="00941760">
      <w:pPr>
        <w:tabs>
          <w:tab w:val="left" w:pos="2424"/>
        </w:tabs>
        <w:rPr>
          <w:rFonts w:ascii="Arial" w:hAnsi="Arial" w:cs="Arial"/>
        </w:rPr>
      </w:pPr>
    </w:p>
    <w:sdt>
      <w:sdtPr>
        <w:rPr>
          <w:rFonts w:ascii="Arial" w:eastAsiaTheme="minorHAnsi" w:hAnsi="Arial" w:cs="Arial"/>
          <w:color w:val="auto"/>
          <w:kern w:val="2"/>
          <w:sz w:val="22"/>
          <w:szCs w:val="22"/>
          <w:lang w:eastAsia="en-US"/>
          <w14:ligatures w14:val="standardContextual"/>
        </w:rPr>
        <w:id w:val="-371005407"/>
        <w:docPartObj>
          <w:docPartGallery w:val="Table of Contents"/>
          <w:docPartUnique/>
        </w:docPartObj>
      </w:sdtPr>
      <w:sdtEndPr>
        <w:rPr>
          <w:b/>
          <w:bCs/>
        </w:rPr>
      </w:sdtEndPr>
      <w:sdtContent>
        <w:p w14:paraId="1B81004B" w14:textId="0857BD91" w:rsidR="00DA6194" w:rsidRPr="007C4904" w:rsidRDefault="00DA6194">
          <w:pPr>
            <w:pStyle w:val="TOCHeading"/>
            <w:rPr>
              <w:rFonts w:ascii="Arial" w:hAnsi="Arial" w:cs="Arial"/>
            </w:rPr>
          </w:pPr>
          <w:r w:rsidRPr="007C4904">
            <w:rPr>
              <w:rFonts w:ascii="Arial" w:hAnsi="Arial" w:cs="Arial"/>
            </w:rPr>
            <w:t>Contents</w:t>
          </w:r>
        </w:p>
        <w:p w14:paraId="6695C220" w14:textId="1B445A6F" w:rsidR="00A207BE" w:rsidRDefault="00DA6194">
          <w:pPr>
            <w:pStyle w:val="TOC1"/>
            <w:tabs>
              <w:tab w:val="right" w:leader="dot" w:pos="9016"/>
            </w:tabs>
            <w:rPr>
              <w:rFonts w:eastAsiaTheme="minorEastAsia"/>
              <w:noProof/>
              <w:sz w:val="24"/>
              <w:szCs w:val="24"/>
              <w:lang w:eastAsia="en-GB"/>
            </w:rPr>
          </w:pPr>
          <w:r w:rsidRPr="007C4904">
            <w:rPr>
              <w:rFonts w:ascii="Arial" w:hAnsi="Arial" w:cs="Arial"/>
            </w:rPr>
            <w:fldChar w:fldCharType="begin"/>
          </w:r>
          <w:r w:rsidRPr="007C4904">
            <w:rPr>
              <w:rFonts w:ascii="Arial" w:hAnsi="Arial" w:cs="Arial"/>
            </w:rPr>
            <w:instrText xml:space="preserve"> TOC \o "1-3" \h \z \u </w:instrText>
          </w:r>
          <w:r w:rsidRPr="007C4904">
            <w:rPr>
              <w:rFonts w:ascii="Arial" w:hAnsi="Arial" w:cs="Arial"/>
            </w:rPr>
            <w:fldChar w:fldCharType="separate"/>
          </w:r>
          <w:hyperlink w:anchor="_Toc243312970" w:history="1">
            <w:r w:rsidR="00A207BE" w:rsidRPr="00D6605E">
              <w:rPr>
                <w:rStyle w:val="Hyperlink"/>
                <w:rFonts w:ascii="Arial" w:hAnsi="Arial" w:cs="Arial"/>
                <w:noProof/>
              </w:rPr>
              <w:t>Introduction</w:t>
            </w:r>
            <w:r w:rsidR="00A207BE">
              <w:rPr>
                <w:noProof/>
                <w:webHidden/>
              </w:rPr>
              <w:tab/>
            </w:r>
            <w:r w:rsidR="00A207BE">
              <w:rPr>
                <w:noProof/>
                <w:webHidden/>
              </w:rPr>
              <w:fldChar w:fldCharType="begin"/>
            </w:r>
            <w:r w:rsidR="00A207BE">
              <w:rPr>
                <w:noProof/>
                <w:webHidden/>
              </w:rPr>
              <w:instrText xml:space="preserve"> PAGEREF _Toc243312970 \h </w:instrText>
            </w:r>
            <w:r w:rsidR="00A207BE">
              <w:rPr>
                <w:noProof/>
                <w:webHidden/>
              </w:rPr>
            </w:r>
            <w:r w:rsidR="00A207BE">
              <w:rPr>
                <w:noProof/>
                <w:webHidden/>
              </w:rPr>
              <w:fldChar w:fldCharType="separate"/>
            </w:r>
            <w:r w:rsidR="00A207BE">
              <w:rPr>
                <w:noProof/>
                <w:webHidden/>
              </w:rPr>
              <w:t>3</w:t>
            </w:r>
            <w:r w:rsidR="00A207BE">
              <w:rPr>
                <w:noProof/>
                <w:webHidden/>
              </w:rPr>
              <w:fldChar w:fldCharType="end"/>
            </w:r>
          </w:hyperlink>
        </w:p>
        <w:p w14:paraId="1A453E7D" w14:textId="57C15049" w:rsidR="00A207BE" w:rsidRDefault="00A207BE">
          <w:pPr>
            <w:pStyle w:val="TOC1"/>
            <w:tabs>
              <w:tab w:val="right" w:leader="dot" w:pos="9016"/>
            </w:tabs>
            <w:rPr>
              <w:rFonts w:eastAsiaTheme="minorEastAsia"/>
              <w:noProof/>
              <w:sz w:val="24"/>
              <w:szCs w:val="24"/>
              <w:lang w:eastAsia="en-GB"/>
            </w:rPr>
          </w:pPr>
          <w:hyperlink w:anchor="_Toc243312971" w:history="1">
            <w:r w:rsidRPr="00D6605E">
              <w:rPr>
                <w:rStyle w:val="Hyperlink"/>
                <w:rFonts w:ascii="Arial" w:hAnsi="Arial" w:cs="Arial"/>
                <w:noProof/>
              </w:rPr>
              <w:t>Organisational Culture of the NHS</w:t>
            </w:r>
            <w:r>
              <w:rPr>
                <w:noProof/>
                <w:webHidden/>
              </w:rPr>
              <w:tab/>
            </w:r>
            <w:r>
              <w:rPr>
                <w:noProof/>
                <w:webHidden/>
              </w:rPr>
              <w:fldChar w:fldCharType="begin"/>
            </w:r>
            <w:r>
              <w:rPr>
                <w:noProof/>
                <w:webHidden/>
              </w:rPr>
              <w:instrText xml:space="preserve"> PAGEREF _Toc243312971 \h </w:instrText>
            </w:r>
            <w:r>
              <w:rPr>
                <w:noProof/>
                <w:webHidden/>
              </w:rPr>
            </w:r>
            <w:r>
              <w:rPr>
                <w:noProof/>
                <w:webHidden/>
              </w:rPr>
              <w:fldChar w:fldCharType="separate"/>
            </w:r>
            <w:r>
              <w:rPr>
                <w:noProof/>
                <w:webHidden/>
              </w:rPr>
              <w:t>3</w:t>
            </w:r>
            <w:r>
              <w:rPr>
                <w:noProof/>
                <w:webHidden/>
              </w:rPr>
              <w:fldChar w:fldCharType="end"/>
            </w:r>
          </w:hyperlink>
        </w:p>
        <w:p w14:paraId="6D7AF45C" w14:textId="4BB7D464" w:rsidR="00A207BE" w:rsidRDefault="00A207BE">
          <w:pPr>
            <w:pStyle w:val="TOC1"/>
            <w:tabs>
              <w:tab w:val="right" w:leader="dot" w:pos="9016"/>
            </w:tabs>
            <w:rPr>
              <w:rFonts w:eastAsiaTheme="minorEastAsia"/>
              <w:noProof/>
              <w:sz w:val="24"/>
              <w:szCs w:val="24"/>
              <w:lang w:eastAsia="en-GB"/>
            </w:rPr>
          </w:pPr>
          <w:hyperlink w:anchor="_Toc243312972" w:history="1">
            <w:r w:rsidRPr="00D6605E">
              <w:rPr>
                <w:rStyle w:val="Hyperlink"/>
                <w:rFonts w:ascii="Arial" w:hAnsi="Arial" w:cs="Arial"/>
                <w:noProof/>
              </w:rPr>
              <w:t>Influence of Culture on Structure and Decision-Making</w:t>
            </w:r>
            <w:r>
              <w:rPr>
                <w:noProof/>
                <w:webHidden/>
              </w:rPr>
              <w:tab/>
            </w:r>
            <w:r>
              <w:rPr>
                <w:noProof/>
                <w:webHidden/>
              </w:rPr>
              <w:fldChar w:fldCharType="begin"/>
            </w:r>
            <w:r>
              <w:rPr>
                <w:noProof/>
                <w:webHidden/>
              </w:rPr>
              <w:instrText xml:space="preserve"> PAGEREF _Toc243312972 \h </w:instrText>
            </w:r>
            <w:r>
              <w:rPr>
                <w:noProof/>
                <w:webHidden/>
              </w:rPr>
            </w:r>
            <w:r>
              <w:rPr>
                <w:noProof/>
                <w:webHidden/>
              </w:rPr>
              <w:fldChar w:fldCharType="separate"/>
            </w:r>
            <w:r>
              <w:rPr>
                <w:noProof/>
                <w:webHidden/>
              </w:rPr>
              <w:t>4</w:t>
            </w:r>
            <w:r>
              <w:rPr>
                <w:noProof/>
                <w:webHidden/>
              </w:rPr>
              <w:fldChar w:fldCharType="end"/>
            </w:r>
          </w:hyperlink>
        </w:p>
        <w:p w14:paraId="20FD5B0B" w14:textId="6F82361F" w:rsidR="00A207BE" w:rsidRDefault="00A207BE">
          <w:pPr>
            <w:pStyle w:val="TOC1"/>
            <w:tabs>
              <w:tab w:val="right" w:leader="dot" w:pos="9016"/>
            </w:tabs>
            <w:rPr>
              <w:rFonts w:eastAsiaTheme="minorEastAsia"/>
              <w:noProof/>
              <w:sz w:val="24"/>
              <w:szCs w:val="24"/>
              <w:lang w:eastAsia="en-GB"/>
            </w:rPr>
          </w:pPr>
          <w:hyperlink w:anchor="_Toc243312973" w:history="1">
            <w:r w:rsidRPr="00D6605E">
              <w:rPr>
                <w:rStyle w:val="Hyperlink"/>
                <w:rFonts w:ascii="Arial" w:hAnsi="Arial" w:cs="Arial"/>
                <w:noProof/>
              </w:rPr>
              <w:t>Identifying Cultural Types: Models and Frameworks</w:t>
            </w:r>
            <w:r>
              <w:rPr>
                <w:noProof/>
                <w:webHidden/>
              </w:rPr>
              <w:tab/>
            </w:r>
            <w:r>
              <w:rPr>
                <w:noProof/>
                <w:webHidden/>
              </w:rPr>
              <w:fldChar w:fldCharType="begin"/>
            </w:r>
            <w:r>
              <w:rPr>
                <w:noProof/>
                <w:webHidden/>
              </w:rPr>
              <w:instrText xml:space="preserve"> PAGEREF _Toc243312973 \h </w:instrText>
            </w:r>
            <w:r>
              <w:rPr>
                <w:noProof/>
                <w:webHidden/>
              </w:rPr>
            </w:r>
            <w:r>
              <w:rPr>
                <w:noProof/>
                <w:webHidden/>
              </w:rPr>
              <w:fldChar w:fldCharType="separate"/>
            </w:r>
            <w:r>
              <w:rPr>
                <w:noProof/>
                <w:webHidden/>
              </w:rPr>
              <w:t>4</w:t>
            </w:r>
            <w:r>
              <w:rPr>
                <w:noProof/>
                <w:webHidden/>
              </w:rPr>
              <w:fldChar w:fldCharType="end"/>
            </w:r>
          </w:hyperlink>
        </w:p>
        <w:p w14:paraId="329A84F2" w14:textId="08B29776" w:rsidR="00A207BE" w:rsidRDefault="00A207BE">
          <w:pPr>
            <w:pStyle w:val="TOC2"/>
            <w:tabs>
              <w:tab w:val="right" w:leader="dot" w:pos="9016"/>
            </w:tabs>
            <w:rPr>
              <w:rFonts w:eastAsiaTheme="minorEastAsia"/>
              <w:noProof/>
              <w:sz w:val="24"/>
              <w:szCs w:val="24"/>
              <w:lang w:eastAsia="en-GB"/>
            </w:rPr>
          </w:pPr>
          <w:hyperlink w:anchor="_Toc243312974" w:history="1">
            <w:r w:rsidRPr="00D6605E">
              <w:rPr>
                <w:rStyle w:val="Hyperlink"/>
                <w:rFonts w:ascii="Arial" w:hAnsi="Arial" w:cs="Arial"/>
                <w:noProof/>
              </w:rPr>
              <w:t>Schein’s Model of Organisational Culture</w:t>
            </w:r>
            <w:r>
              <w:rPr>
                <w:noProof/>
                <w:webHidden/>
              </w:rPr>
              <w:tab/>
            </w:r>
            <w:r>
              <w:rPr>
                <w:noProof/>
                <w:webHidden/>
              </w:rPr>
              <w:fldChar w:fldCharType="begin"/>
            </w:r>
            <w:r>
              <w:rPr>
                <w:noProof/>
                <w:webHidden/>
              </w:rPr>
              <w:instrText xml:space="preserve"> PAGEREF _Toc243312974 \h </w:instrText>
            </w:r>
            <w:r>
              <w:rPr>
                <w:noProof/>
                <w:webHidden/>
              </w:rPr>
            </w:r>
            <w:r>
              <w:rPr>
                <w:noProof/>
                <w:webHidden/>
              </w:rPr>
              <w:fldChar w:fldCharType="separate"/>
            </w:r>
            <w:r>
              <w:rPr>
                <w:noProof/>
                <w:webHidden/>
              </w:rPr>
              <w:t>4</w:t>
            </w:r>
            <w:r>
              <w:rPr>
                <w:noProof/>
                <w:webHidden/>
              </w:rPr>
              <w:fldChar w:fldCharType="end"/>
            </w:r>
          </w:hyperlink>
        </w:p>
        <w:p w14:paraId="6CEB0A7C" w14:textId="4DAB32EB" w:rsidR="00A207BE" w:rsidRDefault="00A207BE">
          <w:pPr>
            <w:pStyle w:val="TOC2"/>
            <w:tabs>
              <w:tab w:val="right" w:leader="dot" w:pos="9016"/>
            </w:tabs>
            <w:rPr>
              <w:rFonts w:eastAsiaTheme="minorEastAsia"/>
              <w:noProof/>
              <w:sz w:val="24"/>
              <w:szCs w:val="24"/>
              <w:lang w:eastAsia="en-GB"/>
            </w:rPr>
          </w:pPr>
          <w:hyperlink w:anchor="_Toc243312975" w:history="1">
            <w:r w:rsidRPr="00D6605E">
              <w:rPr>
                <w:rStyle w:val="Hyperlink"/>
                <w:rFonts w:ascii="Arial" w:hAnsi="Arial" w:cs="Arial"/>
                <w:noProof/>
              </w:rPr>
              <w:t>Handy’s Cultural Types</w:t>
            </w:r>
            <w:r>
              <w:rPr>
                <w:noProof/>
                <w:webHidden/>
              </w:rPr>
              <w:tab/>
            </w:r>
            <w:r>
              <w:rPr>
                <w:noProof/>
                <w:webHidden/>
              </w:rPr>
              <w:fldChar w:fldCharType="begin"/>
            </w:r>
            <w:r>
              <w:rPr>
                <w:noProof/>
                <w:webHidden/>
              </w:rPr>
              <w:instrText xml:space="preserve"> PAGEREF _Toc243312975 \h </w:instrText>
            </w:r>
            <w:r>
              <w:rPr>
                <w:noProof/>
                <w:webHidden/>
              </w:rPr>
            </w:r>
            <w:r>
              <w:rPr>
                <w:noProof/>
                <w:webHidden/>
              </w:rPr>
              <w:fldChar w:fldCharType="separate"/>
            </w:r>
            <w:r>
              <w:rPr>
                <w:noProof/>
                <w:webHidden/>
              </w:rPr>
              <w:t>5</w:t>
            </w:r>
            <w:r>
              <w:rPr>
                <w:noProof/>
                <w:webHidden/>
              </w:rPr>
              <w:fldChar w:fldCharType="end"/>
            </w:r>
          </w:hyperlink>
        </w:p>
        <w:p w14:paraId="0FFE1755" w14:textId="4A9C2157" w:rsidR="00A207BE" w:rsidRDefault="00A207BE">
          <w:pPr>
            <w:pStyle w:val="TOC2"/>
            <w:tabs>
              <w:tab w:val="right" w:leader="dot" w:pos="9016"/>
            </w:tabs>
            <w:rPr>
              <w:rFonts w:eastAsiaTheme="minorEastAsia"/>
              <w:noProof/>
              <w:sz w:val="24"/>
              <w:szCs w:val="24"/>
              <w:lang w:eastAsia="en-GB"/>
            </w:rPr>
          </w:pPr>
          <w:hyperlink w:anchor="_Toc243312976" w:history="1">
            <w:r w:rsidRPr="00D6605E">
              <w:rPr>
                <w:rStyle w:val="Hyperlink"/>
                <w:rFonts w:ascii="Arial" w:hAnsi="Arial" w:cs="Arial"/>
                <w:noProof/>
              </w:rPr>
              <w:t>Hofstede’s Cultural Dimensions</w:t>
            </w:r>
            <w:r>
              <w:rPr>
                <w:noProof/>
                <w:webHidden/>
              </w:rPr>
              <w:tab/>
            </w:r>
            <w:r>
              <w:rPr>
                <w:noProof/>
                <w:webHidden/>
              </w:rPr>
              <w:fldChar w:fldCharType="begin"/>
            </w:r>
            <w:r>
              <w:rPr>
                <w:noProof/>
                <w:webHidden/>
              </w:rPr>
              <w:instrText xml:space="preserve"> PAGEREF _Toc243312976 \h </w:instrText>
            </w:r>
            <w:r>
              <w:rPr>
                <w:noProof/>
                <w:webHidden/>
              </w:rPr>
            </w:r>
            <w:r>
              <w:rPr>
                <w:noProof/>
                <w:webHidden/>
              </w:rPr>
              <w:fldChar w:fldCharType="separate"/>
            </w:r>
            <w:r>
              <w:rPr>
                <w:noProof/>
                <w:webHidden/>
              </w:rPr>
              <w:t>5</w:t>
            </w:r>
            <w:r>
              <w:rPr>
                <w:noProof/>
                <w:webHidden/>
              </w:rPr>
              <w:fldChar w:fldCharType="end"/>
            </w:r>
          </w:hyperlink>
        </w:p>
        <w:p w14:paraId="21D1DB17" w14:textId="4615A576" w:rsidR="00A207BE" w:rsidRDefault="00A207BE">
          <w:pPr>
            <w:pStyle w:val="TOC2"/>
            <w:tabs>
              <w:tab w:val="right" w:leader="dot" w:pos="9016"/>
            </w:tabs>
            <w:rPr>
              <w:rFonts w:eastAsiaTheme="minorEastAsia"/>
              <w:noProof/>
              <w:sz w:val="24"/>
              <w:szCs w:val="24"/>
              <w:lang w:eastAsia="en-GB"/>
            </w:rPr>
          </w:pPr>
          <w:hyperlink w:anchor="_Toc243312977" w:history="1">
            <w:r w:rsidRPr="00D6605E">
              <w:rPr>
                <w:rStyle w:val="Hyperlink"/>
                <w:rFonts w:ascii="Arial" w:hAnsi="Arial" w:cs="Arial"/>
                <w:noProof/>
              </w:rPr>
              <w:t>Denison’s Trait Theory</w:t>
            </w:r>
            <w:r>
              <w:rPr>
                <w:noProof/>
                <w:webHidden/>
              </w:rPr>
              <w:tab/>
            </w:r>
            <w:r>
              <w:rPr>
                <w:noProof/>
                <w:webHidden/>
              </w:rPr>
              <w:fldChar w:fldCharType="begin"/>
            </w:r>
            <w:r>
              <w:rPr>
                <w:noProof/>
                <w:webHidden/>
              </w:rPr>
              <w:instrText xml:space="preserve"> PAGEREF _Toc243312977 \h </w:instrText>
            </w:r>
            <w:r>
              <w:rPr>
                <w:noProof/>
                <w:webHidden/>
              </w:rPr>
            </w:r>
            <w:r>
              <w:rPr>
                <w:noProof/>
                <w:webHidden/>
              </w:rPr>
              <w:fldChar w:fldCharType="separate"/>
            </w:r>
            <w:r>
              <w:rPr>
                <w:noProof/>
                <w:webHidden/>
              </w:rPr>
              <w:t>5</w:t>
            </w:r>
            <w:r>
              <w:rPr>
                <w:noProof/>
                <w:webHidden/>
              </w:rPr>
              <w:fldChar w:fldCharType="end"/>
            </w:r>
          </w:hyperlink>
        </w:p>
        <w:p w14:paraId="0ACED893" w14:textId="1A95228C" w:rsidR="00A207BE" w:rsidRDefault="00A207BE">
          <w:pPr>
            <w:pStyle w:val="TOC2"/>
            <w:tabs>
              <w:tab w:val="right" w:leader="dot" w:pos="9016"/>
            </w:tabs>
            <w:rPr>
              <w:rFonts w:eastAsiaTheme="minorEastAsia"/>
              <w:noProof/>
              <w:sz w:val="24"/>
              <w:szCs w:val="24"/>
              <w:lang w:eastAsia="en-GB"/>
            </w:rPr>
          </w:pPr>
          <w:hyperlink w:anchor="_Toc243312978" w:history="1">
            <w:r w:rsidRPr="00D6605E">
              <w:rPr>
                <w:rStyle w:val="Hyperlink"/>
                <w:rFonts w:ascii="Arial" w:hAnsi="Arial" w:cs="Arial"/>
                <w:noProof/>
              </w:rPr>
              <w:t>Summary Table: Applying Organisational Culture Models to the NHS</w:t>
            </w:r>
            <w:r>
              <w:rPr>
                <w:noProof/>
                <w:webHidden/>
              </w:rPr>
              <w:tab/>
            </w:r>
            <w:r>
              <w:rPr>
                <w:noProof/>
                <w:webHidden/>
              </w:rPr>
              <w:fldChar w:fldCharType="begin"/>
            </w:r>
            <w:r>
              <w:rPr>
                <w:noProof/>
                <w:webHidden/>
              </w:rPr>
              <w:instrText xml:space="preserve"> PAGEREF _Toc243312978 \h </w:instrText>
            </w:r>
            <w:r>
              <w:rPr>
                <w:noProof/>
                <w:webHidden/>
              </w:rPr>
            </w:r>
            <w:r>
              <w:rPr>
                <w:noProof/>
                <w:webHidden/>
              </w:rPr>
              <w:fldChar w:fldCharType="separate"/>
            </w:r>
            <w:r>
              <w:rPr>
                <w:noProof/>
                <w:webHidden/>
              </w:rPr>
              <w:t>6</w:t>
            </w:r>
            <w:r>
              <w:rPr>
                <w:noProof/>
                <w:webHidden/>
              </w:rPr>
              <w:fldChar w:fldCharType="end"/>
            </w:r>
          </w:hyperlink>
        </w:p>
        <w:p w14:paraId="3C57435D" w14:textId="51C26A38" w:rsidR="00A207BE" w:rsidRDefault="00A207BE">
          <w:pPr>
            <w:pStyle w:val="TOC1"/>
            <w:tabs>
              <w:tab w:val="right" w:leader="dot" w:pos="9016"/>
            </w:tabs>
            <w:rPr>
              <w:rFonts w:eastAsiaTheme="minorEastAsia"/>
              <w:noProof/>
              <w:sz w:val="24"/>
              <w:szCs w:val="24"/>
              <w:lang w:eastAsia="en-GB"/>
            </w:rPr>
          </w:pPr>
          <w:hyperlink w:anchor="_Toc243312979" w:history="1">
            <w:r w:rsidRPr="00D6605E">
              <w:rPr>
                <w:rStyle w:val="Hyperlink"/>
                <w:rFonts w:ascii="Arial" w:hAnsi="Arial" w:cs="Arial"/>
                <w:noProof/>
              </w:rPr>
              <w:t>Culture and the External Environment</w:t>
            </w:r>
            <w:r>
              <w:rPr>
                <w:noProof/>
                <w:webHidden/>
              </w:rPr>
              <w:tab/>
            </w:r>
            <w:r>
              <w:rPr>
                <w:noProof/>
                <w:webHidden/>
              </w:rPr>
              <w:fldChar w:fldCharType="begin"/>
            </w:r>
            <w:r>
              <w:rPr>
                <w:noProof/>
                <w:webHidden/>
              </w:rPr>
              <w:instrText xml:space="preserve"> PAGEREF _Toc243312979 \h </w:instrText>
            </w:r>
            <w:r>
              <w:rPr>
                <w:noProof/>
                <w:webHidden/>
              </w:rPr>
            </w:r>
            <w:r>
              <w:rPr>
                <w:noProof/>
                <w:webHidden/>
              </w:rPr>
              <w:fldChar w:fldCharType="separate"/>
            </w:r>
            <w:r>
              <w:rPr>
                <w:noProof/>
                <w:webHidden/>
              </w:rPr>
              <w:t>6</w:t>
            </w:r>
            <w:r>
              <w:rPr>
                <w:noProof/>
                <w:webHidden/>
              </w:rPr>
              <w:fldChar w:fldCharType="end"/>
            </w:r>
          </w:hyperlink>
        </w:p>
        <w:p w14:paraId="7AC016F5" w14:textId="683464C3" w:rsidR="00A207BE" w:rsidRDefault="00A207BE">
          <w:pPr>
            <w:pStyle w:val="TOC1"/>
            <w:tabs>
              <w:tab w:val="right" w:leader="dot" w:pos="9016"/>
            </w:tabs>
            <w:rPr>
              <w:rFonts w:eastAsiaTheme="minorEastAsia"/>
              <w:noProof/>
              <w:sz w:val="24"/>
              <w:szCs w:val="24"/>
              <w:lang w:eastAsia="en-GB"/>
            </w:rPr>
          </w:pPr>
          <w:hyperlink w:anchor="_Toc243312980" w:history="1">
            <w:r w:rsidRPr="00D6605E">
              <w:rPr>
                <w:rStyle w:val="Hyperlink"/>
                <w:rFonts w:ascii="Arial" w:hAnsi="Arial" w:cs="Arial"/>
                <w:noProof/>
              </w:rPr>
              <w:t>Organisational Culture as a Barrier</w:t>
            </w:r>
            <w:r>
              <w:rPr>
                <w:noProof/>
                <w:webHidden/>
              </w:rPr>
              <w:tab/>
            </w:r>
            <w:r>
              <w:rPr>
                <w:noProof/>
                <w:webHidden/>
              </w:rPr>
              <w:fldChar w:fldCharType="begin"/>
            </w:r>
            <w:r>
              <w:rPr>
                <w:noProof/>
                <w:webHidden/>
              </w:rPr>
              <w:instrText xml:space="preserve"> PAGEREF _Toc243312980 \h </w:instrText>
            </w:r>
            <w:r>
              <w:rPr>
                <w:noProof/>
                <w:webHidden/>
              </w:rPr>
            </w:r>
            <w:r>
              <w:rPr>
                <w:noProof/>
                <w:webHidden/>
              </w:rPr>
              <w:fldChar w:fldCharType="separate"/>
            </w:r>
            <w:r>
              <w:rPr>
                <w:noProof/>
                <w:webHidden/>
              </w:rPr>
              <w:t>7</w:t>
            </w:r>
            <w:r>
              <w:rPr>
                <w:noProof/>
                <w:webHidden/>
              </w:rPr>
              <w:fldChar w:fldCharType="end"/>
            </w:r>
          </w:hyperlink>
        </w:p>
        <w:p w14:paraId="363D9C7B" w14:textId="56CC47F2" w:rsidR="00A207BE" w:rsidRDefault="00A207BE">
          <w:pPr>
            <w:pStyle w:val="TOC1"/>
            <w:tabs>
              <w:tab w:val="right" w:leader="dot" w:pos="9016"/>
            </w:tabs>
            <w:rPr>
              <w:rFonts w:eastAsiaTheme="minorEastAsia"/>
              <w:noProof/>
              <w:sz w:val="24"/>
              <w:szCs w:val="24"/>
              <w:lang w:eastAsia="en-GB"/>
            </w:rPr>
          </w:pPr>
          <w:hyperlink w:anchor="_Toc243312981" w:history="1">
            <w:r w:rsidRPr="00D6605E">
              <w:rPr>
                <w:rStyle w:val="Hyperlink"/>
                <w:rFonts w:ascii="Arial" w:hAnsi="Arial" w:cs="Arial"/>
                <w:noProof/>
              </w:rPr>
              <w:t>Impact of Culture on Organisational Performance</w:t>
            </w:r>
            <w:r>
              <w:rPr>
                <w:noProof/>
                <w:webHidden/>
              </w:rPr>
              <w:tab/>
            </w:r>
            <w:r>
              <w:rPr>
                <w:noProof/>
                <w:webHidden/>
              </w:rPr>
              <w:fldChar w:fldCharType="begin"/>
            </w:r>
            <w:r>
              <w:rPr>
                <w:noProof/>
                <w:webHidden/>
              </w:rPr>
              <w:instrText xml:space="preserve"> PAGEREF _Toc243312981 \h </w:instrText>
            </w:r>
            <w:r>
              <w:rPr>
                <w:noProof/>
                <w:webHidden/>
              </w:rPr>
            </w:r>
            <w:r>
              <w:rPr>
                <w:noProof/>
                <w:webHidden/>
              </w:rPr>
              <w:fldChar w:fldCharType="separate"/>
            </w:r>
            <w:r>
              <w:rPr>
                <w:noProof/>
                <w:webHidden/>
              </w:rPr>
              <w:t>8</w:t>
            </w:r>
            <w:r>
              <w:rPr>
                <w:noProof/>
                <w:webHidden/>
              </w:rPr>
              <w:fldChar w:fldCharType="end"/>
            </w:r>
          </w:hyperlink>
        </w:p>
        <w:p w14:paraId="74A8EEAD" w14:textId="37FB3051" w:rsidR="00A207BE" w:rsidRDefault="00A207BE">
          <w:pPr>
            <w:pStyle w:val="TOC1"/>
            <w:tabs>
              <w:tab w:val="right" w:leader="dot" w:pos="9016"/>
            </w:tabs>
            <w:rPr>
              <w:rFonts w:eastAsiaTheme="minorEastAsia"/>
              <w:noProof/>
              <w:sz w:val="24"/>
              <w:szCs w:val="24"/>
              <w:lang w:eastAsia="en-GB"/>
            </w:rPr>
          </w:pPr>
          <w:hyperlink w:anchor="_Toc243312982" w:history="1">
            <w:r w:rsidRPr="00D6605E">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_Toc243312982 \h </w:instrText>
            </w:r>
            <w:r>
              <w:rPr>
                <w:noProof/>
                <w:webHidden/>
              </w:rPr>
            </w:r>
            <w:r>
              <w:rPr>
                <w:noProof/>
                <w:webHidden/>
              </w:rPr>
              <w:fldChar w:fldCharType="separate"/>
            </w:r>
            <w:r>
              <w:rPr>
                <w:noProof/>
                <w:webHidden/>
              </w:rPr>
              <w:t>9</w:t>
            </w:r>
            <w:r>
              <w:rPr>
                <w:noProof/>
                <w:webHidden/>
              </w:rPr>
              <w:fldChar w:fldCharType="end"/>
            </w:r>
          </w:hyperlink>
        </w:p>
        <w:p w14:paraId="0FD95471" w14:textId="60479107" w:rsidR="00A207BE" w:rsidRDefault="00A207BE">
          <w:pPr>
            <w:pStyle w:val="TOC1"/>
            <w:tabs>
              <w:tab w:val="right" w:leader="dot" w:pos="9016"/>
            </w:tabs>
            <w:rPr>
              <w:rFonts w:eastAsiaTheme="minorEastAsia"/>
              <w:noProof/>
              <w:sz w:val="24"/>
              <w:szCs w:val="24"/>
              <w:lang w:eastAsia="en-GB"/>
            </w:rPr>
          </w:pPr>
          <w:hyperlink w:anchor="_Toc243312983" w:history="1">
            <w:r w:rsidRPr="00D6605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_Toc243312983 \h </w:instrText>
            </w:r>
            <w:r>
              <w:rPr>
                <w:noProof/>
                <w:webHidden/>
              </w:rPr>
            </w:r>
            <w:r>
              <w:rPr>
                <w:noProof/>
                <w:webHidden/>
              </w:rPr>
              <w:fldChar w:fldCharType="separate"/>
            </w:r>
            <w:r>
              <w:rPr>
                <w:noProof/>
                <w:webHidden/>
              </w:rPr>
              <w:t>9</w:t>
            </w:r>
            <w:r>
              <w:rPr>
                <w:noProof/>
                <w:webHidden/>
              </w:rPr>
              <w:fldChar w:fldCharType="end"/>
            </w:r>
          </w:hyperlink>
        </w:p>
        <w:p w14:paraId="1F89349E" w14:textId="1ECE8E27" w:rsidR="00A207BE" w:rsidRDefault="00A207BE">
          <w:pPr>
            <w:pStyle w:val="TOC1"/>
            <w:tabs>
              <w:tab w:val="right" w:leader="dot" w:pos="9016"/>
            </w:tabs>
            <w:rPr>
              <w:rFonts w:eastAsiaTheme="minorEastAsia"/>
              <w:noProof/>
              <w:sz w:val="24"/>
              <w:szCs w:val="24"/>
              <w:lang w:eastAsia="en-GB"/>
            </w:rPr>
          </w:pPr>
          <w:hyperlink w:anchor="_Toc243312984" w:history="1">
            <w:r w:rsidRPr="00D6605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_Toc243312984 \h </w:instrText>
            </w:r>
            <w:r>
              <w:rPr>
                <w:noProof/>
                <w:webHidden/>
              </w:rPr>
            </w:r>
            <w:r>
              <w:rPr>
                <w:noProof/>
                <w:webHidden/>
              </w:rPr>
              <w:fldChar w:fldCharType="separate"/>
            </w:r>
            <w:r>
              <w:rPr>
                <w:noProof/>
                <w:webHidden/>
              </w:rPr>
              <w:t>11</w:t>
            </w:r>
            <w:r>
              <w:rPr>
                <w:noProof/>
                <w:webHidden/>
              </w:rPr>
              <w:fldChar w:fldCharType="end"/>
            </w:r>
          </w:hyperlink>
        </w:p>
        <w:p w14:paraId="3EF4F2F8" w14:textId="6DB44266" w:rsidR="00DA6194" w:rsidRPr="007C4904" w:rsidRDefault="00DA6194">
          <w:pPr>
            <w:rPr>
              <w:rFonts w:ascii="Arial" w:hAnsi="Arial" w:cs="Arial"/>
            </w:rPr>
          </w:pPr>
          <w:r w:rsidRPr="007C4904">
            <w:rPr>
              <w:rFonts w:ascii="Arial" w:hAnsi="Arial" w:cs="Arial"/>
              <w:b/>
              <w:bCs/>
            </w:rPr>
            <w:fldChar w:fldCharType="end"/>
          </w:r>
        </w:p>
      </w:sdtContent>
    </w:sdt>
    <w:p w14:paraId="16A9BA64" w14:textId="77777777" w:rsidR="00941760" w:rsidRPr="007C4904" w:rsidRDefault="00941760" w:rsidP="00941760">
      <w:pPr>
        <w:tabs>
          <w:tab w:val="left" w:pos="2424"/>
        </w:tabs>
        <w:rPr>
          <w:rFonts w:ascii="Arial" w:hAnsi="Arial" w:cs="Arial"/>
        </w:rPr>
      </w:pPr>
    </w:p>
    <w:p w14:paraId="70DD4117" w14:textId="77777777" w:rsidR="00941760" w:rsidRPr="007C4904" w:rsidRDefault="00941760" w:rsidP="00941760">
      <w:pPr>
        <w:tabs>
          <w:tab w:val="left" w:pos="2424"/>
        </w:tabs>
        <w:rPr>
          <w:rFonts w:ascii="Arial" w:hAnsi="Arial" w:cs="Arial"/>
        </w:rPr>
      </w:pPr>
    </w:p>
    <w:p w14:paraId="54DF882A" w14:textId="77777777" w:rsidR="00941760" w:rsidRPr="007C4904" w:rsidRDefault="00941760" w:rsidP="00941760">
      <w:pPr>
        <w:tabs>
          <w:tab w:val="left" w:pos="2424"/>
        </w:tabs>
        <w:rPr>
          <w:rFonts w:ascii="Arial" w:hAnsi="Arial" w:cs="Arial"/>
        </w:rPr>
      </w:pPr>
    </w:p>
    <w:p w14:paraId="6B72897E" w14:textId="77777777" w:rsidR="00941760" w:rsidRPr="007C4904" w:rsidRDefault="00941760" w:rsidP="00941760">
      <w:pPr>
        <w:tabs>
          <w:tab w:val="left" w:pos="2424"/>
        </w:tabs>
        <w:rPr>
          <w:rFonts w:ascii="Arial" w:hAnsi="Arial" w:cs="Arial"/>
        </w:rPr>
      </w:pPr>
    </w:p>
    <w:p w14:paraId="52F22591" w14:textId="77777777" w:rsidR="00941760" w:rsidRPr="007C4904" w:rsidRDefault="00941760" w:rsidP="00941760">
      <w:pPr>
        <w:tabs>
          <w:tab w:val="left" w:pos="2424"/>
        </w:tabs>
        <w:rPr>
          <w:rFonts w:ascii="Arial" w:hAnsi="Arial" w:cs="Arial"/>
        </w:rPr>
      </w:pPr>
    </w:p>
    <w:p w14:paraId="1CB8E0DB" w14:textId="77777777" w:rsidR="00941760" w:rsidRPr="007C4904" w:rsidRDefault="00941760" w:rsidP="00941760">
      <w:pPr>
        <w:tabs>
          <w:tab w:val="left" w:pos="2424"/>
        </w:tabs>
        <w:rPr>
          <w:rFonts w:ascii="Arial" w:hAnsi="Arial" w:cs="Arial"/>
        </w:rPr>
      </w:pPr>
    </w:p>
    <w:p w14:paraId="6889A8AB" w14:textId="77777777" w:rsidR="00941760" w:rsidRPr="007C4904" w:rsidRDefault="00941760" w:rsidP="00941760">
      <w:pPr>
        <w:tabs>
          <w:tab w:val="left" w:pos="2424"/>
        </w:tabs>
        <w:rPr>
          <w:rFonts w:ascii="Arial" w:hAnsi="Arial" w:cs="Arial"/>
        </w:rPr>
      </w:pPr>
    </w:p>
    <w:p w14:paraId="40E74ADC" w14:textId="77777777" w:rsidR="00941760" w:rsidRPr="007C4904" w:rsidRDefault="00941760" w:rsidP="00941760">
      <w:pPr>
        <w:tabs>
          <w:tab w:val="left" w:pos="2424"/>
        </w:tabs>
        <w:rPr>
          <w:rFonts w:ascii="Arial" w:hAnsi="Arial" w:cs="Arial"/>
        </w:rPr>
      </w:pPr>
    </w:p>
    <w:p w14:paraId="342FDB9A" w14:textId="77777777" w:rsidR="00941760" w:rsidRPr="007C4904" w:rsidRDefault="00941760" w:rsidP="00941760">
      <w:pPr>
        <w:tabs>
          <w:tab w:val="left" w:pos="2424"/>
        </w:tabs>
        <w:rPr>
          <w:rFonts w:ascii="Arial" w:hAnsi="Arial" w:cs="Arial"/>
        </w:rPr>
      </w:pPr>
    </w:p>
    <w:p w14:paraId="7C04A697" w14:textId="77777777" w:rsidR="00941760" w:rsidRPr="007C4904" w:rsidRDefault="00941760" w:rsidP="00941760">
      <w:pPr>
        <w:tabs>
          <w:tab w:val="left" w:pos="2424"/>
        </w:tabs>
        <w:rPr>
          <w:rFonts w:ascii="Arial" w:hAnsi="Arial" w:cs="Arial"/>
        </w:rPr>
      </w:pPr>
    </w:p>
    <w:p w14:paraId="67EA31E7" w14:textId="77777777" w:rsidR="00941760" w:rsidRPr="007C4904" w:rsidRDefault="00941760" w:rsidP="00941760">
      <w:pPr>
        <w:tabs>
          <w:tab w:val="left" w:pos="2424"/>
        </w:tabs>
        <w:rPr>
          <w:rFonts w:ascii="Arial" w:hAnsi="Arial" w:cs="Arial"/>
        </w:rPr>
      </w:pPr>
    </w:p>
    <w:p w14:paraId="1652D34B" w14:textId="77777777" w:rsidR="00941760" w:rsidRPr="007C4904" w:rsidRDefault="00941760" w:rsidP="00941760">
      <w:pPr>
        <w:tabs>
          <w:tab w:val="left" w:pos="2424"/>
        </w:tabs>
        <w:rPr>
          <w:rFonts w:ascii="Arial" w:hAnsi="Arial" w:cs="Arial"/>
        </w:rPr>
      </w:pPr>
    </w:p>
    <w:p w14:paraId="2A8F1721" w14:textId="77777777" w:rsidR="00DA6194" w:rsidRPr="007C4904" w:rsidRDefault="00DA6194" w:rsidP="00941760">
      <w:pPr>
        <w:tabs>
          <w:tab w:val="left" w:pos="2424"/>
        </w:tabs>
        <w:rPr>
          <w:rFonts w:ascii="Arial" w:hAnsi="Arial" w:cs="Arial"/>
        </w:rPr>
      </w:pPr>
    </w:p>
    <w:p w14:paraId="47D235F6" w14:textId="77777777" w:rsidR="00DA6194" w:rsidRPr="007C4904" w:rsidRDefault="00DA6194" w:rsidP="00941760">
      <w:pPr>
        <w:tabs>
          <w:tab w:val="left" w:pos="2424"/>
        </w:tabs>
        <w:rPr>
          <w:rFonts w:ascii="Arial" w:hAnsi="Arial" w:cs="Arial"/>
        </w:rPr>
      </w:pPr>
    </w:p>
    <w:p w14:paraId="1C6E6D2E" w14:textId="77777777" w:rsidR="00941760" w:rsidRPr="007C4904" w:rsidRDefault="00941760" w:rsidP="00941760">
      <w:pPr>
        <w:tabs>
          <w:tab w:val="left" w:pos="2424"/>
        </w:tabs>
        <w:rPr>
          <w:rFonts w:ascii="Arial" w:hAnsi="Arial" w:cs="Arial"/>
        </w:rPr>
      </w:pPr>
    </w:p>
    <w:p w14:paraId="3F3D9647" w14:textId="77777777" w:rsidR="00941760" w:rsidRPr="007C4904" w:rsidRDefault="00941760" w:rsidP="00DA6194">
      <w:pPr>
        <w:pStyle w:val="Heading1"/>
        <w:rPr>
          <w:rFonts w:ascii="Arial" w:hAnsi="Arial" w:cs="Arial"/>
        </w:rPr>
      </w:pPr>
      <w:bookmarkStart w:id="0" w:name="_Toc243312970"/>
      <w:r w:rsidRPr="007C4904">
        <w:rPr>
          <w:rFonts w:ascii="Arial" w:hAnsi="Arial" w:cs="Arial"/>
        </w:rPr>
        <w:lastRenderedPageBreak/>
        <w:t>Introduction</w:t>
      </w:r>
      <w:bookmarkEnd w:id="0"/>
    </w:p>
    <w:p w14:paraId="66AB1C9A" w14:textId="518CBD43" w:rsidR="00C85A85" w:rsidRDefault="00C85A85" w:rsidP="00941760">
      <w:pPr>
        <w:tabs>
          <w:tab w:val="left" w:pos="2424"/>
        </w:tabs>
        <w:rPr>
          <w:rFonts w:ascii="Arial" w:hAnsi="Arial" w:cs="Arial"/>
        </w:rPr>
      </w:pPr>
      <w:r w:rsidRPr="00C85A85">
        <w:rPr>
          <w:rFonts w:ascii="Arial" w:hAnsi="Arial" w:cs="Arial"/>
        </w:rPr>
        <w:t xml:space="preserve">Organisational culture refers to shared values, assumptions, beliefs and behaviours that shape how people work and make decisions. It influences communication, leadership, motivation, teamwork and service quality. Mullins and Christy (2016) </w:t>
      </w:r>
      <w:proofErr w:type="gramStart"/>
      <w:r w:rsidRPr="00C85A85">
        <w:rPr>
          <w:rFonts w:ascii="Arial" w:hAnsi="Arial" w:cs="Arial"/>
        </w:rPr>
        <w:t>argue</w:t>
      </w:r>
      <w:r w:rsidR="00F45FD0">
        <w:rPr>
          <w:rFonts w:ascii="Arial" w:hAnsi="Arial" w:cs="Arial"/>
        </w:rPr>
        <w:t>s</w:t>
      </w:r>
      <w:proofErr w:type="gramEnd"/>
      <w:r w:rsidRPr="00C85A85">
        <w:rPr>
          <w:rFonts w:ascii="Arial" w:hAnsi="Arial" w:cs="Arial"/>
        </w:rPr>
        <w:t xml:space="preserve"> that culture shapes “how things are done” within an organisation. In the NHS, this matters because decisions affect patient safety, staff wellbeing and public trust.</w:t>
      </w:r>
    </w:p>
    <w:p w14:paraId="7896648C" w14:textId="0730654E" w:rsidR="00941760" w:rsidRDefault="00941760" w:rsidP="00941760">
      <w:pPr>
        <w:tabs>
          <w:tab w:val="left" w:pos="2424"/>
        </w:tabs>
        <w:rPr>
          <w:rFonts w:ascii="Arial" w:hAnsi="Arial" w:cs="Arial"/>
        </w:rPr>
      </w:pPr>
      <w:r w:rsidRPr="007C4904">
        <w:rPr>
          <w:rFonts w:ascii="Arial" w:hAnsi="Arial" w:cs="Arial"/>
        </w:rPr>
        <w:t>This report analyses the National Health Service (NHS) in England. The NHS is not one single employer with one uniform workplace culture: it consists of different organisations, including NHS trusts, foundation trusts, integrated care boards and NHS England, alongside independent providers delivering NHS-funded services. Therefore, the report considers the shared culture encouraged by the NHS Constitution while recognising variation between organisations and teams. The NHS Constitution sets out six core values: working together for patients, respect and dignity, commitment to quality of care, compassion, improving lives and everyone counts (Department of Health and Social Care, 2023).</w:t>
      </w:r>
    </w:p>
    <w:p w14:paraId="4CDEF37D" w14:textId="7C50B8A9" w:rsidR="00A55755" w:rsidRDefault="00A55755" w:rsidP="00941760">
      <w:pPr>
        <w:tabs>
          <w:tab w:val="left" w:pos="2424"/>
        </w:tabs>
        <w:rPr>
          <w:rFonts w:ascii="Arial" w:hAnsi="Arial" w:cs="Arial"/>
        </w:rPr>
      </w:pPr>
      <w:r w:rsidRPr="00A55755">
        <w:rPr>
          <w:rFonts w:ascii="Arial" w:hAnsi="Arial" w:cs="Arial"/>
        </w:rPr>
        <w:t>This report examines how culture influences NHS structure and decision-making, applying Schein, Handy, Hofstede and Denison’s frameworks and considering external pressures. It evaluates culture as both an enabler and barrier to performance and proposes evidence-informed recommendations for NHS organisations.</w:t>
      </w:r>
      <w:r w:rsidR="002F072A">
        <w:rPr>
          <w:rFonts w:ascii="Arial" w:hAnsi="Arial" w:cs="Arial"/>
        </w:rPr>
        <w:t xml:space="preserve"> </w:t>
      </w:r>
    </w:p>
    <w:p w14:paraId="50CBEA6D" w14:textId="77777777" w:rsidR="00941760" w:rsidRPr="007C4904" w:rsidRDefault="00941760" w:rsidP="00DA6194">
      <w:pPr>
        <w:pStyle w:val="Heading1"/>
        <w:rPr>
          <w:rFonts w:ascii="Arial" w:hAnsi="Arial" w:cs="Arial"/>
        </w:rPr>
      </w:pPr>
      <w:bookmarkStart w:id="1" w:name="_Toc243312971"/>
      <w:r w:rsidRPr="007C4904">
        <w:rPr>
          <w:rFonts w:ascii="Arial" w:hAnsi="Arial" w:cs="Arial"/>
        </w:rPr>
        <w:t>Organisational Culture of the NHS</w:t>
      </w:r>
      <w:bookmarkEnd w:id="1"/>
    </w:p>
    <w:p w14:paraId="39ED4571" w14:textId="2FF1DE9C" w:rsidR="00941760" w:rsidRPr="007C4904" w:rsidRDefault="00941760" w:rsidP="00941760">
      <w:pPr>
        <w:tabs>
          <w:tab w:val="left" w:pos="2424"/>
        </w:tabs>
        <w:rPr>
          <w:rFonts w:ascii="Arial" w:hAnsi="Arial" w:cs="Arial"/>
        </w:rPr>
      </w:pPr>
      <w:r w:rsidRPr="007C4904">
        <w:rPr>
          <w:rFonts w:ascii="Arial" w:hAnsi="Arial" w:cs="Arial"/>
        </w:rPr>
        <w:t xml:space="preserve">The NHS has a strongly stated public-service culture centred on patient need, fairness, compassion, professional standards and accountability. Its Constitution provides a shared framework across organisations and states that patients should come first, organisations should work across </w:t>
      </w:r>
      <w:r w:rsidR="00DA6194" w:rsidRPr="007C4904">
        <w:rPr>
          <w:rFonts w:ascii="Arial" w:hAnsi="Arial" w:cs="Arial"/>
        </w:rPr>
        <w:t>boundaries,</w:t>
      </w:r>
      <w:r w:rsidRPr="007C4904">
        <w:rPr>
          <w:rFonts w:ascii="Arial" w:hAnsi="Arial" w:cs="Arial"/>
        </w:rPr>
        <w:t xml:space="preserve"> and public resources should be used effectively (Department of Health and Social Care, 2023). These values can create a common purpose for staff from different professions, backgrounds and locations.</w:t>
      </w:r>
    </w:p>
    <w:p w14:paraId="5E8DE4D4" w14:textId="77777777" w:rsidR="00941760" w:rsidRPr="007C4904" w:rsidRDefault="00941760" w:rsidP="00941760">
      <w:pPr>
        <w:tabs>
          <w:tab w:val="left" w:pos="2424"/>
        </w:tabs>
        <w:rPr>
          <w:rFonts w:ascii="Arial" w:hAnsi="Arial" w:cs="Arial"/>
        </w:rPr>
      </w:pPr>
      <w:r w:rsidRPr="007C4904">
        <w:rPr>
          <w:rFonts w:ascii="Arial" w:hAnsi="Arial" w:cs="Arial"/>
        </w:rPr>
        <w:t>However, the NHS should not be described as having a single, consistent culture in every setting. Acute hospitals, community services, ambulance trusts, mental health services and commissioning bodies face different operational demands. Culture can also vary between departments and individual teams depending on leadership, workload, staffing and the degree to which staff feel safe to raise concerns. Schein and Schein (2017) explain that culture includes both visible practices and deeper assumptions that people may not openly discuss. Consequently, formal values alone are insufficient evidence that the desired culture is consistently experienced.</w:t>
      </w:r>
    </w:p>
    <w:p w14:paraId="3E002610" w14:textId="03C5CAB2" w:rsidR="00941760" w:rsidRPr="007C4904" w:rsidRDefault="00941760" w:rsidP="00941760">
      <w:pPr>
        <w:tabs>
          <w:tab w:val="left" w:pos="2424"/>
        </w:tabs>
        <w:rPr>
          <w:rFonts w:ascii="Arial" w:hAnsi="Arial" w:cs="Arial"/>
        </w:rPr>
      </w:pPr>
      <w:r w:rsidRPr="007C4904">
        <w:rPr>
          <w:rFonts w:ascii="Arial" w:hAnsi="Arial" w:cs="Arial"/>
        </w:rPr>
        <w:t xml:space="preserve">A key strength is the NHS commitment to learning, quality and patient safety. The NHS Constitution and its accompanying Handbook set out shared values, principles and staff commitments, including openness, respect and quality of care (Department of Health and Social Care, 2023; Department of Health and Social Care, 2025). When these principles are practised, staff can share concerns, learn from errors and coordinate care more effectively. Nevertheless, a gap may emerge between espoused values and workplace reality when teams experience chronic pressure, limited time or poor management. </w:t>
      </w:r>
      <w:r w:rsidR="00DA6194" w:rsidRPr="007C4904">
        <w:rPr>
          <w:rFonts w:ascii="Arial" w:hAnsi="Arial" w:cs="Arial"/>
        </w:rPr>
        <w:t xml:space="preserve">A </w:t>
      </w:r>
      <w:r w:rsidRPr="007C4904">
        <w:rPr>
          <w:rFonts w:ascii="Arial" w:hAnsi="Arial" w:cs="Arial"/>
        </w:rPr>
        <w:t>cultural issue is therefore not simply whether the NHS has positive values, but whether leadership, resources and everyday behaviour support</w:t>
      </w:r>
      <w:r w:rsidR="0070551C">
        <w:rPr>
          <w:rFonts w:ascii="Arial" w:hAnsi="Arial" w:cs="Arial"/>
        </w:rPr>
        <w:t xml:space="preserve"> </w:t>
      </w:r>
      <w:r w:rsidRPr="007C4904">
        <w:rPr>
          <w:rFonts w:ascii="Arial" w:hAnsi="Arial" w:cs="Arial"/>
        </w:rPr>
        <w:t>them.</w:t>
      </w:r>
    </w:p>
    <w:p w14:paraId="26FE50B8" w14:textId="77777777" w:rsidR="00941760" w:rsidRPr="007C4904" w:rsidRDefault="00941760" w:rsidP="00DA6194">
      <w:pPr>
        <w:pStyle w:val="Heading1"/>
        <w:rPr>
          <w:rFonts w:ascii="Arial" w:hAnsi="Arial" w:cs="Arial"/>
        </w:rPr>
      </w:pPr>
      <w:bookmarkStart w:id="2" w:name="_Toc243312972"/>
      <w:r w:rsidRPr="007C4904">
        <w:rPr>
          <w:rFonts w:ascii="Arial" w:hAnsi="Arial" w:cs="Arial"/>
        </w:rPr>
        <w:lastRenderedPageBreak/>
        <w:t>Influence of Culture on Structure and Decision-Making</w:t>
      </w:r>
      <w:bookmarkEnd w:id="2"/>
    </w:p>
    <w:p w14:paraId="44672971" w14:textId="77777777" w:rsidR="006C51DB" w:rsidRDefault="00055D6F" w:rsidP="00941760">
      <w:pPr>
        <w:tabs>
          <w:tab w:val="left" w:pos="2424"/>
        </w:tabs>
        <w:rPr>
          <w:rFonts w:ascii="Arial" w:hAnsi="Arial" w:cs="Arial"/>
        </w:rPr>
      </w:pPr>
      <w:r w:rsidRPr="00055D6F">
        <w:rPr>
          <w:rFonts w:ascii="Arial" w:hAnsi="Arial" w:cs="Arial"/>
        </w:rPr>
        <w:t>The NHS has a complex, multi-level structure. National bodies set policy, funding arrangements and priorities, while NHS trusts and foundation trusts manage many local services. Integrated care systems coordinate planning across organisations. Within providers, clinical care, finance, human resources, estates, digital services and governance often operate through functional divisions. Services may also be organised by specialty, site or region, combining functional and divisional features with clinical and managerial hierarchies.</w:t>
      </w:r>
    </w:p>
    <w:p w14:paraId="040BE03F" w14:textId="5073DBC9" w:rsidR="00941760" w:rsidRPr="007C4904" w:rsidRDefault="004D17C5" w:rsidP="00941760">
      <w:pPr>
        <w:tabs>
          <w:tab w:val="left" w:pos="2424"/>
        </w:tabs>
        <w:rPr>
          <w:rFonts w:ascii="Arial" w:hAnsi="Arial" w:cs="Arial"/>
        </w:rPr>
      </w:pPr>
      <w:r w:rsidRPr="004D17C5">
        <w:rPr>
          <w:rFonts w:ascii="Arial" w:hAnsi="Arial" w:cs="Arial"/>
        </w:rPr>
        <w:t>Burns and Stalker’s (1961) framework suggests that the NHS combines mechanistic and organic arrangements. Mechanistic features include procedures, professional regulation, clinical protocols and accountability, which help prevent harm and maintain standards. However, excessive reliance on rules can slow responses to individual patient needs. Organic features are also necessary because multidisciplinary teams must exchange expertise, coordinate across departments and adapt care. For example, clinical teams may need to adjust care plans while still following safety requirements. The framework is useful for explaining this balance, but flexibility should not mean removing essential clinical safeguards or professional accountability. This balance supports consistency while responding to changing patient circumstances.</w:t>
      </w:r>
    </w:p>
    <w:p w14:paraId="5C4E8937" w14:textId="1CF73EEE" w:rsidR="004F1D0F" w:rsidRPr="007C4904" w:rsidRDefault="004F1D0F" w:rsidP="00941760">
      <w:pPr>
        <w:tabs>
          <w:tab w:val="left" w:pos="2424"/>
        </w:tabs>
        <w:rPr>
          <w:rFonts w:ascii="Arial" w:hAnsi="Arial" w:cs="Arial"/>
        </w:rPr>
      </w:pPr>
      <w:r w:rsidRPr="007C4904">
        <w:rPr>
          <w:rFonts w:ascii="Arial" w:hAnsi="Arial" w:cs="Arial"/>
        </w:rPr>
        <w:t>Decision-making is both centralised and decentralised. National government and NHS England set priorities and funding frameworks, while trust boards, managers and clinicians make organisational and operational decisions within governance and professional limits. Central direction can support consistency, but excessive centralisation may delay action and weaken local ownership. Decentralisation encourages local solutions, although decisions still need coordination and evaluation to avoid unwarranted variation.</w:t>
      </w:r>
    </w:p>
    <w:p w14:paraId="4360446C" w14:textId="72CBC7F2" w:rsidR="00941760" w:rsidRPr="007C4904" w:rsidRDefault="004F1D0F" w:rsidP="00941760">
      <w:pPr>
        <w:tabs>
          <w:tab w:val="left" w:pos="2424"/>
        </w:tabs>
        <w:rPr>
          <w:rFonts w:ascii="Arial" w:hAnsi="Arial" w:cs="Arial"/>
        </w:rPr>
      </w:pPr>
      <w:r w:rsidRPr="007C4904">
        <w:rPr>
          <w:rFonts w:ascii="Arial" w:hAnsi="Arial" w:cs="Arial"/>
        </w:rPr>
        <w:t>Culture shapes how authority is used. Speaking up and multidisciplinary collaboration help staff challenge unsafe decisions, while defensive leadership may discourage junior employees from questioning senior colleagues. Edmondson (1999) links psychological safety with team learning, making it relevant to healthcare teams that must discuss mistakes and uncertainty. The NHS therefore needs clear accountability alongside open communication and respectful challenge.</w:t>
      </w:r>
    </w:p>
    <w:p w14:paraId="6C1011D7" w14:textId="77777777" w:rsidR="00941760" w:rsidRPr="007C4904" w:rsidRDefault="00941760" w:rsidP="00DA6194">
      <w:pPr>
        <w:pStyle w:val="Heading1"/>
        <w:rPr>
          <w:rFonts w:ascii="Arial" w:hAnsi="Arial" w:cs="Arial"/>
        </w:rPr>
      </w:pPr>
      <w:bookmarkStart w:id="3" w:name="_Toc243312973"/>
      <w:r w:rsidRPr="007C4904">
        <w:rPr>
          <w:rFonts w:ascii="Arial" w:hAnsi="Arial" w:cs="Arial"/>
        </w:rPr>
        <w:t>Identifying Cultural Types: Models and Frameworks</w:t>
      </w:r>
      <w:bookmarkEnd w:id="3"/>
    </w:p>
    <w:p w14:paraId="3F896828" w14:textId="77777777" w:rsidR="00941760" w:rsidRPr="007C4904" w:rsidRDefault="00941760" w:rsidP="00DA6194">
      <w:pPr>
        <w:pStyle w:val="Heading2"/>
        <w:rPr>
          <w:rFonts w:ascii="Arial" w:hAnsi="Arial" w:cs="Arial"/>
        </w:rPr>
      </w:pPr>
      <w:bookmarkStart w:id="4" w:name="_Toc243312974"/>
      <w:r w:rsidRPr="007C4904">
        <w:rPr>
          <w:rFonts w:ascii="Arial" w:hAnsi="Arial" w:cs="Arial"/>
        </w:rPr>
        <w:t>Schein’s Model of Organisational Culture</w:t>
      </w:r>
      <w:bookmarkEnd w:id="4"/>
    </w:p>
    <w:p w14:paraId="156D9489" w14:textId="10432834" w:rsidR="00941760" w:rsidRDefault="00941760" w:rsidP="00941760">
      <w:pPr>
        <w:tabs>
          <w:tab w:val="left" w:pos="2424"/>
        </w:tabs>
        <w:rPr>
          <w:rFonts w:ascii="Arial" w:hAnsi="Arial" w:cs="Arial"/>
        </w:rPr>
      </w:pPr>
      <w:r w:rsidRPr="007C4904">
        <w:rPr>
          <w:rFonts w:ascii="Arial" w:hAnsi="Arial" w:cs="Arial"/>
        </w:rPr>
        <w:t>Schein and Schein (2017) identify three levels of culture: artefacts, espoused values and underlying assumptions. Artefacts are visible features such as uniforms, ward routines, handover meetings, policies and incident-reporting systems.</w:t>
      </w:r>
      <w:r w:rsidR="00F52181" w:rsidRPr="00F52181">
        <w:t xml:space="preserve"> </w:t>
      </w:r>
      <w:r w:rsidR="00F52181" w:rsidRPr="00F52181">
        <w:rPr>
          <w:rFonts w:ascii="Arial" w:hAnsi="Arial" w:cs="Arial"/>
        </w:rPr>
        <w:t>Espoused values include the NHS Constitution’s commitment to compassion, dignity, quality and working together (Department of Health and Social Care, 2023).</w:t>
      </w:r>
      <w:r w:rsidR="00F52181">
        <w:rPr>
          <w:rFonts w:ascii="Arial" w:hAnsi="Arial" w:cs="Arial"/>
        </w:rPr>
        <w:t xml:space="preserve"> </w:t>
      </w:r>
      <w:r w:rsidRPr="007C4904">
        <w:rPr>
          <w:rFonts w:ascii="Arial" w:hAnsi="Arial" w:cs="Arial"/>
        </w:rPr>
        <w:t>Underlying assumptions are less visible beliefs, for example whether staff believe that errors should be reported to improve care or hidden to avoid blame.</w:t>
      </w:r>
    </w:p>
    <w:p w14:paraId="672BC69C" w14:textId="7E1E799C" w:rsidR="00FF06EF" w:rsidRPr="007C4904" w:rsidRDefault="00FF06EF" w:rsidP="00941760">
      <w:pPr>
        <w:tabs>
          <w:tab w:val="left" w:pos="2424"/>
        </w:tabs>
        <w:rPr>
          <w:rFonts w:ascii="Arial" w:hAnsi="Arial" w:cs="Arial"/>
        </w:rPr>
      </w:pPr>
      <w:r w:rsidRPr="00FF06EF">
        <w:rPr>
          <w:rFonts w:ascii="Arial" w:hAnsi="Arial" w:cs="Arial"/>
        </w:rPr>
        <w:lastRenderedPageBreak/>
        <w:t xml:space="preserve">Schein’s model explains why published values may not match staff experience. The NHS Constitution sets out values such as compassion, dignity and quality of care, but these commitments need to be reflected in daily practice (Department of Health and Social Care, 2023). An incident-reporting policy is a visible artefact and patient safety is an espoused value; however, if staff expect humiliation or punishment after reporting mistakes, underlying assumptions may discourage openness. NHS staff survey results can help organisations assess whether staff feel supported and able to raise concerns (NHS Staff Survey Coordination Centre, 2026). Leaders must therefore examine </w:t>
      </w:r>
      <w:proofErr w:type="spellStart"/>
      <w:r w:rsidRPr="00FF06EF">
        <w:rPr>
          <w:rFonts w:ascii="Arial" w:hAnsi="Arial" w:cs="Arial"/>
        </w:rPr>
        <w:t>everyday</w:t>
      </w:r>
      <w:proofErr w:type="spellEnd"/>
      <w:r w:rsidRPr="00FF06EF">
        <w:rPr>
          <w:rFonts w:ascii="Arial" w:hAnsi="Arial" w:cs="Arial"/>
        </w:rPr>
        <w:t xml:space="preserve"> behaviour as well as formal statements. Because assumptions are difficult to measure and may differ between teams, staff feedback and operational evidence are also needed.</w:t>
      </w:r>
    </w:p>
    <w:p w14:paraId="0AB93FBE" w14:textId="77777777" w:rsidR="00941760" w:rsidRPr="007C4904" w:rsidRDefault="00941760" w:rsidP="00DA6194">
      <w:pPr>
        <w:pStyle w:val="Heading2"/>
        <w:rPr>
          <w:rFonts w:ascii="Arial" w:hAnsi="Arial" w:cs="Arial"/>
        </w:rPr>
      </w:pPr>
      <w:bookmarkStart w:id="5" w:name="_Toc243312975"/>
      <w:r w:rsidRPr="007C4904">
        <w:rPr>
          <w:rFonts w:ascii="Arial" w:hAnsi="Arial" w:cs="Arial"/>
        </w:rPr>
        <w:t>Handy’s Cultural Types</w:t>
      </w:r>
      <w:bookmarkEnd w:id="5"/>
    </w:p>
    <w:p w14:paraId="0B9CB08A" w14:textId="2D184BEE" w:rsidR="004F1D0F" w:rsidRDefault="004F1D0F" w:rsidP="00941760">
      <w:pPr>
        <w:tabs>
          <w:tab w:val="left" w:pos="2424"/>
        </w:tabs>
        <w:rPr>
          <w:rFonts w:ascii="Arial" w:hAnsi="Arial" w:cs="Arial"/>
        </w:rPr>
      </w:pPr>
      <w:r w:rsidRPr="007C4904">
        <w:rPr>
          <w:rFonts w:ascii="Arial" w:hAnsi="Arial" w:cs="Arial"/>
        </w:rPr>
        <w:t>Handy (1993) identifies power, role, task and person cultures. Role culture is reflected in formal responsibilities, procedures and professional boundaries across NHS settings. Task culture appears when multidisciplinary groups work on patient care or service improvement. Power culture may occur where decisions rely heavily on a few senior leaders, while person culture is less likely to dominate a large public healthcare system, although clinical autonomy remains important.</w:t>
      </w:r>
    </w:p>
    <w:p w14:paraId="537C33A6" w14:textId="0F97244E" w:rsidR="00947700" w:rsidRDefault="00947700" w:rsidP="00941760">
      <w:pPr>
        <w:tabs>
          <w:tab w:val="left" w:pos="2424"/>
        </w:tabs>
        <w:rPr>
          <w:rFonts w:ascii="Arial" w:hAnsi="Arial" w:cs="Arial"/>
        </w:rPr>
      </w:pPr>
      <w:r w:rsidRPr="00947700">
        <w:rPr>
          <w:rFonts w:ascii="Arial" w:hAnsi="Arial" w:cs="Arial"/>
        </w:rPr>
        <w:t>The NHS contains a mixture of cultural types rather than fitting one category. Role culture supports consistency and safe practice, while task culture encourages cross-professional problem-solving. Strong role boundaries can nevertheless create “silo” working when teams focus on their own duties rather than the patient pathway. NHS organisations therefore need clear responsibilities and collaboration across services (Department of Health and Social Care, 2023). Handy’s framework helps identify these patterns but cannot describe every organisation in the same way.</w:t>
      </w:r>
      <w:r w:rsidR="00BF34C1">
        <w:rPr>
          <w:rFonts w:ascii="Arial" w:hAnsi="Arial" w:cs="Arial"/>
        </w:rPr>
        <w:t xml:space="preserve"> </w:t>
      </w:r>
    </w:p>
    <w:p w14:paraId="2613E5D0" w14:textId="4C88EA3A" w:rsidR="00941760" w:rsidRPr="007C4904" w:rsidRDefault="00941760" w:rsidP="00DA6194">
      <w:pPr>
        <w:pStyle w:val="Heading2"/>
        <w:rPr>
          <w:rFonts w:ascii="Arial" w:hAnsi="Arial" w:cs="Arial"/>
        </w:rPr>
      </w:pPr>
      <w:bookmarkStart w:id="6" w:name="_Toc243312976"/>
      <w:r w:rsidRPr="007C4904">
        <w:rPr>
          <w:rFonts w:ascii="Arial" w:hAnsi="Arial" w:cs="Arial"/>
        </w:rPr>
        <w:t>Hofstede’s Cultural Dimensions</w:t>
      </w:r>
      <w:bookmarkEnd w:id="6"/>
      <w:r w:rsidR="00BA74B6">
        <w:rPr>
          <w:rFonts w:ascii="Arial" w:hAnsi="Arial" w:cs="Arial"/>
        </w:rPr>
        <w:t xml:space="preserve"> </w:t>
      </w:r>
    </w:p>
    <w:p w14:paraId="7B5AB74C" w14:textId="2E235A85" w:rsidR="004F1D0F" w:rsidRPr="007C4904" w:rsidRDefault="000979C1" w:rsidP="00941760">
      <w:pPr>
        <w:tabs>
          <w:tab w:val="left" w:pos="2424"/>
        </w:tabs>
        <w:rPr>
          <w:rFonts w:ascii="Arial" w:hAnsi="Arial" w:cs="Arial"/>
        </w:rPr>
      </w:pPr>
      <w:r w:rsidRPr="000979C1">
        <w:rPr>
          <w:rFonts w:ascii="Arial" w:hAnsi="Arial" w:cs="Arial"/>
        </w:rPr>
        <w:t>Hofstede, Hofstede and Minkov (2010) explore national cultural patterns such as power distance, individualism versus collectivism, uncertainty avoidance, masculinity versus femininity, long-term orientation and indulgence versus restraint. In NHS teams, power distance can affect whether junior staff challenge senior decisions. Teamwork reflects shared responsibility, while uncertainty avoidance can help explain reliance on protocols in high-risk clinical situations. These issues are relevant to the NHS commitment to openness, respect and working together for patients (Department of Health and Social Care, 2023).</w:t>
      </w:r>
    </w:p>
    <w:p w14:paraId="01263CEC" w14:textId="6537BF70" w:rsidR="00DA6194" w:rsidRPr="007C4904" w:rsidRDefault="00941760" w:rsidP="00941760">
      <w:pPr>
        <w:tabs>
          <w:tab w:val="left" w:pos="2424"/>
        </w:tabs>
        <w:rPr>
          <w:rFonts w:ascii="Arial" w:hAnsi="Arial" w:cs="Arial"/>
        </w:rPr>
      </w:pPr>
      <w:r w:rsidRPr="007C4904">
        <w:rPr>
          <w:rFonts w:ascii="Arial" w:hAnsi="Arial" w:cs="Arial"/>
        </w:rPr>
        <w:t xml:space="preserve">These concepts must be applied carefully. Hofstede’s dimensions describe broad national-level tendencies, not fixed characteristics of every British person or NHS employee. The NHS workforce is culturally diverse, and professional training, local leadership and organisational conditions may influence behaviour as much as national culture. Therefore, the framework can prompt questions about communication and </w:t>
      </w:r>
      <w:r w:rsidR="004F1D0F" w:rsidRPr="007C4904">
        <w:rPr>
          <w:rFonts w:ascii="Arial" w:hAnsi="Arial" w:cs="Arial"/>
        </w:rPr>
        <w:t>authority but</w:t>
      </w:r>
      <w:r w:rsidRPr="007C4904">
        <w:rPr>
          <w:rFonts w:ascii="Arial" w:hAnsi="Arial" w:cs="Arial"/>
        </w:rPr>
        <w:t xml:space="preserve"> should not be used to stereotype individuals or assume that one cultural dimension explains a workplace problem.</w:t>
      </w:r>
    </w:p>
    <w:p w14:paraId="234A4451" w14:textId="77777777" w:rsidR="00941760" w:rsidRPr="007C4904" w:rsidRDefault="00941760" w:rsidP="00DA6194">
      <w:pPr>
        <w:pStyle w:val="Heading2"/>
        <w:rPr>
          <w:rFonts w:ascii="Arial" w:hAnsi="Arial" w:cs="Arial"/>
        </w:rPr>
      </w:pPr>
      <w:bookmarkStart w:id="7" w:name="_Toc243312977"/>
      <w:r w:rsidRPr="007C4904">
        <w:rPr>
          <w:rFonts w:ascii="Arial" w:hAnsi="Arial" w:cs="Arial"/>
        </w:rPr>
        <w:t>Denison’s Trait Theory</w:t>
      </w:r>
      <w:bookmarkEnd w:id="7"/>
    </w:p>
    <w:p w14:paraId="732BAF77" w14:textId="77777777" w:rsidR="00941760" w:rsidRDefault="00941760" w:rsidP="00941760">
      <w:pPr>
        <w:tabs>
          <w:tab w:val="left" w:pos="2424"/>
        </w:tabs>
        <w:rPr>
          <w:rFonts w:ascii="Arial" w:hAnsi="Arial" w:cs="Arial"/>
        </w:rPr>
      </w:pPr>
      <w:r w:rsidRPr="007C4904">
        <w:rPr>
          <w:rFonts w:ascii="Arial" w:hAnsi="Arial" w:cs="Arial"/>
        </w:rPr>
        <w:t xml:space="preserve">Denison and Mishra (1995) identify four traits associated with organisational effectiveness: involvement, consistency, adaptability and mission. Involvement concerns empowerment, teamwork and staff development. Consistency concerns shared values and coordination. Adaptability refers to responding to changing needs, while mission concerns a clear purpose and direction. These traits are particularly relevant to the NHS because patient care depends </w:t>
      </w:r>
      <w:r w:rsidRPr="007C4904">
        <w:rPr>
          <w:rFonts w:ascii="Arial" w:hAnsi="Arial" w:cs="Arial"/>
        </w:rPr>
        <w:lastRenderedPageBreak/>
        <w:t>on coordinated teams, stable safety standards, learning and responsiveness to changes in demand.</w:t>
      </w:r>
    </w:p>
    <w:p w14:paraId="74E06F6D" w14:textId="0500FF29" w:rsidR="00CF085B" w:rsidRPr="007C4904" w:rsidRDefault="00CF085B" w:rsidP="00941760">
      <w:pPr>
        <w:tabs>
          <w:tab w:val="left" w:pos="2424"/>
        </w:tabs>
        <w:rPr>
          <w:rFonts w:ascii="Arial" w:hAnsi="Arial" w:cs="Arial"/>
        </w:rPr>
      </w:pPr>
      <w:r w:rsidRPr="00CF085B">
        <w:rPr>
          <w:rFonts w:ascii="Arial" w:hAnsi="Arial" w:cs="Arial"/>
        </w:rPr>
        <w:t>In the NHS, mission is reflected in improving health and providing care based on need; consistency is supported by clinical standards; and adaptability appears when services redesign pathways or use digital tools. Involvement requires staff to have a meaningful voice in improvement. The NHS Constitution provides a shared statement of purpose, while NHS England’s annual report describes the wider service pressures and transformation priorities within which local services operate (Department of Health and Social Care, 2023; NHS England, 2025a). However, a strong mission can be undermined when staff lack time, resources or authority. Denison and Mishra’s findings associate these traits with effectiveness, but culture alone does not determine performance: workforce capacity, funding, population health and policy also matter.</w:t>
      </w:r>
    </w:p>
    <w:p w14:paraId="7584D451" w14:textId="1E8B2E16" w:rsidR="00941760" w:rsidRDefault="00941760" w:rsidP="00DA6194">
      <w:pPr>
        <w:pStyle w:val="Heading2"/>
        <w:rPr>
          <w:rFonts w:ascii="Arial" w:hAnsi="Arial" w:cs="Arial"/>
        </w:rPr>
      </w:pPr>
      <w:bookmarkStart w:id="8" w:name="_Toc243312978"/>
      <w:r w:rsidRPr="007C4904">
        <w:rPr>
          <w:rFonts w:ascii="Arial" w:hAnsi="Arial" w:cs="Arial"/>
        </w:rPr>
        <w:t>Summary Table: Applying Organisational Culture Models to the NHS</w:t>
      </w:r>
      <w:bookmarkEnd w:id="8"/>
    </w:p>
    <w:p w14:paraId="3D613118" w14:textId="2E3FD59C" w:rsidR="008B401F" w:rsidRPr="008B401F" w:rsidRDefault="008B401F" w:rsidP="008B401F">
      <w:r w:rsidRPr="008B401F">
        <w:t>Table 1: Summary of organisational culture models applied to the NHS</w:t>
      </w:r>
    </w:p>
    <w:tbl>
      <w:tblPr>
        <w:tblStyle w:val="TableGrid"/>
        <w:tblW w:w="0" w:type="auto"/>
        <w:tblLook w:val="04A0" w:firstRow="1" w:lastRow="0" w:firstColumn="1" w:lastColumn="0" w:noHBand="0" w:noVBand="1"/>
      </w:tblPr>
      <w:tblGrid>
        <w:gridCol w:w="3005"/>
        <w:gridCol w:w="3005"/>
        <w:gridCol w:w="3006"/>
      </w:tblGrid>
      <w:tr w:rsidR="00941760" w:rsidRPr="007C4904" w14:paraId="4FE639C2" w14:textId="77777777" w:rsidTr="002C5297">
        <w:tc>
          <w:tcPr>
            <w:tcW w:w="3005" w:type="dxa"/>
            <w:shd w:val="clear" w:color="auto" w:fill="47D459" w:themeFill="accent3" w:themeFillTint="99"/>
          </w:tcPr>
          <w:p w14:paraId="1A6C5B3D" w14:textId="31557B04" w:rsidR="00941760" w:rsidRPr="007C4904" w:rsidRDefault="00941760" w:rsidP="00941760">
            <w:pPr>
              <w:tabs>
                <w:tab w:val="left" w:pos="2424"/>
              </w:tabs>
              <w:rPr>
                <w:rFonts w:ascii="Arial" w:hAnsi="Arial" w:cs="Arial"/>
                <w:b/>
                <w:bCs/>
              </w:rPr>
            </w:pPr>
            <w:r w:rsidRPr="007C4904">
              <w:rPr>
                <w:rFonts w:ascii="Arial" w:hAnsi="Arial" w:cs="Arial"/>
                <w:b/>
                <w:bCs/>
              </w:rPr>
              <w:t>MODEL</w:t>
            </w:r>
          </w:p>
        </w:tc>
        <w:tc>
          <w:tcPr>
            <w:tcW w:w="3005" w:type="dxa"/>
            <w:shd w:val="clear" w:color="auto" w:fill="47D459" w:themeFill="accent3" w:themeFillTint="99"/>
          </w:tcPr>
          <w:p w14:paraId="49F5037C" w14:textId="6935D3D3" w:rsidR="00941760" w:rsidRPr="007C4904" w:rsidRDefault="00941760" w:rsidP="00941760">
            <w:pPr>
              <w:tabs>
                <w:tab w:val="left" w:pos="2424"/>
              </w:tabs>
              <w:rPr>
                <w:rFonts w:ascii="Arial" w:hAnsi="Arial" w:cs="Arial"/>
                <w:b/>
                <w:bCs/>
              </w:rPr>
            </w:pPr>
            <w:r w:rsidRPr="007C4904">
              <w:rPr>
                <w:rFonts w:ascii="Arial" w:hAnsi="Arial" w:cs="Arial"/>
                <w:b/>
                <w:bCs/>
              </w:rPr>
              <w:t xml:space="preserve">APPLICATION TO THE NHS </w:t>
            </w:r>
          </w:p>
        </w:tc>
        <w:tc>
          <w:tcPr>
            <w:tcW w:w="3006" w:type="dxa"/>
            <w:shd w:val="clear" w:color="auto" w:fill="47D459" w:themeFill="accent3" w:themeFillTint="99"/>
          </w:tcPr>
          <w:p w14:paraId="57937B18" w14:textId="07024DA4" w:rsidR="00941760" w:rsidRPr="007C4904" w:rsidRDefault="00941760" w:rsidP="00941760">
            <w:pPr>
              <w:tabs>
                <w:tab w:val="left" w:pos="2424"/>
              </w:tabs>
              <w:rPr>
                <w:rFonts w:ascii="Arial" w:hAnsi="Arial" w:cs="Arial"/>
                <w:b/>
                <w:bCs/>
              </w:rPr>
            </w:pPr>
            <w:r w:rsidRPr="007C4904">
              <w:rPr>
                <w:rFonts w:ascii="Arial" w:hAnsi="Arial" w:cs="Arial"/>
                <w:b/>
                <w:bCs/>
              </w:rPr>
              <w:t xml:space="preserve">IMPLICATIONS AND LIMITATIONS </w:t>
            </w:r>
          </w:p>
        </w:tc>
      </w:tr>
      <w:tr w:rsidR="00941760" w:rsidRPr="007C4904" w14:paraId="3105F9B5" w14:textId="77777777" w:rsidTr="002C5297">
        <w:tc>
          <w:tcPr>
            <w:tcW w:w="3005" w:type="dxa"/>
            <w:shd w:val="clear" w:color="auto" w:fill="84E290" w:themeFill="accent3" w:themeFillTint="66"/>
          </w:tcPr>
          <w:p w14:paraId="4E42B2D9" w14:textId="33B8AEF7"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Schein’s three levels (Schein and Schein, 2017)</w:t>
            </w:r>
          </w:p>
        </w:tc>
        <w:tc>
          <w:tcPr>
            <w:tcW w:w="3005" w:type="dxa"/>
          </w:tcPr>
          <w:p w14:paraId="6FD413D5" w14:textId="3A64B085"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Visible routines and policies are artefacts; NHS Constitution values are espoused values; shared beliefs about speaking up and blame are underlying assumptions.</w:t>
            </w:r>
          </w:p>
        </w:tc>
        <w:tc>
          <w:tcPr>
            <w:tcW w:w="3006" w:type="dxa"/>
          </w:tcPr>
          <w:p w14:paraId="3609CCE3" w14:textId="56339145"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Compare stated values with staff experiences. Deep assumptions can be difficult to identify and may vary between teams.</w:t>
            </w:r>
          </w:p>
        </w:tc>
      </w:tr>
      <w:tr w:rsidR="00941760" w:rsidRPr="007C4904" w14:paraId="19A44F6E" w14:textId="77777777" w:rsidTr="002C5297">
        <w:tc>
          <w:tcPr>
            <w:tcW w:w="3005" w:type="dxa"/>
            <w:shd w:val="clear" w:color="auto" w:fill="84E290" w:themeFill="accent3" w:themeFillTint="66"/>
          </w:tcPr>
          <w:p w14:paraId="4D49550B" w14:textId="1949C55D"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Handy’s cultural types (Handy, 1993)</w:t>
            </w:r>
          </w:p>
        </w:tc>
        <w:tc>
          <w:tcPr>
            <w:tcW w:w="3005" w:type="dxa"/>
          </w:tcPr>
          <w:p w14:paraId="11505AFE" w14:textId="45621CE3"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Role culture supports clear clinical responsibilities and procedures; task culture supports multidisciplinary teams and service improvement.</w:t>
            </w:r>
          </w:p>
        </w:tc>
        <w:tc>
          <w:tcPr>
            <w:tcW w:w="3006" w:type="dxa"/>
          </w:tcPr>
          <w:p w14:paraId="52BF8D80" w14:textId="705660BF"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Role boundaries can create silos if collaboration is weak. The NHS contains mixed cultures rather than one single type.</w:t>
            </w:r>
          </w:p>
        </w:tc>
      </w:tr>
      <w:tr w:rsidR="00941760" w:rsidRPr="007C4904" w14:paraId="0235D11A" w14:textId="77777777" w:rsidTr="002C5297">
        <w:tc>
          <w:tcPr>
            <w:tcW w:w="3005" w:type="dxa"/>
            <w:shd w:val="clear" w:color="auto" w:fill="84E290" w:themeFill="accent3" w:themeFillTint="66"/>
          </w:tcPr>
          <w:p w14:paraId="4F87DFF7" w14:textId="2969CAF0"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Hofstede’s cultural dimensions (Hofstede, Hofstede and Minkov, 2010)</w:t>
            </w:r>
          </w:p>
        </w:tc>
        <w:tc>
          <w:tcPr>
            <w:tcW w:w="3005" w:type="dxa"/>
          </w:tcPr>
          <w:p w14:paraId="2AA7D8A1" w14:textId="45CB897E"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Power distance can frame discussion about hierarchy and whether junior staff feel able to question decisions; uncertainty avoidance relates to protocols in high-risk care.</w:t>
            </w:r>
          </w:p>
        </w:tc>
        <w:tc>
          <w:tcPr>
            <w:tcW w:w="3006" w:type="dxa"/>
          </w:tcPr>
          <w:p w14:paraId="042E606C" w14:textId="73C920F7"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Use as a prompt, not a stereotype: national-level patterns do not predict every employee’s behaviour.</w:t>
            </w:r>
          </w:p>
        </w:tc>
      </w:tr>
      <w:tr w:rsidR="00941760" w:rsidRPr="007C4904" w14:paraId="4D637E6D" w14:textId="77777777" w:rsidTr="002C5297">
        <w:tc>
          <w:tcPr>
            <w:tcW w:w="3005" w:type="dxa"/>
            <w:shd w:val="clear" w:color="auto" w:fill="84E290" w:themeFill="accent3" w:themeFillTint="66"/>
          </w:tcPr>
          <w:p w14:paraId="65A378F5" w14:textId="2A8C0F59"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Denison’s Trait Theory (Denison and Mishra, 1995)</w:t>
            </w:r>
          </w:p>
        </w:tc>
        <w:tc>
          <w:tcPr>
            <w:tcW w:w="3005" w:type="dxa"/>
          </w:tcPr>
          <w:p w14:paraId="4B6436C8" w14:textId="755612A5"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Involvement means staff voice and teamwork; consistency means shared standards; adaptability means responding to changing needs; mission means patient-centred purpose.</w:t>
            </w:r>
          </w:p>
        </w:tc>
        <w:tc>
          <w:tcPr>
            <w:tcW w:w="3006" w:type="dxa"/>
          </w:tcPr>
          <w:p w14:paraId="5E967716" w14:textId="65495099"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Use staff and patient feedback alongside service indicators. Culture is one influence on performance, alongside resources and demand.</w:t>
            </w:r>
          </w:p>
        </w:tc>
      </w:tr>
      <w:tr w:rsidR="00941760" w:rsidRPr="007C4904" w14:paraId="01B85E5A" w14:textId="77777777" w:rsidTr="002C5297">
        <w:tc>
          <w:tcPr>
            <w:tcW w:w="3005" w:type="dxa"/>
            <w:shd w:val="clear" w:color="auto" w:fill="84E290" w:themeFill="accent3" w:themeFillTint="66"/>
          </w:tcPr>
          <w:p w14:paraId="7CF609F7" w14:textId="72088437"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Mechanistic and organic structures (Burns and Stalker, 1961)</w:t>
            </w:r>
          </w:p>
        </w:tc>
        <w:tc>
          <w:tcPr>
            <w:tcW w:w="3005" w:type="dxa"/>
          </w:tcPr>
          <w:p w14:paraId="05E937EE" w14:textId="272EB0F6"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Mechanistic features include protocols, regulation and clear accountability; organic features include flexible multidisciplinary problem-solving.</w:t>
            </w:r>
          </w:p>
        </w:tc>
        <w:tc>
          <w:tcPr>
            <w:tcW w:w="3006" w:type="dxa"/>
          </w:tcPr>
          <w:p w14:paraId="5F1347DA" w14:textId="4B2C8DD6" w:rsidR="00941760" w:rsidRPr="007C4904" w:rsidRDefault="002C5297" w:rsidP="00941760">
            <w:pPr>
              <w:tabs>
                <w:tab w:val="left" w:pos="2424"/>
              </w:tabs>
              <w:rPr>
                <w:rFonts w:ascii="Arial" w:hAnsi="Arial" w:cs="Arial"/>
                <w:sz w:val="18"/>
                <w:szCs w:val="18"/>
              </w:rPr>
            </w:pPr>
            <w:r w:rsidRPr="007C4904">
              <w:rPr>
                <w:rFonts w:ascii="Arial" w:hAnsi="Arial" w:cs="Arial"/>
                <w:sz w:val="18"/>
                <w:szCs w:val="18"/>
              </w:rPr>
              <w:t>Healthcare needs both: standardisation protects safety, while flexibility supports individual patient needs and changing circumstances.</w:t>
            </w:r>
          </w:p>
        </w:tc>
      </w:tr>
    </w:tbl>
    <w:p w14:paraId="32C40E1C" w14:textId="0C1188B4" w:rsidR="002C5297" w:rsidRPr="007C4904" w:rsidRDefault="002C5297" w:rsidP="00941760">
      <w:pPr>
        <w:tabs>
          <w:tab w:val="left" w:pos="2424"/>
        </w:tabs>
        <w:rPr>
          <w:rFonts w:ascii="Arial" w:hAnsi="Arial" w:cs="Arial"/>
        </w:rPr>
      </w:pPr>
      <w:r w:rsidRPr="007C4904">
        <w:rPr>
          <w:rFonts w:ascii="Arial" w:hAnsi="Arial" w:cs="Arial"/>
        </w:rPr>
        <w:t>Table 1 summarises how the models complement one another. Together, they show that NHS culture should be assessed through formal values, everyday team behaviours and the conditions that support staff to deliver safe care, rather than by relying on one framework alone.</w:t>
      </w:r>
    </w:p>
    <w:p w14:paraId="38E96F3D" w14:textId="77777777" w:rsidR="000C4D45" w:rsidRPr="007C4904" w:rsidRDefault="000C4D45" w:rsidP="00DA6194">
      <w:pPr>
        <w:pStyle w:val="Heading1"/>
        <w:rPr>
          <w:rFonts w:ascii="Arial" w:hAnsi="Arial" w:cs="Arial"/>
        </w:rPr>
      </w:pPr>
      <w:bookmarkStart w:id="9" w:name="_Toc243312979"/>
      <w:r w:rsidRPr="007C4904">
        <w:rPr>
          <w:rFonts w:ascii="Arial" w:hAnsi="Arial" w:cs="Arial"/>
        </w:rPr>
        <w:t>Culture and the External Environment</w:t>
      </w:r>
      <w:bookmarkEnd w:id="9"/>
    </w:p>
    <w:p w14:paraId="6E5D4203" w14:textId="77777777" w:rsidR="000C4D45" w:rsidRPr="007C4904" w:rsidRDefault="000C4D45" w:rsidP="000C4D45">
      <w:pPr>
        <w:tabs>
          <w:tab w:val="left" w:pos="2424"/>
        </w:tabs>
        <w:rPr>
          <w:rFonts w:ascii="Arial" w:hAnsi="Arial" w:cs="Arial"/>
        </w:rPr>
      </w:pPr>
      <w:r w:rsidRPr="007C4904">
        <w:rPr>
          <w:rFonts w:ascii="Arial" w:hAnsi="Arial" w:cs="Arial"/>
        </w:rPr>
        <w:t xml:space="preserve">The NHS operates in a demanding external environment shaped by demographic change, rising demand, workforce shortages, public expectations, financial constraints, technological </w:t>
      </w:r>
      <w:r w:rsidRPr="007C4904">
        <w:rPr>
          <w:rFonts w:ascii="Arial" w:hAnsi="Arial" w:cs="Arial"/>
        </w:rPr>
        <w:lastRenderedPageBreak/>
        <w:t>development, regulation and political decisions. NHS England’s 2024/25 annual report describes significant pressures, including long waiting lists, variation in quality and low public satisfaction, while also identifying reform and service transformation as priorities (NHS England, 2025a; NHS England, 2025b). These pressures mean that culture must support both reliability and adaptation.</w:t>
      </w:r>
    </w:p>
    <w:p w14:paraId="7CADC5AB" w14:textId="6B13BE0D" w:rsidR="004F1D0F" w:rsidRPr="007C4904" w:rsidRDefault="004F1D0F" w:rsidP="000C4D45">
      <w:pPr>
        <w:tabs>
          <w:tab w:val="left" w:pos="2424"/>
        </w:tabs>
        <w:rPr>
          <w:rFonts w:ascii="Arial" w:hAnsi="Arial" w:cs="Arial"/>
        </w:rPr>
      </w:pPr>
      <w:r w:rsidRPr="007C4904">
        <w:rPr>
          <w:rFonts w:ascii="Arial" w:hAnsi="Arial" w:cs="Arial"/>
        </w:rPr>
        <w:t>The NHS Constitution provides shared values, while local organisations adapt services to their communities (Department of Health and Social Care, 2023). Denison’s adaptability trait is relevant to changing illness patterns, digital opportunities and demand for care closer to home. Coordination between hospitals, primary care, community services and social care can reduce fragmented journeys, but requires shared information, clear responsibilities and trust across organisational boundaries.</w:t>
      </w:r>
    </w:p>
    <w:p w14:paraId="29E36BE5" w14:textId="150BB1B9" w:rsidR="000C4D45" w:rsidRPr="007C4904" w:rsidRDefault="000C4D45" w:rsidP="000C4D45">
      <w:pPr>
        <w:tabs>
          <w:tab w:val="left" w:pos="2424"/>
        </w:tabs>
        <w:rPr>
          <w:rFonts w:ascii="Arial" w:hAnsi="Arial" w:cs="Arial"/>
        </w:rPr>
      </w:pPr>
      <w:r w:rsidRPr="007C4904">
        <w:rPr>
          <w:rFonts w:ascii="Arial" w:hAnsi="Arial" w:cs="Arial"/>
        </w:rPr>
        <w:t>Regulation and patient-safety requirements also shape culture. Formal procedures can encourage reliable care, but they are most effective when staff understand their purpose and can report when a procedure is not working as intended. The NHS Constitution promotes openness and patient-centred working, supporting a culture where safety concerns are discussed rather than concealed. More recent evidence shows why this remains important: the 2025 NHS Staff Survey found that 9.26% of respondents had experienced discrimination at work from patients, service users, relatives or members of the public, while 8.77% reported discrimination from managers, team leaders or colleagues (NHS Staff Survey Coordination Centre, 2026). These figures are evidence of staff-reported experiences, not proof that every NHS workplace has the same culture. They nevertheless show that inclusive values need to be supported by practical protections, responsive management and clear action on unacceptable behaviour.</w:t>
      </w:r>
    </w:p>
    <w:p w14:paraId="0A6E0608" w14:textId="6B8BD934" w:rsidR="004F1D0F" w:rsidRPr="007C4904" w:rsidRDefault="004F1D0F" w:rsidP="000C4D45">
      <w:pPr>
        <w:tabs>
          <w:tab w:val="left" w:pos="2424"/>
        </w:tabs>
        <w:rPr>
          <w:rFonts w:ascii="Arial" w:hAnsi="Arial" w:cs="Arial"/>
        </w:rPr>
      </w:pPr>
      <w:r w:rsidRPr="007C4904">
        <w:rPr>
          <w:rFonts w:ascii="Arial" w:hAnsi="Arial" w:cs="Arial"/>
        </w:rPr>
        <w:t>The NHS can adapt by involving frontline staff in service redesign, learning from patient feedback and evaluating changes before wider implementation. Denison’s mission trait keeps change focused on patient outcomes, while involvement gives staff a voice. Repeated reorganisations and short-term targets can create change fatigue, so adaptation should be transparent and supported by staff and patient evidence.</w:t>
      </w:r>
    </w:p>
    <w:p w14:paraId="14FF01AF" w14:textId="6F6ED854" w:rsidR="000C4D45" w:rsidRPr="007C4904" w:rsidRDefault="000C4D45" w:rsidP="00DA6194">
      <w:pPr>
        <w:pStyle w:val="Heading1"/>
        <w:rPr>
          <w:rFonts w:ascii="Arial" w:hAnsi="Arial" w:cs="Arial"/>
        </w:rPr>
      </w:pPr>
      <w:bookmarkStart w:id="10" w:name="_Toc243312980"/>
      <w:r w:rsidRPr="007C4904">
        <w:rPr>
          <w:rFonts w:ascii="Arial" w:hAnsi="Arial" w:cs="Arial"/>
        </w:rPr>
        <w:t>Organisational Culture as a Barrier</w:t>
      </w:r>
      <w:bookmarkEnd w:id="10"/>
    </w:p>
    <w:p w14:paraId="15F04D20" w14:textId="77777777" w:rsidR="000C4D45" w:rsidRPr="007C4904" w:rsidRDefault="000C4D45" w:rsidP="000C4D45">
      <w:pPr>
        <w:tabs>
          <w:tab w:val="left" w:pos="2424"/>
        </w:tabs>
        <w:rPr>
          <w:rFonts w:ascii="Arial" w:hAnsi="Arial" w:cs="Arial"/>
        </w:rPr>
      </w:pPr>
      <w:r w:rsidRPr="007C4904">
        <w:rPr>
          <w:rFonts w:ascii="Arial" w:hAnsi="Arial" w:cs="Arial"/>
        </w:rPr>
        <w:t>Organisational culture can enable safe, compassionate care, but it can also become a barrier when actual practices contradict stated values. One risk is excessive hierarchy. Clinical accountability is essential, yet staff may be reluctant to raise concerns if they expect negative consequences or believe that seniority matters more than evidence. This weakens psychological safety and may prevent teams from learning from errors (Edmondson, 1999). Leaders should therefore model respectful challenge, respond constructively to concerns and demonstrate that raising a safety issue is a professional responsibility.</w:t>
      </w:r>
    </w:p>
    <w:p w14:paraId="3ECB8118" w14:textId="77777777" w:rsidR="000C4D45" w:rsidRPr="007C4904" w:rsidRDefault="000C4D45" w:rsidP="000C4D45">
      <w:pPr>
        <w:tabs>
          <w:tab w:val="left" w:pos="2424"/>
        </w:tabs>
        <w:rPr>
          <w:rFonts w:ascii="Arial" w:hAnsi="Arial" w:cs="Arial"/>
        </w:rPr>
      </w:pPr>
      <w:r w:rsidRPr="007C4904">
        <w:rPr>
          <w:rFonts w:ascii="Arial" w:hAnsi="Arial" w:cs="Arial"/>
        </w:rPr>
        <w:t>A second barrier is silo working. Distinct professions and departments have specialist knowledge, but separate priorities can delay communication and create fragmented care. Role culture, as described by Handy (1993), can be useful for clarifying responsibility; however, it becomes less effective when boundaries prevent collaboration. Multidisciplinary meetings, shared care plans and clear escalation routes can help balance professional expertise with whole-pathway responsibility.</w:t>
      </w:r>
    </w:p>
    <w:p w14:paraId="13A41FC1" w14:textId="4547F7B6" w:rsidR="004F1D0F" w:rsidRPr="007C4904" w:rsidRDefault="004F1D0F" w:rsidP="000C4D45">
      <w:pPr>
        <w:tabs>
          <w:tab w:val="left" w:pos="2424"/>
        </w:tabs>
        <w:rPr>
          <w:rFonts w:ascii="Arial" w:hAnsi="Arial" w:cs="Arial"/>
        </w:rPr>
      </w:pPr>
      <w:r w:rsidRPr="007C4904">
        <w:rPr>
          <w:rFonts w:ascii="Arial" w:hAnsi="Arial" w:cs="Arial"/>
        </w:rPr>
        <w:t xml:space="preserve">A third barrier is the gap between values and working conditions. Compassion and inclusion may be difficult to sustain when teams are understaffed, workloads are high or staff feel unsupported. Although national staff survey results show that discrimination remains a </w:t>
      </w:r>
      <w:r w:rsidRPr="007C4904">
        <w:rPr>
          <w:rFonts w:ascii="Arial" w:hAnsi="Arial" w:cs="Arial"/>
        </w:rPr>
        <w:lastRenderedPageBreak/>
        <w:t>concern, results vary across organisations and staff groups. It would be unfair to explain every performance problem as a cultural failure: resources, service demand, infrastructure and policy constraints are also important. Nevertheless, culture affects how organisations respond to these pressures. A blame-oriented environment may encourage defensive behaviour, while a learning-oriented environment can help staff identify risks and propose realistic improvements. Leaders should therefore address working conditions alongside behaviour, rather than expecting staff training alone to solve structural problems.</w:t>
      </w:r>
    </w:p>
    <w:p w14:paraId="10F8E0D3" w14:textId="6928C17E" w:rsidR="000C4D45" w:rsidRPr="007C4904" w:rsidRDefault="000C4D45" w:rsidP="000C4D45">
      <w:pPr>
        <w:tabs>
          <w:tab w:val="left" w:pos="2424"/>
        </w:tabs>
        <w:rPr>
          <w:rFonts w:ascii="Arial" w:hAnsi="Arial" w:cs="Arial"/>
        </w:rPr>
      </w:pPr>
      <w:r w:rsidRPr="007C4904">
        <w:rPr>
          <w:rFonts w:ascii="Arial" w:hAnsi="Arial" w:cs="Arial"/>
        </w:rPr>
        <w:t>Cultural change also has limitations. Training or communications campaigns are unlikely to work if leaders continue to reward behaviours that conflict with the desired culture. Schein and Schein (2017) argue that leadership behaviour is important in maintaining and changing culture. For the NHS, this means that values must be reflected in recruitment, appraisal, promotion, workload planning and responses to concerns. Culture is an enabler when it supports trust, learning and coordinated care; it is a barrier when hierarchy, blame or professional silos undermine those outcomes.</w:t>
      </w:r>
    </w:p>
    <w:p w14:paraId="381E086F" w14:textId="77777777" w:rsidR="000C4D45" w:rsidRPr="007C4904" w:rsidRDefault="000C4D45" w:rsidP="00DA6194">
      <w:pPr>
        <w:pStyle w:val="Heading1"/>
        <w:rPr>
          <w:rFonts w:ascii="Arial" w:hAnsi="Arial" w:cs="Arial"/>
        </w:rPr>
      </w:pPr>
      <w:bookmarkStart w:id="11" w:name="_Toc243312981"/>
      <w:r w:rsidRPr="007C4904">
        <w:rPr>
          <w:rFonts w:ascii="Arial" w:hAnsi="Arial" w:cs="Arial"/>
        </w:rPr>
        <w:t>Impact of Culture on Organisational Performance</w:t>
      </w:r>
      <w:bookmarkEnd w:id="11"/>
    </w:p>
    <w:p w14:paraId="73365B18" w14:textId="77777777" w:rsidR="000C4D45" w:rsidRPr="007C4904" w:rsidRDefault="000C4D45" w:rsidP="000C4D45">
      <w:pPr>
        <w:tabs>
          <w:tab w:val="left" w:pos="2424"/>
        </w:tabs>
        <w:rPr>
          <w:rFonts w:ascii="Arial" w:hAnsi="Arial" w:cs="Arial"/>
        </w:rPr>
      </w:pPr>
      <w:r w:rsidRPr="007C4904">
        <w:rPr>
          <w:rFonts w:ascii="Arial" w:hAnsi="Arial" w:cs="Arial"/>
        </w:rPr>
        <w:t>Organisational culture affects NHS performance through staff behaviour, communication, learning, coordination and patient experience. A shared patient-centred mission can help employees prioritise safety and dignity, while teamwork supports continuity across services. Denison and Mishra (1995) suggest that involvement, consistency, adaptability and mission are associated with effectiveness. In an NHS context, these traits can be considered alongside measures such as patient safety, waiting times, patient experience, staff engagement, sickness absence and turnover.</w:t>
      </w:r>
    </w:p>
    <w:p w14:paraId="02EF15BA" w14:textId="5B93F383" w:rsidR="000C4D45" w:rsidRPr="007C4904" w:rsidRDefault="000C4D45" w:rsidP="000C4D45">
      <w:pPr>
        <w:tabs>
          <w:tab w:val="left" w:pos="2424"/>
        </w:tabs>
        <w:rPr>
          <w:rFonts w:ascii="Arial" w:hAnsi="Arial" w:cs="Arial"/>
        </w:rPr>
      </w:pPr>
      <w:r w:rsidRPr="007C4904">
        <w:rPr>
          <w:rFonts w:ascii="Arial" w:hAnsi="Arial" w:cs="Arial"/>
        </w:rPr>
        <w:t>A positive culture may improve performance by making it easier for staff to report risks, learn from incidents and coordinate treatment. Psychological safety supports team learning because staff are more likely to discuss errors and uncertainty (Edmondson, 1999). An inclusive culture may also help retain employees by making them feel respected and heard. These links are important because service quality depends not only on clinical knowledge but also on whether people can communicate effectively and work within supportive teams.</w:t>
      </w:r>
    </w:p>
    <w:p w14:paraId="618A2727" w14:textId="77777777" w:rsidR="000C4D45" w:rsidRDefault="000C4D45" w:rsidP="000C4D45">
      <w:pPr>
        <w:tabs>
          <w:tab w:val="left" w:pos="2424"/>
        </w:tabs>
        <w:rPr>
          <w:rFonts w:ascii="Arial" w:hAnsi="Arial" w:cs="Arial"/>
        </w:rPr>
      </w:pPr>
      <w:r w:rsidRPr="007C4904">
        <w:rPr>
          <w:rFonts w:ascii="Arial" w:hAnsi="Arial" w:cs="Arial"/>
        </w:rPr>
        <w:t>However, culture does not automatically produce better outcomes. Even highly committed staff may struggle to meet demand when staffing, beds, equipment or funding are insufficient. National performance figures also reflect population health, inequalities, service capacity and government decisions. NHS England’s annual report highlights continuing system pressures alongside efforts to improve services (NHS England, 2025a). It is therefore more accurate to view culture as one contributor to performance rather than the only cause.</w:t>
      </w:r>
    </w:p>
    <w:p w14:paraId="12880580" w14:textId="6308C7FF" w:rsidR="007311FE" w:rsidRPr="007C4904" w:rsidRDefault="007311FE" w:rsidP="000C4D45">
      <w:pPr>
        <w:tabs>
          <w:tab w:val="left" w:pos="2424"/>
        </w:tabs>
        <w:rPr>
          <w:rFonts w:ascii="Arial" w:hAnsi="Arial" w:cs="Arial"/>
        </w:rPr>
      </w:pPr>
      <w:r w:rsidRPr="007311FE">
        <w:rPr>
          <w:rFonts w:ascii="Arial" w:hAnsi="Arial" w:cs="Arial"/>
        </w:rPr>
        <w:t>Culture should be evaluated using quantitative and qualitative evidence. Organisations can monitor patient safety incidents, patient feedback, waiting times, staff survey results, turnover and sickness absence, alongside whether staff feel able to speak up and learn from incidents. Measures require careful interpretation: more reported incidents may indicate greater openness rather than worsening safety. Combining indicators with staff and patient accounts gives a balanced view of whether culture supports effective care. This approach aligns with the World Health Organization’s (2021) emphasis on learning and safer systems.</w:t>
      </w:r>
    </w:p>
    <w:p w14:paraId="6889993A" w14:textId="77777777" w:rsidR="000C4D45" w:rsidRPr="007C4904" w:rsidRDefault="000C4D45" w:rsidP="00DA6194">
      <w:pPr>
        <w:pStyle w:val="Heading1"/>
        <w:rPr>
          <w:rFonts w:ascii="Arial" w:hAnsi="Arial" w:cs="Arial"/>
        </w:rPr>
      </w:pPr>
      <w:bookmarkStart w:id="12" w:name="_Toc243312982"/>
      <w:r w:rsidRPr="007C4904">
        <w:rPr>
          <w:rFonts w:ascii="Arial" w:hAnsi="Arial" w:cs="Arial"/>
        </w:rPr>
        <w:lastRenderedPageBreak/>
        <w:t>Recommendations</w:t>
      </w:r>
      <w:bookmarkEnd w:id="12"/>
    </w:p>
    <w:p w14:paraId="01C8386A" w14:textId="3E404D90" w:rsidR="000C4D45" w:rsidRDefault="004F1D0F" w:rsidP="000C4D45">
      <w:pPr>
        <w:tabs>
          <w:tab w:val="left" w:pos="2424"/>
        </w:tabs>
        <w:rPr>
          <w:rFonts w:ascii="Arial" w:hAnsi="Arial" w:cs="Arial"/>
        </w:rPr>
      </w:pPr>
      <w:r w:rsidRPr="007C4904">
        <w:rPr>
          <w:rFonts w:ascii="Arial" w:hAnsi="Arial" w:cs="Arial"/>
        </w:rPr>
        <w:t xml:space="preserve"> 1. Strengthen psychological safety and speaking-up practices. Leaders should respond constructively to concerns; explain what action followed and protect staff from retaliation. This reflects Edmondson’s (1999) work on psychological safety, Schein and Schein’s (2017) emphasis on leadership, and West et al.’s (2017) discussion of compassionate leadership. Progress can be measured through staff survey responses, feedback timeliness and completed learning actions.</w:t>
      </w:r>
    </w:p>
    <w:p w14:paraId="37B4826E" w14:textId="492A1547" w:rsidR="009C5AE1" w:rsidRDefault="009C5AE1" w:rsidP="000C4D45">
      <w:pPr>
        <w:tabs>
          <w:tab w:val="left" w:pos="2424"/>
        </w:tabs>
        <w:rPr>
          <w:rFonts w:ascii="Arial" w:hAnsi="Arial" w:cs="Arial"/>
        </w:rPr>
      </w:pPr>
      <w:r w:rsidRPr="009C5AE1">
        <w:rPr>
          <w:rFonts w:ascii="Arial" w:hAnsi="Arial" w:cs="Arial"/>
        </w:rPr>
        <w:t>2. Improve cross-professional and cross-organisational teamwork. Services should use structured multidisciplinary reviews, shared care plans and clear escalation processes for complex patient pathways. This supports the NHS Constitution’s commitment to working together for patients and improving quality of care (Department of Health and Social Care, 2023). Handy’s task culture and Denison’s involvement trait support collaborative problem-solving (Handy, 1993; Denison and Mishra, 1995), while role clarity should remain in place for safety and accountability. Evaluation could include patient handover quality, avoidable delays and staff feedback on coordination.</w:t>
      </w:r>
    </w:p>
    <w:p w14:paraId="17A44269" w14:textId="79B972F5" w:rsidR="008B52AA" w:rsidRPr="008B52AA" w:rsidRDefault="001E3D17" w:rsidP="008B52AA">
      <w:pPr>
        <w:tabs>
          <w:tab w:val="left" w:pos="2424"/>
        </w:tabs>
        <w:rPr>
          <w:rFonts w:ascii="Arial" w:hAnsi="Arial" w:cs="Arial"/>
        </w:rPr>
      </w:pPr>
      <w:r w:rsidRPr="001E3D17">
        <w:rPr>
          <w:rFonts w:ascii="Arial" w:hAnsi="Arial" w:cs="Arial"/>
        </w:rPr>
        <w:t xml:space="preserve">3. Align daily management with NHS </w:t>
      </w:r>
      <w:r w:rsidR="002F072A" w:rsidRPr="001E3D17">
        <w:rPr>
          <w:rFonts w:ascii="Arial" w:hAnsi="Arial" w:cs="Arial"/>
        </w:rPr>
        <w:t>values. Values</w:t>
      </w:r>
      <w:r w:rsidRPr="001E3D17">
        <w:rPr>
          <w:rFonts w:ascii="Arial" w:hAnsi="Arial" w:cs="Arial"/>
        </w:rPr>
        <w:t xml:space="preserve"> such as compassion, dignity and inclusion should be reflected in induction, leadership development, appraisal and promotion, in line with the NHS Constitution (Department of Health and Social Care, 2023). Schein and Schein’s (2017) model suggests that visible practices and underlying assumptions need to align with espoused values. Managers should use patient feedback and staff survey evidence to discuss expected behaviours, while recognising that values cannot compensate for unsafe staffing or excessive workload. Staff survey findings can help identify employees’ experiences and areas requiring improvement (NHS Staff Survey Coordination Centre, 2026).</w:t>
      </w:r>
    </w:p>
    <w:p w14:paraId="1DF5E491" w14:textId="510D5803" w:rsidR="008B52AA" w:rsidRPr="007C4904" w:rsidRDefault="008B52AA" w:rsidP="008B52AA">
      <w:pPr>
        <w:tabs>
          <w:tab w:val="left" w:pos="2424"/>
        </w:tabs>
        <w:rPr>
          <w:rFonts w:ascii="Arial" w:hAnsi="Arial" w:cs="Arial"/>
        </w:rPr>
      </w:pPr>
      <w:r w:rsidRPr="008B52AA">
        <w:rPr>
          <w:rFonts w:ascii="Arial" w:hAnsi="Arial" w:cs="Arial"/>
        </w:rPr>
        <w:t xml:space="preserve">4. Use Denison’s four traits as a practical review framework. Each service could review involvement, consistency, adaptability and mission annually using staff and patient feedback, quality indicators and improvement outcomes. NHS staff survey results provide one existing source of evidence about employees’ experiences and can be considered alongside local service measures (NHS Staff Survey Coordination Centre, 2026). Results should be discussed openly and translated into a small number of measurable actions. This would connect culture with service performance without </w:t>
      </w:r>
      <w:r w:rsidR="00AB47EF" w:rsidRPr="008B52AA">
        <w:rPr>
          <w:rFonts w:ascii="Arial" w:hAnsi="Arial" w:cs="Arial"/>
        </w:rPr>
        <w:t>if</w:t>
      </w:r>
      <w:r w:rsidRPr="008B52AA">
        <w:rPr>
          <w:rFonts w:ascii="Arial" w:hAnsi="Arial" w:cs="Arial"/>
        </w:rPr>
        <w:t xml:space="preserve"> a single survey can capture the whole culture.</w:t>
      </w:r>
    </w:p>
    <w:p w14:paraId="5E158CC0" w14:textId="77777777" w:rsidR="000C4D45" w:rsidRPr="007C4904" w:rsidRDefault="000C4D45" w:rsidP="000C4D45">
      <w:pPr>
        <w:tabs>
          <w:tab w:val="left" w:pos="2424"/>
        </w:tabs>
        <w:rPr>
          <w:rFonts w:ascii="Arial" w:hAnsi="Arial" w:cs="Arial"/>
        </w:rPr>
      </w:pPr>
      <w:r w:rsidRPr="007C4904">
        <w:rPr>
          <w:rFonts w:ascii="Arial" w:hAnsi="Arial" w:cs="Arial"/>
        </w:rPr>
        <w:t>5. Support evidence-based change and staff wellbeing. Before introducing major service changes, leaders should involve frontline employees and patients, explain the reasons for change, assess risks and provide training and time for implementation. This supports adaptability while protecting consistency in patient safety. Workforce wellbeing, sickness absence, turnover and patient experience should be monitored together, because improving one measure at the expense of another may not represent genuine improvement.</w:t>
      </w:r>
    </w:p>
    <w:p w14:paraId="7BC57870" w14:textId="77777777" w:rsidR="000C4D45" w:rsidRPr="007C4904" w:rsidRDefault="000C4D45" w:rsidP="00DA6194">
      <w:pPr>
        <w:pStyle w:val="Heading1"/>
        <w:rPr>
          <w:rFonts w:ascii="Arial" w:hAnsi="Arial" w:cs="Arial"/>
        </w:rPr>
      </w:pPr>
      <w:bookmarkStart w:id="13" w:name="_Toc243312983"/>
      <w:r w:rsidRPr="007C4904">
        <w:rPr>
          <w:rFonts w:ascii="Arial" w:hAnsi="Arial" w:cs="Arial"/>
        </w:rPr>
        <w:t>Conclusion</w:t>
      </w:r>
      <w:bookmarkEnd w:id="13"/>
    </w:p>
    <w:p w14:paraId="748F5D00" w14:textId="6D90CA91" w:rsidR="00DA6194" w:rsidRPr="007C4904" w:rsidRDefault="00DA6194" w:rsidP="00DA6194">
      <w:pPr>
        <w:tabs>
          <w:tab w:val="left" w:pos="2424"/>
        </w:tabs>
        <w:rPr>
          <w:rFonts w:ascii="Arial" w:hAnsi="Arial" w:cs="Arial"/>
        </w:rPr>
      </w:pPr>
      <w:r w:rsidRPr="007C4904">
        <w:rPr>
          <w:rFonts w:ascii="Arial" w:hAnsi="Arial" w:cs="Arial"/>
        </w:rPr>
        <w:t>This report has shown that culture shapes NHS communication, leadership, decision-making, teamwork and patient care. The NHS Constitution establishes patient-centred values, but culture varies across organisations and teams. The NHS combines formal standards and accountability with the local flexibility and multidisciplinary collaboration needed for effective care. Decision-making likewise balances national direction with local and professional judgement.</w:t>
      </w:r>
    </w:p>
    <w:p w14:paraId="6CAD620B" w14:textId="3AEFC635" w:rsidR="00DA6194" w:rsidRPr="007C4904" w:rsidRDefault="00DA6194" w:rsidP="00DA6194">
      <w:pPr>
        <w:tabs>
          <w:tab w:val="left" w:pos="2424"/>
        </w:tabs>
        <w:rPr>
          <w:rFonts w:ascii="Arial" w:hAnsi="Arial" w:cs="Arial"/>
        </w:rPr>
      </w:pPr>
      <w:r w:rsidRPr="007C4904">
        <w:rPr>
          <w:rFonts w:ascii="Arial" w:hAnsi="Arial" w:cs="Arial"/>
        </w:rPr>
        <w:lastRenderedPageBreak/>
        <w:t>Schein highlights the need to align visible practices, stated values and underlying assumptions. Handy helps explain role and task cultures, while Hofstede prompts questions about authority and communication without stereotyping staff. Denison provides a framework for involvement, consistency, adaptability and mission. Culture enables performance when it supports psychological safety, inclusion and learning, but becomes a barrier when hierarchy, blame or silos contradict NHS values. Improvement requires consistent leadership, staff involvement, measurable action and realistic attention to resources.</w:t>
      </w:r>
    </w:p>
    <w:p w14:paraId="7705027E" w14:textId="77777777" w:rsidR="000C4D45" w:rsidRPr="007C4904" w:rsidRDefault="000C4D45" w:rsidP="000C4D45">
      <w:pPr>
        <w:rPr>
          <w:rFonts w:ascii="Arial" w:hAnsi="Arial" w:cs="Arial"/>
        </w:rPr>
      </w:pPr>
    </w:p>
    <w:p w14:paraId="52007550" w14:textId="56E60841" w:rsidR="000C4D45" w:rsidRPr="007C4904" w:rsidRDefault="00342FC5" w:rsidP="000C4D45">
      <w:pPr>
        <w:rPr>
          <w:rFonts w:ascii="Arial" w:hAnsi="Arial" w:cs="Arial"/>
        </w:rPr>
      </w:pPr>
      <w:r>
        <w:rPr>
          <w:rFonts w:ascii="Arial" w:hAnsi="Arial" w:cs="Arial"/>
        </w:rPr>
        <w:t xml:space="preserve"> </w:t>
      </w:r>
    </w:p>
    <w:p w14:paraId="2600F2BD" w14:textId="77777777" w:rsidR="000C4D45" w:rsidRPr="007C4904" w:rsidRDefault="000C4D45" w:rsidP="000C4D45">
      <w:pPr>
        <w:rPr>
          <w:rFonts w:ascii="Arial" w:hAnsi="Arial" w:cs="Arial"/>
        </w:rPr>
      </w:pPr>
    </w:p>
    <w:p w14:paraId="2BA08E36" w14:textId="77777777" w:rsidR="000C4D45" w:rsidRPr="007C4904" w:rsidRDefault="000C4D45" w:rsidP="000C4D45">
      <w:pPr>
        <w:rPr>
          <w:rFonts w:ascii="Arial" w:hAnsi="Arial" w:cs="Arial"/>
        </w:rPr>
      </w:pPr>
    </w:p>
    <w:p w14:paraId="456BD2F5" w14:textId="77777777" w:rsidR="000C4D45" w:rsidRPr="007C4904" w:rsidRDefault="000C4D45" w:rsidP="000C4D45">
      <w:pPr>
        <w:rPr>
          <w:rFonts w:ascii="Arial" w:hAnsi="Arial" w:cs="Arial"/>
        </w:rPr>
      </w:pPr>
    </w:p>
    <w:p w14:paraId="2157611C" w14:textId="77777777" w:rsidR="000C4D45" w:rsidRPr="007C4904" w:rsidRDefault="000C4D45" w:rsidP="000C4D45">
      <w:pPr>
        <w:rPr>
          <w:rFonts w:ascii="Arial" w:hAnsi="Arial" w:cs="Arial"/>
        </w:rPr>
      </w:pPr>
    </w:p>
    <w:p w14:paraId="023CC372" w14:textId="77777777" w:rsidR="000C4D45" w:rsidRPr="007C4904" w:rsidRDefault="000C4D45" w:rsidP="000C4D45">
      <w:pPr>
        <w:rPr>
          <w:rFonts w:ascii="Arial" w:hAnsi="Arial" w:cs="Arial"/>
        </w:rPr>
      </w:pPr>
    </w:p>
    <w:p w14:paraId="7AC74639" w14:textId="77777777" w:rsidR="000C4D45" w:rsidRPr="007C4904" w:rsidRDefault="000C4D45" w:rsidP="000C4D45">
      <w:pPr>
        <w:rPr>
          <w:rFonts w:ascii="Arial" w:hAnsi="Arial" w:cs="Arial"/>
        </w:rPr>
      </w:pPr>
    </w:p>
    <w:p w14:paraId="64A588C0" w14:textId="77777777" w:rsidR="000C4D45" w:rsidRPr="007C4904" w:rsidRDefault="000C4D45" w:rsidP="000C4D45">
      <w:pPr>
        <w:rPr>
          <w:rFonts w:ascii="Arial" w:hAnsi="Arial" w:cs="Arial"/>
        </w:rPr>
      </w:pPr>
    </w:p>
    <w:p w14:paraId="5D1EBC4A" w14:textId="77777777" w:rsidR="000C4D45" w:rsidRPr="007C4904" w:rsidRDefault="000C4D45" w:rsidP="000C4D45">
      <w:pPr>
        <w:rPr>
          <w:rFonts w:ascii="Arial" w:hAnsi="Arial" w:cs="Arial"/>
        </w:rPr>
      </w:pPr>
    </w:p>
    <w:p w14:paraId="1498DDAA" w14:textId="477C77E2" w:rsidR="000C4D45" w:rsidRPr="007C4904" w:rsidRDefault="000C4D45" w:rsidP="000C4D45">
      <w:pPr>
        <w:tabs>
          <w:tab w:val="left" w:pos="3120"/>
        </w:tabs>
        <w:rPr>
          <w:rFonts w:ascii="Arial" w:hAnsi="Arial" w:cs="Arial"/>
        </w:rPr>
      </w:pPr>
      <w:r w:rsidRPr="007C4904">
        <w:rPr>
          <w:rFonts w:ascii="Arial" w:hAnsi="Arial" w:cs="Arial"/>
        </w:rPr>
        <w:tab/>
      </w:r>
    </w:p>
    <w:p w14:paraId="36A8C794" w14:textId="77777777" w:rsidR="000C4D45" w:rsidRPr="007C4904" w:rsidRDefault="000C4D45" w:rsidP="000C4D45">
      <w:pPr>
        <w:tabs>
          <w:tab w:val="left" w:pos="3120"/>
        </w:tabs>
        <w:rPr>
          <w:rFonts w:ascii="Arial" w:hAnsi="Arial" w:cs="Arial"/>
        </w:rPr>
      </w:pPr>
    </w:p>
    <w:p w14:paraId="27D57BCD" w14:textId="77777777" w:rsidR="000C4D45" w:rsidRPr="007C4904" w:rsidRDefault="000C4D45" w:rsidP="000C4D45">
      <w:pPr>
        <w:tabs>
          <w:tab w:val="left" w:pos="3120"/>
        </w:tabs>
        <w:rPr>
          <w:rFonts w:ascii="Arial" w:hAnsi="Arial" w:cs="Arial"/>
        </w:rPr>
      </w:pPr>
    </w:p>
    <w:p w14:paraId="17FFD781" w14:textId="77777777" w:rsidR="000C4D45" w:rsidRPr="007C4904" w:rsidRDefault="000C4D45" w:rsidP="000C4D45">
      <w:pPr>
        <w:tabs>
          <w:tab w:val="left" w:pos="3120"/>
        </w:tabs>
        <w:rPr>
          <w:rFonts w:ascii="Arial" w:hAnsi="Arial" w:cs="Arial"/>
        </w:rPr>
      </w:pPr>
    </w:p>
    <w:p w14:paraId="5DEB7FB6" w14:textId="77777777" w:rsidR="000C4D45" w:rsidRPr="007C4904" w:rsidRDefault="000C4D45" w:rsidP="000C4D45">
      <w:pPr>
        <w:tabs>
          <w:tab w:val="left" w:pos="3120"/>
        </w:tabs>
        <w:rPr>
          <w:rFonts w:ascii="Arial" w:hAnsi="Arial" w:cs="Arial"/>
        </w:rPr>
      </w:pPr>
    </w:p>
    <w:p w14:paraId="1274507C" w14:textId="77777777" w:rsidR="00DA6194" w:rsidRPr="007C4904" w:rsidRDefault="00DA6194" w:rsidP="000C4D45">
      <w:pPr>
        <w:tabs>
          <w:tab w:val="left" w:pos="3120"/>
        </w:tabs>
        <w:rPr>
          <w:rFonts w:ascii="Arial" w:hAnsi="Arial" w:cs="Arial"/>
        </w:rPr>
      </w:pPr>
    </w:p>
    <w:p w14:paraId="4021C0F7" w14:textId="77777777" w:rsidR="000C4D45" w:rsidRDefault="000C4D45" w:rsidP="000C4D45">
      <w:pPr>
        <w:tabs>
          <w:tab w:val="left" w:pos="3120"/>
        </w:tabs>
        <w:rPr>
          <w:rFonts w:ascii="Arial" w:hAnsi="Arial" w:cs="Arial"/>
        </w:rPr>
      </w:pPr>
    </w:p>
    <w:p w14:paraId="5605511F" w14:textId="77777777" w:rsidR="007311FE" w:rsidRDefault="007311FE" w:rsidP="000C4D45">
      <w:pPr>
        <w:tabs>
          <w:tab w:val="left" w:pos="3120"/>
        </w:tabs>
        <w:rPr>
          <w:rFonts w:ascii="Arial" w:hAnsi="Arial" w:cs="Arial"/>
        </w:rPr>
      </w:pPr>
    </w:p>
    <w:p w14:paraId="7078C505" w14:textId="77777777" w:rsidR="007311FE" w:rsidRDefault="007311FE" w:rsidP="000C4D45">
      <w:pPr>
        <w:tabs>
          <w:tab w:val="left" w:pos="3120"/>
        </w:tabs>
        <w:rPr>
          <w:rFonts w:ascii="Arial" w:hAnsi="Arial" w:cs="Arial"/>
        </w:rPr>
      </w:pPr>
    </w:p>
    <w:p w14:paraId="4F7482C0" w14:textId="77777777" w:rsidR="007311FE" w:rsidRDefault="007311FE" w:rsidP="000C4D45">
      <w:pPr>
        <w:tabs>
          <w:tab w:val="left" w:pos="3120"/>
        </w:tabs>
        <w:rPr>
          <w:rFonts w:ascii="Arial" w:hAnsi="Arial" w:cs="Arial"/>
        </w:rPr>
      </w:pPr>
    </w:p>
    <w:p w14:paraId="32358BDA" w14:textId="77777777" w:rsidR="007311FE" w:rsidRDefault="007311FE" w:rsidP="000C4D45">
      <w:pPr>
        <w:tabs>
          <w:tab w:val="left" w:pos="3120"/>
        </w:tabs>
        <w:rPr>
          <w:rFonts w:ascii="Arial" w:hAnsi="Arial" w:cs="Arial"/>
        </w:rPr>
      </w:pPr>
    </w:p>
    <w:p w14:paraId="6E49FA6B" w14:textId="77777777" w:rsidR="007311FE" w:rsidRDefault="007311FE" w:rsidP="000C4D45">
      <w:pPr>
        <w:tabs>
          <w:tab w:val="left" w:pos="3120"/>
        </w:tabs>
        <w:rPr>
          <w:rFonts w:ascii="Arial" w:hAnsi="Arial" w:cs="Arial"/>
        </w:rPr>
      </w:pPr>
    </w:p>
    <w:p w14:paraId="04260072" w14:textId="77777777" w:rsidR="007311FE" w:rsidRDefault="007311FE" w:rsidP="000C4D45">
      <w:pPr>
        <w:tabs>
          <w:tab w:val="left" w:pos="3120"/>
        </w:tabs>
        <w:rPr>
          <w:rFonts w:ascii="Arial" w:hAnsi="Arial" w:cs="Arial"/>
        </w:rPr>
      </w:pPr>
    </w:p>
    <w:p w14:paraId="72705A5C" w14:textId="77777777" w:rsidR="007311FE" w:rsidRDefault="007311FE" w:rsidP="000C4D45">
      <w:pPr>
        <w:tabs>
          <w:tab w:val="left" w:pos="3120"/>
        </w:tabs>
        <w:rPr>
          <w:rFonts w:ascii="Arial" w:hAnsi="Arial" w:cs="Arial"/>
        </w:rPr>
      </w:pPr>
    </w:p>
    <w:p w14:paraId="517FA09D" w14:textId="77777777" w:rsidR="007311FE" w:rsidRDefault="007311FE" w:rsidP="000C4D45">
      <w:pPr>
        <w:tabs>
          <w:tab w:val="left" w:pos="3120"/>
        </w:tabs>
        <w:rPr>
          <w:rFonts w:ascii="Arial" w:hAnsi="Arial" w:cs="Arial"/>
        </w:rPr>
      </w:pPr>
    </w:p>
    <w:p w14:paraId="787AA4CA" w14:textId="77777777" w:rsidR="007311FE" w:rsidRPr="007C4904" w:rsidRDefault="007311FE" w:rsidP="000C4D45">
      <w:pPr>
        <w:tabs>
          <w:tab w:val="left" w:pos="3120"/>
        </w:tabs>
        <w:rPr>
          <w:rFonts w:ascii="Arial" w:hAnsi="Arial" w:cs="Arial"/>
        </w:rPr>
      </w:pPr>
    </w:p>
    <w:p w14:paraId="3B6F3C62" w14:textId="77777777" w:rsidR="000C4D45" w:rsidRPr="007C4904" w:rsidRDefault="000C4D45" w:rsidP="00DA6194">
      <w:pPr>
        <w:pStyle w:val="Heading1"/>
        <w:rPr>
          <w:rFonts w:ascii="Arial" w:hAnsi="Arial" w:cs="Arial"/>
        </w:rPr>
      </w:pPr>
      <w:bookmarkStart w:id="14" w:name="_Toc243312984"/>
      <w:r w:rsidRPr="007C4904">
        <w:rPr>
          <w:rFonts w:ascii="Arial" w:hAnsi="Arial" w:cs="Arial"/>
        </w:rPr>
        <w:lastRenderedPageBreak/>
        <w:t>References</w:t>
      </w:r>
      <w:bookmarkEnd w:id="14"/>
    </w:p>
    <w:p w14:paraId="356C47A8" w14:textId="21E5B3BF"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Burns, T. and Stalker, G.M. (1961) The Management of Innovation. London: Tavistock Publications. Available at: </w:t>
      </w:r>
      <w:hyperlink r:id="rId8" w:history="1">
        <w:r w:rsidRPr="007C4904">
          <w:rPr>
            <w:rStyle w:val="Hyperlink"/>
            <w:rFonts w:ascii="Arial" w:hAnsi="Arial" w:cs="Arial"/>
            <w:sz w:val="20"/>
            <w:szCs w:val="20"/>
          </w:rPr>
          <w:t>https://academic.oup.com/book/4968</w:t>
        </w:r>
      </w:hyperlink>
      <w:r w:rsidRPr="007C4904">
        <w:rPr>
          <w:rFonts w:ascii="Arial" w:hAnsi="Arial" w:cs="Arial"/>
          <w:sz w:val="20"/>
          <w:szCs w:val="20"/>
        </w:rPr>
        <w:t xml:space="preserve"> </w:t>
      </w:r>
    </w:p>
    <w:p w14:paraId="1605B985" w14:textId="0B57B501"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Department of Health and Social Care (2023) The NHS Constitution for England. Available at: </w:t>
      </w:r>
      <w:hyperlink r:id="rId9" w:history="1">
        <w:r w:rsidRPr="007C4904">
          <w:rPr>
            <w:rStyle w:val="Hyperlink"/>
            <w:rFonts w:ascii="Arial" w:hAnsi="Arial" w:cs="Arial"/>
            <w:sz w:val="20"/>
            <w:szCs w:val="20"/>
          </w:rPr>
          <w:t>https://www.gov.uk/government/publications/the-nhs-constitution-for-england/the-nhs-constitution-for-england</w:t>
        </w:r>
      </w:hyperlink>
      <w:r w:rsidRPr="007C4904">
        <w:rPr>
          <w:rFonts w:ascii="Arial" w:hAnsi="Arial" w:cs="Arial"/>
          <w:sz w:val="20"/>
          <w:szCs w:val="20"/>
        </w:rPr>
        <w:t xml:space="preserve"> </w:t>
      </w:r>
    </w:p>
    <w:p w14:paraId="74AAF3B6" w14:textId="68686D01"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Department of Health and Social Care (2025) Handbook to the NHS Constitution for England. Available at: </w:t>
      </w:r>
      <w:hyperlink r:id="rId10" w:history="1">
        <w:r w:rsidRPr="007C4904">
          <w:rPr>
            <w:rStyle w:val="Hyperlink"/>
            <w:rFonts w:ascii="Arial" w:hAnsi="Arial" w:cs="Arial"/>
            <w:sz w:val="20"/>
            <w:szCs w:val="20"/>
          </w:rPr>
          <w:t>https://www.gov.uk/government/publications/supplements-to-the-nhs-constitution-for-england/the-handbook-to-the-nhs-constitution-for-england</w:t>
        </w:r>
      </w:hyperlink>
      <w:r w:rsidRPr="007C4904">
        <w:rPr>
          <w:rFonts w:ascii="Arial" w:hAnsi="Arial" w:cs="Arial"/>
          <w:sz w:val="20"/>
          <w:szCs w:val="20"/>
        </w:rPr>
        <w:t xml:space="preserve"> </w:t>
      </w:r>
    </w:p>
    <w:p w14:paraId="5D54897F" w14:textId="4E676AFE"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Denison, D.R. and Mishra, A.K. (1995) ‘Toward a theory of organizational culture and effectiveness’, Organization Science, 6(2), pp. 204–223. Available at: </w:t>
      </w:r>
      <w:hyperlink r:id="rId11" w:history="1">
        <w:r w:rsidRPr="007C4904">
          <w:rPr>
            <w:rStyle w:val="Hyperlink"/>
            <w:rFonts w:ascii="Arial" w:hAnsi="Arial" w:cs="Arial"/>
            <w:sz w:val="20"/>
            <w:szCs w:val="20"/>
          </w:rPr>
          <w:t>https://doi.org/10.1287/orsc.6.2.204</w:t>
        </w:r>
      </w:hyperlink>
      <w:r w:rsidRPr="007C4904">
        <w:rPr>
          <w:rFonts w:ascii="Arial" w:hAnsi="Arial" w:cs="Arial"/>
          <w:sz w:val="20"/>
          <w:szCs w:val="20"/>
        </w:rPr>
        <w:t xml:space="preserve"> </w:t>
      </w:r>
    </w:p>
    <w:p w14:paraId="0F2BBB0F" w14:textId="38252C2C"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Edmondson, A. (1999) ‘Psychological safety and learning </w:t>
      </w:r>
      <w:proofErr w:type="spellStart"/>
      <w:r w:rsidRPr="007C4904">
        <w:rPr>
          <w:rFonts w:ascii="Arial" w:hAnsi="Arial" w:cs="Arial"/>
          <w:sz w:val="20"/>
          <w:szCs w:val="20"/>
        </w:rPr>
        <w:t>behavior</w:t>
      </w:r>
      <w:proofErr w:type="spellEnd"/>
      <w:r w:rsidRPr="007C4904">
        <w:rPr>
          <w:rFonts w:ascii="Arial" w:hAnsi="Arial" w:cs="Arial"/>
          <w:sz w:val="20"/>
          <w:szCs w:val="20"/>
        </w:rPr>
        <w:t xml:space="preserve"> in work teams’, Administrative Science Quarterly, 44(2), pp. 350–383. Available at: </w:t>
      </w:r>
      <w:hyperlink r:id="rId12" w:history="1">
        <w:r w:rsidRPr="007C4904">
          <w:rPr>
            <w:rStyle w:val="Hyperlink"/>
            <w:rFonts w:ascii="Arial" w:hAnsi="Arial" w:cs="Arial"/>
            <w:sz w:val="20"/>
            <w:szCs w:val="20"/>
          </w:rPr>
          <w:t>https://doi.org/10.2307/2666999</w:t>
        </w:r>
      </w:hyperlink>
      <w:r w:rsidRPr="007C4904">
        <w:rPr>
          <w:rFonts w:ascii="Arial" w:hAnsi="Arial" w:cs="Arial"/>
          <w:sz w:val="20"/>
          <w:szCs w:val="20"/>
        </w:rPr>
        <w:t xml:space="preserve"> </w:t>
      </w:r>
    </w:p>
    <w:p w14:paraId="1BB3F3D6" w14:textId="1E614AAE"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Handy, C. (1993) Understanding Organizations. 4th </w:t>
      </w:r>
      <w:proofErr w:type="spellStart"/>
      <w:r w:rsidRPr="007C4904">
        <w:rPr>
          <w:rFonts w:ascii="Arial" w:hAnsi="Arial" w:cs="Arial"/>
          <w:sz w:val="20"/>
          <w:szCs w:val="20"/>
        </w:rPr>
        <w:t>edn</w:t>
      </w:r>
      <w:proofErr w:type="spellEnd"/>
      <w:r w:rsidRPr="007C4904">
        <w:rPr>
          <w:rFonts w:ascii="Arial" w:hAnsi="Arial" w:cs="Arial"/>
          <w:sz w:val="20"/>
          <w:szCs w:val="20"/>
        </w:rPr>
        <w:t xml:space="preserve">. London: Penguin. Available at: </w:t>
      </w:r>
      <w:hyperlink r:id="rId13" w:history="1">
        <w:r w:rsidRPr="007C4904">
          <w:rPr>
            <w:rStyle w:val="Hyperlink"/>
            <w:rFonts w:ascii="Arial" w:hAnsi="Arial" w:cs="Arial"/>
            <w:sz w:val="20"/>
            <w:szCs w:val="20"/>
          </w:rPr>
          <w:t>https://books.google.com/books/about/Understanding_Organizations.html?id=NitYAC2aH2sC</w:t>
        </w:r>
      </w:hyperlink>
      <w:r w:rsidRPr="007C4904">
        <w:rPr>
          <w:rFonts w:ascii="Arial" w:hAnsi="Arial" w:cs="Arial"/>
          <w:sz w:val="20"/>
          <w:szCs w:val="20"/>
        </w:rPr>
        <w:t xml:space="preserve"> </w:t>
      </w:r>
    </w:p>
    <w:p w14:paraId="619E13DC" w14:textId="6AA58489"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Hofstede, G., Hofstede, G.J. and Minkov, M. (2010) Cultures and Organizations: Software of the Mind. 3rd </w:t>
      </w:r>
      <w:proofErr w:type="spellStart"/>
      <w:r w:rsidRPr="007C4904">
        <w:rPr>
          <w:rFonts w:ascii="Arial" w:hAnsi="Arial" w:cs="Arial"/>
          <w:sz w:val="20"/>
          <w:szCs w:val="20"/>
        </w:rPr>
        <w:t>edn</w:t>
      </w:r>
      <w:proofErr w:type="spellEnd"/>
      <w:r w:rsidRPr="007C4904">
        <w:rPr>
          <w:rFonts w:ascii="Arial" w:hAnsi="Arial" w:cs="Arial"/>
          <w:sz w:val="20"/>
          <w:szCs w:val="20"/>
        </w:rPr>
        <w:t xml:space="preserve">. New York: McGraw-Hill. Available at: </w:t>
      </w:r>
      <w:hyperlink r:id="rId14" w:history="1">
        <w:r w:rsidRPr="007C4904">
          <w:rPr>
            <w:rStyle w:val="Hyperlink"/>
            <w:rFonts w:ascii="Arial" w:hAnsi="Arial" w:cs="Arial"/>
            <w:sz w:val="20"/>
            <w:szCs w:val="20"/>
          </w:rPr>
          <w:t>https://www.mheducation.com/highered/mhp/product/cultures-organizations-software-mind-third-edition.html</w:t>
        </w:r>
      </w:hyperlink>
      <w:r w:rsidRPr="007C4904">
        <w:rPr>
          <w:rFonts w:ascii="Arial" w:hAnsi="Arial" w:cs="Arial"/>
          <w:sz w:val="20"/>
          <w:szCs w:val="20"/>
        </w:rPr>
        <w:t xml:space="preserve"> </w:t>
      </w:r>
    </w:p>
    <w:p w14:paraId="086CC4D4" w14:textId="137DEC6C"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Mullins, L.J. and Christy, G. (2016) Management and Organisational Behaviour. 11th </w:t>
      </w:r>
      <w:proofErr w:type="spellStart"/>
      <w:r w:rsidRPr="007C4904">
        <w:rPr>
          <w:rFonts w:ascii="Arial" w:hAnsi="Arial" w:cs="Arial"/>
          <w:sz w:val="20"/>
          <w:szCs w:val="20"/>
        </w:rPr>
        <w:t>edn</w:t>
      </w:r>
      <w:proofErr w:type="spellEnd"/>
      <w:r w:rsidRPr="007C4904">
        <w:rPr>
          <w:rFonts w:ascii="Arial" w:hAnsi="Arial" w:cs="Arial"/>
          <w:sz w:val="20"/>
          <w:szCs w:val="20"/>
        </w:rPr>
        <w:t xml:space="preserve">. Harlow: Pearson. Available at: </w:t>
      </w:r>
      <w:hyperlink r:id="rId15" w:history="1">
        <w:r w:rsidRPr="007C4904">
          <w:rPr>
            <w:rStyle w:val="Hyperlink"/>
            <w:rFonts w:ascii="Arial" w:hAnsi="Arial" w:cs="Arial"/>
            <w:sz w:val="20"/>
            <w:szCs w:val="20"/>
          </w:rPr>
          <w:t>https://books.google.com/books/about/Management_and_Organisational_Behaviour.html?id=B1LdtwEACAAJ</w:t>
        </w:r>
      </w:hyperlink>
      <w:r w:rsidRPr="007C4904">
        <w:rPr>
          <w:rFonts w:ascii="Arial" w:hAnsi="Arial" w:cs="Arial"/>
          <w:sz w:val="20"/>
          <w:szCs w:val="20"/>
        </w:rPr>
        <w:t xml:space="preserve"> </w:t>
      </w:r>
    </w:p>
    <w:p w14:paraId="4FC7ADB1" w14:textId="365636B8"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NHS England (2025a) NHS England Annual Report and Accounts 2024/25. Available at: </w:t>
      </w:r>
      <w:hyperlink r:id="rId16" w:history="1">
        <w:r w:rsidRPr="007C4904">
          <w:rPr>
            <w:rStyle w:val="Hyperlink"/>
            <w:rFonts w:ascii="Arial" w:hAnsi="Arial" w:cs="Arial"/>
            <w:sz w:val="20"/>
            <w:szCs w:val="20"/>
          </w:rPr>
          <w:t>https://www.england.nhs.uk/long-read/nhs-england-annual-report-and-accounts-2024-25/</w:t>
        </w:r>
      </w:hyperlink>
      <w:r w:rsidRPr="007C4904">
        <w:rPr>
          <w:rFonts w:ascii="Arial" w:hAnsi="Arial" w:cs="Arial"/>
          <w:sz w:val="20"/>
          <w:szCs w:val="20"/>
        </w:rPr>
        <w:t xml:space="preserve"> </w:t>
      </w:r>
    </w:p>
    <w:p w14:paraId="3A5F2D60" w14:textId="239C955F"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NHS England (2025b) Performance Report 2024/25. Available at: </w:t>
      </w:r>
      <w:hyperlink r:id="rId17" w:history="1">
        <w:r w:rsidRPr="007C4904">
          <w:rPr>
            <w:rStyle w:val="Hyperlink"/>
            <w:rFonts w:ascii="Arial" w:hAnsi="Arial" w:cs="Arial"/>
            <w:sz w:val="20"/>
            <w:szCs w:val="20"/>
          </w:rPr>
          <w:t>https://www.england.nhs.uk/long-read/performance-report-24-25/</w:t>
        </w:r>
      </w:hyperlink>
      <w:r w:rsidRPr="007C4904">
        <w:rPr>
          <w:rFonts w:ascii="Arial" w:hAnsi="Arial" w:cs="Arial"/>
          <w:sz w:val="20"/>
          <w:szCs w:val="20"/>
        </w:rPr>
        <w:t xml:space="preserve"> </w:t>
      </w:r>
    </w:p>
    <w:p w14:paraId="705CA00D" w14:textId="64CCC895"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Schein, E.H. and Schein, P.A. (2017) Organizational Culture and Leadership. 5th </w:t>
      </w:r>
      <w:proofErr w:type="spellStart"/>
      <w:r w:rsidRPr="007C4904">
        <w:rPr>
          <w:rFonts w:ascii="Arial" w:hAnsi="Arial" w:cs="Arial"/>
          <w:sz w:val="20"/>
          <w:szCs w:val="20"/>
        </w:rPr>
        <w:t>edn</w:t>
      </w:r>
      <w:proofErr w:type="spellEnd"/>
      <w:r w:rsidRPr="007C4904">
        <w:rPr>
          <w:rFonts w:ascii="Arial" w:hAnsi="Arial" w:cs="Arial"/>
          <w:sz w:val="20"/>
          <w:szCs w:val="20"/>
        </w:rPr>
        <w:t xml:space="preserve">. Hoboken, NJ: Wiley. Available at: </w:t>
      </w:r>
      <w:hyperlink r:id="rId18" w:history="1">
        <w:r w:rsidRPr="007C4904">
          <w:rPr>
            <w:rStyle w:val="Hyperlink"/>
            <w:rFonts w:ascii="Arial" w:hAnsi="Arial" w:cs="Arial"/>
            <w:sz w:val="20"/>
            <w:szCs w:val="20"/>
          </w:rPr>
          <w:t>https://www.wiley-vch.de/en/areas-interest/finance-economics-law/organizational-culture-and-leadership-978-1-119-21204-1</w:t>
        </w:r>
      </w:hyperlink>
      <w:r w:rsidRPr="007C4904">
        <w:rPr>
          <w:rFonts w:ascii="Arial" w:hAnsi="Arial" w:cs="Arial"/>
          <w:sz w:val="20"/>
          <w:szCs w:val="20"/>
        </w:rPr>
        <w:t xml:space="preserve"> </w:t>
      </w:r>
    </w:p>
    <w:p w14:paraId="2C750D4F" w14:textId="350CCFA4"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West, M., Eckert, R., Collins, B. and Chowla, R. (2017) Caring to Change: How Compassionate Leadership Can Stimulate Innovation in Health Care. London: The King's Fund. Available at: </w:t>
      </w:r>
      <w:hyperlink r:id="rId19" w:history="1">
        <w:r w:rsidRPr="007C4904">
          <w:rPr>
            <w:rStyle w:val="Hyperlink"/>
            <w:rFonts w:ascii="Arial" w:hAnsi="Arial" w:cs="Arial"/>
            <w:sz w:val="20"/>
            <w:szCs w:val="20"/>
          </w:rPr>
          <w:t>https://www.kingsfund.org.uk/insight-and-analysis/reports/caring-change</w:t>
        </w:r>
      </w:hyperlink>
      <w:r w:rsidRPr="007C4904">
        <w:rPr>
          <w:rFonts w:ascii="Arial" w:hAnsi="Arial" w:cs="Arial"/>
          <w:sz w:val="20"/>
          <w:szCs w:val="20"/>
        </w:rPr>
        <w:t xml:space="preserve"> </w:t>
      </w:r>
    </w:p>
    <w:p w14:paraId="218C4979" w14:textId="7EA978B5"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NHS Staff Survey Coordination Centre (2026) National results briefing: 2025 NHS Staff Survey. Available at: </w:t>
      </w:r>
      <w:hyperlink r:id="rId20" w:history="1">
        <w:r w:rsidRPr="007C4904">
          <w:rPr>
            <w:rStyle w:val="Hyperlink"/>
            <w:rFonts w:ascii="Arial" w:hAnsi="Arial" w:cs="Arial"/>
            <w:sz w:val="20"/>
            <w:szCs w:val="20"/>
          </w:rPr>
          <w:t>https://www.nhsstaffsurveys.com/results/national-results/</w:t>
        </w:r>
      </w:hyperlink>
      <w:r w:rsidRPr="007C4904">
        <w:rPr>
          <w:rFonts w:ascii="Arial" w:hAnsi="Arial" w:cs="Arial"/>
          <w:sz w:val="20"/>
          <w:szCs w:val="20"/>
        </w:rPr>
        <w:t xml:space="preserve"> </w:t>
      </w:r>
    </w:p>
    <w:p w14:paraId="69E30979" w14:textId="639E5CB0" w:rsidR="000C4D45" w:rsidRPr="007C4904" w:rsidRDefault="000C4D45" w:rsidP="000C4D45">
      <w:pPr>
        <w:tabs>
          <w:tab w:val="left" w:pos="3120"/>
        </w:tabs>
        <w:rPr>
          <w:rFonts w:ascii="Arial" w:hAnsi="Arial" w:cs="Arial"/>
          <w:sz w:val="20"/>
          <w:szCs w:val="20"/>
        </w:rPr>
      </w:pPr>
      <w:r w:rsidRPr="007C4904">
        <w:rPr>
          <w:rFonts w:ascii="Arial" w:hAnsi="Arial" w:cs="Arial"/>
          <w:sz w:val="20"/>
          <w:szCs w:val="20"/>
        </w:rPr>
        <w:t xml:space="preserve">World Health Organization (2021) Global Patient Safety Action Plan 2021–2030: Towards Eliminating Avoidable Harm in Health Care. Geneva: World Health Organization. Available at: </w:t>
      </w:r>
      <w:hyperlink r:id="rId21" w:history="1">
        <w:r w:rsidRPr="007C4904">
          <w:rPr>
            <w:rStyle w:val="Hyperlink"/>
            <w:rFonts w:ascii="Arial" w:hAnsi="Arial" w:cs="Arial"/>
            <w:sz w:val="20"/>
            <w:szCs w:val="20"/>
          </w:rPr>
          <w:t>https://www.who.int/publications/i/item/9789240032705</w:t>
        </w:r>
      </w:hyperlink>
      <w:r w:rsidRPr="007C4904">
        <w:rPr>
          <w:rFonts w:ascii="Arial" w:hAnsi="Arial" w:cs="Arial"/>
          <w:sz w:val="20"/>
          <w:szCs w:val="20"/>
        </w:rPr>
        <w:t xml:space="preserve">   </w:t>
      </w:r>
    </w:p>
    <w:p w14:paraId="2417E6FB" w14:textId="77777777" w:rsidR="000C4D45" w:rsidRPr="000C4D45" w:rsidRDefault="000C4D45" w:rsidP="000C4D45">
      <w:pPr>
        <w:tabs>
          <w:tab w:val="left" w:pos="3120"/>
        </w:tabs>
      </w:pPr>
    </w:p>
    <w:sectPr w:rsidR="000C4D45" w:rsidRPr="000C4D4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A35F6" w14:textId="77777777" w:rsidR="005F29E2" w:rsidRDefault="005F29E2" w:rsidP="00DA6194">
      <w:pPr>
        <w:spacing w:after="0" w:line="240" w:lineRule="auto"/>
      </w:pPr>
      <w:r>
        <w:separator/>
      </w:r>
    </w:p>
  </w:endnote>
  <w:endnote w:type="continuationSeparator" w:id="0">
    <w:p w14:paraId="6B23EEA3" w14:textId="77777777" w:rsidR="005F29E2" w:rsidRDefault="005F29E2" w:rsidP="00DA6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7240282"/>
      <w:docPartObj>
        <w:docPartGallery w:val="Page Numbers (Bottom of Page)"/>
        <w:docPartUnique/>
      </w:docPartObj>
    </w:sdtPr>
    <w:sdtEndPr/>
    <w:sdtContent>
      <w:p w14:paraId="64D56AED" w14:textId="7DC9D24F" w:rsidR="00DA6194" w:rsidRDefault="00DA6194">
        <w:pPr>
          <w:pStyle w:val="Footer"/>
          <w:jc w:val="center"/>
        </w:pPr>
        <w:r>
          <w:fldChar w:fldCharType="begin"/>
        </w:r>
        <w:r>
          <w:instrText>PAGE   \* MERGEFORMAT</w:instrText>
        </w:r>
        <w:r>
          <w:fldChar w:fldCharType="separate"/>
        </w:r>
        <w:r>
          <w:t>2</w:t>
        </w:r>
        <w:r>
          <w:fldChar w:fldCharType="end"/>
        </w:r>
      </w:p>
    </w:sdtContent>
  </w:sdt>
  <w:p w14:paraId="4FCF2EF9" w14:textId="77777777" w:rsidR="00DA6194" w:rsidRDefault="00DA61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F4473A" w14:textId="77777777" w:rsidR="005F29E2" w:rsidRDefault="005F29E2" w:rsidP="00DA6194">
      <w:pPr>
        <w:spacing w:after="0" w:line="240" w:lineRule="auto"/>
      </w:pPr>
      <w:r>
        <w:separator/>
      </w:r>
    </w:p>
  </w:footnote>
  <w:footnote w:type="continuationSeparator" w:id="0">
    <w:p w14:paraId="315158DD" w14:textId="77777777" w:rsidR="005F29E2" w:rsidRDefault="005F29E2" w:rsidP="00DA61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760"/>
    <w:rsid w:val="00055D6F"/>
    <w:rsid w:val="000979C1"/>
    <w:rsid w:val="000A549F"/>
    <w:rsid w:val="000C4D45"/>
    <w:rsid w:val="001E3D17"/>
    <w:rsid w:val="00251F86"/>
    <w:rsid w:val="002C5297"/>
    <w:rsid w:val="002F072A"/>
    <w:rsid w:val="00303927"/>
    <w:rsid w:val="00342FC5"/>
    <w:rsid w:val="00386F90"/>
    <w:rsid w:val="004463AA"/>
    <w:rsid w:val="004D17C5"/>
    <w:rsid w:val="004F1D0F"/>
    <w:rsid w:val="00542508"/>
    <w:rsid w:val="005F29E2"/>
    <w:rsid w:val="0065149B"/>
    <w:rsid w:val="00670242"/>
    <w:rsid w:val="006C51DB"/>
    <w:rsid w:val="007015AB"/>
    <w:rsid w:val="0070551C"/>
    <w:rsid w:val="00712D87"/>
    <w:rsid w:val="007311FE"/>
    <w:rsid w:val="007C19E2"/>
    <w:rsid w:val="007C4904"/>
    <w:rsid w:val="008344B6"/>
    <w:rsid w:val="008B401F"/>
    <w:rsid w:val="008B52AA"/>
    <w:rsid w:val="00941760"/>
    <w:rsid w:val="00947700"/>
    <w:rsid w:val="009C5AE1"/>
    <w:rsid w:val="00A15091"/>
    <w:rsid w:val="00A207BE"/>
    <w:rsid w:val="00A55755"/>
    <w:rsid w:val="00AB47EF"/>
    <w:rsid w:val="00AD17AF"/>
    <w:rsid w:val="00B16FFD"/>
    <w:rsid w:val="00B92A33"/>
    <w:rsid w:val="00BA74B6"/>
    <w:rsid w:val="00BF34C1"/>
    <w:rsid w:val="00C456DD"/>
    <w:rsid w:val="00C85A85"/>
    <w:rsid w:val="00CB0376"/>
    <w:rsid w:val="00CF085B"/>
    <w:rsid w:val="00CF49EF"/>
    <w:rsid w:val="00D1124F"/>
    <w:rsid w:val="00D150A9"/>
    <w:rsid w:val="00DA6194"/>
    <w:rsid w:val="00E4326F"/>
    <w:rsid w:val="00F02E66"/>
    <w:rsid w:val="00F45FD0"/>
    <w:rsid w:val="00F52181"/>
    <w:rsid w:val="00FF06EF"/>
    <w:rsid w:val="00FF1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7742D"/>
  <w15:chartTrackingRefBased/>
  <w15:docId w15:val="{12CF9E2E-5474-4733-954B-E674070D2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7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17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17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17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17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17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17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17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17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7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17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17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17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17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17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17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17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1760"/>
    <w:rPr>
      <w:rFonts w:eastAsiaTheme="majorEastAsia" w:cstheme="majorBidi"/>
      <w:color w:val="272727" w:themeColor="text1" w:themeTint="D8"/>
    </w:rPr>
  </w:style>
  <w:style w:type="paragraph" w:styleId="Title">
    <w:name w:val="Title"/>
    <w:basedOn w:val="Normal"/>
    <w:next w:val="Normal"/>
    <w:link w:val="TitleChar"/>
    <w:uiPriority w:val="10"/>
    <w:qFormat/>
    <w:rsid w:val="009417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17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17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17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1760"/>
    <w:pPr>
      <w:spacing w:before="160"/>
      <w:jc w:val="center"/>
    </w:pPr>
    <w:rPr>
      <w:i/>
      <w:iCs/>
      <w:color w:val="404040" w:themeColor="text1" w:themeTint="BF"/>
    </w:rPr>
  </w:style>
  <w:style w:type="character" w:customStyle="1" w:styleId="QuoteChar">
    <w:name w:val="Quote Char"/>
    <w:basedOn w:val="DefaultParagraphFont"/>
    <w:link w:val="Quote"/>
    <w:uiPriority w:val="29"/>
    <w:rsid w:val="00941760"/>
    <w:rPr>
      <w:i/>
      <w:iCs/>
      <w:color w:val="404040" w:themeColor="text1" w:themeTint="BF"/>
    </w:rPr>
  </w:style>
  <w:style w:type="paragraph" w:styleId="ListParagraph">
    <w:name w:val="List Paragraph"/>
    <w:basedOn w:val="Normal"/>
    <w:uiPriority w:val="34"/>
    <w:qFormat/>
    <w:rsid w:val="00941760"/>
    <w:pPr>
      <w:ind w:left="720"/>
      <w:contextualSpacing/>
    </w:pPr>
  </w:style>
  <w:style w:type="character" w:styleId="IntenseEmphasis">
    <w:name w:val="Intense Emphasis"/>
    <w:basedOn w:val="DefaultParagraphFont"/>
    <w:uiPriority w:val="21"/>
    <w:qFormat/>
    <w:rsid w:val="00941760"/>
    <w:rPr>
      <w:i/>
      <w:iCs/>
      <w:color w:val="0F4761" w:themeColor="accent1" w:themeShade="BF"/>
    </w:rPr>
  </w:style>
  <w:style w:type="paragraph" w:styleId="IntenseQuote">
    <w:name w:val="Intense Quote"/>
    <w:basedOn w:val="Normal"/>
    <w:next w:val="Normal"/>
    <w:link w:val="IntenseQuoteChar"/>
    <w:uiPriority w:val="30"/>
    <w:qFormat/>
    <w:rsid w:val="009417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1760"/>
    <w:rPr>
      <w:i/>
      <w:iCs/>
      <w:color w:val="0F4761" w:themeColor="accent1" w:themeShade="BF"/>
    </w:rPr>
  </w:style>
  <w:style w:type="character" w:styleId="IntenseReference">
    <w:name w:val="Intense Reference"/>
    <w:basedOn w:val="DefaultParagraphFont"/>
    <w:uiPriority w:val="32"/>
    <w:qFormat/>
    <w:rsid w:val="00941760"/>
    <w:rPr>
      <w:b/>
      <w:bCs/>
      <w:smallCaps/>
      <w:color w:val="0F4761" w:themeColor="accent1" w:themeShade="BF"/>
      <w:spacing w:val="5"/>
    </w:rPr>
  </w:style>
  <w:style w:type="table" w:styleId="TableGrid">
    <w:name w:val="Table Grid"/>
    <w:basedOn w:val="TableNormal"/>
    <w:uiPriority w:val="39"/>
    <w:rsid w:val="009417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C4D45"/>
    <w:rPr>
      <w:color w:val="467886" w:themeColor="hyperlink"/>
      <w:u w:val="single"/>
    </w:rPr>
  </w:style>
  <w:style w:type="character" w:styleId="UnresolvedMention">
    <w:name w:val="Unresolved Mention"/>
    <w:basedOn w:val="DefaultParagraphFont"/>
    <w:uiPriority w:val="99"/>
    <w:semiHidden/>
    <w:unhideWhenUsed/>
    <w:rsid w:val="000C4D45"/>
    <w:rPr>
      <w:color w:val="605E5C"/>
      <w:shd w:val="clear" w:color="auto" w:fill="E1DFDD"/>
    </w:rPr>
  </w:style>
  <w:style w:type="paragraph" w:styleId="Header">
    <w:name w:val="header"/>
    <w:basedOn w:val="Normal"/>
    <w:link w:val="HeaderChar"/>
    <w:uiPriority w:val="99"/>
    <w:unhideWhenUsed/>
    <w:rsid w:val="00DA61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194"/>
  </w:style>
  <w:style w:type="paragraph" w:styleId="Footer">
    <w:name w:val="footer"/>
    <w:basedOn w:val="Normal"/>
    <w:link w:val="FooterChar"/>
    <w:uiPriority w:val="99"/>
    <w:unhideWhenUsed/>
    <w:rsid w:val="00DA61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194"/>
  </w:style>
  <w:style w:type="paragraph" w:styleId="TOCHeading">
    <w:name w:val="TOC Heading"/>
    <w:basedOn w:val="Heading1"/>
    <w:next w:val="Normal"/>
    <w:uiPriority w:val="39"/>
    <w:unhideWhenUsed/>
    <w:qFormat/>
    <w:rsid w:val="00DA619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A6194"/>
    <w:pPr>
      <w:spacing w:after="100"/>
    </w:pPr>
  </w:style>
  <w:style w:type="paragraph" w:styleId="TOC2">
    <w:name w:val="toc 2"/>
    <w:basedOn w:val="Normal"/>
    <w:next w:val="Normal"/>
    <w:autoRedefine/>
    <w:uiPriority w:val="39"/>
    <w:unhideWhenUsed/>
    <w:rsid w:val="00DA619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book/4968" TargetMode="External"/><Relationship Id="rId13" Type="http://schemas.openxmlformats.org/officeDocument/2006/relationships/hyperlink" Target="https://books.google.com/books/about/Understanding_Organizations.html?id=NitYAC2aH2sC" TargetMode="External"/><Relationship Id="rId18" Type="http://schemas.openxmlformats.org/officeDocument/2006/relationships/hyperlink" Target="https://www.wiley-vch.de/en/areas-interest/finance-economics-law/organizational-culture-and-leadership-978-1-119-21204-1" TargetMode="External"/><Relationship Id="rId3" Type="http://schemas.openxmlformats.org/officeDocument/2006/relationships/settings" Target="settings.xml"/><Relationship Id="rId21" Type="http://schemas.openxmlformats.org/officeDocument/2006/relationships/hyperlink" Target="https://www.who.int/publications/i/item/9789240032705" TargetMode="External"/><Relationship Id="rId7" Type="http://schemas.openxmlformats.org/officeDocument/2006/relationships/image" Target="media/image1.png"/><Relationship Id="rId12" Type="http://schemas.openxmlformats.org/officeDocument/2006/relationships/hyperlink" Target="https://doi.org/10.2307/2666999" TargetMode="External"/><Relationship Id="rId17" Type="http://schemas.openxmlformats.org/officeDocument/2006/relationships/hyperlink" Target="https://www.england.nhs.uk/long-read/performance-report-24-25/" TargetMode="External"/><Relationship Id="rId2" Type="http://schemas.openxmlformats.org/officeDocument/2006/relationships/styles" Target="styles.xml"/><Relationship Id="rId16" Type="http://schemas.openxmlformats.org/officeDocument/2006/relationships/hyperlink" Target="https://www.england.nhs.uk/long-read/nhs-england-annual-report-and-accounts-2024-25/" TargetMode="External"/><Relationship Id="rId20" Type="http://schemas.openxmlformats.org/officeDocument/2006/relationships/hyperlink" Target="https://www.nhsstaffsurveys.com/results/national-result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287/orsc.6.2.204"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ooks.google.com/books/about/Management_and_Organisational_Behaviour.html?id=B1LdtwEACAAJ" TargetMode="External"/><Relationship Id="rId23" Type="http://schemas.openxmlformats.org/officeDocument/2006/relationships/fontTable" Target="fontTable.xml"/><Relationship Id="rId10" Type="http://schemas.openxmlformats.org/officeDocument/2006/relationships/hyperlink" Target="https://www.gov.uk/government/publications/supplements-to-the-nhs-constitution-for-england/the-handbook-to-the-nhs-constitution-for-england" TargetMode="External"/><Relationship Id="rId19" Type="http://schemas.openxmlformats.org/officeDocument/2006/relationships/hyperlink" Target="https://www.kingsfund.org.uk/insight-and-analysis/reports/caring-change" TargetMode="External"/><Relationship Id="rId4" Type="http://schemas.openxmlformats.org/officeDocument/2006/relationships/webSettings" Target="webSettings.xml"/><Relationship Id="rId9" Type="http://schemas.openxmlformats.org/officeDocument/2006/relationships/hyperlink" Target="https://www.gov.uk/government/publications/the-nhs-constitution-for-england/the-nhs-constitution-for-england" TargetMode="External"/><Relationship Id="rId14" Type="http://schemas.openxmlformats.org/officeDocument/2006/relationships/hyperlink" Target="https://www.mheducation.com/highered/mhp/product/cultures-organizations-software-mind-third-edition.htm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6CFC1-4A36-4B8F-877D-6711A77BCC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11</Pages>
  <Words>4643</Words>
  <Characters>26471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andreia farcas</dc:creator>
  <cp:keywords/>
  <dc:description/>
  <cp:lastModifiedBy>andreia farcas</cp:lastModifiedBy>
  <cp:revision>37</cp:revision>
  <dcterms:created xsi:type="dcterms:W3CDTF">2026-10-12T21:57:00Z</dcterms:created>
  <dcterms:modified xsi:type="dcterms:W3CDTF">2026-10-19T13:36:00Z</dcterms:modified>
</cp:coreProperties>
</file>