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before="0" w:after="40"/>
        <w:jc w:val="center"/>
      </w:pPr>
      <w:r>
        <w:rPr>
          <w:rFonts w:ascii="Calibri" w:hAnsi="Calibri"/>
          <w:b/>
          <w:color w:val="46505F"/>
          <w:sz w:val="26"/>
        </w:rPr>
        <w:t>UNIVERSITY OF WALES TRINITY SAINT DAVID</w:t>
      </w:r>
    </w:p>
    <w:p>
      <w:pPr>
        <w:spacing w:after="240"/>
        <w:jc w:val="center"/>
      </w:pPr>
      <w:r>
        <w:rPr>
          <w:rFonts w:ascii="Calibri" w:hAnsi="Calibri"/>
          <w:i/>
          <w:color w:val="46505F"/>
          <w:sz w:val="22"/>
        </w:rPr>
        <w:t>Component 2 – Written Assignment</w:t>
      </w:r>
    </w:p>
    <w:p>
      <w:pPr>
        <w:spacing w:after="360"/>
        <w:jc w:val="center"/>
      </w:pPr>
      <w:r>
        <w:rPr>
          <w:rFonts w:ascii="Calibri" w:hAnsi="Calibri"/>
          <w:b/>
          <w:color w:val="1B365D"/>
          <w:sz w:val="44"/>
        </w:rPr>
        <w:t>Mrs Thompson Case Study</w:t>
      </w:r>
    </w:p>
    <w:tbl>
      <w:tblPr>
        <w:tblW w:type="auto" w:w="0"/>
        <w:jc w:val="center"/>
        <w:tblLayout w:type="fixed"/>
        <w:tblLook w:firstColumn="1" w:firstRow="1" w:lastColumn="0" w:lastRow="0" w:noHBand="0" w:noVBand="1" w:val="04A0"/>
        <w:tblBorders>
          <w:top w:val="single" w:sz="4" w:space="0" w:color="CCCCCC"/>
          <w:bottom w:val="single" w:sz="4" w:space="0" w:color="CCCCCC"/>
          <w:insideH w:val="single" w:sz="4" w:space="0" w:color="E0E0E0"/>
          <w:insideV w:val="none"/>
          <w:left w:val="none"/>
          <w:right w:val="none"/>
        </w:tblBorders>
      </w:tblPr>
      <w:tblGrid>
        <w:gridCol w:w="4680"/>
        <w:gridCol w:w="4680"/>
      </w:tblGrid>
      <w:tr>
        <w:tc>
          <w:tcPr>
            <w:tcW w:type="dxa" w:w="2880"/>
            <w:shd w:fill="F4F6F8"/>
          </w:tcPr>
          <w:p>
            <w:pPr>
              <w:spacing w:after="40" w:before="40"/>
            </w:pPr>
            <w:r>
              <w:rPr>
                <w:b/>
                <w:color w:val="1B365D"/>
                <w:sz w:val="20"/>
              </w:rPr>
              <w:t>Student Name:</w:t>
            </w:r>
          </w:p>
        </w:tc>
        <w:tc>
          <w:tcPr>
            <w:tcW w:type="dxa" w:w="6480"/>
            <w:shd w:fill="F4F6F8"/>
          </w:tcPr>
          <w:p>
            <w:pPr>
              <w:spacing w:after="40" w:before="40"/>
            </w:pPr>
            <w:r>
              <w:rPr>
                <w:sz w:val="20"/>
              </w:rPr>
              <w:t>Michael Camara</w:t>
            </w:r>
          </w:p>
        </w:tc>
      </w:tr>
      <w:tr>
        <w:tc>
          <w:tcPr>
            <w:tcW w:type="dxa" w:w="2880"/>
          </w:tcPr>
          <w:p>
            <w:pPr>
              <w:spacing w:after="40" w:before="40"/>
            </w:pPr>
            <w:r>
              <w:rPr>
                <w:b/>
                <w:color w:val="1B365D"/>
                <w:sz w:val="20"/>
              </w:rPr>
              <w:t>Student ID:</w:t>
            </w:r>
          </w:p>
        </w:tc>
        <w:tc>
          <w:tcPr>
            <w:tcW w:type="dxa" w:w="6480"/>
          </w:tcPr>
          <w:p>
            <w:pPr>
              <w:spacing w:after="40" w:before="40"/>
            </w:pPr>
            <w:r>
              <w:rPr>
                <w:sz w:val="20"/>
              </w:rPr>
              <w:t>2533160</w:t>
            </w:r>
          </w:p>
        </w:tc>
      </w:tr>
      <w:tr>
        <w:tc>
          <w:tcPr>
            <w:tcW w:type="dxa" w:w="2880"/>
            <w:shd w:fill="F4F6F8"/>
          </w:tcPr>
          <w:p>
            <w:pPr>
              <w:spacing w:after="40" w:before="40"/>
            </w:pPr>
            <w:r>
              <w:rPr>
                <w:b/>
                <w:color w:val="1B365D"/>
                <w:sz w:val="20"/>
              </w:rPr>
              <w:t>Programme:</w:t>
            </w:r>
          </w:p>
        </w:tc>
        <w:tc>
          <w:tcPr>
            <w:tcW w:type="dxa" w:w="6480"/>
            <w:shd w:fill="F4F6F8"/>
          </w:tcPr>
          <w:p>
            <w:pPr>
              <w:spacing w:after="40" w:before="40"/>
            </w:pPr>
            <w:r>
              <w:rPr>
                <w:sz w:val="20"/>
              </w:rPr>
              <w:t>Certificate of Higher Education Skills for the Workplace (Health &amp; Social Care)</w:t>
            </w:r>
          </w:p>
        </w:tc>
      </w:tr>
      <w:tr>
        <w:tc>
          <w:tcPr>
            <w:tcW w:type="dxa" w:w="2880"/>
          </w:tcPr>
          <w:p>
            <w:pPr>
              <w:spacing w:after="40" w:before="40"/>
            </w:pPr>
            <w:r>
              <w:rPr>
                <w:b/>
                <w:color w:val="1B365D"/>
                <w:sz w:val="20"/>
              </w:rPr>
              <w:t>Module:</w:t>
            </w:r>
          </w:p>
        </w:tc>
        <w:tc>
          <w:tcPr>
            <w:tcW w:type="dxa" w:w="6480"/>
          </w:tcPr>
          <w:p>
            <w:pPr>
              <w:spacing w:after="40" w:before="40"/>
            </w:pPr>
            <w:r>
              <w:rPr>
                <w:sz w:val="20"/>
              </w:rPr>
              <w:t>Introduction to Health and Social Care</w:t>
            </w:r>
          </w:p>
        </w:tc>
      </w:tr>
      <w:tr>
        <w:tc>
          <w:tcPr>
            <w:tcW w:type="dxa" w:w="2880"/>
            <w:shd w:fill="F4F6F8"/>
          </w:tcPr>
          <w:p>
            <w:pPr>
              <w:spacing w:after="40" w:before="40"/>
            </w:pPr>
            <w:r>
              <w:rPr>
                <w:b/>
                <w:color w:val="1B365D"/>
                <w:sz w:val="20"/>
              </w:rPr>
              <w:t>Module Code / Lecturer:</w:t>
            </w:r>
          </w:p>
        </w:tc>
        <w:tc>
          <w:tcPr>
            <w:tcW w:type="dxa" w:w="6480"/>
            <w:shd w:fill="F4F6F8"/>
          </w:tcPr>
          <w:p>
            <w:pPr>
              <w:spacing w:after="40" w:before="40"/>
            </w:pPr>
            <w:r>
              <w:rPr>
                <w:sz w:val="20"/>
              </w:rPr>
              <w:t>LCHS4003 | Lecturer: Muhammad Aliyu</w:t>
            </w:r>
          </w:p>
        </w:tc>
      </w:tr>
      <w:tr>
        <w:tc>
          <w:tcPr>
            <w:tcW w:type="dxa" w:w="2880"/>
          </w:tcPr>
          <w:p>
            <w:pPr>
              <w:spacing w:after="40" w:before="40"/>
            </w:pPr>
            <w:r>
              <w:rPr>
                <w:b/>
                <w:color w:val="1B365D"/>
                <w:sz w:val="20"/>
              </w:rPr>
              <w:t>Word Count:</w:t>
            </w:r>
          </w:p>
        </w:tc>
        <w:tc>
          <w:tcPr>
            <w:tcW w:type="dxa" w:w="6480"/>
          </w:tcPr>
          <w:p>
            <w:pPr>
              <w:spacing w:after="40" w:before="40"/>
            </w:pPr>
            <w:r>
              <w:rPr>
                <w:sz w:val="20"/>
              </w:rPr>
              <w:t>1,507 words (excluding title page, contents and references)</w:t>
            </w:r>
          </w:p>
        </w:tc>
      </w:tr>
    </w:tbl>
    <w:p>
      <w:pPr>
        <w:spacing w:after="240"/>
      </w:pPr>
    </w:p>
    <w:p>
      <w:pPr>
        <w:spacing w:before="240" w:after="120"/>
      </w:pPr>
      <w:r>
        <w:rPr>
          <w:b/>
          <w:color w:val="1B365D"/>
          <w:sz w:val="28"/>
        </w:rPr>
        <w:t>Table of Contents</w:t>
      </w:r>
    </w:p>
    <w:p>
      <w:pPr>
        <w:spacing w:after="60"/>
      </w:pPr>
      <w:r>
        <w:rPr>
          <w:b/>
          <w:sz w:val="21"/>
        </w:rPr>
        <w:t>1. Introduction</w:t>
      </w:r>
      <w:r>
        <w:rPr>
          <w:color w:val="A0A0A0"/>
          <w:sz w:val="18"/>
        </w:rPr>
        <w:t xml:space="preserve">  ..................................................  </w:t>
      </w:r>
      <w:r>
        <w:rPr>
          <w:b/>
          <w:sz w:val="21"/>
        </w:rPr>
        <w:t>3</w:t>
      </w:r>
    </w:p>
    <w:p>
      <w:pPr>
        <w:spacing w:after="60"/>
      </w:pPr>
      <w:r>
        <w:rPr>
          <w:b/>
          <w:sz w:val="21"/>
        </w:rPr>
        <w:t>2. Importance of effective communication</w:t>
      </w:r>
      <w:r>
        <w:rPr>
          <w:color w:val="A0A0A0"/>
          <w:sz w:val="18"/>
        </w:rPr>
        <w:t xml:space="preserve">  .........................  </w:t>
      </w:r>
      <w:r>
        <w:rPr>
          <w:b/>
          <w:sz w:val="21"/>
        </w:rPr>
        <w:t>3</w:t>
      </w:r>
    </w:p>
    <w:p>
      <w:pPr>
        <w:spacing w:after="60"/>
      </w:pPr>
      <w:r>
        <w:rPr>
          <w:b/>
          <w:sz w:val="21"/>
        </w:rPr>
        <w:t>3. Importance of good administrative skills</w:t>
      </w:r>
      <w:r>
        <w:rPr>
          <w:color w:val="A0A0A0"/>
          <w:sz w:val="18"/>
        </w:rPr>
        <w:t xml:space="preserve">  ......................  </w:t>
      </w:r>
      <w:r>
        <w:rPr>
          <w:b/>
          <w:sz w:val="21"/>
        </w:rPr>
        <w:t>4</w:t>
      </w:r>
    </w:p>
    <w:p>
      <w:pPr>
        <w:spacing w:after="60"/>
      </w:pPr>
      <w:r>
        <w:rPr>
          <w:b/>
          <w:sz w:val="21"/>
        </w:rPr>
        <w:t>4. Importance of working collaboratively</w:t>
      </w:r>
      <w:r>
        <w:rPr>
          <w:color w:val="A0A0A0"/>
          <w:sz w:val="18"/>
        </w:rPr>
        <w:t xml:space="preserve">  .........................  </w:t>
      </w:r>
      <w:r>
        <w:rPr>
          <w:b/>
          <w:sz w:val="21"/>
        </w:rPr>
        <w:t>5</w:t>
      </w:r>
    </w:p>
    <w:p>
      <w:pPr>
        <w:spacing w:after="60"/>
      </w:pPr>
      <w:r>
        <w:rPr>
          <w:b/>
          <w:sz w:val="21"/>
        </w:rPr>
        <w:t>5. Conclusion</w:t>
      </w:r>
      <w:r>
        <w:rPr>
          <w:color w:val="A0A0A0"/>
          <w:sz w:val="18"/>
        </w:rPr>
        <w:t xml:space="preserve">  ....................................................  </w:t>
      </w:r>
      <w:r>
        <w:rPr>
          <w:b/>
          <w:sz w:val="21"/>
        </w:rPr>
        <w:t>6</w:t>
      </w:r>
    </w:p>
    <w:p>
      <w:pPr>
        <w:spacing w:after="60"/>
      </w:pPr>
      <w:r>
        <w:rPr>
          <w:b/>
          <w:sz w:val="21"/>
        </w:rPr>
        <w:t>References</w:t>
      </w:r>
      <w:r>
        <w:rPr>
          <w:color w:val="A0A0A0"/>
          <w:sz w:val="18"/>
        </w:rPr>
        <w:t xml:space="preserve">  .......................................................  </w:t>
      </w:r>
      <w:r>
        <w:rPr>
          <w:b/>
          <w:sz w:val="21"/>
        </w:rPr>
        <w:t>7</w:t>
      </w:r>
    </w:p>
    <w:p>
      <w:r>
        <w:br w:type="page"/>
      </w:r>
    </w:p>
    <w:p>
      <w:pPr>
        <w:keepNext/>
        <w:spacing w:before="360" w:after="120"/>
      </w:pPr>
      <w:r>
        <w:rPr>
          <w:rFonts w:ascii="Calibri" w:hAnsi="Calibri"/>
          <w:b/>
          <w:color w:val="1B365D"/>
          <w:sz w:val="28"/>
        </w:rPr>
        <w:t>1. Introduction</w:t>
      </w:r>
    </w:p>
    <w:p>
      <w:r>
        <w:t>Mrs Thompson is an 84-year-old sheltered housing resident who recently returned home following hospital care for pneumonia. Despite receiving twice-daily home care visits, she missed two days of prescribed medication, exhibited heightened confusion, and was subsequently found outside in cold conditions without suitable attire. These events highlight systemic vulnerabilities—such as miscommunication, record-keeping omissions, and fragmented interprofessional coordination—that elevate the risk of preventable harm. This report evaluates three core areas necessary for safe, person-centred delivery: effective communication with Mrs Thompson and her family, meticulous administrative practices, and interagency collaboration. The analysis applies Berlo’s communication model alongside governing frameworks including the Equality Act 2010, Mental Capacity Act 2005, Data Protection Act 2018, Care Act 2014, and relevant clinical guidelines. Ultimately, protecting Mrs Thompson's welfare and independence requires shared multi-agency accountability, clear information sharing, and integrated decision-making.</w:t>
      </w:r>
    </w:p>
    <w:p>
      <w:pPr>
        <w:keepNext/>
        <w:spacing w:before="360" w:after="120"/>
      </w:pPr>
      <w:r>
        <w:rPr>
          <w:rFonts w:ascii="Calibri" w:hAnsi="Calibri"/>
          <w:b/>
          <w:color w:val="1B365D"/>
          <w:sz w:val="28"/>
        </w:rPr>
        <w:t>2. Importance of effective communication</w:t>
      </w:r>
    </w:p>
    <w:p>
      <w:r>
        <w:t>Communication strategies must account for how dementia impacts memory, attention, and processing without making automatic assumptions about a person's decision-making capacity. Staff must engage directly with Mrs Thompson using a calm delivery, familiar vocabulary, single-topic concepts, and adequate processing time. NICE (2018) guidelines state that individuals with dementia should be enabled to express their preferences using adapted communication, an approach supported by Harris et al. (2025) emphasizing flexible, person-focused engagement. Practical adjustments—such as reducing ambient noise, maintaining direct eye contact, offering large-print visual aids, and repeating essential instructions—help optimize understanding without undermining her autonomy.</w:t>
      </w:r>
    </w:p>
    <w:p>
      <w:r>
        <w:t>Medication guidance requires structured delivery, as verbal directions alone are easily forgotten. Interventions such as written dosage schedules, distinct labeling, verbal reminders, or monitored dosage systems should be implemented based on formal assessment rather than baseline assumptions. Dionisi et al. (2022) note that home-care medication errors often stem from organizational and communication breakdowns rather than individual non-compliance. To verify comprehension, care workers can use the "teach-back" method, asking Mrs Thompson to explain directions in her own words—an approach proven to improve understanding and self-care management (Talevski et al., 2020).</w:t>
      </w:r>
    </w:p>
    <w:p>
      <w:r>
        <w:t>Berlo’s Sender-Message-Channel-Receiver (SMCR) model helps break down communication components by evaluating the source, content, transmission method, and recipient capability (Berlo, 1960). In this context, the care worker acts as the sender, the medication instruction is the message, spoken dialogue combined with written prompts serves as the channel, and Mrs Thompson is the receiver. While effective for identifying communication barriers, Berlo’s model can be overly linear; incorporating feedback mechanisms such as teach-back checks, observation of non-verbal cues, and continuous validation transforms communication into a dynamic, two-way process.</w:t>
      </w:r>
    </w:p>
    <w:p>
      <w:r>
        <w:t>Legal frameworks establish clear boundaries for care provision. The Equality Act 2010 mandates reasonable adjustments—such as extended discussion times and accessible information formats—to remove disadvantages linked to age or disability (Great Britain, 2010). Under the Mental Capacity Act 2005, mental capacity must be presumed and supported before concluding that an individual lacks capacity for a specific choice (Great Britain, 2005). While family members provide helpful context regarding her routine, Mrs Thompson retains the right to determine family involvement whenever she has capacity. Furthermore, a sudden onset of acute confusion should be reported immediately rather than attributed solely to dementia, as it may indicate delirium or an underlying medical issue (NICE, 2023). Staff and family must also maintain consistent phrasing to avoid delivering conflicting instructions regarding her routine and safety.</w:t>
      </w:r>
    </w:p>
    <w:p>
      <w:pPr>
        <w:keepNext/>
        <w:spacing w:before="360" w:after="120"/>
      </w:pPr>
      <w:r>
        <w:rPr>
          <w:rFonts w:ascii="Calibri" w:hAnsi="Calibri"/>
          <w:b/>
          <w:color w:val="1B365D"/>
          <w:sz w:val="28"/>
        </w:rPr>
        <w:t>3. Importance of good administrative skills</w:t>
      </w:r>
    </w:p>
    <w:p>
      <w:r>
        <w:t>High-quality documentation ensures continuity of care across diverse healthcare practitioners. Missed medication doses, increased confusion, the outdoor wandering incident, telephone calls, and follow-up interventions must be logged accurately, promptly, and objectively. CQC Regulation 17 requires registered providers to maintain secure, accurate, complete, and contemporaneous care records (Care Quality Commission, n.d.). An effective record entry should state concrete details—such as the exact time, attire, and physical condition when Mrs Thompson was located outside—rather than using subjective phrasing like "wandering again". Objective entries remove bias and provide actionable data for subsequent professionals.</w:t>
      </w:r>
    </w:p>
    <w:p>
      <w:r>
        <w:t>Incidents should drive operational improvement rather than ending once an incident form is filed. Practitioners should review the Medication Administration Record (MAR), identify missed doses, evaluate root causes, and document notifications sent. NICE (2015) guidelines recommend holistic medication reviews evaluating individual understanding, physical difficulties, adverse effects, and ongoing treatment necessity. An updated care plan should explicitly define who orders, prompts, administers, and monitors medication, along with clear steps to take if a dose is missed. Recognizing systemic factors behind home-care medication errors prevents care providers from incorrectly placing sole blame on the individual (Dionisi et al., 2022).</w:t>
      </w:r>
    </w:p>
    <w:p>
      <w:r>
        <w:t>Data handling must align with the Data Protection Act 2018 and UK GDPR principles given the sensitivity of health data. Information must be processed lawfully, fairly, and transparently; collected for specific care purposes; restricted to necessary details; kept accurate; retained appropriately; and secured through robust measures (Great Britain, 2018; Information Commissioner’s Office, 2026). In practice, care teams should utilize approved software, strong password protocols, and secure messaging tools while restricting file access to authorized personnel. Crucially, the Caldicott Principles emphasize that the duty to share information for direct care is as vital as preserving confidentiality when sharing is necessary and proportionate (National Data Guardian, 2020).</w:t>
      </w:r>
    </w:p>
    <w:p>
      <w:r>
        <w:t>The outdoor incident must also be documented under self-neglect and safeguarding frameworks. Under the Care Act 2014, local authorities hold a statutory duty to assess and intervene when adults with care needs cannot protect themselves from abuse or neglect (Great Britain, 2014; Department of Health and Social Care, 2025). Documentation must reflect risk assessments, immediate risk-mitigation steps, assigned staff responsibilities, and mandatory review schedules. Thorough administrative practice creates an audit trail that improves care quality and enforces accountability.</w:t>
      </w:r>
    </w:p>
    <w:p>
      <w:pPr>
        <w:keepNext/>
        <w:spacing w:before="360" w:after="120"/>
      </w:pPr>
      <w:r>
        <w:rPr>
          <w:rFonts w:ascii="Calibri" w:hAnsi="Calibri"/>
          <w:b/>
          <w:color w:val="1B365D"/>
          <w:sz w:val="28"/>
        </w:rPr>
        <w:t>4. Importance of working collaboratively</w:t>
      </w:r>
    </w:p>
    <w:p>
      <w:r>
        <w:t>Mrs Thompson’s care requirements cross professional boundaries, making integrated working necessary to prevent care gaps. Domiciliary care workers, visiting twice daily, serve as frontline observers positioned to record and escalate changes in behavior or well-being. The GP must evaluate acute confusion to rule out underlying clinical conditions, while the community nurse manages ongoing pneumonia recovery. A community pharmacist can review prescription complexity and adherence tools, and social care workers can address safeguarding risks and re-evaluate the suitability of her existing care package.</w:t>
      </w:r>
    </w:p>
    <w:p>
      <w:r>
        <w:t>Effective collaboration requires clear roles, timely information sharing, and a single coordinated plan rather than isolated interventions. A named care coordinator should organize a multidisciplinary team (MDT) review, record action ownership, and establish review dates. Shared digital care records improve access to vital information across health and social care services (NHS England, 2025), though active professional follow-up remains necessary. Mrs Thompson must remain central to all planning, with family participation guided by her explicit consent or formal best-interests processes where capacity is absent.</w:t>
      </w:r>
    </w:p>
    <w:p>
      <w:r>
        <w:t>Key barriers to interprofessional practice include heavy workloads, incompatible software systems, ambiguous role boundaries, workplace hierarchies, and data-sharing hesitations. Schot, Tummers, and Noordegraaf (2020) emphasize that effective collaboration requires actively bridging professional differences, negotiating roles, and creating opportunities for joint work. These challenges can be mitigated through routine case discussions, agreed escalation paths, secure data protocols, and shared accountability. Priority must be given to completing and monitoring her medical assessment, medication review, safeguarding evaluation, and care plan updates.</w:t>
      </w:r>
    </w:p>
    <w:p>
      <w:pPr>
        <w:keepNext/>
        <w:spacing w:before="360" w:after="120"/>
      </w:pPr>
      <w:r>
        <w:rPr>
          <w:rFonts w:ascii="Calibri" w:hAnsi="Calibri"/>
          <w:b/>
          <w:color w:val="1B365D"/>
          <w:sz w:val="28"/>
        </w:rPr>
        <w:t>5. Conclusion</w:t>
      </w:r>
    </w:p>
    <w:p>
      <w:r>
        <w:t>Mrs Thompson’s case demonstrates how communication, administration, and interprofessional collaboration are intrinsically linked. Communication strategies must accommodate her cognitive needs without assuming a lack of capacity, utilizing reasonable adjustments to protect her right to participate in decisions. Accurate, objective, and contemporaneous documentation must connect identified risks—such as missed medication and cold-weather exposure—to clear actions and accountable professionals. Collaborative working must unite domiciliary carers, the GP, community nursing, pharmacy, and social care through a unified care plan. Immediate priorities include a clinical assessment for acute confusion, a structured medication review, updated safeguarding and environmental risk evaluations, and a formal escalation procedure for missed medication. This balanced approach addresses identified risks while preserving Mrs Thompson's dignity, preferences, and personal independence.</w:t>
      </w:r>
    </w:p>
    <w:p>
      <w:pPr>
        <w:keepNext/>
        <w:spacing w:before="360" w:after="120"/>
      </w:pPr>
      <w:r>
        <w:rPr>
          <w:rFonts w:ascii="Calibri" w:hAnsi="Calibri"/>
          <w:b/>
          <w:color w:val="1B365D"/>
          <w:sz w:val="28"/>
        </w:rPr>
        <w:t>References</w:t>
      </w:r>
    </w:p>
    <w:p>
      <w:pPr>
        <w:spacing w:after="120"/>
        <w:ind w:left="720" w:hanging="720"/>
      </w:pPr>
      <w:r>
        <w:t>Berlo, D.K.</w:t>
      </w:r>
      <w:r>
        <w:t xml:space="preserve"> (1960) </w:t>
      </w:r>
      <w:r>
        <w:rPr>
          <w:i/>
        </w:rPr>
        <w:t>The process of communication: An introduction to theory and practice</w:t>
      </w:r>
      <w:r>
        <w:t>. New York: Holt, Rinehart and Winston.</w:t>
      </w:r>
    </w:p>
    <w:p>
      <w:pPr>
        <w:spacing w:after="120"/>
        <w:ind w:left="720" w:hanging="720"/>
      </w:pPr>
      <w:r>
        <w:t>Care Quality Commission</w:t>
      </w:r>
      <w:r>
        <w:t xml:space="preserve"> (n.d.) </w:t>
      </w:r>
      <w:r>
        <w:rPr>
          <w:i/>
        </w:rPr>
        <w:t>Regulation 17: Good governance</w:t>
      </w:r>
      <w:r>
        <w:t>. Available at: https://www.cqc.org.uk/guidance-regulation/providers/regulations-service-providers-and-managers/health-social-care-act/regulation-17 (Accessed: 15 August 2026).</w:t>
      </w:r>
    </w:p>
    <w:p>
      <w:pPr>
        <w:spacing w:after="120"/>
        <w:ind w:left="720" w:hanging="720"/>
      </w:pPr>
      <w:r>
        <w:t>Department of Health and Social Care</w:t>
      </w:r>
      <w:r>
        <w:t xml:space="preserve"> (2025) </w:t>
      </w:r>
      <w:r>
        <w:rPr>
          <w:i/>
        </w:rPr>
        <w:t>Care and support statutory guidance</w:t>
      </w:r>
      <w:r>
        <w:t>. Available at: https://www.gov.uk/government/publications/care-act-statutory-guidance/care-and-support-statutory-guidance (Accessed: 15 August 2026).</w:t>
      </w:r>
    </w:p>
    <w:p>
      <w:pPr>
        <w:spacing w:after="120"/>
        <w:ind w:left="720" w:hanging="720"/>
      </w:pPr>
      <w:r>
        <w:t>Dionisi, S., Di Simone, E., Liquori, G., De Leo, A., Di Muzio, M. and Giannetta, N.</w:t>
      </w:r>
      <w:r>
        <w:t xml:space="preserve"> (2022) ‘Medication errors’ causes analysis in home care setting: A systematic review’, </w:t>
      </w:r>
      <w:r>
        <w:rPr>
          <w:i/>
        </w:rPr>
        <w:t>Public Health Nursing</w:t>
      </w:r>
      <w:r>
        <w:t>, 39(4), pp. 876–897. doi: 10.1111/phn.13037.</w:t>
      </w:r>
    </w:p>
    <w:p>
      <w:pPr>
        <w:spacing w:after="120"/>
        <w:ind w:left="720" w:hanging="720"/>
      </w:pPr>
      <w:r>
        <w:t>Great Britain</w:t>
      </w:r>
      <w:r>
        <w:t xml:space="preserve"> (2005) </w:t>
      </w:r>
      <w:r>
        <w:rPr>
          <w:i/>
        </w:rPr>
        <w:t>Mental Capacity Act 2005</w:t>
      </w:r>
      <w:r>
        <w:t>. London: The Stationery Office. Available at: https://www.legislation.gov.uk/ukpga/2005/9/contents (Accessed: 15 August 2026).</w:t>
      </w:r>
    </w:p>
    <w:p>
      <w:pPr>
        <w:spacing w:after="120"/>
        <w:ind w:left="720" w:hanging="720"/>
      </w:pPr>
      <w:r>
        <w:t>Great Britain</w:t>
      </w:r>
      <w:r>
        <w:t xml:space="preserve"> (2010) </w:t>
      </w:r>
      <w:r>
        <w:rPr>
          <w:i/>
        </w:rPr>
        <w:t>Equality Act 2010</w:t>
      </w:r>
      <w:r>
        <w:t>. London: The Stationery Office. Available at: https://www.legislation.gov.uk/ukpga/2010/15/contents (Accessed: 15 August 2026).</w:t>
      </w:r>
    </w:p>
    <w:p>
      <w:pPr>
        <w:spacing w:after="120"/>
        <w:ind w:left="720" w:hanging="720"/>
      </w:pPr>
      <w:r>
        <w:t>Great Britain</w:t>
      </w:r>
      <w:r>
        <w:t xml:space="preserve"> (2014) </w:t>
      </w:r>
      <w:r>
        <w:rPr>
          <w:i/>
        </w:rPr>
        <w:t>Care Act 2014</w:t>
      </w:r>
      <w:r>
        <w:t>. London: The Stationery Office. Available at: https://www.legislation.gov.uk/ukpga/2014/23/contents (Accessed: 15 August 2026).</w:t>
      </w:r>
    </w:p>
    <w:p>
      <w:pPr>
        <w:spacing w:after="120"/>
        <w:ind w:left="720" w:hanging="720"/>
      </w:pPr>
      <w:r>
        <w:t>Great Britain</w:t>
      </w:r>
      <w:r>
        <w:t xml:space="preserve"> (2018) </w:t>
      </w:r>
      <w:r>
        <w:rPr>
          <w:i/>
        </w:rPr>
        <w:t>Data Protection Act 2018</w:t>
      </w:r>
      <w:r>
        <w:t>. London: The Stationery Office. Available at: https://www.legislation.gov.uk/ukpga/2018/12/contents (Accessed: 15 August 2026).</w:t>
      </w:r>
    </w:p>
    <w:p>
      <w:pPr>
        <w:spacing w:after="120"/>
        <w:ind w:left="720" w:hanging="720"/>
      </w:pPr>
      <w:r>
        <w:t>Harris, C., Webber, R., Livingston, G. and Beeke, S.</w:t>
      </w:r>
      <w:r>
        <w:t xml:space="preserve"> (2025) ‘What are the communication guidelines for people with dementia and their carers on the internet and are they evidence based? A systematic review’, </w:t>
      </w:r>
      <w:r>
        <w:rPr>
          <w:i/>
        </w:rPr>
        <w:t>Dementia</w:t>
      </w:r>
      <w:r>
        <w:t>, 24(3), pp. 577–594. doi: 10.1177/14713012241292486.</w:t>
      </w:r>
    </w:p>
    <w:p>
      <w:pPr>
        <w:spacing w:after="120"/>
        <w:ind w:left="720" w:hanging="720"/>
      </w:pPr>
      <w:r>
        <w:t>Information Commissioner’s Office</w:t>
      </w:r>
      <w:r>
        <w:t xml:space="preserve"> (2026) </w:t>
      </w:r>
      <w:r>
        <w:rPr>
          <w:i/>
        </w:rPr>
        <w:t>A guide to the data protection principles</w:t>
      </w:r>
      <w:r>
        <w:t>. Available at: https://ico.org.uk/for-organisations/uk-gdpr-guidance-and-resources/data-protection-principles/a-guide-to-the-data-protection-principles/ (Accessed: 15 August 2026).</w:t>
      </w:r>
    </w:p>
    <w:p>
      <w:pPr>
        <w:spacing w:after="120"/>
        <w:ind w:left="720" w:hanging="720"/>
      </w:pPr>
      <w:r>
        <w:t>National Data Guardian</w:t>
      </w:r>
      <w:r>
        <w:t xml:space="preserve"> (2020) </w:t>
      </w:r>
      <w:r>
        <w:rPr>
          <w:i/>
        </w:rPr>
        <w:t>The Caldicott Principles</w:t>
      </w:r>
      <w:r>
        <w:t>. Available at: https://www.gov.uk/government/publications/the-caldicott-principles (Accessed: 15 August 2026).</w:t>
      </w:r>
    </w:p>
    <w:p>
      <w:pPr>
        <w:spacing w:after="120"/>
        <w:ind w:left="720" w:hanging="720"/>
      </w:pPr>
      <w:r>
        <w:t>National Institute for Health and Care Excellence</w:t>
      </w:r>
      <w:r>
        <w:t xml:space="preserve"> (2015) </w:t>
      </w:r>
      <w:r>
        <w:rPr>
          <w:i/>
        </w:rPr>
        <w:t>Medicines optimisation: The safe and effective use of medicines to enable the best possible outcomes</w:t>
      </w:r>
      <w:r>
        <w:t>. NICE guideline NG5. Available at: https://www.nice.org.uk/guidance/ng5 (Accessed: 15 August 2026).</w:t>
      </w:r>
    </w:p>
    <w:p>
      <w:pPr>
        <w:spacing w:after="120"/>
        <w:ind w:left="720" w:hanging="720"/>
      </w:pPr>
      <w:r>
        <w:t>National Institute for Health and Care Excellence</w:t>
      </w:r>
      <w:r>
        <w:t xml:space="preserve"> (2018) </w:t>
      </w:r>
      <w:r>
        <w:rPr>
          <w:i/>
        </w:rPr>
        <w:t>Dementia: Assessment, management and support for people living with dementia and their carers</w:t>
      </w:r>
      <w:r>
        <w:t>. NICE guideline NG97. Available at: https://www.nice.org.uk/guidance/ng97 (Accessed: 15 August 2026).</w:t>
      </w:r>
    </w:p>
    <w:p>
      <w:pPr>
        <w:spacing w:after="120"/>
        <w:ind w:left="720" w:hanging="720"/>
      </w:pPr>
      <w:r>
        <w:t>National Institute for Health and Care Excellence</w:t>
      </w:r>
      <w:r>
        <w:t xml:space="preserve"> (2023) </w:t>
      </w:r>
      <w:r>
        <w:rPr>
          <w:i/>
        </w:rPr>
        <w:t>Delirium: Prevention, diagnosis and management in hospital and long-term care</w:t>
      </w:r>
      <w:r>
        <w:t>. Clinical guideline CG103. Available at: https://www.nice.org.uk/guidance/cg103 (Accessed: 15 August 2026).</w:t>
      </w:r>
    </w:p>
    <w:p>
      <w:pPr>
        <w:spacing w:after="120"/>
        <w:ind w:left="720" w:hanging="720"/>
      </w:pPr>
      <w:r>
        <w:t>NHS England</w:t>
      </w:r>
      <w:r>
        <w:t xml:space="preserve"> (2025) </w:t>
      </w:r>
      <w:r>
        <w:rPr>
          <w:i/>
        </w:rPr>
        <w:t>Shared care records</w:t>
      </w:r>
      <w:r>
        <w:t>. Available at: https://www.england.nhs.uk/digitaltechnology/connecteddigitalsystems/shared-care-records/ (Accessed: 15 August 2026).</w:t>
      </w:r>
    </w:p>
    <w:p>
      <w:pPr>
        <w:spacing w:after="120"/>
        <w:ind w:left="720" w:hanging="720"/>
      </w:pPr>
      <w:r>
        <w:t>Schot, E., Tummers, L. and Noordegraaf, M.</w:t>
      </w:r>
      <w:r>
        <w:t xml:space="preserve"> (2020) ‘Working on working together: A systematic review on how healthcare professionals contribute to interprofessional collaboration’, </w:t>
      </w:r>
      <w:r>
        <w:rPr>
          <w:i/>
        </w:rPr>
        <w:t>Journal of Interprofessional Care</w:t>
      </w:r>
      <w:r>
        <w:t>, 34(3), pp. 332–342. doi: 10.1080/13561820.2019.1636007.</w:t>
      </w:r>
    </w:p>
    <w:p>
      <w:pPr>
        <w:spacing w:after="120"/>
        <w:ind w:left="720" w:hanging="720"/>
      </w:pPr>
      <w:r>
        <w:t>Talevski, J., Wong Shee, A., Rasmussen, B., Kemp, G. and Beauchamp, A.</w:t>
      </w:r>
      <w:r>
        <w:t xml:space="preserve"> (2020) ‘Teach-back: A systematic review of implementation and impacts’, </w:t>
      </w:r>
      <w:r>
        <w:rPr>
          <w:i/>
        </w:rPr>
        <w:t>PLOS ONE</w:t>
      </w:r>
      <w:r>
        <w:t>, 15(4), e0231350. doi: 10.1371/journal.pone.0231350.</w:t>
      </w:r>
    </w:p>
    <w:sectPr w:rsidR="00FC693F" w:rsidRPr="0006063C"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288" w:lineRule="auto" w:after="120"/>
    </w:pPr>
    <w:rPr>
      <w:rFonts w:ascii="Calibri" w:hAnsi="Calibri"/>
      <w:color w:val="222222"/>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