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6BA" w:rsidRDefault="004E36BA" w:rsidP="004E36BA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>
            <wp:extent cx="1905000" cy="638175"/>
            <wp:effectExtent l="19050" t="19050" r="19050" b="28575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817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E36BA" w:rsidRDefault="004E36BA" w:rsidP="004E36BA">
      <w:pPr>
        <w:pStyle w:val="NormalWeb"/>
        <w:spacing w:before="0" w:beforeAutospacing="0" w:after="0" w:afterAutospacing="0"/>
        <w:ind w:left="-180" w:right="-334"/>
      </w:pPr>
    </w:p>
    <w:p w:rsidR="004E36BA" w:rsidRDefault="004E36BA" w:rsidP="004E36BA">
      <w:pPr>
        <w:pStyle w:val="NormalWeb"/>
        <w:spacing w:before="0" w:beforeAutospacing="0" w:after="0" w:afterAutospacing="0"/>
        <w:ind w:left="-180" w:right="-334"/>
      </w:pPr>
    </w:p>
    <w:p w:rsidR="004E36BA" w:rsidRDefault="004E36BA" w:rsidP="004E36BA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:rsidR="004E36BA" w:rsidRPr="00230F35" w:rsidRDefault="004E36BA" w:rsidP="004E36BA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:rsidR="004E36BA" w:rsidRPr="00230F35" w:rsidRDefault="004E36BA" w:rsidP="004E36BA">
      <w:pPr>
        <w:rPr>
          <w:rFonts w:ascii="Arial" w:hAnsi="Arial" w:cs="Arial"/>
          <w:sz w:val="28"/>
          <w:szCs w:val="28"/>
          <w:lang w:val="cy-GB"/>
        </w:rPr>
      </w:pPr>
    </w:p>
    <w:p w:rsidR="004E36BA" w:rsidRDefault="004E36BA" w:rsidP="004E36BA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:rsidR="004E36BA" w:rsidRDefault="004E36BA" w:rsidP="004E36BA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8"/>
        <w:gridCol w:w="423"/>
        <w:gridCol w:w="1557"/>
        <w:gridCol w:w="286"/>
        <w:gridCol w:w="1802"/>
      </w:tblGrid>
      <w:tr w:rsidR="004E36BA" w:rsidRPr="00230F35" w:rsidTr="0053256B">
        <w:trPr>
          <w:trHeight w:val="614"/>
        </w:trPr>
        <w:tc>
          <w:tcPr>
            <w:tcW w:w="8856" w:type="dxa"/>
            <w:gridSpan w:val="5"/>
          </w:tcPr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4E36BA" w:rsidRPr="00230F35" w:rsidTr="0053256B">
        <w:trPr>
          <w:trHeight w:val="718"/>
        </w:trPr>
        <w:tc>
          <w:tcPr>
            <w:tcW w:w="8856" w:type="dxa"/>
            <w:gridSpan w:val="5"/>
          </w:tcPr>
          <w:p w:rsidR="004E36BA" w:rsidRDefault="004E36BA" w:rsidP="0053256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Jon Burwell </w:t>
            </w:r>
          </w:p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36BA" w:rsidRPr="00230F35" w:rsidTr="0053256B">
        <w:trPr>
          <w:trHeight w:val="849"/>
        </w:trPr>
        <w:tc>
          <w:tcPr>
            <w:tcW w:w="4788" w:type="dxa"/>
          </w:tcPr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>HPHI7016</w:t>
            </w:r>
          </w:p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4E36BA" w:rsidRDefault="004E36BA" w:rsidP="0053256B">
            <w:pPr>
              <w:pStyle w:val="Heading1"/>
              <w:shd w:val="clear" w:color="auto" w:fill="FBF7F5"/>
              <w:spacing w:before="0"/>
              <w:rPr>
                <w:rFonts w:ascii="Segoe UI" w:hAnsi="Segoe UI" w:cs="Segoe UI"/>
                <w:b w:val="0"/>
                <w:bCs w:val="0"/>
                <w:color w:val="373A3C"/>
              </w:rPr>
            </w:pPr>
            <w:r w:rsidRPr="00230F35">
              <w:rPr>
                <w:sz w:val="22"/>
                <w:szCs w:val="22"/>
              </w:rPr>
              <w:t>Module title:</w:t>
            </w:r>
            <w:r>
              <w:rPr>
                <w:rFonts w:ascii="Segoe UI" w:hAnsi="Segoe UI" w:cs="Segoe UI"/>
                <w:b w:val="0"/>
                <w:bCs w:val="0"/>
                <w:color w:val="373A3C"/>
              </w:rPr>
              <w:t xml:space="preserve"> </w:t>
            </w:r>
            <w:r w:rsidRPr="004E36BA">
              <w:rPr>
                <w:rFonts w:ascii="Arial" w:hAnsi="Arial" w:cs="Arial"/>
                <w:b w:val="0"/>
                <w:bCs w:val="0"/>
                <w:color w:val="373A3C"/>
                <w:sz w:val="22"/>
                <w:szCs w:val="22"/>
              </w:rPr>
              <w:t>Studying the Medieval</w:t>
            </w:r>
            <w:r>
              <w:rPr>
                <w:b w:val="0"/>
                <w:bCs w:val="0"/>
                <w:color w:val="373A3C"/>
                <w:sz w:val="22"/>
                <w:szCs w:val="22"/>
              </w:rPr>
              <w:t xml:space="preserve"> </w:t>
            </w:r>
          </w:p>
          <w:p w:rsidR="004E36BA" w:rsidRDefault="004E36BA" w:rsidP="0053256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4E36BA" w:rsidRDefault="004E36BA" w:rsidP="0053256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:rsidR="004E36BA" w:rsidRDefault="004E36BA" w:rsidP="0053256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:rsidR="004E36BA" w:rsidRDefault="004E36BA" w:rsidP="0053256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1904910</w:t>
            </w:r>
          </w:p>
        </w:tc>
        <w:tc>
          <w:tcPr>
            <w:tcW w:w="1802" w:type="dxa"/>
          </w:tcPr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4E36BA" w:rsidRPr="00230F35" w:rsidTr="0053256B">
        <w:trPr>
          <w:trHeight w:val="1139"/>
        </w:trPr>
        <w:tc>
          <w:tcPr>
            <w:tcW w:w="8856" w:type="dxa"/>
            <w:gridSpan w:val="5"/>
          </w:tcPr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tutor:</w:t>
            </w:r>
          </w:p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Professor Jane Bruton </w:t>
            </w:r>
          </w:p>
          <w:p w:rsidR="004E36BA" w:rsidRDefault="004E36BA" w:rsidP="0053256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15</w:t>
            </w:r>
            <w:r w:rsidRPr="004E36BA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May 2020 </w:t>
            </w:r>
          </w:p>
        </w:tc>
      </w:tr>
      <w:tr w:rsidR="004E36BA" w:rsidRPr="00230F35" w:rsidTr="0053256B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:rsidR="004E36BA" w:rsidRDefault="004E36BA" w:rsidP="005325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your module has multiple submissions please indicate which piece of work this is.</w:t>
            </w:r>
          </w:p>
          <w:p w:rsidR="004E36BA" w:rsidRDefault="004E36BA" w:rsidP="0053256B">
            <w:pPr>
              <w:rPr>
                <w:rFonts w:ascii="Arial" w:hAnsi="Arial" w:cs="Arial"/>
              </w:rPr>
            </w:pPr>
          </w:p>
          <w:p w:rsidR="004E36BA" w:rsidRPr="00230F35" w:rsidRDefault="004E36BA" w:rsidP="0053256B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1</w:t>
            </w:r>
            <w:r w:rsidRPr="00230F35">
              <w:rPr>
                <w:rFonts w:ascii="Arial" w:hAnsi="Arial" w:cs="Arial"/>
                <w:vertAlign w:val="superscript"/>
              </w:rPr>
              <w:t xml:space="preserve">st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0"/>
            <w:r w:rsidRPr="00230F35">
              <w:rPr>
                <w:rFonts w:ascii="Arial" w:hAnsi="Arial" w:cs="Arial"/>
              </w:rPr>
              <w:t xml:space="preserve">    2</w:t>
            </w:r>
            <w:r w:rsidRPr="00230F35">
              <w:rPr>
                <w:rFonts w:ascii="Arial" w:hAnsi="Arial" w:cs="Arial"/>
                <w:vertAlign w:val="superscript"/>
              </w:rPr>
              <w:t>nd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1"/>
            <w:r w:rsidRPr="00230F35">
              <w:rPr>
                <w:rFonts w:ascii="Arial" w:hAnsi="Arial" w:cs="Arial"/>
              </w:rPr>
              <w:t xml:space="preserve">     3</w:t>
            </w:r>
            <w:r w:rsidRPr="00230F35">
              <w:rPr>
                <w:rFonts w:ascii="Arial" w:hAnsi="Arial" w:cs="Arial"/>
                <w:vertAlign w:val="superscript"/>
              </w:rPr>
              <w:t>rd</w:t>
            </w:r>
            <w:r w:rsidRPr="00230F35">
              <w:rPr>
                <w:rFonts w:ascii="Arial" w:hAnsi="Arial" w:cs="Arial"/>
              </w:rPr>
              <w:t xml:space="preserve">  </w:t>
            </w:r>
            <w:bookmarkStart w:id="2" w:name="Check15"/>
            <w:r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  <w:bookmarkEnd w:id="2"/>
            <w:r w:rsidRPr="00230F35">
              <w:rPr>
                <w:rFonts w:ascii="Arial" w:hAnsi="Arial" w:cs="Arial"/>
              </w:rPr>
              <w:t xml:space="preserve">      4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3"/>
            <w:r w:rsidRPr="00230F35">
              <w:rPr>
                <w:rFonts w:ascii="Arial" w:hAnsi="Arial" w:cs="Arial"/>
              </w:rPr>
              <w:t xml:space="preserve">      5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4"/>
            <w:r w:rsidRPr="00230F35">
              <w:rPr>
                <w:rFonts w:ascii="Arial" w:hAnsi="Arial" w:cs="Arial"/>
              </w:rPr>
              <w:t xml:space="preserve">      6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4E36BA" w:rsidRPr="00230F35" w:rsidTr="0053256B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:rsidR="004E36BA" w:rsidRDefault="004E36BA" w:rsidP="0053256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Signed </w:t>
            </w:r>
            <w:r w:rsidRPr="004E36BA">
              <w:rPr>
                <w:rFonts w:ascii="Arial" w:hAnsi="Arial" w:cs="Arial"/>
                <w:i/>
                <w:sz w:val="22"/>
                <w:szCs w:val="22"/>
              </w:rPr>
              <w:t>Jon Burwell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E36BA" w:rsidRDefault="004E36BA" w:rsidP="0053256B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</w:rPr>
              <w:t>Email submission:</w:t>
            </w:r>
            <w:r>
              <w:rPr>
                <w:rFonts w:ascii="Calibri" w:hAnsi="Calibri" w:cs="Tahoma"/>
                <w:b/>
              </w:rPr>
              <w:t xml:space="preserve"> if you are submitting this form via email, please tick this box </w:t>
            </w:r>
            <w:r>
              <w:rPr>
                <w:rFonts w:ascii="Calibri" w:hAnsi="Calibri" w:cs="Calibri"/>
                <w:b/>
                <w:sz w:val="44"/>
                <w:szCs w:val="44"/>
              </w:rPr>
              <w:t>x</w:t>
            </w:r>
          </w:p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</w:rPr>
              <w:t>(as a substitute for your signature) to confirm that you agree to the above declaration.</w:t>
            </w:r>
          </w:p>
        </w:tc>
      </w:tr>
      <w:tr w:rsidR="004E36BA" w:rsidRPr="00230F35" w:rsidTr="0053256B">
        <w:trPr>
          <w:trHeight w:val="3972"/>
        </w:trPr>
        <w:tc>
          <w:tcPr>
            <w:tcW w:w="8856" w:type="dxa"/>
            <w:gridSpan w:val="5"/>
          </w:tcPr>
          <w:p w:rsidR="004E36BA" w:rsidRDefault="004E36BA" w:rsidP="0053256B">
            <w:pPr>
              <w:rPr>
                <w:rFonts w:ascii="Arial" w:hAnsi="Arial"/>
                <w:b/>
              </w:rPr>
            </w:pPr>
          </w:p>
          <w:p w:rsidR="004E36BA" w:rsidRPr="00116CE6" w:rsidRDefault="004E36BA" w:rsidP="0053256B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6970"/>
              <w:gridCol w:w="1660"/>
            </w:tblGrid>
            <w:tr w:rsidR="004E36BA" w:rsidRPr="00116CE6" w:rsidTr="0053256B">
              <w:tc>
                <w:tcPr>
                  <w:tcW w:w="6970" w:type="dxa"/>
                </w:tcPr>
                <w:p w:rsidR="004E36BA" w:rsidRPr="00116CE6" w:rsidRDefault="004E36BA" w:rsidP="0053256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4E36BA" w:rsidRPr="00116CE6" w:rsidRDefault="004E36BA" w:rsidP="0053256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:rsidR="004E36BA" w:rsidRPr="00116CE6" w:rsidRDefault="004E36BA" w:rsidP="0053256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4E36BA" w:rsidRPr="00116CE6" w:rsidTr="0053256B">
              <w:tc>
                <w:tcPr>
                  <w:tcW w:w="6970" w:type="dxa"/>
                </w:tcPr>
                <w:p w:rsidR="004E36BA" w:rsidRPr="00116CE6" w:rsidRDefault="004E36BA" w:rsidP="0053256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4E36BA" w:rsidRPr="00116CE6" w:rsidRDefault="004E36BA" w:rsidP="0053256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:rsidR="004E36BA" w:rsidRPr="00116CE6" w:rsidRDefault="004E36BA" w:rsidP="0053256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4E36BA" w:rsidRPr="00116CE6" w:rsidTr="0053256B">
              <w:tc>
                <w:tcPr>
                  <w:tcW w:w="6970" w:type="dxa"/>
                </w:tcPr>
                <w:p w:rsidR="004E36BA" w:rsidRPr="00116CE6" w:rsidRDefault="004E36BA" w:rsidP="0053256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4E36BA" w:rsidRPr="00116CE6" w:rsidRDefault="004E36BA" w:rsidP="0053256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:rsidR="004E36BA" w:rsidRPr="00116CE6" w:rsidRDefault="004E36BA" w:rsidP="0053256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4E36BA" w:rsidRPr="00116CE6" w:rsidTr="0053256B">
              <w:tc>
                <w:tcPr>
                  <w:tcW w:w="6970" w:type="dxa"/>
                </w:tcPr>
                <w:p w:rsidR="004E36BA" w:rsidRDefault="004E36BA" w:rsidP="0053256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4E36BA" w:rsidRPr="00022345" w:rsidRDefault="004E36BA" w:rsidP="0053256B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:rsidR="004E36BA" w:rsidRPr="00116CE6" w:rsidRDefault="004E36BA" w:rsidP="0053256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:rsidR="004E36BA" w:rsidRPr="00116CE6" w:rsidRDefault="004E36BA" w:rsidP="0053256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:rsidR="004E36BA" w:rsidRDefault="004E36BA" w:rsidP="0053256B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:rsidR="004E36BA" w:rsidRDefault="004E36BA" w:rsidP="0053256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BA" w:rsidRDefault="004E36BA" w:rsidP="0053256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BA" w:rsidRDefault="004E36BA" w:rsidP="0053256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BA" w:rsidRDefault="004E36BA" w:rsidP="0053256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BA" w:rsidRDefault="004E36BA" w:rsidP="0053256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:rsidR="004E36BA" w:rsidRDefault="004E36BA" w:rsidP="0053256B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4E36BA" w:rsidRPr="00001C3B" w:rsidRDefault="004E36BA" w:rsidP="0053256B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36BA" w:rsidRPr="00230F35" w:rsidTr="0053256B">
        <w:trPr>
          <w:trHeight w:val="492"/>
        </w:trPr>
        <w:tc>
          <w:tcPr>
            <w:tcW w:w="6768" w:type="dxa"/>
            <w:gridSpan w:val="3"/>
          </w:tcPr>
          <w:p w:rsidR="004E36BA" w:rsidRPr="00230F35" w:rsidRDefault="004E36BA" w:rsidP="0053256B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:rsidR="004E36BA" w:rsidRPr="00230F35" w:rsidRDefault="004E36BA" w:rsidP="0053256B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4E36BA" w:rsidRPr="002F467C" w:rsidTr="0053256B">
        <w:tc>
          <w:tcPr>
            <w:tcW w:w="8856" w:type="dxa"/>
            <w:gridSpan w:val="5"/>
          </w:tcPr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E36BA" w:rsidRPr="002F467C" w:rsidTr="0053256B">
        <w:trPr>
          <w:trHeight w:val="720"/>
        </w:trPr>
        <w:tc>
          <w:tcPr>
            <w:tcW w:w="5211" w:type="dxa"/>
            <w:gridSpan w:val="2"/>
          </w:tcPr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4E36BA" w:rsidRPr="002F467C" w:rsidTr="0053256B">
        <w:trPr>
          <w:trHeight w:val="720"/>
        </w:trPr>
        <w:tc>
          <w:tcPr>
            <w:tcW w:w="8856" w:type="dxa"/>
            <w:gridSpan w:val="5"/>
          </w:tcPr>
          <w:p w:rsidR="004E36BA" w:rsidRPr="00B34964" w:rsidRDefault="004E36BA" w:rsidP="0053256B">
            <w:pPr>
              <w:rPr>
                <w:rFonts w:ascii="Arial" w:hAnsi="Arial" w:cs="Arial"/>
                <w:b/>
              </w:rPr>
            </w:pPr>
            <w:r w:rsidRPr="00B34964">
              <w:rPr>
                <w:rFonts w:ascii="Arial" w:hAnsi="Arial" w:cs="Arial"/>
                <w:b/>
              </w:rPr>
              <w:t>External Examiner’s comments (if relevant)</w:t>
            </w:r>
          </w:p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4E36BA" w:rsidRPr="00230F35" w:rsidRDefault="004E36BA" w:rsidP="0053256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E36BA" w:rsidRPr="002F467C" w:rsidTr="0053256B">
        <w:trPr>
          <w:trHeight w:val="720"/>
        </w:trPr>
        <w:tc>
          <w:tcPr>
            <w:tcW w:w="5211" w:type="dxa"/>
            <w:gridSpan w:val="2"/>
          </w:tcPr>
          <w:p w:rsidR="004E36BA" w:rsidRPr="00230F35" w:rsidRDefault="004E36BA" w:rsidP="0053256B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:rsidR="004E36BA" w:rsidRPr="00230F35" w:rsidRDefault="004E36BA" w:rsidP="0053256B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Date:</w:t>
            </w:r>
          </w:p>
        </w:tc>
      </w:tr>
    </w:tbl>
    <w:p w:rsidR="0035769B" w:rsidRPr="007937D1" w:rsidRDefault="0035769B" w:rsidP="002653E6">
      <w:pPr>
        <w:tabs>
          <w:tab w:val="left" w:pos="0"/>
        </w:tabs>
        <w:suppressAutoHyphens/>
        <w:rPr>
          <w:rFonts w:ascii="Arial" w:hAnsi="Arial" w:cs="Arial"/>
          <w:b/>
          <w:spacing w:val="-3"/>
          <w:sz w:val="20"/>
          <w:szCs w:val="20"/>
        </w:rPr>
      </w:pPr>
    </w:p>
    <w:p w:rsidR="007937D1" w:rsidRDefault="007937D1" w:rsidP="007937D1">
      <w:pPr>
        <w:jc w:val="center"/>
        <w:rPr>
          <w:rFonts w:ascii="Arial" w:hAnsi="Arial" w:cs="Arial"/>
          <w:b/>
          <w:i/>
          <w:sz w:val="20"/>
          <w:szCs w:val="20"/>
        </w:rPr>
      </w:pPr>
      <w:r w:rsidRPr="007937D1">
        <w:rPr>
          <w:rFonts w:ascii="Arial" w:hAnsi="Arial" w:cs="Arial"/>
          <w:b/>
          <w:i/>
          <w:sz w:val="20"/>
          <w:szCs w:val="20"/>
        </w:rPr>
        <w:lastRenderedPageBreak/>
        <w:t>AHHI7016 Part Three</w:t>
      </w:r>
      <w:r>
        <w:rPr>
          <w:rFonts w:ascii="Arial" w:hAnsi="Arial" w:cs="Arial"/>
          <w:b/>
          <w:i/>
          <w:sz w:val="20"/>
          <w:szCs w:val="20"/>
        </w:rPr>
        <w:t>:</w:t>
      </w:r>
    </w:p>
    <w:p w:rsidR="0035769B" w:rsidRPr="007937D1" w:rsidRDefault="00EB5E9D" w:rsidP="007937D1">
      <w:pPr>
        <w:jc w:val="center"/>
        <w:rPr>
          <w:rFonts w:ascii="Arial" w:hAnsi="Arial" w:cs="Arial"/>
          <w:color w:val="000080"/>
          <w:sz w:val="20"/>
          <w:szCs w:val="20"/>
        </w:rPr>
      </w:pPr>
      <w:r w:rsidRPr="007937D1">
        <w:rPr>
          <w:rFonts w:ascii="Arial" w:hAnsi="Arial"/>
          <w:b/>
          <w:spacing w:val="-3"/>
          <w:sz w:val="20"/>
          <w:szCs w:val="20"/>
        </w:rPr>
        <w:t>Commentary on</w:t>
      </w:r>
      <w:r w:rsidR="0035769B" w:rsidRPr="007937D1">
        <w:rPr>
          <w:rFonts w:ascii="Arial" w:hAnsi="Arial"/>
          <w:b/>
          <w:spacing w:val="-3"/>
          <w:sz w:val="20"/>
          <w:szCs w:val="20"/>
        </w:rPr>
        <w:t xml:space="preserve"> the significant features of </w:t>
      </w:r>
      <w:r w:rsidR="007937D1" w:rsidRPr="007937D1">
        <w:rPr>
          <w:rFonts w:ascii="Arial" w:hAnsi="Arial"/>
          <w:b/>
          <w:spacing w:val="-3"/>
          <w:sz w:val="20"/>
          <w:szCs w:val="20"/>
        </w:rPr>
        <w:t>the</w:t>
      </w:r>
      <w:r w:rsidR="00C5778B" w:rsidRPr="007937D1">
        <w:rPr>
          <w:rFonts w:ascii="Arial" w:hAnsi="Arial"/>
          <w:b/>
          <w:spacing w:val="-3"/>
          <w:sz w:val="20"/>
          <w:szCs w:val="20"/>
        </w:rPr>
        <w:t xml:space="preserve"> 814 Capitulary to the Jews</w:t>
      </w:r>
    </w:p>
    <w:p w:rsidR="00990D28" w:rsidRDefault="00990D28" w:rsidP="00EB5E9D">
      <w:pPr>
        <w:pStyle w:val="ListParagraph"/>
        <w:tabs>
          <w:tab w:val="left" w:pos="0"/>
        </w:tabs>
        <w:suppressAutoHyphens/>
        <w:spacing w:after="0" w:line="240" w:lineRule="auto"/>
        <w:ind w:left="0"/>
        <w:jc w:val="center"/>
        <w:rPr>
          <w:rFonts w:ascii="Arial" w:hAnsi="Arial"/>
          <w:spacing w:val="-3"/>
          <w:sz w:val="20"/>
          <w:szCs w:val="20"/>
        </w:rPr>
      </w:pPr>
    </w:p>
    <w:p w:rsidR="00990D28" w:rsidRDefault="00990D28" w:rsidP="00EB5E9D">
      <w:pPr>
        <w:pStyle w:val="ListParagraph"/>
        <w:tabs>
          <w:tab w:val="left" w:pos="0"/>
        </w:tabs>
        <w:suppressAutoHyphens/>
        <w:spacing w:after="0" w:line="240" w:lineRule="auto"/>
        <w:ind w:left="0"/>
        <w:jc w:val="center"/>
        <w:rPr>
          <w:rFonts w:ascii="Arial" w:hAnsi="Arial"/>
          <w:spacing w:val="-3"/>
          <w:sz w:val="20"/>
          <w:szCs w:val="20"/>
        </w:rPr>
      </w:pPr>
    </w:p>
    <w:p w:rsidR="00BB3A17" w:rsidRPr="00AF7013" w:rsidRDefault="00BB3A17" w:rsidP="00EB5E9D">
      <w:pPr>
        <w:pStyle w:val="ListParagraph"/>
        <w:tabs>
          <w:tab w:val="left" w:pos="0"/>
        </w:tabs>
        <w:suppressAutoHyphens/>
        <w:spacing w:after="0" w:line="240" w:lineRule="auto"/>
        <w:ind w:left="0"/>
        <w:jc w:val="center"/>
        <w:rPr>
          <w:rFonts w:ascii="Arial" w:hAnsi="Arial"/>
          <w:spacing w:val="-3"/>
          <w:sz w:val="20"/>
          <w:szCs w:val="20"/>
        </w:rPr>
      </w:pPr>
    </w:p>
    <w:p w:rsidR="00990D28" w:rsidRPr="00AF7013" w:rsidRDefault="00127A8B" w:rsidP="00990D28">
      <w:pPr>
        <w:pStyle w:val="ListParagraph"/>
        <w:tabs>
          <w:tab w:val="left" w:pos="0"/>
        </w:tabs>
        <w:suppressAutoHyphens/>
        <w:spacing w:after="0" w:line="360" w:lineRule="auto"/>
        <w:ind w:left="0"/>
        <w:jc w:val="both"/>
        <w:rPr>
          <w:rFonts w:ascii="Arial" w:hAnsi="Arial"/>
          <w:sz w:val="20"/>
          <w:szCs w:val="20"/>
        </w:rPr>
      </w:pPr>
      <w:r w:rsidRPr="00AF7013">
        <w:rPr>
          <w:rFonts w:ascii="Arial" w:hAnsi="Arial"/>
          <w:sz w:val="20"/>
          <w:szCs w:val="20"/>
        </w:rPr>
        <w:t>T</w:t>
      </w:r>
      <w:r w:rsidR="003E7D4F" w:rsidRPr="00AF7013">
        <w:rPr>
          <w:rFonts w:ascii="Arial" w:hAnsi="Arial"/>
          <w:sz w:val="20"/>
          <w:szCs w:val="20"/>
        </w:rPr>
        <w:t>he ‘Capituary for the Jews’</w:t>
      </w:r>
      <w:r w:rsidRPr="00AF7013">
        <w:rPr>
          <w:rFonts w:ascii="Arial" w:hAnsi="Arial"/>
          <w:sz w:val="20"/>
          <w:szCs w:val="20"/>
        </w:rPr>
        <w:t>,</w:t>
      </w:r>
      <w:r w:rsidR="003E7D4F" w:rsidRPr="00AF7013">
        <w:rPr>
          <w:rFonts w:ascii="Arial" w:hAnsi="Arial"/>
          <w:sz w:val="20"/>
          <w:szCs w:val="20"/>
        </w:rPr>
        <w:t xml:space="preserve"> or ‘Capitula de Judaesis’ in its original Latin</w:t>
      </w:r>
      <w:r w:rsidRPr="00AF7013">
        <w:rPr>
          <w:rFonts w:ascii="Arial" w:hAnsi="Arial"/>
          <w:sz w:val="20"/>
          <w:szCs w:val="20"/>
        </w:rPr>
        <w:t>,</w:t>
      </w:r>
      <w:r w:rsidR="00990D28" w:rsidRPr="00AF7013">
        <w:rPr>
          <w:rFonts w:ascii="Arial" w:hAnsi="Arial"/>
          <w:sz w:val="20"/>
          <w:szCs w:val="20"/>
        </w:rPr>
        <w:t xml:space="preserve"> is an early Carolingian edict outlining prohibition against Jew</w:t>
      </w:r>
      <w:r w:rsidR="00E47F85">
        <w:rPr>
          <w:rFonts w:ascii="Arial" w:hAnsi="Arial"/>
          <w:sz w:val="20"/>
          <w:szCs w:val="20"/>
        </w:rPr>
        <w:t>ish people engaging in commerce</w:t>
      </w:r>
      <w:r w:rsidR="00990D28" w:rsidRPr="00AF7013">
        <w:rPr>
          <w:rFonts w:ascii="Arial" w:hAnsi="Arial"/>
          <w:sz w:val="20"/>
          <w:szCs w:val="20"/>
        </w:rPr>
        <w:t xml:space="preserve"> or the practice of money lending, along with decreed punishments for its infraction. Whilst initially presenting as divisive an</w:t>
      </w:r>
      <w:r w:rsidR="00E93823" w:rsidRPr="00AF7013">
        <w:rPr>
          <w:rFonts w:ascii="Arial" w:hAnsi="Arial"/>
          <w:sz w:val="20"/>
          <w:szCs w:val="20"/>
        </w:rPr>
        <w:t>d</w:t>
      </w:r>
      <w:r w:rsidR="00990D28" w:rsidRPr="00AF7013">
        <w:rPr>
          <w:rFonts w:ascii="Arial" w:hAnsi="Arial"/>
          <w:sz w:val="20"/>
          <w:szCs w:val="20"/>
        </w:rPr>
        <w:t xml:space="preserve"> anti-</w:t>
      </w:r>
      <w:r w:rsidR="00111C12" w:rsidRPr="00AF7013">
        <w:rPr>
          <w:rFonts w:ascii="Arial" w:hAnsi="Arial"/>
          <w:sz w:val="20"/>
          <w:szCs w:val="20"/>
        </w:rPr>
        <w:t>Semitic,</w:t>
      </w:r>
      <w:r w:rsidR="00E93823" w:rsidRPr="00AF7013">
        <w:rPr>
          <w:rFonts w:ascii="Arial" w:hAnsi="Arial"/>
          <w:sz w:val="20"/>
          <w:szCs w:val="20"/>
        </w:rPr>
        <w:t xml:space="preserve"> it is proposed that</w:t>
      </w:r>
      <w:r w:rsidRPr="00AF7013">
        <w:rPr>
          <w:rFonts w:ascii="Arial" w:hAnsi="Arial"/>
          <w:sz w:val="20"/>
          <w:szCs w:val="20"/>
        </w:rPr>
        <w:t xml:space="preserve"> instead,</w:t>
      </w:r>
      <w:r w:rsidR="00E93823" w:rsidRPr="00AF7013">
        <w:rPr>
          <w:rFonts w:ascii="Arial" w:hAnsi="Arial"/>
          <w:sz w:val="20"/>
          <w:szCs w:val="20"/>
        </w:rPr>
        <w:t xml:space="preserve"> the </w:t>
      </w:r>
      <w:r w:rsidR="00111C12" w:rsidRPr="00AF7013">
        <w:rPr>
          <w:rFonts w:ascii="Arial" w:hAnsi="Arial"/>
          <w:sz w:val="20"/>
          <w:szCs w:val="20"/>
        </w:rPr>
        <w:t>capitulary illustrates</w:t>
      </w:r>
      <w:r w:rsidR="00E93823" w:rsidRPr="00AF7013">
        <w:rPr>
          <w:rFonts w:ascii="Arial" w:hAnsi="Arial"/>
          <w:sz w:val="20"/>
          <w:szCs w:val="20"/>
        </w:rPr>
        <w:t xml:space="preserve"> a break with Roman Empire precedent in establishing a near</w:t>
      </w:r>
      <w:r w:rsidR="00111C12" w:rsidRPr="00AF7013">
        <w:rPr>
          <w:rFonts w:ascii="Arial" w:hAnsi="Arial"/>
          <w:sz w:val="20"/>
          <w:szCs w:val="20"/>
        </w:rPr>
        <w:t>er</w:t>
      </w:r>
      <w:r w:rsidR="00E93823" w:rsidRPr="00AF7013">
        <w:rPr>
          <w:rFonts w:ascii="Arial" w:hAnsi="Arial"/>
          <w:sz w:val="20"/>
          <w:szCs w:val="20"/>
        </w:rPr>
        <w:t xml:space="preserve"> parity of rights and responsibilities for Jews under Charlemagne and his successor, Louis the Pious. </w:t>
      </w:r>
    </w:p>
    <w:p w:rsidR="00B51604" w:rsidRPr="00AF7013" w:rsidRDefault="00B51604" w:rsidP="00990D28">
      <w:pPr>
        <w:pStyle w:val="ListParagraph"/>
        <w:tabs>
          <w:tab w:val="left" w:pos="0"/>
        </w:tabs>
        <w:suppressAutoHyphens/>
        <w:spacing w:after="0" w:line="360" w:lineRule="auto"/>
        <w:ind w:left="0"/>
        <w:jc w:val="both"/>
        <w:rPr>
          <w:rFonts w:ascii="Arial" w:hAnsi="Arial"/>
          <w:sz w:val="20"/>
          <w:szCs w:val="20"/>
        </w:rPr>
      </w:pPr>
    </w:p>
    <w:p w:rsidR="00E93823" w:rsidRPr="00AF7013" w:rsidRDefault="00E93823" w:rsidP="00773A7D">
      <w:pPr>
        <w:pStyle w:val="ListParagraph"/>
        <w:tabs>
          <w:tab w:val="left" w:pos="0"/>
        </w:tabs>
        <w:suppressAutoHyphens/>
        <w:spacing w:after="0" w:line="240" w:lineRule="auto"/>
        <w:ind w:left="0"/>
        <w:jc w:val="both"/>
        <w:rPr>
          <w:rFonts w:ascii="Arial" w:hAnsi="Arial"/>
          <w:spacing w:val="-3"/>
          <w:sz w:val="20"/>
          <w:szCs w:val="20"/>
        </w:rPr>
      </w:pPr>
    </w:p>
    <w:p w:rsidR="00E93823" w:rsidRPr="00AF7013" w:rsidRDefault="00A313B6" w:rsidP="00BE220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7013">
        <w:rPr>
          <w:rFonts w:ascii="Arial" w:hAnsi="Arial" w:cs="Arial"/>
          <w:color w:val="181818"/>
          <w:spacing w:val="10"/>
          <w:sz w:val="20"/>
          <w:szCs w:val="20"/>
          <w:shd w:val="clear" w:color="auto" w:fill="FFFFFF"/>
        </w:rPr>
        <w:t xml:space="preserve">Charlemagne (c.742-814), also </w:t>
      </w:r>
      <w:r w:rsidR="00111C12" w:rsidRPr="00AF7013">
        <w:rPr>
          <w:rFonts w:ascii="Arial" w:hAnsi="Arial" w:cs="Arial"/>
          <w:color w:val="181818"/>
          <w:spacing w:val="10"/>
          <w:sz w:val="20"/>
          <w:szCs w:val="20"/>
          <w:shd w:val="clear" w:color="auto" w:fill="FFFFFF"/>
        </w:rPr>
        <w:t>known as</w:t>
      </w:r>
      <w:r w:rsidRPr="00AF7013">
        <w:rPr>
          <w:rFonts w:ascii="Arial" w:hAnsi="Arial" w:cs="Arial"/>
          <w:color w:val="181818"/>
          <w:spacing w:val="10"/>
          <w:sz w:val="20"/>
          <w:szCs w:val="20"/>
          <w:shd w:val="clear" w:color="auto" w:fill="FFFFFF"/>
        </w:rPr>
        <w:t xml:space="preserve"> Karl and Charles ‘the Great’</w:t>
      </w:r>
      <w:r w:rsidR="00127A8B" w:rsidRPr="00AF7013">
        <w:rPr>
          <w:rFonts w:ascii="Arial" w:hAnsi="Arial" w:cs="Arial"/>
          <w:color w:val="181818"/>
          <w:spacing w:val="10"/>
          <w:sz w:val="20"/>
          <w:szCs w:val="20"/>
          <w:shd w:val="clear" w:color="auto" w:fill="FFFFFF"/>
        </w:rPr>
        <w:t>)</w:t>
      </w:r>
      <w:r w:rsidR="00903F85" w:rsidRPr="00AF7013">
        <w:rPr>
          <w:rFonts w:ascii="Arial" w:hAnsi="Arial" w:cs="Arial"/>
          <w:color w:val="181818"/>
          <w:spacing w:val="10"/>
          <w:sz w:val="20"/>
          <w:szCs w:val="20"/>
          <w:shd w:val="clear" w:color="auto" w:fill="FFFFFF"/>
        </w:rPr>
        <w:t>, was the</w:t>
      </w:r>
      <w:r w:rsidR="00111C12" w:rsidRPr="00AF7013">
        <w:rPr>
          <w:rFonts w:ascii="Arial" w:hAnsi="Arial" w:cs="Arial"/>
          <w:color w:val="181818"/>
          <w:spacing w:val="10"/>
          <w:sz w:val="20"/>
          <w:szCs w:val="20"/>
          <w:shd w:val="clear" w:color="auto" w:fill="FFFFFF"/>
        </w:rPr>
        <w:t xml:space="preserve"> </w:t>
      </w:r>
      <w:r w:rsidRPr="00AF7013">
        <w:rPr>
          <w:rFonts w:ascii="Arial" w:hAnsi="Arial" w:cs="Arial"/>
          <w:color w:val="181818"/>
          <w:spacing w:val="10"/>
          <w:sz w:val="20"/>
          <w:szCs w:val="20"/>
          <w:shd w:val="clear" w:color="auto" w:fill="FFFFFF"/>
        </w:rPr>
        <w:t xml:space="preserve">emperor of </w:t>
      </w:r>
      <w:r w:rsidR="00903F85" w:rsidRPr="00AF7013">
        <w:rPr>
          <w:rFonts w:ascii="Arial" w:hAnsi="Arial" w:cs="Arial"/>
          <w:color w:val="181818"/>
          <w:spacing w:val="10"/>
          <w:sz w:val="20"/>
          <w:szCs w:val="20"/>
          <w:shd w:val="clear" w:color="auto" w:fill="FFFFFF"/>
        </w:rPr>
        <w:t xml:space="preserve">much of </w:t>
      </w:r>
      <w:r w:rsidRPr="00AF7013">
        <w:rPr>
          <w:rFonts w:ascii="Arial" w:hAnsi="Arial" w:cs="Arial"/>
          <w:color w:val="181818"/>
          <w:spacing w:val="10"/>
          <w:sz w:val="20"/>
          <w:szCs w:val="20"/>
          <w:shd w:val="clear" w:color="auto" w:fill="FFFFFF"/>
        </w:rPr>
        <w:t xml:space="preserve">Western Europe </w:t>
      </w:r>
      <w:r w:rsidR="00405DB0" w:rsidRPr="00AF7013">
        <w:rPr>
          <w:rFonts w:ascii="Arial" w:hAnsi="Arial" w:cs="Arial"/>
          <w:color w:val="181818"/>
          <w:spacing w:val="10"/>
          <w:sz w:val="20"/>
          <w:szCs w:val="20"/>
          <w:shd w:val="clear" w:color="auto" w:fill="FFFFFF"/>
        </w:rPr>
        <w:t xml:space="preserve">from </w:t>
      </w:r>
      <w:r w:rsidRPr="00AF7013">
        <w:rPr>
          <w:rFonts w:ascii="Arial" w:hAnsi="Arial" w:cs="Arial"/>
          <w:color w:val="181818"/>
          <w:spacing w:val="10"/>
          <w:sz w:val="20"/>
          <w:szCs w:val="20"/>
          <w:shd w:val="clear" w:color="auto" w:fill="FFFFFF"/>
        </w:rPr>
        <w:t>768</w:t>
      </w:r>
      <w:r w:rsidR="00FF207B" w:rsidRPr="00AF7013">
        <w:rPr>
          <w:rFonts w:ascii="Arial" w:hAnsi="Arial" w:cs="Arial"/>
          <w:sz w:val="20"/>
          <w:szCs w:val="20"/>
        </w:rPr>
        <w:t>.</w:t>
      </w:r>
      <w:r w:rsidR="002653E6" w:rsidRPr="00AF7013">
        <w:rPr>
          <w:rStyle w:val="FootnoteReference"/>
          <w:rFonts w:ascii="Arial" w:hAnsi="Arial" w:cs="Arial"/>
          <w:sz w:val="20"/>
          <w:szCs w:val="20"/>
        </w:rPr>
        <w:footnoteReference w:id="2"/>
      </w:r>
      <w:r w:rsidR="00FE40F1" w:rsidRPr="00AF7013">
        <w:rPr>
          <w:rFonts w:ascii="Arial" w:hAnsi="Arial" w:cs="Arial"/>
          <w:sz w:val="20"/>
          <w:szCs w:val="20"/>
        </w:rPr>
        <w:t>Following the 5</w:t>
      </w:r>
      <w:r w:rsidR="00FE40F1" w:rsidRPr="00AF7013">
        <w:rPr>
          <w:rFonts w:ascii="Arial" w:hAnsi="Arial" w:cs="Arial"/>
          <w:sz w:val="20"/>
          <w:szCs w:val="20"/>
          <w:vertAlign w:val="superscript"/>
        </w:rPr>
        <w:t>th</w:t>
      </w:r>
      <w:r w:rsidR="00FE40F1" w:rsidRPr="00AF7013">
        <w:rPr>
          <w:rFonts w:ascii="Arial" w:hAnsi="Arial" w:cs="Arial"/>
          <w:sz w:val="20"/>
          <w:szCs w:val="20"/>
        </w:rPr>
        <w:t xml:space="preserve"> Century disintegration of the Western Roman Empire, Charlemagne’s pivotal position as t</w:t>
      </w:r>
      <w:r w:rsidR="003E7D4F" w:rsidRPr="00AF7013">
        <w:rPr>
          <w:rFonts w:ascii="Arial" w:hAnsi="Arial" w:cs="Arial"/>
          <w:sz w:val="20"/>
          <w:szCs w:val="20"/>
        </w:rPr>
        <w:t xml:space="preserve">he re-unifier of Western Europe, </w:t>
      </w:r>
      <w:r w:rsidR="00FE40F1" w:rsidRPr="00AF7013">
        <w:rPr>
          <w:rFonts w:ascii="Arial" w:hAnsi="Arial" w:cs="Arial"/>
          <w:sz w:val="20"/>
          <w:szCs w:val="20"/>
        </w:rPr>
        <w:t>no less than ‘Pater Europe’ (‘Father of Europe’)</w:t>
      </w:r>
      <w:r w:rsidR="00111C12" w:rsidRPr="00AF7013">
        <w:rPr>
          <w:rFonts w:ascii="Arial" w:hAnsi="Arial" w:cs="Arial"/>
          <w:sz w:val="20"/>
          <w:szCs w:val="20"/>
        </w:rPr>
        <w:t xml:space="preserve"> </w:t>
      </w:r>
      <w:r w:rsidR="00FE40F1" w:rsidRPr="00AF7013">
        <w:rPr>
          <w:rFonts w:ascii="Arial" w:hAnsi="Arial" w:cs="Arial"/>
          <w:sz w:val="20"/>
          <w:szCs w:val="20"/>
        </w:rPr>
        <w:t>led to all ‘capitularies’ bec</w:t>
      </w:r>
      <w:r w:rsidR="00B51604" w:rsidRPr="00AF7013">
        <w:rPr>
          <w:rFonts w:ascii="Arial" w:hAnsi="Arial" w:cs="Arial"/>
          <w:sz w:val="20"/>
          <w:szCs w:val="20"/>
        </w:rPr>
        <w:t>oming popularly synonymous</w:t>
      </w:r>
      <w:r w:rsidR="00127A8B" w:rsidRPr="00AF7013">
        <w:rPr>
          <w:rFonts w:ascii="Arial" w:hAnsi="Arial" w:cs="Arial"/>
          <w:sz w:val="20"/>
          <w:szCs w:val="20"/>
        </w:rPr>
        <w:t xml:space="preserve"> with</w:t>
      </w:r>
      <w:r w:rsidR="00B51604" w:rsidRPr="00AF7013">
        <w:rPr>
          <w:rFonts w:ascii="Arial" w:hAnsi="Arial" w:cs="Arial"/>
          <w:sz w:val="20"/>
          <w:szCs w:val="20"/>
        </w:rPr>
        <w:t xml:space="preserve"> his reign, and </w:t>
      </w:r>
      <w:r w:rsidR="00E47F85">
        <w:rPr>
          <w:rFonts w:ascii="Arial" w:hAnsi="Arial" w:cs="Arial"/>
          <w:sz w:val="20"/>
          <w:szCs w:val="20"/>
        </w:rPr>
        <w:t xml:space="preserve">to lesser extent, </w:t>
      </w:r>
      <w:r w:rsidR="00127A8B" w:rsidRPr="00AF7013">
        <w:rPr>
          <w:rFonts w:ascii="Arial" w:hAnsi="Arial" w:cs="Arial"/>
          <w:sz w:val="20"/>
          <w:szCs w:val="20"/>
        </w:rPr>
        <w:t xml:space="preserve">that </w:t>
      </w:r>
      <w:r w:rsidR="00B51604" w:rsidRPr="00AF7013">
        <w:rPr>
          <w:rFonts w:ascii="Arial" w:hAnsi="Arial" w:cs="Arial"/>
          <w:sz w:val="20"/>
          <w:szCs w:val="20"/>
        </w:rPr>
        <w:t>of his</w:t>
      </w:r>
      <w:r w:rsidR="00111C12" w:rsidRPr="00AF7013">
        <w:rPr>
          <w:rFonts w:ascii="Arial" w:hAnsi="Arial" w:cs="Arial"/>
          <w:sz w:val="20"/>
          <w:szCs w:val="20"/>
        </w:rPr>
        <w:t xml:space="preserve"> </w:t>
      </w:r>
      <w:r w:rsidR="003E7D4F" w:rsidRPr="00AF7013">
        <w:rPr>
          <w:rFonts w:ascii="Arial" w:hAnsi="Arial" w:cs="Arial"/>
          <w:sz w:val="20"/>
          <w:szCs w:val="20"/>
        </w:rPr>
        <w:t xml:space="preserve">son </w:t>
      </w:r>
      <w:r w:rsidR="00FE40F1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Louis </w:t>
      </w:r>
      <w:r w:rsidR="00B51604" w:rsidRPr="00AF7013">
        <w:rPr>
          <w:rFonts w:ascii="Arial" w:eastAsia="Times New Roman" w:hAnsi="Arial" w:cs="Arial"/>
          <w:color w:val="1A171B"/>
          <w:sz w:val="20"/>
          <w:szCs w:val="20"/>
        </w:rPr>
        <w:t>‘</w:t>
      </w:r>
      <w:r w:rsidR="00FE40F1" w:rsidRPr="00AF7013">
        <w:rPr>
          <w:rFonts w:ascii="Arial" w:eastAsia="Times New Roman" w:hAnsi="Arial" w:cs="Arial"/>
          <w:color w:val="1A171B"/>
          <w:sz w:val="20"/>
          <w:szCs w:val="20"/>
        </w:rPr>
        <w:t>the Pious</w:t>
      </w:r>
      <w:r w:rsidR="00B51604" w:rsidRPr="00AF7013">
        <w:rPr>
          <w:rFonts w:ascii="Arial" w:eastAsia="Times New Roman" w:hAnsi="Arial" w:cs="Arial"/>
          <w:color w:val="1A171B"/>
          <w:sz w:val="20"/>
          <w:szCs w:val="20"/>
        </w:rPr>
        <w:t>’</w:t>
      </w:r>
      <w:r w:rsidR="00FE40F1" w:rsidRPr="00AF7013">
        <w:rPr>
          <w:rFonts w:ascii="Arial" w:eastAsia="Times New Roman" w:hAnsi="Arial" w:cs="Arial"/>
          <w:color w:val="1A171B"/>
          <w:sz w:val="20"/>
          <w:szCs w:val="20"/>
        </w:rPr>
        <w:t>.</w:t>
      </w:r>
      <w:r w:rsidR="00CE4678" w:rsidRPr="00AF7013">
        <w:rPr>
          <w:rStyle w:val="FootnoteReference"/>
          <w:rFonts w:ascii="Arial" w:hAnsi="Arial" w:cs="Arial"/>
          <w:sz w:val="20"/>
          <w:szCs w:val="20"/>
        </w:rPr>
        <w:footnoteReference w:id="3"/>
      </w:r>
      <w:r w:rsidR="00111C12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 </w:t>
      </w:r>
      <w:r w:rsidR="003E7D4F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This is </w:t>
      </w:r>
      <w:r w:rsidR="00127A8B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in </w:t>
      </w:r>
      <w:r w:rsidR="003E7D4F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spite of the </w:t>
      </w:r>
      <w:r w:rsidR="00FE40F1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many </w:t>
      </w:r>
      <w:r w:rsidR="00AE6EFD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capitularies </w:t>
      </w:r>
      <w:r w:rsidR="003446B5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decreed </w:t>
      </w:r>
      <w:r w:rsidR="003E7D4F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both </w:t>
      </w:r>
      <w:r w:rsidR="009755D9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before Charlemagne’s </w:t>
      </w:r>
      <w:r w:rsidR="00D977BA" w:rsidRPr="00AF7013">
        <w:rPr>
          <w:rFonts w:ascii="Arial" w:eastAsia="Times New Roman" w:hAnsi="Arial" w:cs="Arial"/>
          <w:color w:val="1A171B"/>
          <w:sz w:val="20"/>
          <w:szCs w:val="20"/>
        </w:rPr>
        <w:t>reign and followed</w:t>
      </w:r>
      <w:r w:rsidR="003446B5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 Louis’</w:t>
      </w:r>
      <w:r w:rsidR="00AE6EFD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 840 </w:t>
      </w:r>
      <w:r w:rsidR="00D704A9" w:rsidRPr="00AF7013">
        <w:rPr>
          <w:rFonts w:ascii="Arial" w:eastAsia="Times New Roman" w:hAnsi="Arial" w:cs="Arial"/>
          <w:color w:val="1A171B"/>
          <w:sz w:val="20"/>
          <w:szCs w:val="20"/>
        </w:rPr>
        <w:t>death, the</w:t>
      </w:r>
      <w:r w:rsidR="00FE40F1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 last recorded being issued in 898. </w:t>
      </w:r>
      <w:r w:rsidR="00FE40F1" w:rsidRPr="00AF7013">
        <w:rPr>
          <w:rStyle w:val="FootnoteReference"/>
          <w:rFonts w:ascii="Arial" w:hAnsi="Arial" w:cs="Arial"/>
          <w:sz w:val="20"/>
          <w:szCs w:val="20"/>
        </w:rPr>
        <w:footnoteReference w:id="4"/>
      </w:r>
    </w:p>
    <w:p w:rsidR="00B51604" w:rsidRPr="00AF7013" w:rsidRDefault="00B51604" w:rsidP="00BE220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51604" w:rsidRPr="00AF7013" w:rsidRDefault="00FE40F1" w:rsidP="00FF207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7013">
        <w:rPr>
          <w:rFonts w:ascii="Arial" w:hAnsi="Arial" w:cs="Arial"/>
          <w:sz w:val="20"/>
          <w:szCs w:val="20"/>
        </w:rPr>
        <w:t>These capitularies, so called for their division into ‘capitula’ (Latin for ‘chapters’)</w:t>
      </w:r>
      <w:r w:rsidR="00127A8B" w:rsidRPr="00AF7013">
        <w:rPr>
          <w:rFonts w:ascii="Arial" w:hAnsi="Arial" w:cs="Arial"/>
          <w:sz w:val="20"/>
          <w:szCs w:val="20"/>
        </w:rPr>
        <w:t>,</w:t>
      </w:r>
      <w:r w:rsidRPr="00AF7013">
        <w:rPr>
          <w:rFonts w:ascii="Arial" w:hAnsi="Arial" w:cs="Arial"/>
          <w:sz w:val="20"/>
          <w:szCs w:val="20"/>
        </w:rPr>
        <w:t xml:space="preserve"> were a series of diverse legislative or administrative palace decrees, disseminated throughout the Frankish </w:t>
      </w:r>
      <w:hyperlink r:id="rId9" w:tooltip="Carolingian" w:history="1">
        <w:r w:rsidRPr="00AF7013">
          <w:rPr>
            <w:rStyle w:val="Hyperlink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Carolingian</w:t>
        </w:r>
      </w:hyperlink>
      <w:r w:rsidRPr="00AF7013">
        <w:rPr>
          <w:rFonts w:ascii="Arial" w:hAnsi="Arial" w:cs="Arial"/>
          <w:sz w:val="20"/>
          <w:szCs w:val="20"/>
        </w:rPr>
        <w:t xml:space="preserve"> dynasty named after Charlemagne. </w:t>
      </w:r>
      <w:r w:rsidRPr="00AF7013">
        <w:rPr>
          <w:rStyle w:val="FootnoteReference"/>
          <w:rFonts w:ascii="Arial" w:hAnsi="Arial" w:cs="Arial"/>
          <w:sz w:val="20"/>
          <w:szCs w:val="20"/>
        </w:rPr>
        <w:footnoteReference w:id="5"/>
      </w:r>
      <w:r w:rsidR="007B2698" w:rsidRPr="00AF7013">
        <w:rPr>
          <w:rFonts w:ascii="Arial" w:hAnsi="Arial" w:cs="Arial"/>
          <w:sz w:val="20"/>
          <w:szCs w:val="20"/>
        </w:rPr>
        <w:t xml:space="preserve"> </w:t>
      </w:r>
      <w:r w:rsidR="003446B5" w:rsidRPr="00AF7013">
        <w:rPr>
          <w:rFonts w:ascii="Arial" w:hAnsi="Arial" w:cs="Arial"/>
          <w:sz w:val="20"/>
          <w:szCs w:val="20"/>
        </w:rPr>
        <w:t>Despite occasional references to a ‘palace archive’</w:t>
      </w:r>
      <w:r w:rsidR="003E7D4F" w:rsidRPr="00AF7013">
        <w:rPr>
          <w:rFonts w:ascii="Arial" w:hAnsi="Arial" w:cs="Arial"/>
          <w:sz w:val="20"/>
          <w:szCs w:val="20"/>
        </w:rPr>
        <w:t>,</w:t>
      </w:r>
      <w:r w:rsidR="003446B5" w:rsidRPr="00AF7013">
        <w:rPr>
          <w:rFonts w:ascii="Arial" w:hAnsi="Arial" w:cs="Arial"/>
          <w:sz w:val="20"/>
          <w:szCs w:val="20"/>
        </w:rPr>
        <w:t xml:space="preserve"> there is</w:t>
      </w:r>
      <w:r w:rsidR="004F47A5" w:rsidRPr="00AF7013">
        <w:rPr>
          <w:rFonts w:ascii="Arial" w:hAnsi="Arial" w:cs="Arial"/>
          <w:sz w:val="20"/>
          <w:szCs w:val="20"/>
        </w:rPr>
        <w:t xml:space="preserve"> little evidence</w:t>
      </w:r>
      <w:r w:rsidR="003446B5" w:rsidRPr="00AF7013">
        <w:rPr>
          <w:rFonts w:ascii="Arial" w:hAnsi="Arial" w:cs="Arial"/>
          <w:sz w:val="20"/>
          <w:szCs w:val="20"/>
        </w:rPr>
        <w:t xml:space="preserve"> of </w:t>
      </w:r>
      <w:r w:rsidR="003E7D4F" w:rsidRPr="00AF7013">
        <w:rPr>
          <w:rFonts w:ascii="Arial" w:hAnsi="Arial" w:cs="Arial"/>
          <w:sz w:val="20"/>
          <w:szCs w:val="20"/>
        </w:rPr>
        <w:t xml:space="preserve">an </w:t>
      </w:r>
      <w:r w:rsidR="003446B5" w:rsidRPr="00AF7013">
        <w:rPr>
          <w:rFonts w:ascii="Arial" w:hAnsi="Arial" w:cs="Arial"/>
          <w:sz w:val="20"/>
          <w:szCs w:val="20"/>
        </w:rPr>
        <w:t>authoritative single library</w:t>
      </w:r>
      <w:r w:rsidR="003E7D4F" w:rsidRPr="00AF7013">
        <w:rPr>
          <w:rFonts w:ascii="Arial" w:hAnsi="Arial" w:cs="Arial"/>
          <w:sz w:val="20"/>
          <w:szCs w:val="20"/>
        </w:rPr>
        <w:t xml:space="preserve"> ever existing</w:t>
      </w:r>
      <w:r w:rsidR="003446B5" w:rsidRPr="00AF7013">
        <w:rPr>
          <w:rFonts w:ascii="Arial" w:hAnsi="Arial" w:cs="Arial"/>
          <w:sz w:val="20"/>
          <w:szCs w:val="20"/>
        </w:rPr>
        <w:t xml:space="preserve">. </w:t>
      </w:r>
      <w:r w:rsidR="003446B5" w:rsidRPr="00AF7013">
        <w:rPr>
          <w:rStyle w:val="FootnoteReference"/>
          <w:rFonts w:ascii="Arial" w:hAnsi="Arial" w:cs="Arial"/>
          <w:sz w:val="20"/>
          <w:szCs w:val="20"/>
        </w:rPr>
        <w:footnoteReference w:id="6"/>
      </w:r>
      <w:r w:rsidR="007B2698" w:rsidRPr="00AF7013">
        <w:rPr>
          <w:rFonts w:ascii="Arial" w:hAnsi="Arial" w:cs="Arial"/>
          <w:sz w:val="20"/>
          <w:szCs w:val="20"/>
        </w:rPr>
        <w:t xml:space="preserve"> </w:t>
      </w:r>
      <w:r w:rsidR="003E7D4F" w:rsidRPr="00AF7013">
        <w:rPr>
          <w:rFonts w:ascii="Arial" w:hAnsi="Arial" w:cs="Arial"/>
          <w:sz w:val="20"/>
          <w:szCs w:val="20"/>
        </w:rPr>
        <w:t>Whilst m</w:t>
      </w:r>
      <w:r w:rsidR="00F123E3" w:rsidRPr="00AF7013">
        <w:rPr>
          <w:rFonts w:ascii="Arial" w:hAnsi="Arial" w:cs="Arial"/>
          <w:sz w:val="20"/>
          <w:szCs w:val="20"/>
        </w:rPr>
        <w:t xml:space="preserve">any </w:t>
      </w:r>
      <w:r w:rsidR="00BE2209" w:rsidRPr="00AF7013">
        <w:rPr>
          <w:rFonts w:ascii="Arial" w:hAnsi="Arial" w:cs="Arial"/>
          <w:sz w:val="20"/>
          <w:szCs w:val="20"/>
        </w:rPr>
        <w:t xml:space="preserve">of the remaining </w:t>
      </w:r>
      <w:r w:rsidR="00BE2209" w:rsidRPr="00AF7013">
        <w:rPr>
          <w:rFonts w:ascii="Arial" w:hAnsi="Arial" w:cs="Arial"/>
          <w:color w:val="373D3F"/>
          <w:sz w:val="20"/>
          <w:szCs w:val="20"/>
          <w:shd w:val="clear" w:color="auto" w:fill="FFFFFF"/>
        </w:rPr>
        <w:t>works of classical Latin</w:t>
      </w:r>
      <w:r w:rsidR="00F123E3" w:rsidRPr="00AF7013">
        <w:rPr>
          <w:rFonts w:ascii="Arial" w:hAnsi="Arial" w:cs="Arial"/>
          <w:color w:val="373D3F"/>
          <w:sz w:val="20"/>
          <w:szCs w:val="20"/>
          <w:shd w:val="clear" w:color="auto" w:fill="FFFFFF"/>
        </w:rPr>
        <w:t xml:space="preserve">, </w:t>
      </w:r>
      <w:r w:rsidR="003E7D4F" w:rsidRPr="00AF7013">
        <w:rPr>
          <w:rFonts w:ascii="Arial" w:hAnsi="Arial" w:cs="Arial"/>
          <w:color w:val="373D3F"/>
          <w:sz w:val="20"/>
          <w:szCs w:val="20"/>
          <w:shd w:val="clear" w:color="auto" w:fill="FFFFFF"/>
        </w:rPr>
        <w:t>including notable sole surviving translations of ancient texts</w:t>
      </w:r>
      <w:r w:rsidR="00127A8B" w:rsidRPr="00AF7013">
        <w:rPr>
          <w:rFonts w:ascii="Arial" w:hAnsi="Arial" w:cs="Arial"/>
          <w:color w:val="373D3F"/>
          <w:sz w:val="20"/>
          <w:szCs w:val="20"/>
          <w:shd w:val="clear" w:color="auto" w:fill="FFFFFF"/>
        </w:rPr>
        <w:t>,</w:t>
      </w:r>
      <w:r w:rsidR="00111C12" w:rsidRPr="00AF7013">
        <w:rPr>
          <w:rFonts w:ascii="Arial" w:hAnsi="Arial" w:cs="Arial"/>
          <w:color w:val="373D3F"/>
          <w:sz w:val="20"/>
          <w:szCs w:val="20"/>
          <w:shd w:val="clear" w:color="auto" w:fill="FFFFFF"/>
        </w:rPr>
        <w:t xml:space="preserve"> </w:t>
      </w:r>
      <w:r w:rsidR="00F123E3" w:rsidRPr="00AF7013">
        <w:rPr>
          <w:rFonts w:ascii="Arial" w:hAnsi="Arial" w:cs="Arial"/>
          <w:color w:val="373D3F"/>
          <w:sz w:val="20"/>
          <w:szCs w:val="20"/>
          <w:shd w:val="clear" w:color="auto" w:fill="FFFFFF"/>
        </w:rPr>
        <w:t>were</w:t>
      </w:r>
      <w:r w:rsidR="00BE2209" w:rsidRPr="00AF7013">
        <w:rPr>
          <w:rFonts w:ascii="Arial" w:hAnsi="Arial" w:cs="Arial"/>
          <w:color w:val="373D3F"/>
          <w:sz w:val="20"/>
          <w:szCs w:val="20"/>
          <w:shd w:val="clear" w:color="auto" w:fill="FFFFFF"/>
        </w:rPr>
        <w:t xml:space="preserve"> copied and preserved by Carolingian scholars</w:t>
      </w:r>
      <w:r w:rsidR="003E7D4F" w:rsidRPr="00AF7013">
        <w:rPr>
          <w:rFonts w:ascii="Arial" w:hAnsi="Arial" w:cs="Arial"/>
          <w:color w:val="373D3F"/>
          <w:sz w:val="20"/>
          <w:szCs w:val="20"/>
          <w:shd w:val="clear" w:color="auto" w:fill="FFFFFF"/>
        </w:rPr>
        <w:t xml:space="preserve">, </w:t>
      </w:r>
      <w:r w:rsidR="00A4194F" w:rsidRPr="00AF7013">
        <w:rPr>
          <w:rFonts w:ascii="Arial" w:hAnsi="Arial" w:cs="Arial"/>
          <w:color w:val="373D3F"/>
          <w:sz w:val="20"/>
          <w:szCs w:val="20"/>
          <w:shd w:val="clear" w:color="auto" w:fill="FFFFFF"/>
        </w:rPr>
        <w:t>neither</w:t>
      </w:r>
      <w:r w:rsidR="00A4194F" w:rsidRPr="00AF7013">
        <w:rPr>
          <w:rFonts w:ascii="Arial" w:hAnsi="Arial" w:cs="Arial"/>
          <w:sz w:val="20"/>
          <w:szCs w:val="20"/>
        </w:rPr>
        <w:t xml:space="preserve"> the</w:t>
      </w:r>
      <w:r w:rsidR="003E7D4F" w:rsidRPr="00AF7013">
        <w:rPr>
          <w:rFonts w:ascii="Arial" w:hAnsi="Arial" w:cs="Arial"/>
          <w:sz w:val="20"/>
          <w:szCs w:val="20"/>
        </w:rPr>
        <w:t xml:space="preserve">814 ‘Capitulary for the Jews’, </w:t>
      </w:r>
      <w:r w:rsidR="00A4194F" w:rsidRPr="00AF7013">
        <w:rPr>
          <w:rFonts w:ascii="Arial" w:hAnsi="Arial" w:cs="Arial"/>
          <w:sz w:val="20"/>
          <w:szCs w:val="20"/>
        </w:rPr>
        <w:t>nor</w:t>
      </w:r>
      <w:r w:rsidR="00F123E3" w:rsidRPr="00AF7013">
        <w:rPr>
          <w:rFonts w:ascii="Arial" w:hAnsi="Arial" w:cs="Arial"/>
          <w:sz w:val="20"/>
          <w:szCs w:val="20"/>
        </w:rPr>
        <w:t xml:space="preserve"> any other capitulary is now known to still exist in its original form</w:t>
      </w:r>
      <w:r w:rsidR="00A4194F" w:rsidRPr="00AF7013">
        <w:rPr>
          <w:rFonts w:ascii="Arial" w:hAnsi="Arial" w:cs="Arial"/>
          <w:sz w:val="20"/>
          <w:szCs w:val="20"/>
        </w:rPr>
        <w:t>.</w:t>
      </w:r>
      <w:r w:rsidR="00F123E3" w:rsidRPr="00AF7013">
        <w:rPr>
          <w:rStyle w:val="FootnoteReference"/>
          <w:rFonts w:ascii="Arial" w:hAnsi="Arial" w:cs="Arial"/>
          <w:sz w:val="20"/>
          <w:szCs w:val="20"/>
        </w:rPr>
        <w:footnoteReference w:id="7"/>
      </w:r>
    </w:p>
    <w:p w:rsidR="00111C12" w:rsidRPr="00AF7013" w:rsidRDefault="00111C12" w:rsidP="00FF207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11C12" w:rsidRPr="00AF7013" w:rsidRDefault="00111C12" w:rsidP="00FF207B">
      <w:pPr>
        <w:spacing w:line="360" w:lineRule="auto"/>
        <w:jc w:val="both"/>
        <w:rPr>
          <w:rFonts w:ascii="Arial" w:hAnsi="Arial" w:cs="Arial"/>
          <w:color w:val="373D3F"/>
          <w:sz w:val="20"/>
          <w:szCs w:val="20"/>
          <w:shd w:val="clear" w:color="auto" w:fill="FFFFFF"/>
        </w:rPr>
      </w:pPr>
    </w:p>
    <w:p w:rsidR="00990D28" w:rsidRPr="00AF7013" w:rsidRDefault="00FF207B" w:rsidP="00292A1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7013">
        <w:rPr>
          <w:rFonts w:ascii="Arial" w:hAnsi="Arial" w:cs="Arial"/>
          <w:sz w:val="20"/>
          <w:szCs w:val="20"/>
        </w:rPr>
        <w:lastRenderedPageBreak/>
        <w:t>With the final four years of Charlemagne’s life marked by poor health, he had crowned his only three legitimate male heirs</w:t>
      </w:r>
      <w:r w:rsidR="002653E6" w:rsidRPr="00AF7013">
        <w:rPr>
          <w:rFonts w:ascii="Arial" w:hAnsi="Arial" w:cs="Arial"/>
          <w:sz w:val="20"/>
          <w:szCs w:val="20"/>
        </w:rPr>
        <w:t xml:space="preserve"> as monarchs of various territories. However, </w:t>
      </w:r>
      <w:r w:rsidR="00AE6EFD" w:rsidRPr="00AF7013">
        <w:rPr>
          <w:rFonts w:ascii="Arial" w:hAnsi="Arial" w:cs="Arial"/>
          <w:sz w:val="20"/>
          <w:szCs w:val="20"/>
        </w:rPr>
        <w:t xml:space="preserve">only </w:t>
      </w:r>
      <w:r w:rsidRPr="00AF7013">
        <w:rPr>
          <w:rFonts w:ascii="Arial" w:hAnsi="Arial" w:cs="Arial"/>
          <w:sz w:val="20"/>
          <w:szCs w:val="20"/>
        </w:rPr>
        <w:t xml:space="preserve">Louis </w:t>
      </w:r>
      <w:r w:rsidR="002653E6" w:rsidRPr="00AF7013">
        <w:rPr>
          <w:rFonts w:ascii="Arial" w:hAnsi="Arial" w:cs="Arial"/>
          <w:sz w:val="20"/>
          <w:szCs w:val="20"/>
        </w:rPr>
        <w:t>survived</w:t>
      </w:r>
      <w:r w:rsidR="00903F85" w:rsidRPr="00AF7013">
        <w:rPr>
          <w:rFonts w:ascii="Arial" w:hAnsi="Arial" w:cs="Arial"/>
          <w:sz w:val="20"/>
          <w:szCs w:val="20"/>
        </w:rPr>
        <w:t xml:space="preserve"> his brothers to</w:t>
      </w:r>
      <w:r w:rsidRPr="00AF7013">
        <w:rPr>
          <w:rFonts w:ascii="Arial" w:hAnsi="Arial" w:cs="Arial"/>
          <w:sz w:val="20"/>
          <w:szCs w:val="20"/>
        </w:rPr>
        <w:t xml:space="preserve"> be established ‘co-ruler of the entire kingdom and heir to the imperial title’ on 11 September 813</w:t>
      </w:r>
      <w:r w:rsidR="00E47F85" w:rsidRPr="00AF7013">
        <w:rPr>
          <w:rFonts w:ascii="Arial" w:hAnsi="Arial" w:cs="Arial"/>
          <w:sz w:val="20"/>
          <w:szCs w:val="20"/>
        </w:rPr>
        <w:t>, prior</w:t>
      </w:r>
      <w:r w:rsidR="00903F85" w:rsidRPr="00AF7013">
        <w:rPr>
          <w:rFonts w:ascii="Arial" w:hAnsi="Arial" w:cs="Arial"/>
          <w:sz w:val="20"/>
          <w:szCs w:val="20"/>
        </w:rPr>
        <w:t xml:space="preserve"> </w:t>
      </w:r>
      <w:r w:rsidR="00915C0A" w:rsidRPr="00AF7013">
        <w:rPr>
          <w:rFonts w:ascii="Arial" w:hAnsi="Arial" w:cs="Arial"/>
          <w:sz w:val="20"/>
          <w:szCs w:val="20"/>
        </w:rPr>
        <w:t xml:space="preserve">to </w:t>
      </w:r>
      <w:r w:rsidR="00FE40F1" w:rsidRPr="00AF7013">
        <w:rPr>
          <w:rFonts w:ascii="Arial" w:hAnsi="Arial" w:cs="Arial"/>
          <w:sz w:val="20"/>
          <w:szCs w:val="20"/>
        </w:rPr>
        <w:t xml:space="preserve">Charlemagne’s death </w:t>
      </w:r>
      <w:r w:rsidR="00903F85" w:rsidRPr="00AF7013">
        <w:rPr>
          <w:rFonts w:ascii="Arial" w:hAnsi="Arial" w:cs="Arial"/>
          <w:sz w:val="20"/>
          <w:szCs w:val="20"/>
        </w:rPr>
        <w:t>on 24 January 814.</w:t>
      </w:r>
      <w:r w:rsidRPr="00AF7013">
        <w:rPr>
          <w:rStyle w:val="FootnoteReference"/>
          <w:rFonts w:ascii="Arial" w:hAnsi="Arial" w:cs="Arial"/>
          <w:sz w:val="20"/>
          <w:szCs w:val="20"/>
        </w:rPr>
        <w:footnoteReference w:id="8"/>
      </w:r>
      <w:r w:rsidR="00E47F85">
        <w:rPr>
          <w:rFonts w:ascii="Arial" w:hAnsi="Arial" w:cs="Arial"/>
          <w:sz w:val="20"/>
          <w:szCs w:val="20"/>
        </w:rPr>
        <w:t xml:space="preserve"> </w:t>
      </w:r>
      <w:r w:rsidR="00990D28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Unlike some extremely elaborate capitularies, the 814 </w:t>
      </w:r>
      <w:r w:rsidR="00B51604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example </w:t>
      </w:r>
      <w:r w:rsidR="00990D28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contains neither reference to its date, name of issuing monarch </w:t>
      </w:r>
      <w:r w:rsidR="00B51604" w:rsidRPr="00AF7013">
        <w:rPr>
          <w:rFonts w:ascii="Arial" w:eastAsia="Times New Roman" w:hAnsi="Arial" w:cs="Arial"/>
          <w:color w:val="1A171B"/>
          <w:sz w:val="20"/>
          <w:szCs w:val="20"/>
        </w:rPr>
        <w:t>or formulaic</w:t>
      </w:r>
      <w:r w:rsidR="00990D28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 passages in either opening or closing.</w:t>
      </w:r>
      <w:r w:rsidR="00990D28" w:rsidRPr="00AF7013">
        <w:rPr>
          <w:rStyle w:val="FootnoteReference"/>
          <w:rFonts w:ascii="Arial" w:eastAsia="Times New Roman" w:hAnsi="Arial" w:cs="Arial"/>
          <w:color w:val="1A171B"/>
          <w:sz w:val="20"/>
          <w:szCs w:val="20"/>
        </w:rPr>
        <w:footnoteReference w:id="9"/>
      </w:r>
      <w:r w:rsidR="00990D28" w:rsidRPr="00AF7013">
        <w:rPr>
          <w:rFonts w:ascii="Arial" w:hAnsi="Arial" w:cs="Arial"/>
          <w:sz w:val="20"/>
          <w:szCs w:val="20"/>
        </w:rPr>
        <w:t xml:space="preserve">Though as </w:t>
      </w:r>
      <w:r w:rsidR="00E47F85">
        <w:rPr>
          <w:rFonts w:ascii="Arial" w:hAnsi="Arial" w:cs="Arial"/>
          <w:sz w:val="20"/>
          <w:szCs w:val="20"/>
        </w:rPr>
        <w:t xml:space="preserve">noted, most </w:t>
      </w:r>
      <w:r w:rsidR="00E47F85" w:rsidRPr="00AF7013">
        <w:rPr>
          <w:rFonts w:ascii="Arial" w:hAnsi="Arial" w:cs="Arial"/>
          <w:sz w:val="20"/>
          <w:szCs w:val="20"/>
        </w:rPr>
        <w:t>capitularies</w:t>
      </w:r>
      <w:r w:rsidR="00990D28" w:rsidRPr="00AF7013">
        <w:rPr>
          <w:rFonts w:ascii="Arial" w:hAnsi="Arial" w:cs="Arial"/>
          <w:sz w:val="20"/>
          <w:szCs w:val="20"/>
        </w:rPr>
        <w:t xml:space="preserve"> </w:t>
      </w:r>
      <w:r w:rsidR="00E47F85">
        <w:rPr>
          <w:rFonts w:ascii="Arial" w:hAnsi="Arial" w:cs="Arial"/>
          <w:sz w:val="20"/>
          <w:szCs w:val="20"/>
        </w:rPr>
        <w:t xml:space="preserve">are </w:t>
      </w:r>
      <w:r w:rsidR="00990D28" w:rsidRPr="00AF7013">
        <w:rPr>
          <w:rFonts w:ascii="Arial" w:hAnsi="Arial" w:cs="Arial"/>
          <w:sz w:val="20"/>
          <w:szCs w:val="20"/>
        </w:rPr>
        <w:t>popularly ascribed to Charlemagne, the ‘</w:t>
      </w:r>
      <w:r w:rsidR="00915C0A" w:rsidRPr="00AF7013">
        <w:rPr>
          <w:rFonts w:ascii="Arial" w:hAnsi="Arial" w:cs="Arial"/>
          <w:sz w:val="20"/>
          <w:szCs w:val="20"/>
        </w:rPr>
        <w:t>Capitulary</w:t>
      </w:r>
      <w:r w:rsidR="00990D28" w:rsidRPr="00AF7013">
        <w:rPr>
          <w:rFonts w:ascii="Arial" w:hAnsi="Arial" w:cs="Arial"/>
          <w:sz w:val="20"/>
          <w:szCs w:val="20"/>
        </w:rPr>
        <w:t xml:space="preserve"> for the Jews’ is now conventionally ascribed to his son and heir Louis the Pious, who was to reign between 814 until his death in 840. </w:t>
      </w:r>
      <w:r w:rsidR="00990D28" w:rsidRPr="00AF7013">
        <w:rPr>
          <w:rStyle w:val="FootnoteReference"/>
          <w:rFonts w:ascii="Arial" w:hAnsi="Arial" w:cs="Arial"/>
          <w:sz w:val="20"/>
          <w:szCs w:val="20"/>
        </w:rPr>
        <w:footnoteReference w:id="10"/>
      </w:r>
    </w:p>
    <w:p w:rsidR="00B51604" w:rsidRPr="00AF7013" w:rsidRDefault="00B51604" w:rsidP="00292A1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8535C" w:rsidRPr="00AF7013" w:rsidRDefault="0080427A" w:rsidP="00753D12">
      <w:pPr>
        <w:shd w:val="clear" w:color="auto" w:fill="FFFFFF"/>
        <w:spacing w:before="240" w:after="240" w:line="360" w:lineRule="auto"/>
        <w:jc w:val="both"/>
        <w:rPr>
          <w:rFonts w:ascii="Arial" w:eastAsia="Times New Roman" w:hAnsi="Arial" w:cs="Arial"/>
          <w:color w:val="1A171B"/>
          <w:sz w:val="20"/>
          <w:szCs w:val="20"/>
        </w:rPr>
      </w:pPr>
      <w:r w:rsidRPr="00AF7013">
        <w:rPr>
          <w:rFonts w:ascii="Arial" w:hAnsi="Arial" w:cs="Arial"/>
          <w:sz w:val="20"/>
          <w:szCs w:val="20"/>
        </w:rPr>
        <w:t xml:space="preserve">The Capitulary to </w:t>
      </w:r>
      <w:r w:rsidR="00915C0A" w:rsidRPr="00AF7013">
        <w:rPr>
          <w:rFonts w:ascii="Arial" w:hAnsi="Arial" w:cs="Arial"/>
          <w:sz w:val="20"/>
          <w:szCs w:val="20"/>
        </w:rPr>
        <w:t xml:space="preserve">the </w:t>
      </w:r>
      <w:r w:rsidRPr="00AF7013">
        <w:rPr>
          <w:rFonts w:ascii="Arial" w:hAnsi="Arial" w:cs="Arial"/>
          <w:sz w:val="20"/>
          <w:szCs w:val="20"/>
        </w:rPr>
        <w:t xml:space="preserve">Jews is </w:t>
      </w:r>
      <w:r w:rsidR="00E93823" w:rsidRPr="00AF7013">
        <w:rPr>
          <w:rFonts w:ascii="Arial" w:hAnsi="Arial" w:cs="Arial"/>
          <w:sz w:val="20"/>
          <w:szCs w:val="20"/>
        </w:rPr>
        <w:t>a</w:t>
      </w:r>
      <w:r w:rsidR="00915C0A" w:rsidRPr="00AF7013">
        <w:rPr>
          <w:rFonts w:ascii="Arial" w:hAnsi="Arial" w:cs="Arial"/>
          <w:sz w:val="20"/>
          <w:szCs w:val="20"/>
        </w:rPr>
        <w:t>lso</w:t>
      </w:r>
      <w:r w:rsidR="00E93823" w:rsidRPr="00AF7013">
        <w:rPr>
          <w:rFonts w:ascii="Arial" w:hAnsi="Arial" w:cs="Arial"/>
          <w:sz w:val="20"/>
          <w:szCs w:val="20"/>
        </w:rPr>
        <w:t xml:space="preserve"> proposed as </w:t>
      </w:r>
      <w:r w:rsidRPr="00AF7013">
        <w:rPr>
          <w:rFonts w:ascii="Arial" w:hAnsi="Arial" w:cs="Arial"/>
          <w:sz w:val="20"/>
          <w:szCs w:val="20"/>
        </w:rPr>
        <w:t xml:space="preserve">illustrative of the continued uncertainty </w:t>
      </w:r>
      <w:r w:rsidR="00E93823" w:rsidRPr="00AF7013">
        <w:rPr>
          <w:rFonts w:ascii="Arial" w:hAnsi="Arial" w:cs="Arial"/>
          <w:sz w:val="20"/>
          <w:szCs w:val="20"/>
        </w:rPr>
        <w:t>that c</w:t>
      </w:r>
      <w:r w:rsidRPr="00AF7013">
        <w:rPr>
          <w:rFonts w:ascii="Arial" w:hAnsi="Arial" w:cs="Arial"/>
          <w:sz w:val="20"/>
          <w:szCs w:val="20"/>
        </w:rPr>
        <w:t>apitularies were intended as actual</w:t>
      </w:r>
      <w:r w:rsidR="00B51604" w:rsidRPr="00AF7013">
        <w:rPr>
          <w:rFonts w:ascii="Arial" w:hAnsi="Arial" w:cs="Arial"/>
          <w:sz w:val="20"/>
          <w:szCs w:val="20"/>
        </w:rPr>
        <w:t>,</w:t>
      </w:r>
      <w:r w:rsidRPr="00AF7013">
        <w:rPr>
          <w:rFonts w:ascii="Arial" w:hAnsi="Arial" w:cs="Arial"/>
          <w:sz w:val="20"/>
          <w:szCs w:val="20"/>
        </w:rPr>
        <w:t xml:space="preserve"> practical instructions.</w:t>
      </w:r>
      <w:r w:rsidRPr="00AF7013">
        <w:rPr>
          <w:rStyle w:val="FootnoteReference"/>
          <w:rFonts w:ascii="Arial" w:hAnsi="Arial" w:cs="Arial"/>
          <w:sz w:val="20"/>
          <w:szCs w:val="20"/>
        </w:rPr>
        <w:footnoteReference w:id="11"/>
      </w:r>
      <w:r w:rsidR="00E47F85">
        <w:rPr>
          <w:rFonts w:ascii="Arial" w:hAnsi="Arial" w:cs="Arial"/>
          <w:sz w:val="20"/>
          <w:szCs w:val="20"/>
        </w:rPr>
        <w:t xml:space="preserve"> </w:t>
      </w:r>
      <w:r w:rsidR="00E93823" w:rsidRPr="00AF7013">
        <w:rPr>
          <w:rFonts w:ascii="Arial" w:hAnsi="Arial" w:cs="Arial"/>
          <w:sz w:val="20"/>
          <w:szCs w:val="20"/>
        </w:rPr>
        <w:t>D</w:t>
      </w:r>
      <w:r w:rsidRPr="00AF7013">
        <w:rPr>
          <w:rFonts w:ascii="Arial" w:hAnsi="Arial" w:cs="Arial"/>
          <w:sz w:val="20"/>
          <w:szCs w:val="20"/>
        </w:rPr>
        <w:t xml:space="preserve">ifferent regional and ethnic groups </w:t>
      </w:r>
      <w:r w:rsidR="00915C0A" w:rsidRPr="00AF7013">
        <w:rPr>
          <w:rFonts w:ascii="Arial" w:hAnsi="Arial" w:cs="Arial"/>
          <w:sz w:val="20"/>
          <w:szCs w:val="20"/>
        </w:rPr>
        <w:t xml:space="preserve">were </w:t>
      </w:r>
      <w:r w:rsidRPr="00AF7013">
        <w:rPr>
          <w:rFonts w:ascii="Arial" w:hAnsi="Arial" w:cs="Arial"/>
          <w:sz w:val="20"/>
          <w:szCs w:val="20"/>
        </w:rPr>
        <w:t>demonstrably continuing to observe diverse codes of law (or ‘leges’) within the Carolingian Empire</w:t>
      </w:r>
      <w:r w:rsidR="00915C0A" w:rsidRPr="00AF7013">
        <w:rPr>
          <w:rFonts w:ascii="Arial" w:hAnsi="Arial" w:cs="Arial"/>
          <w:sz w:val="20"/>
          <w:szCs w:val="20"/>
        </w:rPr>
        <w:t>,</w:t>
      </w:r>
      <w:r w:rsidRPr="00AF7013">
        <w:rPr>
          <w:rFonts w:ascii="Arial" w:hAnsi="Arial" w:cs="Arial"/>
          <w:sz w:val="20"/>
          <w:szCs w:val="20"/>
        </w:rPr>
        <w:t xml:space="preserve"> often largely comprising </w:t>
      </w:r>
      <w:r w:rsidR="00B51604" w:rsidRPr="00AF7013">
        <w:rPr>
          <w:rFonts w:ascii="Arial" w:hAnsi="Arial" w:cs="Arial"/>
          <w:sz w:val="20"/>
          <w:szCs w:val="20"/>
        </w:rPr>
        <w:t>of former Roman provincial laws.</w:t>
      </w:r>
      <w:r w:rsidRPr="00AF7013">
        <w:rPr>
          <w:rStyle w:val="FootnoteReference"/>
          <w:rFonts w:ascii="Arial" w:hAnsi="Arial" w:cs="Arial"/>
          <w:sz w:val="20"/>
          <w:szCs w:val="20"/>
        </w:rPr>
        <w:footnoteReference w:id="12"/>
      </w:r>
      <w:r w:rsidR="00B51604" w:rsidRPr="00AF7013">
        <w:rPr>
          <w:rFonts w:ascii="Arial" w:hAnsi="Arial" w:cs="Arial"/>
          <w:sz w:val="20"/>
          <w:szCs w:val="20"/>
        </w:rPr>
        <w:t xml:space="preserve"> D</w:t>
      </w:r>
      <w:r w:rsidRPr="00AF7013">
        <w:rPr>
          <w:rFonts w:ascii="Arial" w:hAnsi="Arial" w:cs="Arial"/>
          <w:sz w:val="20"/>
          <w:szCs w:val="20"/>
        </w:rPr>
        <w:t xml:space="preserve">ebate continues about the extent to which </w:t>
      </w:r>
      <w:r w:rsidR="00E93823" w:rsidRPr="00AF7013">
        <w:rPr>
          <w:rFonts w:ascii="Arial" w:hAnsi="Arial" w:cs="Arial"/>
          <w:sz w:val="20"/>
          <w:szCs w:val="20"/>
        </w:rPr>
        <w:t>c</w:t>
      </w:r>
      <w:r w:rsidRPr="00AF7013">
        <w:rPr>
          <w:rFonts w:ascii="Arial" w:hAnsi="Arial" w:cs="Arial"/>
          <w:sz w:val="20"/>
          <w:szCs w:val="20"/>
        </w:rPr>
        <w:t>apitularies rather represented</w:t>
      </w:r>
      <w:r w:rsidR="00111C12" w:rsidRPr="00AF7013">
        <w:rPr>
          <w:rFonts w:ascii="Arial" w:hAnsi="Arial" w:cs="Arial"/>
          <w:sz w:val="20"/>
          <w:szCs w:val="20"/>
        </w:rPr>
        <w:t xml:space="preserve"> </w:t>
      </w:r>
      <w:r w:rsidR="00B51604" w:rsidRPr="00AF7013">
        <w:rPr>
          <w:rFonts w:ascii="Arial" w:hAnsi="Arial" w:cs="Arial"/>
          <w:sz w:val="20"/>
          <w:szCs w:val="20"/>
        </w:rPr>
        <w:t xml:space="preserve">instead </w:t>
      </w:r>
      <w:r w:rsidRPr="00AF7013">
        <w:rPr>
          <w:rFonts w:ascii="Arial" w:hAnsi="Arial" w:cs="Arial"/>
          <w:sz w:val="20"/>
          <w:szCs w:val="20"/>
        </w:rPr>
        <w:t xml:space="preserve">postures </w:t>
      </w:r>
      <w:r w:rsidR="00B51604" w:rsidRPr="00AF7013">
        <w:rPr>
          <w:rFonts w:ascii="Arial" w:hAnsi="Arial" w:cs="Arial"/>
          <w:sz w:val="20"/>
          <w:szCs w:val="20"/>
        </w:rPr>
        <w:t>or</w:t>
      </w:r>
      <w:r w:rsidR="00111C12" w:rsidRPr="00AF7013">
        <w:rPr>
          <w:rFonts w:ascii="Arial" w:hAnsi="Arial" w:cs="Arial"/>
          <w:sz w:val="20"/>
          <w:szCs w:val="20"/>
        </w:rPr>
        <w:t xml:space="preserve"> </w:t>
      </w:r>
      <w:r w:rsidRPr="00AF7013">
        <w:rPr>
          <w:rFonts w:ascii="Arial" w:hAnsi="Arial" w:cs="Arial"/>
          <w:sz w:val="20"/>
          <w:szCs w:val="20"/>
        </w:rPr>
        <w:t>ambitious ideological stances.</w:t>
      </w:r>
      <w:r w:rsidRPr="00AF7013">
        <w:rPr>
          <w:rStyle w:val="FootnoteReference"/>
          <w:rFonts w:ascii="Arial" w:hAnsi="Arial" w:cs="Arial"/>
          <w:sz w:val="20"/>
          <w:szCs w:val="20"/>
        </w:rPr>
        <w:footnoteReference w:id="13"/>
      </w:r>
      <w:r w:rsidR="00111C12" w:rsidRPr="00AF7013">
        <w:rPr>
          <w:rFonts w:ascii="Arial" w:hAnsi="Arial" w:cs="Arial"/>
          <w:sz w:val="20"/>
          <w:szCs w:val="20"/>
        </w:rPr>
        <w:t xml:space="preserve"> </w:t>
      </w:r>
      <w:r w:rsidRPr="00AF7013">
        <w:rPr>
          <w:rFonts w:ascii="Arial" w:eastAsia="Times New Roman" w:hAnsi="Arial" w:cs="Arial"/>
          <w:color w:val="1A171B"/>
          <w:sz w:val="20"/>
          <w:szCs w:val="20"/>
        </w:rPr>
        <w:t>François Louis Ganshof’s</w:t>
      </w:r>
      <w:r w:rsidR="007B2698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 </w:t>
      </w:r>
      <w:r w:rsidR="00A4194F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1961 </w:t>
      </w:r>
      <w:r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definition </w:t>
      </w:r>
      <w:r w:rsidR="00111C12" w:rsidRPr="00AF7013">
        <w:rPr>
          <w:rFonts w:ascii="Arial" w:eastAsia="Times New Roman" w:hAnsi="Arial" w:cs="Arial"/>
          <w:color w:val="1A171B"/>
          <w:sz w:val="20"/>
          <w:szCs w:val="20"/>
        </w:rPr>
        <w:t>of capitularies</w:t>
      </w:r>
      <w:r w:rsidR="00B51604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 as </w:t>
      </w:r>
      <w:r w:rsidRPr="00AF7013">
        <w:rPr>
          <w:rFonts w:ascii="Arial" w:eastAsia="Times New Roman" w:hAnsi="Arial" w:cs="Arial"/>
          <w:color w:val="1A171B"/>
          <w:sz w:val="20"/>
          <w:szCs w:val="20"/>
        </w:rPr>
        <w:t>‘decrees of state authority’ (or ‘</w:t>
      </w:r>
      <w:r w:rsidRPr="00AF7013">
        <w:rPr>
          <w:rFonts w:ascii="Arial" w:eastAsia="Times New Roman" w:hAnsi="Arial" w:cs="Arial"/>
          <w:iCs/>
          <w:color w:val="1A171B"/>
          <w:sz w:val="20"/>
          <w:szCs w:val="20"/>
        </w:rPr>
        <w:t>Staatsgewalt</w:t>
      </w:r>
      <w:r w:rsidRPr="00AF7013">
        <w:rPr>
          <w:rFonts w:ascii="Arial" w:eastAsia="Times New Roman" w:hAnsi="Arial" w:cs="Arial"/>
          <w:color w:val="1A171B"/>
          <w:sz w:val="20"/>
          <w:szCs w:val="20"/>
        </w:rPr>
        <w:t>’) has met with subsequent criticism</w:t>
      </w:r>
      <w:r w:rsidR="00B51604" w:rsidRPr="00AF7013">
        <w:rPr>
          <w:rFonts w:ascii="Arial" w:eastAsia="Times New Roman" w:hAnsi="Arial" w:cs="Arial"/>
          <w:color w:val="1A171B"/>
          <w:sz w:val="20"/>
          <w:szCs w:val="20"/>
        </w:rPr>
        <w:t>, especially with suggestion</w:t>
      </w:r>
      <w:r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 that </w:t>
      </w:r>
      <w:r w:rsidR="00E93823" w:rsidRPr="00AF7013">
        <w:rPr>
          <w:rFonts w:ascii="Arial" w:eastAsia="Times New Roman" w:hAnsi="Arial" w:cs="Arial"/>
          <w:color w:val="1A171B"/>
          <w:sz w:val="20"/>
          <w:szCs w:val="20"/>
        </w:rPr>
        <w:t>this imposes</w:t>
      </w:r>
      <w:r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 contemporary state administrative norms upon a devolved </w:t>
      </w:r>
      <w:r w:rsidR="00A4194F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and </w:t>
      </w:r>
      <w:r w:rsidR="00BB3A17" w:rsidRPr="00AF7013">
        <w:rPr>
          <w:rFonts w:ascii="Arial" w:eastAsia="Times New Roman" w:hAnsi="Arial" w:cs="Arial"/>
          <w:color w:val="1A171B"/>
          <w:sz w:val="20"/>
          <w:szCs w:val="20"/>
        </w:rPr>
        <w:t>unrecognisable 9th</w:t>
      </w:r>
      <w:r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 century empire. </w:t>
      </w:r>
      <w:r w:rsidRPr="00AF7013">
        <w:rPr>
          <w:rStyle w:val="FootnoteReference"/>
          <w:rFonts w:ascii="Arial" w:eastAsia="Times New Roman" w:hAnsi="Arial" w:cs="Arial"/>
          <w:color w:val="1A171B"/>
          <w:sz w:val="20"/>
          <w:szCs w:val="20"/>
        </w:rPr>
        <w:footnoteReference w:id="14"/>
      </w:r>
      <w:r w:rsidRPr="00AF7013">
        <w:rPr>
          <w:rFonts w:ascii="Arial" w:eastAsia="Times New Roman" w:hAnsi="Arial" w:cs="Arial"/>
          <w:color w:val="1A171B"/>
          <w:sz w:val="20"/>
          <w:szCs w:val="20"/>
        </w:rPr>
        <w:t>Capitularies originate</w:t>
      </w:r>
      <w:r w:rsidR="00A4194F" w:rsidRPr="00AF7013">
        <w:rPr>
          <w:rFonts w:ascii="Arial" w:eastAsia="Times New Roman" w:hAnsi="Arial" w:cs="Arial"/>
          <w:color w:val="1A171B"/>
          <w:sz w:val="20"/>
          <w:szCs w:val="20"/>
        </w:rPr>
        <w:t>d</w:t>
      </w:r>
      <w:r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 outside the context of proclamation at a royal assembly, with some likely originating on an ad hoc basis in response to cases as they arose. </w:t>
      </w:r>
      <w:r w:rsidRPr="00AF7013">
        <w:rPr>
          <w:rStyle w:val="FootnoteReference"/>
          <w:rFonts w:ascii="Arial" w:eastAsia="Times New Roman" w:hAnsi="Arial" w:cs="Arial"/>
          <w:color w:val="1A171B"/>
          <w:sz w:val="20"/>
          <w:szCs w:val="20"/>
        </w:rPr>
        <w:footnoteReference w:id="15"/>
      </w:r>
      <w:r w:rsidR="00A4194F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  It should also be remembered that </w:t>
      </w:r>
      <w:r w:rsidR="00A50E53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secondary </w:t>
      </w:r>
      <w:r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capitulary texts within collections display considerable variation, not only </w:t>
      </w:r>
      <w:r w:rsidR="00A4194F"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by inevitable </w:t>
      </w:r>
      <w:r w:rsidRPr="00AF7013">
        <w:rPr>
          <w:rFonts w:ascii="Arial" w:eastAsia="Times New Roman" w:hAnsi="Arial" w:cs="Arial"/>
          <w:color w:val="1A171B"/>
          <w:sz w:val="20"/>
          <w:szCs w:val="20"/>
        </w:rPr>
        <w:t>deformation by transmission</w:t>
      </w:r>
      <w:r w:rsidR="00915C0A" w:rsidRPr="00AF7013">
        <w:rPr>
          <w:rFonts w:ascii="Arial" w:eastAsia="Times New Roman" w:hAnsi="Arial" w:cs="Arial"/>
          <w:color w:val="1A171B"/>
          <w:sz w:val="20"/>
          <w:szCs w:val="20"/>
        </w:rPr>
        <w:t>,</w:t>
      </w:r>
      <w:r w:rsidRPr="00AF7013">
        <w:rPr>
          <w:rFonts w:ascii="Arial" w:eastAsia="Times New Roman" w:hAnsi="Arial" w:cs="Arial"/>
          <w:color w:val="1A171B"/>
          <w:sz w:val="20"/>
          <w:szCs w:val="20"/>
        </w:rPr>
        <w:t xml:space="preserve"> but as fully understood by the issuer, their compilation by royal agents and administrators to support their individual policies and needs. </w:t>
      </w:r>
      <w:r w:rsidRPr="00AF7013">
        <w:rPr>
          <w:rStyle w:val="FootnoteReference"/>
          <w:rFonts w:ascii="Arial" w:eastAsia="Times New Roman" w:hAnsi="Arial" w:cs="Arial"/>
          <w:color w:val="1A171B"/>
          <w:sz w:val="20"/>
          <w:szCs w:val="20"/>
        </w:rPr>
        <w:footnoteReference w:id="16"/>
      </w:r>
    </w:p>
    <w:p w:rsidR="008B22B7" w:rsidRPr="00AF7013" w:rsidRDefault="008B22B7" w:rsidP="00753D12">
      <w:pPr>
        <w:shd w:val="clear" w:color="auto" w:fill="FFFFFF"/>
        <w:spacing w:before="240" w:after="240" w:line="360" w:lineRule="auto"/>
        <w:jc w:val="both"/>
        <w:rPr>
          <w:rFonts w:ascii="Arial" w:eastAsia="Times New Roman" w:hAnsi="Arial" w:cs="Arial"/>
          <w:color w:val="1A171B"/>
          <w:sz w:val="20"/>
          <w:szCs w:val="20"/>
        </w:rPr>
      </w:pPr>
    </w:p>
    <w:p w:rsidR="00BB3A17" w:rsidRPr="00AF7013" w:rsidRDefault="00BB3A17" w:rsidP="00753D12">
      <w:pPr>
        <w:shd w:val="clear" w:color="auto" w:fill="FFFFFF"/>
        <w:spacing w:before="240" w:after="240" w:line="360" w:lineRule="auto"/>
        <w:jc w:val="both"/>
        <w:rPr>
          <w:rFonts w:ascii="Arial" w:eastAsia="Times New Roman" w:hAnsi="Arial" w:cs="Arial"/>
          <w:color w:val="1A171B"/>
          <w:sz w:val="20"/>
          <w:szCs w:val="20"/>
        </w:rPr>
      </w:pPr>
    </w:p>
    <w:p w:rsidR="00CF66B4" w:rsidRPr="00AF7013" w:rsidRDefault="00CF66B4" w:rsidP="00753D12">
      <w:pPr>
        <w:shd w:val="clear" w:color="auto" w:fill="FFFFFF"/>
        <w:spacing w:before="240" w:after="240" w:line="360" w:lineRule="auto"/>
        <w:jc w:val="both"/>
        <w:rPr>
          <w:rFonts w:ascii="Arial" w:eastAsia="Times New Roman" w:hAnsi="Arial" w:cs="Arial"/>
          <w:color w:val="1A171B"/>
          <w:sz w:val="20"/>
          <w:szCs w:val="20"/>
        </w:rPr>
      </w:pPr>
    </w:p>
    <w:p w:rsidR="0068535C" w:rsidRPr="00AF7013" w:rsidRDefault="00AE6EFD" w:rsidP="00753D12">
      <w:pPr>
        <w:shd w:val="clear" w:color="auto" w:fill="FFFFFF"/>
        <w:spacing w:before="240" w:after="24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7013">
        <w:rPr>
          <w:rFonts w:ascii="Arial" w:hAnsi="Arial" w:cs="Arial"/>
          <w:sz w:val="20"/>
          <w:szCs w:val="20"/>
        </w:rPr>
        <w:lastRenderedPageBreak/>
        <w:t>T</w:t>
      </w:r>
      <w:r w:rsidR="00FF64AB" w:rsidRPr="00AF7013">
        <w:rPr>
          <w:rFonts w:ascii="Arial" w:hAnsi="Arial" w:cs="Arial"/>
          <w:sz w:val="20"/>
          <w:szCs w:val="20"/>
        </w:rPr>
        <w:t xml:space="preserve">he Capitulary to the </w:t>
      </w:r>
      <w:r w:rsidR="004B7B80" w:rsidRPr="00AF7013">
        <w:rPr>
          <w:rFonts w:ascii="Arial" w:hAnsi="Arial" w:cs="Arial"/>
          <w:sz w:val="20"/>
          <w:szCs w:val="20"/>
        </w:rPr>
        <w:t>Jews</w:t>
      </w:r>
      <w:r w:rsidR="00111C12" w:rsidRPr="00AF7013">
        <w:rPr>
          <w:rFonts w:ascii="Arial" w:hAnsi="Arial" w:cs="Arial"/>
          <w:sz w:val="20"/>
          <w:szCs w:val="20"/>
        </w:rPr>
        <w:t xml:space="preserve"> </w:t>
      </w:r>
      <w:r w:rsidR="00166A83" w:rsidRPr="00AF7013">
        <w:rPr>
          <w:rFonts w:ascii="Arial" w:hAnsi="Arial" w:cs="Arial"/>
          <w:sz w:val="20"/>
          <w:szCs w:val="20"/>
        </w:rPr>
        <w:t>exemplifies</w:t>
      </w:r>
      <w:r w:rsidR="0080427A" w:rsidRPr="00AF7013">
        <w:rPr>
          <w:rFonts w:ascii="Arial" w:hAnsi="Arial" w:cs="Arial"/>
          <w:sz w:val="20"/>
          <w:szCs w:val="20"/>
        </w:rPr>
        <w:t xml:space="preserve"> these </w:t>
      </w:r>
      <w:r w:rsidR="00111C12" w:rsidRPr="00AF7013">
        <w:rPr>
          <w:rFonts w:ascii="Arial" w:hAnsi="Arial" w:cs="Arial"/>
          <w:sz w:val="20"/>
          <w:szCs w:val="20"/>
        </w:rPr>
        <w:t>paradoxes, appearing</w:t>
      </w:r>
      <w:r w:rsidR="003446B5" w:rsidRPr="00AF7013">
        <w:rPr>
          <w:rFonts w:ascii="Arial" w:hAnsi="Arial" w:cs="Arial"/>
          <w:sz w:val="20"/>
          <w:szCs w:val="20"/>
        </w:rPr>
        <w:t xml:space="preserve"> at odds with the evidence </w:t>
      </w:r>
      <w:r w:rsidR="00111C12" w:rsidRPr="00AF7013">
        <w:rPr>
          <w:rFonts w:ascii="Arial" w:hAnsi="Arial" w:cs="Arial"/>
          <w:sz w:val="20"/>
          <w:szCs w:val="20"/>
        </w:rPr>
        <w:t>available regarding</w:t>
      </w:r>
      <w:r w:rsidR="00AE6471" w:rsidRPr="00AF7013">
        <w:rPr>
          <w:rFonts w:ascii="Arial" w:hAnsi="Arial" w:cs="Arial"/>
          <w:sz w:val="20"/>
          <w:szCs w:val="20"/>
        </w:rPr>
        <w:t xml:space="preserve"> the</w:t>
      </w:r>
      <w:r w:rsidR="003446B5" w:rsidRPr="00AF7013">
        <w:rPr>
          <w:rFonts w:ascii="Arial" w:hAnsi="Arial" w:cs="Arial"/>
          <w:sz w:val="20"/>
          <w:szCs w:val="20"/>
        </w:rPr>
        <w:t xml:space="preserve"> actual treatment of Jews under the reigns of Charlemagne and Louis.  </w:t>
      </w:r>
      <w:r w:rsidR="003446B5" w:rsidRPr="00AF7013">
        <w:rPr>
          <w:rStyle w:val="FootnoteReference"/>
          <w:rFonts w:ascii="Arial" w:hAnsi="Arial" w:cs="Arial"/>
          <w:sz w:val="20"/>
          <w:szCs w:val="20"/>
        </w:rPr>
        <w:footnoteReference w:id="17"/>
      </w:r>
      <w:r w:rsidR="00111C12" w:rsidRPr="00AF7013">
        <w:rPr>
          <w:rFonts w:ascii="Arial" w:hAnsi="Arial" w:cs="Arial"/>
          <w:sz w:val="20"/>
          <w:szCs w:val="20"/>
        </w:rPr>
        <w:t xml:space="preserve"> </w:t>
      </w:r>
      <w:r w:rsidR="004B7B80" w:rsidRPr="00AF7013">
        <w:rPr>
          <w:rFonts w:ascii="Arial" w:hAnsi="Arial" w:cs="Arial"/>
          <w:color w:val="000000"/>
          <w:sz w:val="20"/>
          <w:szCs w:val="20"/>
        </w:rPr>
        <w:t xml:space="preserve">The first capitula </w:t>
      </w:r>
      <w:r w:rsidR="004D558D" w:rsidRPr="00AF7013">
        <w:rPr>
          <w:rFonts w:ascii="Arial" w:hAnsi="Arial" w:cs="Arial"/>
          <w:color w:val="000000"/>
          <w:sz w:val="20"/>
          <w:szCs w:val="20"/>
        </w:rPr>
        <w:t>and second capitula</w:t>
      </w:r>
      <w:r w:rsidR="00915C0A" w:rsidRPr="00AF7013">
        <w:rPr>
          <w:rFonts w:ascii="Arial" w:hAnsi="Arial" w:cs="Arial"/>
          <w:color w:val="000000"/>
          <w:sz w:val="20"/>
          <w:szCs w:val="20"/>
        </w:rPr>
        <w:t>,</w:t>
      </w:r>
      <w:r w:rsidR="004D558D" w:rsidRPr="00AF7013">
        <w:rPr>
          <w:rFonts w:ascii="Arial" w:hAnsi="Arial" w:cs="Arial"/>
          <w:color w:val="000000"/>
          <w:sz w:val="20"/>
          <w:szCs w:val="20"/>
        </w:rPr>
        <w:t xml:space="preserve"> for</w:t>
      </w:r>
      <w:r w:rsidR="004B7B80" w:rsidRPr="00AF7013">
        <w:rPr>
          <w:rFonts w:ascii="Arial" w:hAnsi="Arial" w:cs="Arial"/>
          <w:color w:val="000000"/>
          <w:sz w:val="20"/>
          <w:szCs w:val="20"/>
        </w:rPr>
        <w:t xml:space="preserve"> example, </w:t>
      </w:r>
      <w:r w:rsidR="004D558D" w:rsidRPr="00AF7013">
        <w:rPr>
          <w:rFonts w:ascii="Arial" w:hAnsi="Arial" w:cs="Arial"/>
          <w:color w:val="000000"/>
          <w:sz w:val="20"/>
          <w:szCs w:val="20"/>
        </w:rPr>
        <w:t>prescribe</w:t>
      </w:r>
      <w:r w:rsidR="008E6FB4" w:rsidRPr="00AF7013">
        <w:rPr>
          <w:rFonts w:ascii="Arial" w:hAnsi="Arial" w:cs="Arial"/>
          <w:color w:val="000000"/>
          <w:sz w:val="20"/>
          <w:szCs w:val="20"/>
        </w:rPr>
        <w:t xml:space="preserve"> against any Jew taking ‘in pledge for</w:t>
      </w:r>
      <w:r w:rsidR="004B7B80" w:rsidRPr="00AF7013">
        <w:rPr>
          <w:rFonts w:ascii="Arial" w:hAnsi="Arial" w:cs="Arial"/>
          <w:color w:val="000000"/>
          <w:sz w:val="20"/>
          <w:szCs w:val="20"/>
        </w:rPr>
        <w:t xml:space="preserve"> any debt any of the goods of the </w:t>
      </w:r>
      <w:r w:rsidR="00111C12" w:rsidRPr="00AF7013">
        <w:rPr>
          <w:rFonts w:ascii="Arial" w:hAnsi="Arial" w:cs="Arial"/>
          <w:color w:val="000000"/>
          <w:sz w:val="20"/>
          <w:szCs w:val="20"/>
        </w:rPr>
        <w:t>Church [</w:t>
      </w:r>
      <w:r w:rsidR="008E6FB4" w:rsidRPr="00AF7013">
        <w:rPr>
          <w:rFonts w:ascii="Arial" w:hAnsi="Arial" w:cs="Arial"/>
          <w:color w:val="000000"/>
          <w:sz w:val="20"/>
          <w:szCs w:val="20"/>
        </w:rPr>
        <w:t xml:space="preserve">or] </w:t>
      </w:r>
      <w:r w:rsidR="004B7B80" w:rsidRPr="00AF7013">
        <w:rPr>
          <w:rFonts w:ascii="Arial" w:hAnsi="Arial" w:cs="Arial"/>
          <w:color w:val="000000"/>
          <w:sz w:val="20"/>
          <w:szCs w:val="20"/>
        </w:rPr>
        <w:t>any Christian</w:t>
      </w:r>
      <w:r w:rsidR="008E6FB4" w:rsidRPr="00AF7013">
        <w:rPr>
          <w:rFonts w:ascii="Arial" w:hAnsi="Arial" w:cs="Arial"/>
          <w:color w:val="000000"/>
          <w:sz w:val="20"/>
          <w:szCs w:val="20"/>
        </w:rPr>
        <w:t xml:space="preserve">’, </w:t>
      </w:r>
      <w:r w:rsidR="00166A83" w:rsidRPr="00AF7013">
        <w:rPr>
          <w:rFonts w:ascii="Arial" w:hAnsi="Arial" w:cs="Arial"/>
          <w:color w:val="000000"/>
          <w:sz w:val="20"/>
          <w:szCs w:val="20"/>
        </w:rPr>
        <w:t xml:space="preserve">or </w:t>
      </w:r>
      <w:r w:rsidR="008E6FB4" w:rsidRPr="00AF7013">
        <w:rPr>
          <w:rFonts w:ascii="Arial" w:hAnsi="Arial" w:cs="Arial"/>
          <w:color w:val="000000"/>
          <w:sz w:val="20"/>
          <w:szCs w:val="20"/>
        </w:rPr>
        <w:t>‘any Christian or Jew in pledge’</w:t>
      </w:r>
      <w:r w:rsidR="00166A83" w:rsidRPr="00AF7013">
        <w:rPr>
          <w:rFonts w:ascii="Arial" w:hAnsi="Arial" w:cs="Arial"/>
          <w:color w:val="000000"/>
          <w:sz w:val="20"/>
          <w:szCs w:val="20"/>
        </w:rPr>
        <w:t xml:space="preserve"> respectively</w:t>
      </w:r>
      <w:r w:rsidR="008B22B7" w:rsidRPr="00AF7013">
        <w:rPr>
          <w:rFonts w:ascii="Arial" w:hAnsi="Arial" w:cs="Arial"/>
          <w:color w:val="000000"/>
          <w:sz w:val="20"/>
          <w:szCs w:val="20"/>
        </w:rPr>
        <w:t>.</w:t>
      </w:r>
      <w:r w:rsidR="008E6FB4" w:rsidRPr="00AF7013">
        <w:rPr>
          <w:rStyle w:val="FootnoteReference"/>
          <w:rFonts w:ascii="Arial" w:hAnsi="Arial" w:cs="Arial"/>
          <w:color w:val="000000"/>
          <w:sz w:val="20"/>
          <w:szCs w:val="20"/>
        </w:rPr>
        <w:footnoteReference w:id="18"/>
      </w:r>
      <w:r w:rsidR="008E6FB4" w:rsidRPr="00AF7013">
        <w:rPr>
          <w:rFonts w:ascii="Arial" w:hAnsi="Arial" w:cs="Arial"/>
          <w:color w:val="000000"/>
          <w:sz w:val="20"/>
          <w:szCs w:val="20"/>
        </w:rPr>
        <w:t xml:space="preserve"> In doing so </w:t>
      </w:r>
      <w:r w:rsidR="00166A83" w:rsidRPr="00AF7013">
        <w:rPr>
          <w:rFonts w:ascii="Arial" w:hAnsi="Arial" w:cs="Arial"/>
          <w:color w:val="000000"/>
          <w:sz w:val="20"/>
          <w:szCs w:val="20"/>
        </w:rPr>
        <w:t xml:space="preserve">the edict effectively establishes parity of </w:t>
      </w:r>
      <w:r w:rsidR="00915C0A" w:rsidRPr="00AF7013">
        <w:rPr>
          <w:rFonts w:ascii="Arial" w:hAnsi="Arial" w:cs="Arial"/>
          <w:color w:val="000000"/>
          <w:sz w:val="20"/>
          <w:szCs w:val="20"/>
        </w:rPr>
        <w:t>i</w:t>
      </w:r>
      <w:r w:rsidR="00166A83" w:rsidRPr="00AF7013">
        <w:rPr>
          <w:rFonts w:ascii="Arial" w:hAnsi="Arial" w:cs="Arial"/>
          <w:color w:val="000000"/>
          <w:sz w:val="20"/>
          <w:szCs w:val="20"/>
        </w:rPr>
        <w:t xml:space="preserve">mperial </w:t>
      </w:r>
      <w:r w:rsidR="00753D12" w:rsidRPr="00AF7013">
        <w:rPr>
          <w:rFonts w:ascii="Arial" w:hAnsi="Arial" w:cs="Arial"/>
          <w:color w:val="000000"/>
          <w:sz w:val="20"/>
          <w:szCs w:val="20"/>
        </w:rPr>
        <w:t xml:space="preserve">policy </w:t>
      </w:r>
      <w:r w:rsidR="00166A83" w:rsidRPr="00AF7013">
        <w:rPr>
          <w:rFonts w:ascii="Arial" w:hAnsi="Arial" w:cs="Arial"/>
          <w:color w:val="000000"/>
          <w:sz w:val="20"/>
          <w:szCs w:val="20"/>
        </w:rPr>
        <w:t xml:space="preserve">toward </w:t>
      </w:r>
      <w:r w:rsidR="00A4194F" w:rsidRPr="00AF7013">
        <w:rPr>
          <w:rFonts w:ascii="Arial" w:hAnsi="Arial" w:cs="Arial"/>
          <w:color w:val="000000"/>
          <w:sz w:val="20"/>
          <w:szCs w:val="20"/>
        </w:rPr>
        <w:t xml:space="preserve">Christian and Jewish </w:t>
      </w:r>
      <w:r w:rsidR="00753D12" w:rsidRPr="00AF7013">
        <w:rPr>
          <w:rFonts w:ascii="Arial" w:hAnsi="Arial" w:cs="Arial"/>
          <w:color w:val="000000"/>
          <w:sz w:val="20"/>
          <w:szCs w:val="20"/>
        </w:rPr>
        <w:t>subjects</w:t>
      </w:r>
      <w:r w:rsidR="00166A83" w:rsidRPr="00AF7013">
        <w:rPr>
          <w:rFonts w:ascii="Arial" w:hAnsi="Arial" w:cs="Arial"/>
          <w:color w:val="000000"/>
          <w:sz w:val="20"/>
          <w:szCs w:val="20"/>
        </w:rPr>
        <w:t xml:space="preserve">, as a reversal of an edict allowing Jewish exemption formally pronounced by Charlemagne in 794. </w:t>
      </w:r>
      <w:r w:rsidR="00166A83" w:rsidRPr="00AF7013">
        <w:rPr>
          <w:rStyle w:val="FootnoteReference"/>
          <w:rFonts w:ascii="Arial" w:hAnsi="Arial" w:cs="Arial"/>
          <w:color w:val="000000"/>
          <w:sz w:val="20"/>
          <w:szCs w:val="20"/>
        </w:rPr>
        <w:footnoteReference w:id="19"/>
      </w:r>
      <w:r w:rsidR="00111C12" w:rsidRPr="00AF7013">
        <w:rPr>
          <w:rFonts w:ascii="Arial" w:hAnsi="Arial" w:cs="Arial"/>
          <w:color w:val="000000"/>
          <w:sz w:val="20"/>
          <w:szCs w:val="20"/>
        </w:rPr>
        <w:t xml:space="preserve"> </w:t>
      </w:r>
      <w:r w:rsidR="00753D12" w:rsidRPr="00AF7013">
        <w:rPr>
          <w:rFonts w:ascii="Arial" w:hAnsi="Arial" w:cs="Arial"/>
          <w:color w:val="000000"/>
          <w:sz w:val="20"/>
          <w:szCs w:val="20"/>
        </w:rPr>
        <w:t xml:space="preserve">This </w:t>
      </w:r>
      <w:r w:rsidR="00111C12" w:rsidRPr="00AF7013">
        <w:rPr>
          <w:rFonts w:ascii="Arial" w:hAnsi="Arial" w:cs="Arial"/>
          <w:color w:val="000000"/>
          <w:sz w:val="20"/>
          <w:szCs w:val="20"/>
        </w:rPr>
        <w:t>levelling of</w:t>
      </w:r>
      <w:r w:rsidR="00753D12" w:rsidRPr="00AF7013">
        <w:rPr>
          <w:rFonts w:ascii="Arial" w:hAnsi="Arial" w:cs="Arial"/>
          <w:color w:val="000000"/>
          <w:sz w:val="20"/>
          <w:szCs w:val="20"/>
        </w:rPr>
        <w:t xml:space="preserve"> policy also extends to </w:t>
      </w:r>
      <w:r w:rsidR="00166A83" w:rsidRPr="00AF7013">
        <w:rPr>
          <w:rFonts w:ascii="Arial" w:hAnsi="Arial" w:cs="Arial"/>
          <w:color w:val="000000"/>
          <w:sz w:val="20"/>
          <w:szCs w:val="20"/>
        </w:rPr>
        <w:t>the</w:t>
      </w:r>
      <w:r w:rsidR="00753D12" w:rsidRPr="00AF7013">
        <w:rPr>
          <w:rFonts w:ascii="Arial" w:hAnsi="Arial" w:cs="Arial"/>
          <w:color w:val="000000"/>
          <w:sz w:val="20"/>
          <w:szCs w:val="20"/>
        </w:rPr>
        <w:t xml:space="preserve"> penalties </w:t>
      </w:r>
      <w:r w:rsidR="00166A83" w:rsidRPr="00AF7013">
        <w:rPr>
          <w:rFonts w:ascii="Arial" w:hAnsi="Arial" w:cs="Arial"/>
          <w:color w:val="000000"/>
          <w:sz w:val="20"/>
          <w:szCs w:val="20"/>
        </w:rPr>
        <w:t xml:space="preserve">subsequently </w:t>
      </w:r>
      <w:r w:rsidR="00753D12" w:rsidRPr="00AF7013">
        <w:rPr>
          <w:rFonts w:ascii="Arial" w:hAnsi="Arial" w:cs="Arial"/>
          <w:color w:val="000000"/>
          <w:sz w:val="20"/>
          <w:szCs w:val="20"/>
        </w:rPr>
        <w:t xml:space="preserve">described for each, the seizure of goods and right hand amputation in the first capitula, and </w:t>
      </w:r>
      <w:r w:rsidR="00166A83" w:rsidRPr="00AF7013">
        <w:rPr>
          <w:rFonts w:ascii="Arial" w:hAnsi="Arial" w:cs="Arial"/>
          <w:color w:val="000000"/>
          <w:sz w:val="20"/>
          <w:szCs w:val="20"/>
        </w:rPr>
        <w:t xml:space="preserve">within the second that </w:t>
      </w:r>
      <w:r w:rsidR="00753D12" w:rsidRPr="00AF7013">
        <w:rPr>
          <w:rFonts w:ascii="Arial" w:hAnsi="Arial" w:cs="Arial"/>
          <w:color w:val="000000"/>
          <w:sz w:val="20"/>
          <w:szCs w:val="20"/>
        </w:rPr>
        <w:t>each should ‘make reparation according to his law</w:t>
      </w:r>
      <w:r w:rsidR="00166A83" w:rsidRPr="00AF7013">
        <w:rPr>
          <w:rFonts w:ascii="Arial" w:hAnsi="Arial" w:cs="Arial"/>
          <w:color w:val="000000"/>
          <w:sz w:val="20"/>
          <w:szCs w:val="20"/>
        </w:rPr>
        <w:t xml:space="preserve"> [whilst losing] </w:t>
      </w:r>
      <w:r w:rsidR="00753D12" w:rsidRPr="00AF7013">
        <w:rPr>
          <w:rFonts w:ascii="Arial" w:hAnsi="Arial" w:cs="Arial"/>
          <w:color w:val="000000"/>
          <w:sz w:val="20"/>
          <w:szCs w:val="20"/>
        </w:rPr>
        <w:t xml:space="preserve">both pledge and debt’. </w:t>
      </w:r>
      <w:r w:rsidR="00753D12" w:rsidRPr="00AF7013">
        <w:rPr>
          <w:rStyle w:val="FootnoteReference"/>
          <w:rFonts w:ascii="Arial" w:hAnsi="Arial" w:cs="Arial"/>
          <w:color w:val="000000"/>
          <w:sz w:val="20"/>
          <w:szCs w:val="20"/>
        </w:rPr>
        <w:footnoteReference w:id="20"/>
      </w:r>
    </w:p>
    <w:p w:rsidR="0068535C" w:rsidRPr="00AF7013" w:rsidRDefault="0068535C" w:rsidP="00753D12">
      <w:pPr>
        <w:shd w:val="clear" w:color="auto" w:fill="FFFFFF"/>
        <w:spacing w:before="240" w:after="24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8535C" w:rsidRPr="00AF7013" w:rsidRDefault="00753D12" w:rsidP="004727CD">
      <w:pPr>
        <w:pStyle w:val="hbodytext"/>
        <w:spacing w:before="146" w:beforeAutospacing="0" w:after="146" w:afterAutospacing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7013">
        <w:rPr>
          <w:rFonts w:ascii="Arial" w:hAnsi="Arial" w:cs="Arial"/>
          <w:color w:val="000000"/>
          <w:sz w:val="20"/>
          <w:szCs w:val="20"/>
        </w:rPr>
        <w:t xml:space="preserve">This </w:t>
      </w:r>
      <w:r w:rsidR="00166A83" w:rsidRPr="00AF7013">
        <w:rPr>
          <w:rFonts w:ascii="Arial" w:hAnsi="Arial" w:cs="Arial"/>
          <w:color w:val="000000"/>
          <w:sz w:val="20"/>
          <w:szCs w:val="20"/>
        </w:rPr>
        <w:t xml:space="preserve">new parity </w:t>
      </w:r>
      <w:r w:rsidRPr="00AF7013">
        <w:rPr>
          <w:rFonts w:ascii="Arial" w:hAnsi="Arial" w:cs="Arial"/>
          <w:color w:val="000000"/>
          <w:sz w:val="20"/>
          <w:szCs w:val="20"/>
        </w:rPr>
        <w:t xml:space="preserve">application of law continues within the third capitula, banning Jews from </w:t>
      </w:r>
      <w:r w:rsidR="00A4194F" w:rsidRPr="00AF7013">
        <w:rPr>
          <w:rFonts w:ascii="Arial" w:hAnsi="Arial" w:cs="Arial"/>
          <w:color w:val="000000"/>
          <w:sz w:val="20"/>
          <w:szCs w:val="20"/>
        </w:rPr>
        <w:t>having ‘a</w:t>
      </w:r>
      <w:r w:rsidR="00476A90" w:rsidRPr="00AF7013">
        <w:rPr>
          <w:rFonts w:ascii="Arial" w:hAnsi="Arial" w:cs="Arial"/>
          <w:color w:val="000000"/>
          <w:sz w:val="20"/>
          <w:szCs w:val="20"/>
        </w:rPr>
        <w:t xml:space="preserve"> money-</w:t>
      </w:r>
      <w:r w:rsidR="00111C12" w:rsidRPr="00AF7013">
        <w:rPr>
          <w:rFonts w:ascii="Arial" w:hAnsi="Arial" w:cs="Arial"/>
          <w:color w:val="000000"/>
          <w:sz w:val="20"/>
          <w:szCs w:val="20"/>
        </w:rPr>
        <w:t>changer’s</w:t>
      </w:r>
      <w:r w:rsidR="00476A90" w:rsidRPr="00AF7013">
        <w:rPr>
          <w:rFonts w:ascii="Arial" w:hAnsi="Arial" w:cs="Arial"/>
          <w:color w:val="000000"/>
          <w:sz w:val="20"/>
          <w:szCs w:val="20"/>
        </w:rPr>
        <w:t xml:space="preserve"> table in his house, nor shall he presume to sell wine, grain, or other commodi</w:t>
      </w:r>
      <w:r w:rsidR="00531DB3" w:rsidRPr="00AF7013">
        <w:rPr>
          <w:rFonts w:ascii="Arial" w:hAnsi="Arial" w:cs="Arial"/>
          <w:color w:val="000000"/>
          <w:sz w:val="20"/>
          <w:szCs w:val="20"/>
        </w:rPr>
        <w:t>ties there</w:t>
      </w:r>
      <w:r w:rsidR="00FD4264" w:rsidRPr="00AF7013">
        <w:rPr>
          <w:rFonts w:ascii="Arial" w:hAnsi="Arial" w:cs="Arial"/>
          <w:color w:val="000000"/>
          <w:sz w:val="20"/>
          <w:szCs w:val="20"/>
        </w:rPr>
        <w:t>’</w:t>
      </w:r>
      <w:r w:rsidRPr="00AF7013">
        <w:rPr>
          <w:rFonts w:ascii="Arial" w:hAnsi="Arial" w:cs="Arial"/>
          <w:color w:val="000000"/>
          <w:sz w:val="20"/>
          <w:szCs w:val="20"/>
        </w:rPr>
        <w:t xml:space="preserve">. </w:t>
      </w:r>
      <w:r w:rsidR="00FD4264" w:rsidRPr="00AF7013">
        <w:rPr>
          <w:rStyle w:val="FootnoteReference"/>
          <w:rFonts w:ascii="Arial" w:hAnsi="Arial" w:cs="Arial"/>
          <w:color w:val="000000"/>
          <w:sz w:val="20"/>
          <w:szCs w:val="20"/>
        </w:rPr>
        <w:footnoteReference w:id="21"/>
      </w:r>
      <w:r w:rsidR="00166A83" w:rsidRPr="00AF7013">
        <w:rPr>
          <w:rFonts w:ascii="Arial" w:hAnsi="Arial" w:cs="Arial"/>
          <w:color w:val="000000"/>
          <w:sz w:val="20"/>
          <w:szCs w:val="20"/>
        </w:rPr>
        <w:t xml:space="preserve"> The penalty, </w:t>
      </w:r>
      <w:r w:rsidR="00AE6471" w:rsidRPr="00AF7013">
        <w:rPr>
          <w:rFonts w:ascii="Arial" w:hAnsi="Arial" w:cs="Arial"/>
          <w:color w:val="000000"/>
          <w:sz w:val="20"/>
          <w:szCs w:val="20"/>
        </w:rPr>
        <w:t>that ‘</w:t>
      </w:r>
      <w:r w:rsidR="00476A90" w:rsidRPr="00AF7013">
        <w:rPr>
          <w:rFonts w:ascii="Arial" w:hAnsi="Arial" w:cs="Arial"/>
          <w:color w:val="000000"/>
          <w:sz w:val="20"/>
          <w:szCs w:val="20"/>
        </w:rPr>
        <w:t>all his goo</w:t>
      </w:r>
      <w:r w:rsidR="00AE6471" w:rsidRPr="00AF7013">
        <w:rPr>
          <w:rFonts w:ascii="Arial" w:hAnsi="Arial" w:cs="Arial"/>
          <w:color w:val="000000"/>
          <w:sz w:val="20"/>
          <w:szCs w:val="20"/>
        </w:rPr>
        <w:t xml:space="preserve">ds shall be taken away from him’, </w:t>
      </w:r>
      <w:r w:rsidR="00166A83" w:rsidRPr="00AF7013">
        <w:rPr>
          <w:rFonts w:ascii="Arial" w:hAnsi="Arial" w:cs="Arial"/>
          <w:color w:val="000000"/>
          <w:sz w:val="20"/>
          <w:szCs w:val="20"/>
        </w:rPr>
        <w:t xml:space="preserve">and </w:t>
      </w:r>
      <w:r w:rsidR="00AE6471" w:rsidRPr="00AF7013">
        <w:rPr>
          <w:rFonts w:ascii="Arial" w:hAnsi="Arial" w:cs="Arial"/>
          <w:color w:val="000000"/>
          <w:sz w:val="20"/>
          <w:szCs w:val="20"/>
        </w:rPr>
        <w:t>the instruction that ‘he</w:t>
      </w:r>
      <w:r w:rsidR="00476A90" w:rsidRPr="00AF7013">
        <w:rPr>
          <w:rFonts w:ascii="Arial" w:hAnsi="Arial" w:cs="Arial"/>
          <w:color w:val="000000"/>
          <w:sz w:val="20"/>
          <w:szCs w:val="20"/>
        </w:rPr>
        <w:t xml:space="preserve"> shall be imprisoned until </w:t>
      </w:r>
      <w:r w:rsidR="00531DB3" w:rsidRPr="00AF7013">
        <w:rPr>
          <w:rFonts w:ascii="Arial" w:hAnsi="Arial" w:cs="Arial"/>
          <w:color w:val="000000"/>
          <w:sz w:val="20"/>
          <w:szCs w:val="20"/>
        </w:rPr>
        <w:t>he is brought into our presence’</w:t>
      </w:r>
      <w:r w:rsidR="00292A1D" w:rsidRPr="00AF7013">
        <w:rPr>
          <w:rFonts w:ascii="Arial" w:hAnsi="Arial" w:cs="Arial"/>
          <w:color w:val="000000"/>
          <w:sz w:val="20"/>
          <w:szCs w:val="20"/>
        </w:rPr>
        <w:t xml:space="preserve"> might </w:t>
      </w:r>
      <w:r w:rsidR="00166A83" w:rsidRPr="00AF7013">
        <w:rPr>
          <w:rFonts w:ascii="Arial" w:hAnsi="Arial" w:cs="Arial"/>
          <w:color w:val="000000"/>
          <w:sz w:val="20"/>
          <w:szCs w:val="20"/>
        </w:rPr>
        <w:t xml:space="preserve"> also </w:t>
      </w:r>
      <w:r w:rsidR="00AE6471" w:rsidRPr="00AF7013">
        <w:rPr>
          <w:rFonts w:ascii="Arial" w:hAnsi="Arial" w:cs="Arial"/>
          <w:color w:val="000000"/>
          <w:sz w:val="20"/>
          <w:szCs w:val="20"/>
        </w:rPr>
        <w:t xml:space="preserve"> be seen as a restriction on the violence of summary </w:t>
      </w:r>
      <w:r w:rsidR="00111C12" w:rsidRPr="00AF7013">
        <w:rPr>
          <w:rFonts w:ascii="Arial" w:hAnsi="Arial" w:cs="Arial"/>
          <w:color w:val="000000"/>
          <w:sz w:val="20"/>
          <w:szCs w:val="20"/>
        </w:rPr>
        <w:t>‘</w:t>
      </w:r>
      <w:r w:rsidR="00AE6471" w:rsidRPr="00AF7013">
        <w:rPr>
          <w:rFonts w:ascii="Arial" w:hAnsi="Arial" w:cs="Arial"/>
          <w:color w:val="000000"/>
          <w:sz w:val="20"/>
          <w:szCs w:val="20"/>
        </w:rPr>
        <w:t xml:space="preserve">mob </w:t>
      </w:r>
      <w:r w:rsidR="00111C12" w:rsidRPr="00AF7013">
        <w:rPr>
          <w:rFonts w:ascii="Arial" w:hAnsi="Arial" w:cs="Arial"/>
          <w:color w:val="000000"/>
          <w:sz w:val="20"/>
          <w:szCs w:val="20"/>
        </w:rPr>
        <w:t>justice’ so</w:t>
      </w:r>
      <w:r w:rsidR="00AE6471" w:rsidRPr="00AF7013">
        <w:rPr>
          <w:rFonts w:ascii="Arial" w:hAnsi="Arial" w:cs="Arial"/>
          <w:color w:val="000000"/>
          <w:sz w:val="20"/>
          <w:szCs w:val="20"/>
        </w:rPr>
        <w:t xml:space="preserve"> often  faced by Jews. </w:t>
      </w:r>
      <w:r w:rsidR="00531DB3" w:rsidRPr="00AF7013">
        <w:rPr>
          <w:rStyle w:val="FootnoteReference"/>
          <w:rFonts w:ascii="Arial" w:hAnsi="Arial" w:cs="Arial"/>
          <w:color w:val="000000"/>
          <w:sz w:val="20"/>
          <w:szCs w:val="20"/>
        </w:rPr>
        <w:footnoteReference w:id="22"/>
      </w:r>
      <w:r w:rsidR="00111C12" w:rsidRPr="00AF7013">
        <w:rPr>
          <w:rFonts w:ascii="Arial" w:hAnsi="Arial" w:cs="Arial"/>
          <w:color w:val="000000"/>
          <w:sz w:val="20"/>
          <w:szCs w:val="20"/>
        </w:rPr>
        <w:t xml:space="preserve"> </w:t>
      </w:r>
      <w:r w:rsidR="00AE6471" w:rsidRPr="00AF7013">
        <w:rPr>
          <w:rFonts w:ascii="Arial" w:hAnsi="Arial" w:cs="Arial"/>
          <w:color w:val="000000"/>
          <w:sz w:val="20"/>
          <w:szCs w:val="20"/>
        </w:rPr>
        <w:t xml:space="preserve">Whilst the proscriptions refer to commerce from a domicile, Brahrach uses </w:t>
      </w:r>
      <w:r w:rsidR="00AE6471" w:rsidRPr="00AF7013">
        <w:rPr>
          <w:rFonts w:ascii="Arial" w:hAnsi="Arial" w:cs="Arial"/>
          <w:sz w:val="20"/>
          <w:szCs w:val="20"/>
        </w:rPr>
        <w:t>Lyonnais</w:t>
      </w:r>
      <w:r w:rsidR="00AB7A20" w:rsidRPr="00AF7013">
        <w:rPr>
          <w:rFonts w:ascii="Arial" w:hAnsi="Arial" w:cs="Arial"/>
          <w:sz w:val="20"/>
          <w:szCs w:val="20"/>
        </w:rPr>
        <w:t xml:space="preserve"> as an example of </w:t>
      </w:r>
      <w:r w:rsidR="00AE6471" w:rsidRPr="00AF7013">
        <w:rPr>
          <w:rFonts w:ascii="Arial" w:hAnsi="Arial" w:cs="Arial"/>
          <w:sz w:val="20"/>
          <w:szCs w:val="20"/>
        </w:rPr>
        <w:t xml:space="preserve">Jewish </w:t>
      </w:r>
      <w:r w:rsidR="00AB7A20" w:rsidRPr="00AF7013">
        <w:rPr>
          <w:rFonts w:ascii="Arial" w:hAnsi="Arial" w:cs="Arial"/>
          <w:sz w:val="20"/>
          <w:szCs w:val="20"/>
        </w:rPr>
        <w:t xml:space="preserve">dominance </w:t>
      </w:r>
      <w:r w:rsidR="00154563" w:rsidRPr="00AF7013">
        <w:rPr>
          <w:rFonts w:ascii="Arial" w:hAnsi="Arial" w:cs="Arial"/>
          <w:sz w:val="20"/>
          <w:szCs w:val="20"/>
        </w:rPr>
        <w:t xml:space="preserve">within both the </w:t>
      </w:r>
      <w:r w:rsidR="00AE6471" w:rsidRPr="00AF7013">
        <w:rPr>
          <w:rFonts w:ascii="Arial" w:hAnsi="Arial" w:cs="Arial"/>
          <w:sz w:val="20"/>
          <w:szCs w:val="20"/>
        </w:rPr>
        <w:t>wholesale and ret</w:t>
      </w:r>
      <w:r w:rsidR="00AB7A20" w:rsidRPr="00AF7013">
        <w:rPr>
          <w:rFonts w:ascii="Arial" w:hAnsi="Arial" w:cs="Arial"/>
          <w:sz w:val="20"/>
          <w:szCs w:val="20"/>
        </w:rPr>
        <w:t xml:space="preserve">ail </w:t>
      </w:r>
      <w:r w:rsidR="00154563" w:rsidRPr="00AF7013">
        <w:rPr>
          <w:rFonts w:ascii="Arial" w:hAnsi="Arial" w:cs="Arial"/>
          <w:sz w:val="20"/>
          <w:szCs w:val="20"/>
        </w:rPr>
        <w:t xml:space="preserve">of </w:t>
      </w:r>
      <w:r w:rsidR="00AB7A20" w:rsidRPr="00AF7013">
        <w:rPr>
          <w:rFonts w:ascii="Arial" w:hAnsi="Arial" w:cs="Arial"/>
          <w:sz w:val="20"/>
          <w:szCs w:val="20"/>
        </w:rPr>
        <w:t xml:space="preserve">meat and wine, </w:t>
      </w:r>
      <w:r w:rsidR="00292A1D" w:rsidRPr="00AF7013">
        <w:rPr>
          <w:rFonts w:ascii="Arial" w:hAnsi="Arial" w:cs="Arial"/>
          <w:sz w:val="20"/>
          <w:szCs w:val="20"/>
        </w:rPr>
        <w:t xml:space="preserve">noting </w:t>
      </w:r>
      <w:r w:rsidR="00AB7A20" w:rsidRPr="00AF7013">
        <w:rPr>
          <w:rFonts w:ascii="Arial" w:hAnsi="Arial" w:cs="Arial"/>
          <w:sz w:val="20"/>
          <w:szCs w:val="20"/>
        </w:rPr>
        <w:t xml:space="preserve">the role of Jewish wine merchants in supplying the Imperial Court at Aachen. </w:t>
      </w:r>
      <w:r w:rsidR="00AE6471" w:rsidRPr="00AF7013">
        <w:rPr>
          <w:rStyle w:val="FootnoteReference"/>
          <w:rFonts w:ascii="Arial" w:hAnsi="Arial" w:cs="Arial"/>
          <w:sz w:val="20"/>
          <w:szCs w:val="20"/>
        </w:rPr>
        <w:footnoteReference w:id="23"/>
      </w:r>
      <w:r w:rsidR="00E47F85">
        <w:rPr>
          <w:rFonts w:ascii="Arial" w:hAnsi="Arial" w:cs="Arial"/>
          <w:sz w:val="20"/>
          <w:szCs w:val="20"/>
        </w:rPr>
        <w:t xml:space="preserve"> </w:t>
      </w:r>
      <w:r w:rsidR="00FD4264" w:rsidRPr="00AF7013">
        <w:rPr>
          <w:rFonts w:ascii="Arial" w:hAnsi="Arial" w:cs="Arial"/>
          <w:color w:val="000000"/>
          <w:sz w:val="20"/>
          <w:szCs w:val="20"/>
        </w:rPr>
        <w:t xml:space="preserve">These privileges served as the model for those employed towards Jews by a number of later </w:t>
      </w:r>
      <w:r w:rsidR="009668D0" w:rsidRPr="00AF7013">
        <w:rPr>
          <w:rFonts w:ascii="Arial" w:hAnsi="Arial" w:cs="Arial"/>
          <w:color w:val="000000"/>
          <w:sz w:val="20"/>
          <w:szCs w:val="20"/>
        </w:rPr>
        <w:t>e</w:t>
      </w:r>
      <w:r w:rsidR="00FD4264" w:rsidRPr="00AF7013">
        <w:rPr>
          <w:rFonts w:ascii="Arial" w:hAnsi="Arial" w:cs="Arial"/>
          <w:color w:val="000000"/>
          <w:sz w:val="20"/>
          <w:szCs w:val="20"/>
        </w:rPr>
        <w:t>mperors, including Henry IV (1050-1106) toward the Jews of Worms</w:t>
      </w:r>
      <w:r w:rsidR="009668D0" w:rsidRPr="00AF7013">
        <w:rPr>
          <w:rFonts w:ascii="Arial" w:hAnsi="Arial" w:cs="Arial"/>
          <w:color w:val="000000"/>
          <w:sz w:val="20"/>
          <w:szCs w:val="20"/>
        </w:rPr>
        <w:t>,</w:t>
      </w:r>
      <w:r w:rsidR="00FD4264" w:rsidRPr="00AF7013">
        <w:rPr>
          <w:rFonts w:ascii="Arial" w:hAnsi="Arial" w:cs="Arial"/>
          <w:color w:val="000000"/>
          <w:sz w:val="20"/>
          <w:szCs w:val="20"/>
        </w:rPr>
        <w:t xml:space="preserve"> for example.</w:t>
      </w:r>
      <w:r w:rsidR="00CF66B4" w:rsidRPr="00AF7013">
        <w:rPr>
          <w:rStyle w:val="FootnoteReference"/>
          <w:rFonts w:ascii="Arial" w:hAnsi="Arial" w:cs="Arial"/>
          <w:color w:val="000000"/>
          <w:sz w:val="20"/>
          <w:szCs w:val="20"/>
        </w:rPr>
        <w:footnoteReference w:id="24"/>
      </w:r>
    </w:p>
    <w:p w:rsidR="0068535C" w:rsidRPr="00AF7013" w:rsidRDefault="0068535C" w:rsidP="004727CD">
      <w:pPr>
        <w:pStyle w:val="hbodytext"/>
        <w:spacing w:before="146" w:beforeAutospacing="0" w:after="146" w:afterAutospacing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7A06C5" w:rsidRPr="00AF7013" w:rsidRDefault="00531DB3" w:rsidP="004727CD">
      <w:pPr>
        <w:pStyle w:val="hbodytext"/>
        <w:spacing w:before="146" w:beforeAutospacing="0" w:after="146" w:afterAutospacing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7013">
        <w:rPr>
          <w:rFonts w:ascii="Arial" w:hAnsi="Arial" w:cs="Arial"/>
          <w:color w:val="000000"/>
          <w:sz w:val="20"/>
          <w:szCs w:val="20"/>
        </w:rPr>
        <w:t>Th</w:t>
      </w:r>
      <w:r w:rsidR="007A06C5" w:rsidRPr="00AF7013">
        <w:rPr>
          <w:rFonts w:ascii="Arial" w:hAnsi="Arial" w:cs="Arial"/>
          <w:color w:val="000000"/>
          <w:sz w:val="20"/>
          <w:szCs w:val="20"/>
        </w:rPr>
        <w:t xml:space="preserve">e final and lengthiest </w:t>
      </w:r>
      <w:r w:rsidR="00111C12" w:rsidRPr="00AF7013">
        <w:rPr>
          <w:rFonts w:ascii="Arial" w:hAnsi="Arial" w:cs="Arial"/>
          <w:color w:val="000000"/>
          <w:sz w:val="20"/>
          <w:szCs w:val="20"/>
        </w:rPr>
        <w:t>capitula continue</w:t>
      </w:r>
      <w:r w:rsidR="00292A1D" w:rsidRPr="00AF7013">
        <w:rPr>
          <w:rFonts w:ascii="Arial" w:hAnsi="Arial" w:cs="Arial"/>
          <w:color w:val="000000"/>
          <w:sz w:val="20"/>
          <w:szCs w:val="20"/>
        </w:rPr>
        <w:t xml:space="preserve"> this</w:t>
      </w:r>
      <w:r w:rsidR="00035819" w:rsidRPr="00AF7013">
        <w:rPr>
          <w:rFonts w:ascii="Arial" w:hAnsi="Arial" w:cs="Arial"/>
          <w:color w:val="000000"/>
          <w:sz w:val="20"/>
          <w:szCs w:val="20"/>
        </w:rPr>
        <w:t xml:space="preserve"> theme of </w:t>
      </w:r>
      <w:r w:rsidR="007A06C5" w:rsidRPr="00AF7013">
        <w:rPr>
          <w:rFonts w:ascii="Arial" w:hAnsi="Arial" w:cs="Arial"/>
          <w:color w:val="000000"/>
          <w:sz w:val="20"/>
          <w:szCs w:val="20"/>
        </w:rPr>
        <w:t xml:space="preserve">increased parity toward </w:t>
      </w:r>
      <w:r w:rsidR="00035819" w:rsidRPr="00AF7013">
        <w:rPr>
          <w:rFonts w:ascii="Arial" w:hAnsi="Arial" w:cs="Arial"/>
          <w:color w:val="000000"/>
          <w:sz w:val="20"/>
          <w:szCs w:val="20"/>
        </w:rPr>
        <w:t>rights and obligations</w:t>
      </w:r>
      <w:r w:rsidR="00292A1D" w:rsidRPr="00AF7013">
        <w:rPr>
          <w:rFonts w:ascii="Arial" w:hAnsi="Arial" w:cs="Arial"/>
          <w:color w:val="000000"/>
          <w:sz w:val="20"/>
          <w:szCs w:val="20"/>
        </w:rPr>
        <w:t>,</w:t>
      </w:r>
      <w:r w:rsidR="00035819" w:rsidRPr="00AF7013">
        <w:rPr>
          <w:rFonts w:ascii="Arial" w:hAnsi="Arial" w:cs="Arial"/>
          <w:color w:val="000000"/>
          <w:sz w:val="20"/>
          <w:szCs w:val="20"/>
        </w:rPr>
        <w:t xml:space="preserve"> with its </w:t>
      </w:r>
      <w:r w:rsidRPr="00AF7013">
        <w:rPr>
          <w:rFonts w:ascii="Arial" w:hAnsi="Arial" w:cs="Arial"/>
          <w:color w:val="000000"/>
          <w:sz w:val="20"/>
          <w:szCs w:val="20"/>
        </w:rPr>
        <w:t xml:space="preserve">detailed instruction regarding </w:t>
      </w:r>
      <w:r w:rsidR="00476A90" w:rsidRPr="00AF7013">
        <w:rPr>
          <w:rFonts w:ascii="Arial" w:hAnsi="Arial" w:cs="Arial"/>
          <w:color w:val="000000"/>
          <w:sz w:val="20"/>
          <w:szCs w:val="20"/>
        </w:rPr>
        <w:t xml:space="preserve">the oath of the Jews </w:t>
      </w:r>
      <w:r w:rsidR="00292A1D" w:rsidRPr="00AF7013">
        <w:rPr>
          <w:rFonts w:ascii="Arial" w:hAnsi="Arial" w:cs="Arial"/>
          <w:color w:val="000000"/>
          <w:sz w:val="20"/>
          <w:szCs w:val="20"/>
        </w:rPr>
        <w:t xml:space="preserve">mitigating </w:t>
      </w:r>
      <w:r w:rsidR="00476A90" w:rsidRPr="00AF7013">
        <w:rPr>
          <w:rFonts w:ascii="Arial" w:hAnsi="Arial" w:cs="Arial"/>
          <w:color w:val="000000"/>
          <w:sz w:val="20"/>
          <w:szCs w:val="20"/>
        </w:rPr>
        <w:t xml:space="preserve">against </w:t>
      </w:r>
      <w:r w:rsidR="00691AE4" w:rsidRPr="00AF7013">
        <w:rPr>
          <w:rFonts w:ascii="Arial" w:hAnsi="Arial" w:cs="Arial"/>
          <w:color w:val="000000"/>
          <w:sz w:val="20"/>
          <w:szCs w:val="20"/>
        </w:rPr>
        <w:t xml:space="preserve">Christians. These </w:t>
      </w:r>
      <w:r w:rsidR="00292A1D" w:rsidRPr="00AF7013">
        <w:rPr>
          <w:rFonts w:ascii="Arial" w:hAnsi="Arial" w:cs="Arial"/>
          <w:color w:val="000000"/>
          <w:sz w:val="20"/>
          <w:szCs w:val="20"/>
        </w:rPr>
        <w:t>include</w:t>
      </w:r>
      <w:r w:rsidR="00111C12" w:rsidRPr="00AF7013">
        <w:rPr>
          <w:rFonts w:ascii="Arial" w:hAnsi="Arial" w:cs="Arial"/>
          <w:color w:val="000000"/>
          <w:sz w:val="20"/>
          <w:szCs w:val="20"/>
        </w:rPr>
        <w:t xml:space="preserve"> </w:t>
      </w:r>
      <w:r w:rsidR="00691AE4" w:rsidRPr="00AF7013">
        <w:rPr>
          <w:rFonts w:ascii="Arial" w:hAnsi="Arial" w:cs="Arial"/>
          <w:color w:val="000000"/>
          <w:sz w:val="20"/>
          <w:szCs w:val="20"/>
        </w:rPr>
        <w:t>the</w:t>
      </w:r>
      <w:r w:rsidR="00111C12" w:rsidRPr="00AF7013">
        <w:rPr>
          <w:rFonts w:ascii="Arial" w:hAnsi="Arial" w:cs="Arial"/>
          <w:color w:val="000000"/>
          <w:sz w:val="20"/>
          <w:szCs w:val="20"/>
        </w:rPr>
        <w:t xml:space="preserve"> </w:t>
      </w:r>
      <w:r w:rsidR="00292A1D" w:rsidRPr="00AF7013">
        <w:rPr>
          <w:rFonts w:ascii="Arial" w:hAnsi="Arial" w:cs="Arial"/>
          <w:color w:val="000000"/>
          <w:sz w:val="20"/>
          <w:szCs w:val="20"/>
        </w:rPr>
        <w:t xml:space="preserve">plaintiffs standing, </w:t>
      </w:r>
      <w:r w:rsidR="00111C12" w:rsidRPr="00AF7013">
        <w:rPr>
          <w:rFonts w:ascii="Arial" w:hAnsi="Arial" w:cs="Arial"/>
          <w:color w:val="000000"/>
          <w:sz w:val="20"/>
          <w:szCs w:val="20"/>
        </w:rPr>
        <w:t xml:space="preserve">entwined </w:t>
      </w:r>
      <w:r w:rsidR="00776D58">
        <w:rPr>
          <w:rFonts w:ascii="Arial" w:hAnsi="Arial" w:cs="Arial"/>
          <w:color w:val="000000"/>
          <w:sz w:val="20"/>
          <w:szCs w:val="20"/>
        </w:rPr>
        <w:t>i</w:t>
      </w:r>
      <w:r w:rsidRPr="00AF7013">
        <w:rPr>
          <w:rFonts w:ascii="Arial" w:hAnsi="Arial" w:cs="Arial"/>
          <w:color w:val="000000"/>
          <w:sz w:val="20"/>
          <w:szCs w:val="20"/>
        </w:rPr>
        <w:t>n sorrel</w:t>
      </w:r>
      <w:r w:rsidR="009668D0" w:rsidRPr="00AF7013">
        <w:rPr>
          <w:rFonts w:ascii="Arial" w:hAnsi="Arial" w:cs="Arial"/>
          <w:color w:val="000000"/>
          <w:sz w:val="20"/>
          <w:szCs w:val="20"/>
        </w:rPr>
        <w:t>,</w:t>
      </w:r>
      <w:r w:rsidR="00111C12" w:rsidRPr="00AF7013">
        <w:rPr>
          <w:rFonts w:ascii="Arial" w:hAnsi="Arial" w:cs="Arial"/>
          <w:color w:val="000000"/>
          <w:sz w:val="20"/>
          <w:szCs w:val="20"/>
        </w:rPr>
        <w:t xml:space="preserve"> </w:t>
      </w:r>
      <w:r w:rsidR="00292A1D" w:rsidRPr="00AF7013">
        <w:rPr>
          <w:rFonts w:ascii="Arial" w:hAnsi="Arial" w:cs="Arial"/>
          <w:color w:val="000000"/>
          <w:sz w:val="20"/>
          <w:szCs w:val="20"/>
        </w:rPr>
        <w:t xml:space="preserve">whilst </w:t>
      </w:r>
      <w:r w:rsidR="00691AE4" w:rsidRPr="00AF7013">
        <w:rPr>
          <w:rFonts w:ascii="Arial" w:hAnsi="Arial" w:cs="Arial"/>
          <w:color w:val="000000"/>
          <w:sz w:val="20"/>
          <w:szCs w:val="20"/>
        </w:rPr>
        <w:t xml:space="preserve">holding in their right hand ‘the five books of Moses according to his law [if not in] Hebrew he shall have them in Latin’. </w:t>
      </w:r>
      <w:r w:rsidR="00691AE4" w:rsidRPr="00AF7013">
        <w:rPr>
          <w:rStyle w:val="FootnoteReference"/>
          <w:rFonts w:ascii="Arial" w:hAnsi="Arial" w:cs="Arial"/>
          <w:color w:val="000000"/>
          <w:sz w:val="20"/>
          <w:szCs w:val="20"/>
        </w:rPr>
        <w:footnoteReference w:id="25"/>
      </w:r>
      <w:r w:rsidR="00776D58">
        <w:rPr>
          <w:rFonts w:ascii="Arial" w:hAnsi="Arial" w:cs="Arial"/>
          <w:color w:val="000000"/>
          <w:sz w:val="20"/>
          <w:szCs w:val="20"/>
        </w:rPr>
        <w:t xml:space="preserve"> </w:t>
      </w:r>
      <w:r w:rsidR="003753C0" w:rsidRPr="00AF7013">
        <w:rPr>
          <w:rFonts w:ascii="Arial" w:hAnsi="Arial" w:cs="Arial"/>
          <w:color w:val="000000"/>
          <w:sz w:val="20"/>
          <w:szCs w:val="20"/>
        </w:rPr>
        <w:t>The plaintiff’s oath stipulated</w:t>
      </w:r>
      <w:r w:rsidR="00292A1D" w:rsidRPr="00AF7013">
        <w:rPr>
          <w:rFonts w:ascii="Arial" w:hAnsi="Arial" w:cs="Arial"/>
          <w:color w:val="000000"/>
          <w:sz w:val="20"/>
          <w:szCs w:val="20"/>
        </w:rPr>
        <w:t xml:space="preserve"> within the capitula displays a</w:t>
      </w:r>
      <w:r w:rsidR="00111C12" w:rsidRPr="00AF7013">
        <w:rPr>
          <w:rFonts w:ascii="Arial" w:hAnsi="Arial" w:cs="Arial"/>
          <w:color w:val="000000"/>
          <w:sz w:val="20"/>
          <w:szCs w:val="20"/>
        </w:rPr>
        <w:t xml:space="preserve"> </w:t>
      </w:r>
      <w:r w:rsidR="007A06C5" w:rsidRPr="00AF7013">
        <w:rPr>
          <w:rFonts w:ascii="Arial" w:hAnsi="Arial" w:cs="Arial"/>
          <w:color w:val="000000"/>
          <w:sz w:val="20"/>
          <w:szCs w:val="20"/>
        </w:rPr>
        <w:t xml:space="preserve">marked </w:t>
      </w:r>
      <w:r w:rsidR="003753C0" w:rsidRPr="00AF7013">
        <w:rPr>
          <w:rFonts w:ascii="Arial" w:hAnsi="Arial" w:cs="Arial"/>
          <w:color w:val="000000"/>
          <w:sz w:val="20"/>
          <w:szCs w:val="20"/>
        </w:rPr>
        <w:t>awareness of Jewish religious legal practice</w:t>
      </w:r>
      <w:r w:rsidR="007A06C5" w:rsidRPr="00AF7013">
        <w:rPr>
          <w:rFonts w:ascii="Arial" w:hAnsi="Arial" w:cs="Arial"/>
          <w:color w:val="000000"/>
          <w:sz w:val="20"/>
          <w:szCs w:val="20"/>
        </w:rPr>
        <w:t>.</w:t>
      </w:r>
      <w:r w:rsidR="00111C12" w:rsidRPr="00AF7013">
        <w:rPr>
          <w:rFonts w:ascii="Arial" w:hAnsi="Arial" w:cs="Arial"/>
          <w:color w:val="000000"/>
          <w:sz w:val="20"/>
          <w:szCs w:val="20"/>
        </w:rPr>
        <w:t xml:space="preserve"> </w:t>
      </w:r>
      <w:r w:rsidR="007A06C5" w:rsidRPr="00AF7013">
        <w:rPr>
          <w:rFonts w:ascii="Arial" w:hAnsi="Arial" w:cs="Arial"/>
          <w:color w:val="000000"/>
          <w:sz w:val="20"/>
          <w:szCs w:val="20"/>
        </w:rPr>
        <w:t xml:space="preserve">This has led </w:t>
      </w:r>
      <w:r w:rsidR="009668D0" w:rsidRPr="00AF7013">
        <w:rPr>
          <w:rFonts w:ascii="Arial" w:hAnsi="Arial" w:cs="Arial"/>
          <w:color w:val="000000"/>
          <w:sz w:val="20"/>
          <w:szCs w:val="20"/>
        </w:rPr>
        <w:t>scholars to conclude there was</w:t>
      </w:r>
      <w:r w:rsidR="00111C12" w:rsidRPr="00AF7013">
        <w:rPr>
          <w:rFonts w:ascii="Arial" w:hAnsi="Arial" w:cs="Arial"/>
          <w:color w:val="000000"/>
          <w:sz w:val="20"/>
          <w:szCs w:val="20"/>
        </w:rPr>
        <w:t xml:space="preserve"> </w:t>
      </w:r>
      <w:r w:rsidR="003753C0" w:rsidRPr="00AF7013">
        <w:rPr>
          <w:rFonts w:ascii="Arial" w:hAnsi="Arial" w:cs="Arial"/>
          <w:color w:val="000000"/>
          <w:sz w:val="20"/>
          <w:szCs w:val="20"/>
        </w:rPr>
        <w:t xml:space="preserve">consultation and collaboration </w:t>
      </w:r>
      <w:r w:rsidR="009668D0" w:rsidRPr="00AF7013">
        <w:rPr>
          <w:rFonts w:ascii="Arial" w:hAnsi="Arial" w:cs="Arial"/>
          <w:color w:val="000000"/>
          <w:sz w:val="20"/>
          <w:szCs w:val="20"/>
        </w:rPr>
        <w:t>with</w:t>
      </w:r>
      <w:r w:rsidR="003753C0" w:rsidRPr="00AF7013">
        <w:rPr>
          <w:rFonts w:ascii="Arial" w:hAnsi="Arial" w:cs="Arial"/>
          <w:color w:val="000000"/>
          <w:sz w:val="20"/>
          <w:szCs w:val="20"/>
        </w:rPr>
        <w:t xml:space="preserve"> rabbinical advisors</w:t>
      </w:r>
      <w:r w:rsidR="00035819" w:rsidRPr="00AF7013">
        <w:rPr>
          <w:rFonts w:ascii="Arial" w:hAnsi="Arial" w:cs="Arial"/>
          <w:color w:val="000000"/>
          <w:sz w:val="20"/>
          <w:szCs w:val="20"/>
        </w:rPr>
        <w:t xml:space="preserve">, as </w:t>
      </w:r>
      <w:r w:rsidR="007A06C5" w:rsidRPr="00AF7013">
        <w:rPr>
          <w:rFonts w:ascii="Arial" w:hAnsi="Arial" w:cs="Arial"/>
          <w:color w:val="000000"/>
          <w:sz w:val="20"/>
          <w:szCs w:val="20"/>
        </w:rPr>
        <w:t xml:space="preserve">was </w:t>
      </w:r>
      <w:r w:rsidR="007A06C5" w:rsidRPr="00AF7013">
        <w:rPr>
          <w:rFonts w:ascii="Arial" w:hAnsi="Arial" w:cs="Arial"/>
          <w:color w:val="000000"/>
          <w:sz w:val="20"/>
          <w:szCs w:val="20"/>
        </w:rPr>
        <w:lastRenderedPageBreak/>
        <w:t xml:space="preserve">previously </w:t>
      </w:r>
      <w:r w:rsidR="00035819" w:rsidRPr="00AF7013">
        <w:rPr>
          <w:rFonts w:ascii="Arial" w:hAnsi="Arial" w:cs="Arial"/>
          <w:color w:val="000000"/>
          <w:sz w:val="20"/>
          <w:szCs w:val="20"/>
        </w:rPr>
        <w:t xml:space="preserve">evidenced in </w:t>
      </w:r>
      <w:r w:rsidR="00292A1D" w:rsidRPr="00AF7013">
        <w:rPr>
          <w:rFonts w:ascii="Arial" w:hAnsi="Arial" w:cs="Arial"/>
          <w:color w:val="000000"/>
          <w:sz w:val="20"/>
          <w:szCs w:val="20"/>
        </w:rPr>
        <w:t>Charlemagne’s</w:t>
      </w:r>
      <w:r w:rsidR="00035819" w:rsidRPr="00AF7013">
        <w:rPr>
          <w:rFonts w:ascii="Arial" w:hAnsi="Arial" w:cs="Arial"/>
          <w:color w:val="000000"/>
          <w:sz w:val="20"/>
          <w:szCs w:val="20"/>
        </w:rPr>
        <w:t xml:space="preserve"> previous 794 oath </w:t>
      </w:r>
      <w:r w:rsidR="007A06C5" w:rsidRPr="00AF7013">
        <w:rPr>
          <w:rFonts w:ascii="Arial" w:hAnsi="Arial" w:cs="Arial"/>
          <w:color w:val="000000"/>
          <w:sz w:val="20"/>
          <w:szCs w:val="20"/>
        </w:rPr>
        <w:t xml:space="preserve">regarding </w:t>
      </w:r>
      <w:r w:rsidR="00035819" w:rsidRPr="00AF7013">
        <w:rPr>
          <w:rFonts w:ascii="Arial" w:hAnsi="Arial" w:cs="Arial"/>
          <w:color w:val="000000"/>
          <w:sz w:val="20"/>
          <w:szCs w:val="20"/>
        </w:rPr>
        <w:t>inter-</w:t>
      </w:r>
      <w:r w:rsidR="007A06C5" w:rsidRPr="00AF7013">
        <w:rPr>
          <w:rFonts w:ascii="Arial" w:hAnsi="Arial" w:cs="Arial"/>
          <w:color w:val="000000"/>
          <w:sz w:val="20"/>
          <w:szCs w:val="20"/>
        </w:rPr>
        <w:t>Jewish mitigations</w:t>
      </w:r>
      <w:r w:rsidR="00035819" w:rsidRPr="00AF7013">
        <w:rPr>
          <w:rFonts w:ascii="Arial" w:hAnsi="Arial" w:cs="Arial"/>
          <w:color w:val="000000"/>
          <w:sz w:val="20"/>
          <w:szCs w:val="20"/>
        </w:rPr>
        <w:t xml:space="preserve">. </w:t>
      </w:r>
      <w:r w:rsidR="003753C0" w:rsidRPr="00AF7013">
        <w:rPr>
          <w:rStyle w:val="FootnoteReference"/>
          <w:rFonts w:ascii="Arial" w:hAnsi="Arial" w:cs="Arial"/>
          <w:color w:val="000000"/>
          <w:sz w:val="20"/>
          <w:szCs w:val="20"/>
        </w:rPr>
        <w:footnoteReference w:id="26"/>
      </w:r>
      <w:r w:rsidR="00776D58">
        <w:rPr>
          <w:rFonts w:ascii="Arial" w:hAnsi="Arial" w:cs="Arial"/>
          <w:color w:val="000000"/>
          <w:sz w:val="20"/>
          <w:szCs w:val="20"/>
        </w:rPr>
        <w:t xml:space="preserve"> </w:t>
      </w:r>
      <w:r w:rsidR="00292A1D" w:rsidRPr="00AF7013">
        <w:rPr>
          <w:rFonts w:ascii="Arial" w:hAnsi="Arial" w:cs="Arial"/>
          <w:sz w:val="20"/>
          <w:szCs w:val="20"/>
        </w:rPr>
        <w:t>T</w:t>
      </w:r>
      <w:r w:rsidR="007A06C5" w:rsidRPr="00AF7013">
        <w:rPr>
          <w:rFonts w:ascii="Arial" w:hAnsi="Arial" w:cs="Arial"/>
          <w:sz w:val="20"/>
          <w:szCs w:val="20"/>
        </w:rPr>
        <w:t xml:space="preserve">he office of </w:t>
      </w:r>
      <w:r w:rsidR="00CF6678" w:rsidRPr="00AF7013">
        <w:rPr>
          <w:rFonts w:ascii="Arial" w:hAnsi="Arial" w:cs="Arial"/>
          <w:sz w:val="20"/>
          <w:szCs w:val="20"/>
        </w:rPr>
        <w:t>‘</w:t>
      </w:r>
      <w:r w:rsidR="007A06C5" w:rsidRPr="00AF7013">
        <w:rPr>
          <w:rFonts w:ascii="Arial" w:hAnsi="Arial" w:cs="Arial"/>
          <w:sz w:val="20"/>
          <w:szCs w:val="20"/>
        </w:rPr>
        <w:t>M</w:t>
      </w:r>
      <w:r w:rsidR="00CF6678" w:rsidRPr="00AF7013">
        <w:rPr>
          <w:rFonts w:ascii="Arial" w:hAnsi="Arial" w:cs="Arial"/>
          <w:sz w:val="20"/>
          <w:szCs w:val="20"/>
        </w:rPr>
        <w:t xml:space="preserve">agister Judaeorum’ </w:t>
      </w:r>
      <w:r w:rsidR="00292A1D" w:rsidRPr="00AF7013">
        <w:rPr>
          <w:rFonts w:ascii="Arial" w:hAnsi="Arial" w:cs="Arial"/>
          <w:sz w:val="20"/>
          <w:szCs w:val="20"/>
        </w:rPr>
        <w:t xml:space="preserve">was additionally created by Louis </w:t>
      </w:r>
      <w:r w:rsidR="004727CD" w:rsidRPr="00AF7013">
        <w:rPr>
          <w:rFonts w:ascii="Arial" w:hAnsi="Arial" w:cs="Arial"/>
          <w:sz w:val="20"/>
          <w:szCs w:val="20"/>
        </w:rPr>
        <w:t>t</w:t>
      </w:r>
      <w:r w:rsidR="00CF6678" w:rsidRPr="00AF7013">
        <w:rPr>
          <w:rFonts w:ascii="Arial" w:hAnsi="Arial" w:cs="Arial"/>
          <w:sz w:val="20"/>
          <w:szCs w:val="20"/>
        </w:rPr>
        <w:t>o adjudicate disputes between Jew</w:t>
      </w:r>
      <w:r w:rsidR="004727CD" w:rsidRPr="00AF7013">
        <w:rPr>
          <w:rFonts w:ascii="Arial" w:hAnsi="Arial" w:cs="Arial"/>
          <w:sz w:val="20"/>
          <w:szCs w:val="20"/>
        </w:rPr>
        <w:t>s</w:t>
      </w:r>
      <w:r w:rsidR="00CF6678" w:rsidRPr="00AF7013">
        <w:rPr>
          <w:rFonts w:ascii="Arial" w:hAnsi="Arial" w:cs="Arial"/>
          <w:sz w:val="20"/>
          <w:szCs w:val="20"/>
        </w:rPr>
        <w:t xml:space="preserve"> and</w:t>
      </w:r>
      <w:r w:rsidR="00111C12" w:rsidRPr="00AF7013">
        <w:rPr>
          <w:rFonts w:ascii="Arial" w:hAnsi="Arial" w:cs="Arial"/>
          <w:sz w:val="20"/>
          <w:szCs w:val="20"/>
        </w:rPr>
        <w:t xml:space="preserve"> </w:t>
      </w:r>
      <w:r w:rsidR="004727CD" w:rsidRPr="00AF7013">
        <w:rPr>
          <w:rFonts w:ascii="Arial" w:hAnsi="Arial" w:cs="Arial"/>
          <w:sz w:val="20"/>
          <w:szCs w:val="20"/>
        </w:rPr>
        <w:t>gentiles</w:t>
      </w:r>
      <w:r w:rsidR="00CF6678" w:rsidRPr="00AF7013">
        <w:rPr>
          <w:rFonts w:ascii="Arial" w:hAnsi="Arial" w:cs="Arial"/>
          <w:sz w:val="20"/>
          <w:szCs w:val="20"/>
        </w:rPr>
        <w:t xml:space="preserve">, though whether such appointees were </w:t>
      </w:r>
      <w:r w:rsidR="00D704A9" w:rsidRPr="00AF7013">
        <w:rPr>
          <w:rFonts w:ascii="Arial" w:hAnsi="Arial" w:cs="Arial"/>
          <w:sz w:val="20"/>
          <w:szCs w:val="20"/>
        </w:rPr>
        <w:t>Jewish or</w:t>
      </w:r>
      <w:r w:rsidR="004727CD" w:rsidRPr="00AF7013">
        <w:rPr>
          <w:rFonts w:ascii="Arial" w:hAnsi="Arial" w:cs="Arial"/>
          <w:sz w:val="20"/>
          <w:szCs w:val="20"/>
        </w:rPr>
        <w:t xml:space="preserve"> Christian</w:t>
      </w:r>
      <w:r w:rsidR="00292A1D" w:rsidRPr="00AF7013">
        <w:rPr>
          <w:rFonts w:ascii="Arial" w:hAnsi="Arial" w:cs="Arial"/>
          <w:sz w:val="20"/>
          <w:szCs w:val="20"/>
        </w:rPr>
        <w:t>, cleric</w:t>
      </w:r>
      <w:r w:rsidR="00111C12" w:rsidRPr="00AF7013">
        <w:rPr>
          <w:rFonts w:ascii="Arial" w:hAnsi="Arial" w:cs="Arial"/>
          <w:sz w:val="20"/>
          <w:szCs w:val="20"/>
        </w:rPr>
        <w:t xml:space="preserve"> </w:t>
      </w:r>
      <w:r w:rsidR="00292A1D" w:rsidRPr="00AF7013">
        <w:rPr>
          <w:rFonts w:ascii="Arial" w:hAnsi="Arial" w:cs="Arial"/>
          <w:sz w:val="20"/>
          <w:szCs w:val="20"/>
        </w:rPr>
        <w:t>or laity</w:t>
      </w:r>
      <w:r w:rsidR="009668D0" w:rsidRPr="00AF7013">
        <w:rPr>
          <w:rFonts w:ascii="Arial" w:hAnsi="Arial" w:cs="Arial"/>
          <w:sz w:val="20"/>
          <w:szCs w:val="20"/>
        </w:rPr>
        <w:t>,</w:t>
      </w:r>
      <w:r w:rsidR="00292A1D" w:rsidRPr="00AF7013">
        <w:rPr>
          <w:rFonts w:ascii="Arial" w:hAnsi="Arial" w:cs="Arial"/>
          <w:sz w:val="20"/>
          <w:szCs w:val="20"/>
        </w:rPr>
        <w:t xml:space="preserve"> remains </w:t>
      </w:r>
      <w:r w:rsidR="00776D58">
        <w:rPr>
          <w:rFonts w:ascii="Arial" w:hAnsi="Arial" w:cs="Arial"/>
          <w:sz w:val="20"/>
          <w:szCs w:val="20"/>
        </w:rPr>
        <w:t xml:space="preserve">seemingly </w:t>
      </w:r>
      <w:r w:rsidR="004727CD" w:rsidRPr="00AF7013">
        <w:rPr>
          <w:rFonts w:ascii="Arial" w:hAnsi="Arial" w:cs="Arial"/>
          <w:sz w:val="20"/>
          <w:szCs w:val="20"/>
        </w:rPr>
        <w:t xml:space="preserve">unknown. </w:t>
      </w:r>
      <w:r w:rsidR="004727CD" w:rsidRPr="00AF7013">
        <w:rPr>
          <w:rStyle w:val="FootnoteReference"/>
          <w:rFonts w:ascii="Arial" w:hAnsi="Arial" w:cs="Arial"/>
          <w:sz w:val="20"/>
          <w:szCs w:val="20"/>
        </w:rPr>
        <w:footnoteReference w:id="27"/>
      </w:r>
    </w:p>
    <w:p w:rsidR="00B51604" w:rsidRPr="00AF7013" w:rsidRDefault="00B51604" w:rsidP="004727CD">
      <w:pPr>
        <w:pStyle w:val="hbodytext"/>
        <w:spacing w:before="146" w:beforeAutospacing="0" w:after="146" w:afterAutospacing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E47F85" w:rsidRDefault="00F123E3" w:rsidP="00D704A9">
      <w:pPr>
        <w:spacing w:line="360" w:lineRule="auto"/>
        <w:jc w:val="both"/>
        <w:rPr>
          <w:rFonts w:ascii="Arial" w:hAnsi="Arial" w:cs="Arial"/>
          <w:color w:val="373D3F"/>
          <w:sz w:val="20"/>
          <w:szCs w:val="20"/>
        </w:rPr>
      </w:pPr>
      <w:r w:rsidRPr="00AF7013">
        <w:rPr>
          <w:rFonts w:ascii="Arial" w:hAnsi="Arial" w:cs="Arial"/>
          <w:sz w:val="20"/>
          <w:szCs w:val="20"/>
        </w:rPr>
        <w:t>Whilst persecution, including forced conversions</w:t>
      </w:r>
      <w:r w:rsidR="009668D0" w:rsidRPr="00AF7013">
        <w:rPr>
          <w:rFonts w:ascii="Arial" w:hAnsi="Arial" w:cs="Arial"/>
          <w:sz w:val="20"/>
          <w:szCs w:val="20"/>
        </w:rPr>
        <w:t>,</w:t>
      </w:r>
      <w:r w:rsidRPr="00AF7013">
        <w:rPr>
          <w:rFonts w:ascii="Arial" w:hAnsi="Arial" w:cs="Arial"/>
          <w:sz w:val="20"/>
          <w:szCs w:val="20"/>
        </w:rPr>
        <w:t xml:space="preserve"> had </w:t>
      </w:r>
      <w:r w:rsidR="009668D0" w:rsidRPr="00AF7013">
        <w:rPr>
          <w:rFonts w:ascii="Arial" w:hAnsi="Arial" w:cs="Arial"/>
          <w:sz w:val="20"/>
          <w:szCs w:val="20"/>
        </w:rPr>
        <w:t>occurred</w:t>
      </w:r>
      <w:r w:rsidRPr="00AF7013">
        <w:rPr>
          <w:rFonts w:ascii="Arial" w:hAnsi="Arial" w:cs="Arial"/>
          <w:sz w:val="20"/>
          <w:szCs w:val="20"/>
        </w:rPr>
        <w:t xml:space="preserve"> within the Frankish Kingdom, notab</w:t>
      </w:r>
      <w:r w:rsidR="002A0918" w:rsidRPr="00AF7013">
        <w:rPr>
          <w:rFonts w:ascii="Arial" w:hAnsi="Arial" w:cs="Arial"/>
          <w:sz w:val="20"/>
          <w:szCs w:val="20"/>
        </w:rPr>
        <w:t xml:space="preserve">ly under King Dagobert (629-39), </w:t>
      </w:r>
      <w:r w:rsidRPr="00AF7013">
        <w:rPr>
          <w:rFonts w:ascii="Arial" w:hAnsi="Arial" w:cs="Arial"/>
          <w:sz w:val="20"/>
          <w:szCs w:val="20"/>
        </w:rPr>
        <w:t>Wistrich proposes an ‘undeniable improvement in the Jewish status under Charlemagne’, and increasing with</w:t>
      </w:r>
      <w:r w:rsidR="00111C12" w:rsidRPr="00AF7013">
        <w:rPr>
          <w:rFonts w:ascii="Arial" w:hAnsi="Arial" w:cs="Arial"/>
          <w:sz w:val="20"/>
          <w:szCs w:val="20"/>
        </w:rPr>
        <w:t xml:space="preserve"> </w:t>
      </w:r>
      <w:r w:rsidRPr="00AF7013">
        <w:rPr>
          <w:rFonts w:ascii="Arial" w:hAnsi="Arial" w:cs="Arial"/>
          <w:sz w:val="20"/>
          <w:szCs w:val="20"/>
        </w:rPr>
        <w:t>Louis the Pious.</w:t>
      </w:r>
      <w:r w:rsidRPr="00AF7013">
        <w:rPr>
          <w:rStyle w:val="FootnoteReference"/>
          <w:rFonts w:ascii="Arial" w:hAnsi="Arial" w:cs="Arial"/>
          <w:sz w:val="20"/>
          <w:szCs w:val="20"/>
        </w:rPr>
        <w:footnoteReference w:id="28"/>
      </w:r>
      <w:r w:rsidR="00111C12" w:rsidRPr="00AF7013">
        <w:rPr>
          <w:rFonts w:ascii="Arial" w:hAnsi="Arial" w:cs="Arial"/>
          <w:sz w:val="20"/>
          <w:szCs w:val="20"/>
        </w:rPr>
        <w:t xml:space="preserve"> </w:t>
      </w:r>
      <w:r w:rsidR="00D704A9" w:rsidRPr="00AF7013">
        <w:rPr>
          <w:rFonts w:ascii="Arial" w:hAnsi="Arial" w:cs="Arial"/>
          <w:color w:val="333333"/>
          <w:sz w:val="20"/>
          <w:szCs w:val="20"/>
        </w:rPr>
        <w:t>The</w:t>
      </w:r>
      <w:r w:rsidR="008E0D9A" w:rsidRPr="00AF7013">
        <w:rPr>
          <w:rFonts w:ascii="Arial" w:hAnsi="Arial" w:cs="Arial"/>
          <w:color w:val="333333"/>
          <w:sz w:val="20"/>
          <w:szCs w:val="20"/>
        </w:rPr>
        <w:t xml:space="preserve"> seeming restrictions of </w:t>
      </w:r>
      <w:r w:rsidR="008B4044" w:rsidRPr="00AF7013">
        <w:rPr>
          <w:rFonts w:ascii="Arial" w:hAnsi="Arial" w:cs="Arial"/>
          <w:color w:val="333333"/>
          <w:sz w:val="20"/>
          <w:szCs w:val="20"/>
        </w:rPr>
        <w:t xml:space="preserve">the 814 </w:t>
      </w:r>
      <w:r w:rsidR="008E0D9A" w:rsidRPr="00AF7013">
        <w:rPr>
          <w:rFonts w:ascii="Arial" w:hAnsi="Arial" w:cs="Arial"/>
          <w:color w:val="333333"/>
          <w:sz w:val="20"/>
          <w:szCs w:val="20"/>
        </w:rPr>
        <w:t xml:space="preserve">Capitulary </w:t>
      </w:r>
      <w:r w:rsidR="008B4044" w:rsidRPr="00AF7013">
        <w:rPr>
          <w:rFonts w:ascii="Arial" w:hAnsi="Arial" w:cs="Arial"/>
          <w:color w:val="333333"/>
          <w:sz w:val="20"/>
          <w:szCs w:val="20"/>
        </w:rPr>
        <w:t>stand</w:t>
      </w:r>
      <w:r w:rsidR="008E0D9A" w:rsidRPr="00AF7013">
        <w:rPr>
          <w:rFonts w:ascii="Arial" w:hAnsi="Arial" w:cs="Arial"/>
          <w:color w:val="333333"/>
          <w:sz w:val="20"/>
          <w:szCs w:val="20"/>
        </w:rPr>
        <w:t xml:space="preserve"> in</w:t>
      </w:r>
      <w:r w:rsidR="00111C12" w:rsidRPr="00AF7013">
        <w:rPr>
          <w:rFonts w:ascii="Arial" w:hAnsi="Arial" w:cs="Arial"/>
          <w:color w:val="333333"/>
          <w:sz w:val="20"/>
          <w:szCs w:val="20"/>
        </w:rPr>
        <w:t xml:space="preserve"> </w:t>
      </w:r>
      <w:r w:rsidR="008E0D9A" w:rsidRPr="00AF7013">
        <w:rPr>
          <w:rFonts w:ascii="Arial" w:hAnsi="Arial" w:cs="Arial"/>
          <w:color w:val="333333"/>
          <w:sz w:val="20"/>
          <w:szCs w:val="20"/>
        </w:rPr>
        <w:t xml:space="preserve">contrast with the early </w:t>
      </w:r>
      <w:r w:rsidR="002A0918" w:rsidRPr="00AF7013">
        <w:rPr>
          <w:rFonts w:ascii="Arial" w:hAnsi="Arial" w:cs="Arial"/>
          <w:sz w:val="20"/>
          <w:szCs w:val="20"/>
        </w:rPr>
        <w:t>Carolingian</w:t>
      </w:r>
      <w:r w:rsidR="00111C12" w:rsidRPr="00AF7013">
        <w:rPr>
          <w:rFonts w:ascii="Arial" w:hAnsi="Arial" w:cs="Arial"/>
          <w:sz w:val="20"/>
          <w:szCs w:val="20"/>
        </w:rPr>
        <w:t xml:space="preserve"> </w:t>
      </w:r>
      <w:r w:rsidR="002A0918" w:rsidRPr="00AF7013">
        <w:rPr>
          <w:rFonts w:ascii="Arial" w:hAnsi="Arial" w:cs="Arial"/>
          <w:sz w:val="20"/>
          <w:szCs w:val="20"/>
        </w:rPr>
        <w:t xml:space="preserve">overturn of </w:t>
      </w:r>
      <w:r w:rsidR="002A0918" w:rsidRPr="00AF7013">
        <w:rPr>
          <w:rFonts w:ascii="Arial" w:hAnsi="Arial" w:cs="Arial"/>
          <w:color w:val="333333"/>
          <w:sz w:val="20"/>
          <w:szCs w:val="20"/>
        </w:rPr>
        <w:t>Roman legal precedents stigmatising Jewish subjects. The increased legal (</w:t>
      </w:r>
      <w:r w:rsidR="009668D0" w:rsidRPr="00AF7013">
        <w:rPr>
          <w:rFonts w:ascii="Arial" w:hAnsi="Arial" w:cs="Arial"/>
          <w:color w:val="333333"/>
          <w:sz w:val="20"/>
          <w:szCs w:val="20"/>
        </w:rPr>
        <w:t>i</w:t>
      </w:r>
      <w:r w:rsidR="002A0918" w:rsidRPr="00AF7013">
        <w:rPr>
          <w:rFonts w:ascii="Arial" w:hAnsi="Arial" w:cs="Arial"/>
          <w:color w:val="333333"/>
          <w:sz w:val="20"/>
          <w:szCs w:val="20"/>
        </w:rPr>
        <w:t xml:space="preserve">f not fiscal) parity </w:t>
      </w:r>
      <w:r w:rsidR="002A0918" w:rsidRPr="00AF7013">
        <w:rPr>
          <w:rFonts w:ascii="Arial" w:hAnsi="Arial" w:cs="Arial"/>
          <w:sz w:val="20"/>
          <w:szCs w:val="20"/>
        </w:rPr>
        <w:t xml:space="preserve">within </w:t>
      </w:r>
      <w:r w:rsidR="008B4044" w:rsidRPr="00AF7013">
        <w:rPr>
          <w:rFonts w:ascii="Arial" w:hAnsi="Arial" w:cs="Arial"/>
          <w:sz w:val="20"/>
          <w:szCs w:val="20"/>
        </w:rPr>
        <w:t>mercantile,</w:t>
      </w:r>
      <w:r w:rsidR="00111C12" w:rsidRPr="00AF7013">
        <w:rPr>
          <w:rFonts w:ascii="Arial" w:hAnsi="Arial" w:cs="Arial"/>
          <w:sz w:val="20"/>
          <w:szCs w:val="20"/>
        </w:rPr>
        <w:t xml:space="preserve"> </w:t>
      </w:r>
      <w:r w:rsidR="008E0D9A" w:rsidRPr="00AF7013">
        <w:rPr>
          <w:rFonts w:ascii="Arial" w:hAnsi="Arial" w:cs="Arial"/>
          <w:sz w:val="20"/>
          <w:szCs w:val="20"/>
        </w:rPr>
        <w:t xml:space="preserve">military, </w:t>
      </w:r>
      <w:r w:rsidR="008B4044" w:rsidRPr="00AF7013">
        <w:rPr>
          <w:rFonts w:ascii="Arial" w:hAnsi="Arial" w:cs="Arial"/>
          <w:sz w:val="20"/>
          <w:szCs w:val="20"/>
        </w:rPr>
        <w:t>medical and</w:t>
      </w:r>
      <w:r w:rsidR="008E0D9A" w:rsidRPr="00AF7013">
        <w:rPr>
          <w:rFonts w:ascii="Arial" w:hAnsi="Arial" w:cs="Arial"/>
          <w:sz w:val="20"/>
          <w:szCs w:val="20"/>
        </w:rPr>
        <w:t xml:space="preserve"> diplomatic</w:t>
      </w:r>
      <w:r w:rsidR="002A0918" w:rsidRPr="00AF7013">
        <w:rPr>
          <w:rFonts w:ascii="Arial" w:hAnsi="Arial" w:cs="Arial"/>
          <w:sz w:val="20"/>
          <w:szCs w:val="20"/>
        </w:rPr>
        <w:t xml:space="preserve"> fields</w:t>
      </w:r>
      <w:r w:rsidR="00111C12" w:rsidRPr="00AF7013">
        <w:rPr>
          <w:rFonts w:ascii="Arial" w:hAnsi="Arial" w:cs="Arial"/>
          <w:sz w:val="20"/>
          <w:szCs w:val="20"/>
        </w:rPr>
        <w:t xml:space="preserve"> </w:t>
      </w:r>
      <w:r w:rsidR="002A0918" w:rsidRPr="00AF7013">
        <w:rPr>
          <w:rFonts w:ascii="Arial" w:hAnsi="Arial" w:cs="Arial"/>
          <w:sz w:val="20"/>
          <w:szCs w:val="20"/>
        </w:rPr>
        <w:t xml:space="preserve">is </w:t>
      </w:r>
      <w:r w:rsidR="008B4044" w:rsidRPr="00AF7013">
        <w:rPr>
          <w:rFonts w:ascii="Arial" w:hAnsi="Arial" w:cs="Arial"/>
          <w:sz w:val="20"/>
          <w:szCs w:val="20"/>
        </w:rPr>
        <w:t xml:space="preserve">exemplified by </w:t>
      </w:r>
      <w:r w:rsidR="002A0918" w:rsidRPr="00AF7013">
        <w:rPr>
          <w:rFonts w:ascii="Arial" w:hAnsi="Arial" w:cs="Arial"/>
          <w:sz w:val="20"/>
          <w:szCs w:val="20"/>
        </w:rPr>
        <w:t xml:space="preserve">both </w:t>
      </w:r>
      <w:r w:rsidR="002A0918" w:rsidRPr="00AF7013">
        <w:rPr>
          <w:rFonts w:ascii="Arial" w:hAnsi="Arial" w:cs="Arial"/>
          <w:color w:val="373D3F"/>
          <w:sz w:val="20"/>
          <w:szCs w:val="20"/>
        </w:rPr>
        <w:t>Charlemagne’s personal</w:t>
      </w:r>
      <w:r w:rsidR="008E0D9A" w:rsidRPr="00AF7013">
        <w:rPr>
          <w:rFonts w:ascii="Arial" w:hAnsi="Arial" w:cs="Arial"/>
          <w:color w:val="373D3F"/>
          <w:sz w:val="20"/>
          <w:szCs w:val="20"/>
        </w:rPr>
        <w:t xml:space="preserve"> physician </w:t>
      </w:r>
      <w:r w:rsidR="008B4044" w:rsidRPr="00AF7013">
        <w:rPr>
          <w:rFonts w:ascii="Arial" w:hAnsi="Arial" w:cs="Arial"/>
          <w:color w:val="373D3F"/>
          <w:sz w:val="20"/>
          <w:szCs w:val="20"/>
        </w:rPr>
        <w:t>and representative</w:t>
      </w:r>
      <w:r w:rsidR="00D704A9" w:rsidRPr="00AF7013">
        <w:rPr>
          <w:rFonts w:ascii="Arial" w:hAnsi="Arial" w:cs="Arial"/>
          <w:color w:val="373D3F"/>
          <w:sz w:val="20"/>
          <w:szCs w:val="20"/>
        </w:rPr>
        <w:t xml:space="preserve"> to the Muslim caliphate of Baghdad.</w:t>
      </w:r>
      <w:r w:rsidR="00D704A9" w:rsidRPr="00AF7013">
        <w:rPr>
          <w:rStyle w:val="FootnoteReference"/>
          <w:rFonts w:ascii="Arial" w:hAnsi="Arial" w:cs="Arial"/>
          <w:color w:val="373D3F"/>
          <w:sz w:val="20"/>
          <w:szCs w:val="20"/>
        </w:rPr>
        <w:footnoteReference w:id="29"/>
      </w:r>
      <w:r w:rsidR="00111C12" w:rsidRPr="00AF7013">
        <w:rPr>
          <w:rFonts w:ascii="Arial" w:hAnsi="Arial" w:cs="Arial"/>
          <w:color w:val="373D3F"/>
          <w:sz w:val="20"/>
          <w:szCs w:val="20"/>
        </w:rPr>
        <w:t xml:space="preserve"> </w:t>
      </w:r>
    </w:p>
    <w:p w:rsidR="00E47F85" w:rsidRDefault="00E47F85" w:rsidP="00D704A9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B4044" w:rsidRPr="00E47F85" w:rsidRDefault="00E47F85" w:rsidP="00D704A9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7013">
        <w:rPr>
          <w:rFonts w:ascii="Arial" w:hAnsi="Arial" w:cs="Arial"/>
          <w:color w:val="000000"/>
          <w:sz w:val="20"/>
          <w:szCs w:val="20"/>
        </w:rPr>
        <w:t xml:space="preserve">It must be noted </w:t>
      </w:r>
      <w:r>
        <w:rPr>
          <w:rFonts w:ascii="Arial" w:hAnsi="Arial" w:cs="Arial"/>
          <w:color w:val="000000"/>
          <w:sz w:val="20"/>
          <w:szCs w:val="20"/>
        </w:rPr>
        <w:t xml:space="preserve">however, </w:t>
      </w:r>
      <w:r w:rsidRPr="00AF7013">
        <w:rPr>
          <w:rFonts w:ascii="Arial" w:hAnsi="Arial" w:cs="Arial"/>
          <w:color w:val="000000"/>
          <w:sz w:val="20"/>
          <w:szCs w:val="20"/>
        </w:rPr>
        <w:t>that this imperial protection (‘Mainbour’), and subsequent fining of malefactors, financially benefited Emperors themselves</w:t>
      </w:r>
      <w:r>
        <w:rPr>
          <w:rFonts w:ascii="Arial" w:hAnsi="Arial" w:cs="Arial"/>
          <w:color w:val="000000"/>
          <w:sz w:val="20"/>
          <w:szCs w:val="20"/>
        </w:rPr>
        <w:t xml:space="preserve">. </w:t>
      </w:r>
      <w:r w:rsidR="009668D0" w:rsidRPr="00AF7013">
        <w:rPr>
          <w:rFonts w:ascii="Arial" w:hAnsi="Arial" w:cs="Arial"/>
          <w:color w:val="000000"/>
          <w:sz w:val="20"/>
          <w:szCs w:val="20"/>
        </w:rPr>
        <w:t>S</w:t>
      </w:r>
      <w:r w:rsidR="00292A1D" w:rsidRPr="00AF7013">
        <w:rPr>
          <w:rFonts w:ascii="Arial" w:hAnsi="Arial" w:cs="Arial"/>
          <w:color w:val="000000"/>
          <w:sz w:val="20"/>
          <w:szCs w:val="20"/>
        </w:rPr>
        <w:t>ome commentators conclud</w:t>
      </w:r>
      <w:r w:rsidR="009668D0" w:rsidRPr="00AF7013">
        <w:rPr>
          <w:rFonts w:ascii="Arial" w:hAnsi="Arial" w:cs="Arial"/>
          <w:color w:val="000000"/>
          <w:sz w:val="20"/>
          <w:szCs w:val="20"/>
        </w:rPr>
        <w:t>e</w:t>
      </w:r>
      <w:r w:rsidR="00111C12" w:rsidRPr="00AF7013">
        <w:rPr>
          <w:rFonts w:ascii="Arial" w:hAnsi="Arial" w:cs="Arial"/>
          <w:color w:val="000000"/>
          <w:sz w:val="20"/>
          <w:szCs w:val="20"/>
        </w:rPr>
        <w:t xml:space="preserve"> </w:t>
      </w:r>
      <w:r w:rsidR="00292A1D" w:rsidRPr="00AF7013">
        <w:rPr>
          <w:rFonts w:ascii="Arial" w:hAnsi="Arial" w:cs="Arial"/>
          <w:color w:val="000000"/>
          <w:sz w:val="20"/>
          <w:szCs w:val="20"/>
        </w:rPr>
        <w:t xml:space="preserve">the 814 capitulary as the origin of both ‘imperial servitude’ for Jews, </w:t>
      </w:r>
      <w:r>
        <w:rPr>
          <w:rFonts w:ascii="Arial" w:hAnsi="Arial" w:cs="Arial"/>
          <w:color w:val="000000"/>
          <w:sz w:val="20"/>
          <w:szCs w:val="20"/>
        </w:rPr>
        <w:t xml:space="preserve">along with </w:t>
      </w:r>
      <w:r w:rsidR="009668D0" w:rsidRPr="00AF7013">
        <w:rPr>
          <w:rFonts w:ascii="Arial" w:hAnsi="Arial" w:cs="Arial"/>
          <w:color w:val="000000"/>
          <w:sz w:val="20"/>
          <w:szCs w:val="20"/>
        </w:rPr>
        <w:t xml:space="preserve">the </w:t>
      </w:r>
      <w:r w:rsidR="00292A1D" w:rsidRPr="00AF7013">
        <w:rPr>
          <w:rFonts w:ascii="Arial" w:hAnsi="Arial" w:cs="Arial"/>
          <w:color w:val="000000"/>
          <w:sz w:val="20"/>
          <w:szCs w:val="20"/>
        </w:rPr>
        <w:t xml:space="preserve">later legal principle </w:t>
      </w:r>
      <w:r w:rsidR="00111C12" w:rsidRPr="00AF7013">
        <w:rPr>
          <w:rFonts w:ascii="Arial" w:hAnsi="Arial" w:cs="Arial"/>
          <w:color w:val="000000"/>
          <w:sz w:val="20"/>
          <w:szCs w:val="20"/>
        </w:rPr>
        <w:t>of ‘Servi</w:t>
      </w:r>
      <w:r w:rsidR="00292A1D" w:rsidRPr="00AF7013">
        <w:rPr>
          <w:rFonts w:ascii="Arial" w:hAnsi="Arial" w:cs="Arial"/>
          <w:color w:val="000000"/>
          <w:sz w:val="20"/>
          <w:szCs w:val="20"/>
        </w:rPr>
        <w:t xml:space="preserve"> camerae regis’. </w:t>
      </w:r>
      <w:r w:rsidR="00292A1D" w:rsidRPr="00AF7013">
        <w:rPr>
          <w:rStyle w:val="FootnoteReference"/>
          <w:rFonts w:ascii="Arial" w:hAnsi="Arial" w:cs="Arial"/>
          <w:color w:val="000000"/>
          <w:sz w:val="20"/>
          <w:szCs w:val="20"/>
        </w:rPr>
        <w:footnoteReference w:id="30"/>
      </w:r>
      <w:r w:rsidR="00111C12" w:rsidRPr="00AF7013">
        <w:rPr>
          <w:rFonts w:ascii="Arial" w:hAnsi="Arial" w:cs="Arial"/>
          <w:color w:val="000000"/>
          <w:sz w:val="20"/>
          <w:szCs w:val="20"/>
        </w:rPr>
        <w:t xml:space="preserve"> </w:t>
      </w:r>
      <w:r w:rsidR="002A0918" w:rsidRPr="00AF7013">
        <w:rPr>
          <w:rFonts w:ascii="Arial" w:hAnsi="Arial" w:cs="Arial"/>
          <w:color w:val="000000"/>
          <w:sz w:val="20"/>
          <w:szCs w:val="20"/>
        </w:rPr>
        <w:t xml:space="preserve">Reference </w:t>
      </w:r>
      <w:r w:rsidR="000361D1" w:rsidRPr="00AF7013">
        <w:rPr>
          <w:rFonts w:ascii="Arial" w:hAnsi="Arial" w:cs="Arial"/>
          <w:color w:val="000000"/>
          <w:sz w:val="20"/>
          <w:szCs w:val="20"/>
        </w:rPr>
        <w:t>to early Carolingian policies as</w:t>
      </w:r>
      <w:r w:rsidR="00111C12" w:rsidRPr="00AF7013">
        <w:rPr>
          <w:rFonts w:ascii="Arial" w:hAnsi="Arial" w:cs="Arial"/>
          <w:color w:val="000000"/>
          <w:sz w:val="20"/>
          <w:szCs w:val="20"/>
        </w:rPr>
        <w:t xml:space="preserve"> </w:t>
      </w:r>
      <w:r w:rsidR="008E0D9A" w:rsidRPr="00AF7013">
        <w:rPr>
          <w:rFonts w:ascii="Arial" w:hAnsi="Arial" w:cs="Arial"/>
          <w:color w:val="000000"/>
          <w:sz w:val="20"/>
          <w:szCs w:val="20"/>
        </w:rPr>
        <w:t>progressive and/or even ‘pro-J</w:t>
      </w:r>
      <w:r w:rsidR="000361D1" w:rsidRPr="00AF7013">
        <w:rPr>
          <w:rFonts w:ascii="Arial" w:hAnsi="Arial" w:cs="Arial"/>
          <w:color w:val="000000"/>
          <w:sz w:val="20"/>
          <w:szCs w:val="20"/>
        </w:rPr>
        <w:t xml:space="preserve">ewish’ </w:t>
      </w:r>
      <w:r>
        <w:rPr>
          <w:rFonts w:ascii="Arial" w:hAnsi="Arial" w:cs="Arial"/>
          <w:color w:val="000000"/>
          <w:sz w:val="20"/>
          <w:szCs w:val="20"/>
        </w:rPr>
        <w:t xml:space="preserve">therefore </w:t>
      </w:r>
      <w:r w:rsidR="000361D1" w:rsidRPr="00AF7013">
        <w:rPr>
          <w:rFonts w:ascii="Arial" w:hAnsi="Arial" w:cs="Arial"/>
          <w:color w:val="000000"/>
          <w:sz w:val="20"/>
          <w:szCs w:val="20"/>
        </w:rPr>
        <w:t xml:space="preserve">risk the criticism famously levelled at </w:t>
      </w:r>
      <w:r>
        <w:rPr>
          <w:rFonts w:ascii="Arial" w:hAnsi="Arial" w:cs="Arial"/>
          <w:color w:val="000000"/>
          <w:sz w:val="20"/>
          <w:szCs w:val="20"/>
        </w:rPr>
        <w:t>‘</w:t>
      </w:r>
      <w:r w:rsidR="000361D1" w:rsidRPr="00AF7013">
        <w:rPr>
          <w:rFonts w:ascii="Arial" w:hAnsi="Arial" w:cs="Arial"/>
          <w:color w:val="000000"/>
          <w:sz w:val="20"/>
          <w:szCs w:val="20"/>
        </w:rPr>
        <w:t>Whig</w:t>
      </w:r>
      <w:r>
        <w:rPr>
          <w:rFonts w:ascii="Arial" w:hAnsi="Arial" w:cs="Arial"/>
          <w:color w:val="000000"/>
          <w:sz w:val="20"/>
          <w:szCs w:val="20"/>
        </w:rPr>
        <w:t>’</w:t>
      </w:r>
      <w:r w:rsidR="000361D1" w:rsidRPr="00AF7013">
        <w:rPr>
          <w:rFonts w:ascii="Arial" w:hAnsi="Arial" w:cs="Arial"/>
          <w:color w:val="000000"/>
          <w:sz w:val="20"/>
          <w:szCs w:val="20"/>
        </w:rPr>
        <w:t xml:space="preserve"> historical understandings by Butterfield in 1931  - of </w:t>
      </w:r>
      <w:r w:rsidR="002A0918" w:rsidRPr="00AF7013">
        <w:rPr>
          <w:rFonts w:ascii="Arial" w:hAnsi="Arial" w:cs="Arial"/>
          <w:color w:val="000000"/>
          <w:sz w:val="20"/>
          <w:szCs w:val="20"/>
        </w:rPr>
        <w:t xml:space="preserve">them </w:t>
      </w:r>
      <w:r w:rsidR="000361D1" w:rsidRPr="00AF7013">
        <w:rPr>
          <w:rFonts w:ascii="Arial" w:hAnsi="Arial" w:cs="Arial"/>
          <w:color w:val="000000"/>
          <w:sz w:val="20"/>
          <w:szCs w:val="20"/>
        </w:rPr>
        <w:t xml:space="preserve">projecting modern </w:t>
      </w:r>
      <w:r w:rsidR="008E0D9A" w:rsidRPr="00AF7013">
        <w:rPr>
          <w:rFonts w:ascii="Arial" w:hAnsi="Arial" w:cs="Arial"/>
          <w:color w:val="000000"/>
          <w:sz w:val="20"/>
          <w:szCs w:val="20"/>
        </w:rPr>
        <w:t xml:space="preserve">conventions </w:t>
      </w:r>
      <w:r w:rsidR="000361D1" w:rsidRPr="00AF7013">
        <w:rPr>
          <w:rFonts w:ascii="Arial" w:hAnsi="Arial" w:cs="Arial"/>
          <w:color w:val="000000"/>
          <w:sz w:val="20"/>
          <w:szCs w:val="20"/>
        </w:rPr>
        <w:t>‘backwards’</w:t>
      </w:r>
      <w:r w:rsidR="008E0D9A" w:rsidRPr="00AF7013">
        <w:rPr>
          <w:rFonts w:ascii="Arial" w:hAnsi="Arial" w:cs="Arial"/>
          <w:color w:val="000000"/>
          <w:sz w:val="20"/>
          <w:szCs w:val="20"/>
        </w:rPr>
        <w:t>.</w:t>
      </w:r>
      <w:r w:rsidR="000361D1" w:rsidRPr="00AF7013">
        <w:rPr>
          <w:rStyle w:val="FootnoteReference"/>
          <w:rFonts w:ascii="Arial" w:hAnsi="Arial" w:cs="Arial"/>
          <w:color w:val="000000"/>
          <w:sz w:val="20"/>
          <w:szCs w:val="20"/>
        </w:rPr>
        <w:footnoteReference w:id="31"/>
      </w:r>
      <w:r w:rsidR="00111C12" w:rsidRPr="00AF7013">
        <w:rPr>
          <w:rFonts w:ascii="Arial" w:hAnsi="Arial" w:cs="Arial"/>
          <w:color w:val="000000"/>
          <w:sz w:val="20"/>
          <w:szCs w:val="20"/>
        </w:rPr>
        <w:t xml:space="preserve"> </w:t>
      </w:r>
      <w:r w:rsidR="000361D1" w:rsidRPr="00AF7013">
        <w:rPr>
          <w:rFonts w:ascii="Arial" w:hAnsi="Arial" w:cs="Arial"/>
          <w:color w:val="000000"/>
          <w:sz w:val="20"/>
          <w:szCs w:val="20"/>
        </w:rPr>
        <w:t xml:space="preserve">Whilst </w:t>
      </w:r>
      <w:r w:rsidR="008B4044" w:rsidRPr="00AF7013">
        <w:rPr>
          <w:rFonts w:ascii="Arial" w:hAnsi="Arial" w:cs="Arial"/>
          <w:color w:val="000000"/>
          <w:sz w:val="20"/>
          <w:szCs w:val="20"/>
        </w:rPr>
        <w:t xml:space="preserve">the ‘Capitulary to the Jews’ </w:t>
      </w:r>
      <w:r w:rsidR="002A0918" w:rsidRPr="00AF7013">
        <w:rPr>
          <w:rFonts w:ascii="Arial" w:hAnsi="Arial" w:cs="Arial"/>
          <w:color w:val="000000"/>
          <w:sz w:val="20"/>
          <w:szCs w:val="20"/>
        </w:rPr>
        <w:t xml:space="preserve">might reflect Charlemagne and Louis’ </w:t>
      </w:r>
      <w:r w:rsidR="000361D1" w:rsidRPr="00AF7013">
        <w:rPr>
          <w:rFonts w:ascii="Arial" w:hAnsi="Arial" w:cs="Arial"/>
          <w:color w:val="000000"/>
          <w:sz w:val="20"/>
          <w:szCs w:val="20"/>
        </w:rPr>
        <w:t>religious and</w:t>
      </w:r>
      <w:r w:rsidR="009668D0" w:rsidRPr="00AF7013">
        <w:rPr>
          <w:rFonts w:ascii="Arial" w:hAnsi="Arial" w:cs="Arial"/>
          <w:color w:val="000000"/>
          <w:sz w:val="20"/>
          <w:szCs w:val="20"/>
        </w:rPr>
        <w:t>,</w:t>
      </w:r>
      <w:r w:rsidR="000361D1" w:rsidRPr="00AF7013">
        <w:rPr>
          <w:rFonts w:ascii="Arial" w:hAnsi="Arial" w:cs="Arial"/>
          <w:color w:val="000000"/>
          <w:sz w:val="20"/>
          <w:szCs w:val="20"/>
        </w:rPr>
        <w:t xml:space="preserve"> possibly</w:t>
      </w:r>
      <w:r w:rsidR="009668D0" w:rsidRPr="00AF7013">
        <w:rPr>
          <w:rFonts w:ascii="Arial" w:hAnsi="Arial" w:cs="Arial"/>
          <w:color w:val="000000"/>
          <w:sz w:val="20"/>
          <w:szCs w:val="20"/>
        </w:rPr>
        <w:t>,</w:t>
      </w:r>
      <w:r w:rsidR="000361D1" w:rsidRPr="00AF7013">
        <w:rPr>
          <w:rFonts w:ascii="Arial" w:hAnsi="Arial" w:cs="Arial"/>
          <w:color w:val="000000"/>
          <w:sz w:val="20"/>
          <w:szCs w:val="20"/>
        </w:rPr>
        <w:t xml:space="preserve"> philosophical impetus </w:t>
      </w:r>
      <w:r w:rsidR="002A0918" w:rsidRPr="00AF7013">
        <w:rPr>
          <w:rFonts w:ascii="Arial" w:hAnsi="Arial" w:cs="Arial"/>
          <w:color w:val="000000"/>
          <w:sz w:val="20"/>
          <w:szCs w:val="20"/>
        </w:rPr>
        <w:t xml:space="preserve">its potential benefit </w:t>
      </w:r>
      <w:r w:rsidR="008B4044" w:rsidRPr="00AF7013">
        <w:rPr>
          <w:rFonts w:ascii="Arial" w:hAnsi="Arial" w:cs="Arial"/>
          <w:color w:val="333333"/>
          <w:sz w:val="20"/>
          <w:szCs w:val="20"/>
        </w:rPr>
        <w:t xml:space="preserve">to the </w:t>
      </w:r>
      <w:r w:rsidR="004A6DAC" w:rsidRPr="00AF7013">
        <w:rPr>
          <w:rFonts w:ascii="Arial" w:hAnsi="Arial" w:cs="Arial"/>
          <w:color w:val="333333"/>
          <w:sz w:val="20"/>
          <w:szCs w:val="20"/>
        </w:rPr>
        <w:t>I</w:t>
      </w:r>
      <w:r w:rsidR="008B4044" w:rsidRPr="00AF7013">
        <w:rPr>
          <w:rFonts w:ascii="Arial" w:hAnsi="Arial" w:cs="Arial"/>
          <w:color w:val="333333"/>
          <w:sz w:val="20"/>
          <w:szCs w:val="20"/>
        </w:rPr>
        <w:t xml:space="preserve">mperial Emperor </w:t>
      </w:r>
      <w:r w:rsidR="002A0918" w:rsidRPr="00AF7013">
        <w:rPr>
          <w:rFonts w:ascii="Arial" w:hAnsi="Arial" w:cs="Arial"/>
          <w:color w:val="333333"/>
          <w:sz w:val="20"/>
          <w:szCs w:val="20"/>
        </w:rPr>
        <w:t>was unlikely</w:t>
      </w:r>
      <w:r>
        <w:rPr>
          <w:rFonts w:ascii="Arial" w:hAnsi="Arial" w:cs="Arial"/>
          <w:color w:val="333333"/>
          <w:sz w:val="20"/>
          <w:szCs w:val="20"/>
        </w:rPr>
        <w:t xml:space="preserve"> neither, </w:t>
      </w:r>
      <w:r w:rsidRPr="00AF7013">
        <w:rPr>
          <w:rFonts w:ascii="Arial" w:hAnsi="Arial" w:cs="Arial"/>
          <w:color w:val="333333"/>
          <w:sz w:val="20"/>
          <w:szCs w:val="20"/>
        </w:rPr>
        <w:t>to</w:t>
      </w:r>
      <w:r w:rsidR="002A0918" w:rsidRPr="00AF7013">
        <w:rPr>
          <w:rFonts w:ascii="Arial" w:hAnsi="Arial" w:cs="Arial"/>
          <w:color w:val="333333"/>
          <w:sz w:val="20"/>
          <w:szCs w:val="20"/>
        </w:rPr>
        <w:t xml:space="preserve"> have been overlooked. </w:t>
      </w:r>
    </w:p>
    <w:p w:rsidR="00AF7013" w:rsidRPr="00AF7013" w:rsidRDefault="00AF7013" w:rsidP="00D704A9">
      <w:pPr>
        <w:spacing w:line="360" w:lineRule="auto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:rsidR="00F123E3" w:rsidRPr="00E76FE6" w:rsidRDefault="00083FCE" w:rsidP="001F71B1">
      <w:pPr>
        <w:pStyle w:val="NormalWeb"/>
        <w:shd w:val="clear" w:color="auto" w:fill="FFFFFF"/>
        <w:spacing w:before="0" w:after="0"/>
        <w:jc w:val="right"/>
        <w:textAlignment w:val="baseline"/>
        <w:rPr>
          <w:rFonts w:ascii="Arial" w:hAnsi="Arial" w:cs="Arial"/>
          <w:i/>
          <w:color w:val="373D3F"/>
          <w:sz w:val="16"/>
          <w:szCs w:val="16"/>
        </w:rPr>
      </w:pPr>
      <w:r w:rsidRPr="00E76FE6">
        <w:rPr>
          <w:rFonts w:ascii="Arial" w:hAnsi="Arial" w:cs="Arial"/>
          <w:i/>
          <w:color w:val="373D3F"/>
          <w:sz w:val="16"/>
          <w:szCs w:val="16"/>
        </w:rPr>
        <w:t xml:space="preserve">Word </w:t>
      </w:r>
      <w:r w:rsidR="001F71B1" w:rsidRPr="00E76FE6">
        <w:rPr>
          <w:rFonts w:ascii="Arial" w:hAnsi="Arial" w:cs="Arial"/>
          <w:i/>
          <w:color w:val="373D3F"/>
          <w:sz w:val="16"/>
          <w:szCs w:val="16"/>
        </w:rPr>
        <w:t>Count</w:t>
      </w:r>
      <w:r w:rsidR="00111C12">
        <w:rPr>
          <w:rFonts w:ascii="Arial" w:hAnsi="Arial" w:cs="Arial"/>
          <w:i/>
          <w:color w:val="373D3F"/>
          <w:sz w:val="16"/>
          <w:szCs w:val="16"/>
        </w:rPr>
        <w:t xml:space="preserve"> 15</w:t>
      </w:r>
      <w:r w:rsidR="00776D58">
        <w:rPr>
          <w:rFonts w:ascii="Arial" w:hAnsi="Arial" w:cs="Arial"/>
          <w:i/>
          <w:color w:val="373D3F"/>
          <w:sz w:val="16"/>
          <w:szCs w:val="16"/>
        </w:rPr>
        <w:t>87</w:t>
      </w:r>
      <w:r w:rsidR="00E76FE6" w:rsidRPr="00E76FE6">
        <w:rPr>
          <w:rFonts w:ascii="Arial" w:hAnsi="Arial" w:cs="Arial"/>
          <w:i/>
          <w:color w:val="373D3F"/>
          <w:sz w:val="16"/>
          <w:szCs w:val="16"/>
        </w:rPr>
        <w:t xml:space="preserve"> </w:t>
      </w:r>
    </w:p>
    <w:p w:rsidR="00A97297" w:rsidRDefault="00A97297" w:rsidP="000E4172">
      <w:pPr>
        <w:jc w:val="center"/>
        <w:rPr>
          <w:rFonts w:ascii="Arial" w:hAnsi="Arial" w:cs="Arial"/>
        </w:rPr>
      </w:pPr>
    </w:p>
    <w:p w:rsidR="00AF7013" w:rsidRDefault="00AF7013" w:rsidP="00E76FE6">
      <w:pPr>
        <w:rPr>
          <w:rFonts w:ascii="Arial" w:hAnsi="Arial" w:cs="Arial"/>
        </w:rPr>
      </w:pPr>
    </w:p>
    <w:p w:rsidR="00E47F85" w:rsidRDefault="00E47F85" w:rsidP="00E76FE6">
      <w:pPr>
        <w:rPr>
          <w:rFonts w:ascii="Arial" w:hAnsi="Arial" w:cs="Arial"/>
        </w:rPr>
      </w:pPr>
    </w:p>
    <w:p w:rsidR="000E4172" w:rsidRPr="00083FCE" w:rsidRDefault="000E4172" w:rsidP="00E76FE6">
      <w:pPr>
        <w:jc w:val="center"/>
        <w:rPr>
          <w:rFonts w:ascii="Arial" w:hAnsi="Arial" w:cs="Arial"/>
          <w:b/>
          <w:sz w:val="20"/>
          <w:szCs w:val="20"/>
        </w:rPr>
      </w:pPr>
      <w:r w:rsidRPr="00083FCE">
        <w:rPr>
          <w:rFonts w:ascii="Arial" w:hAnsi="Arial" w:cs="Arial"/>
          <w:b/>
          <w:sz w:val="20"/>
          <w:szCs w:val="20"/>
        </w:rPr>
        <w:lastRenderedPageBreak/>
        <w:t>References</w:t>
      </w:r>
    </w:p>
    <w:p w:rsidR="003B5C40" w:rsidRPr="00083FCE" w:rsidRDefault="003B5C40" w:rsidP="00083FCE">
      <w:pPr>
        <w:rPr>
          <w:rFonts w:ascii="Arial" w:hAnsi="Arial" w:cs="Arial"/>
          <w:sz w:val="20"/>
          <w:szCs w:val="20"/>
        </w:rPr>
      </w:pPr>
    </w:p>
    <w:p w:rsidR="000E4172" w:rsidRDefault="003B5C40" w:rsidP="00083FCE">
      <w:pPr>
        <w:spacing w:line="36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083FCE">
        <w:rPr>
          <w:rFonts w:ascii="Arial" w:hAnsi="Arial" w:cs="Arial"/>
          <w:color w:val="333333"/>
          <w:sz w:val="20"/>
          <w:szCs w:val="20"/>
          <w:shd w:val="clear" w:color="auto" w:fill="FFFFFF"/>
        </w:rPr>
        <w:t>Bachrach, Bernard S. </w:t>
      </w:r>
      <w:r w:rsidRPr="00083FCE"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Early Medieval Jewish Policy in Western Europe</w:t>
      </w:r>
      <w:r w:rsidRPr="00083FCE">
        <w:rPr>
          <w:rFonts w:ascii="Arial" w:hAnsi="Arial" w:cs="Arial"/>
          <w:color w:val="333333"/>
          <w:sz w:val="20"/>
          <w:szCs w:val="20"/>
          <w:shd w:val="clear" w:color="auto" w:fill="FFFFFF"/>
        </w:rPr>
        <w:t>, University of Minnesota Press, 1977,&lt;</w:t>
      </w:r>
      <w:hyperlink r:id="rId10" w:history="1">
        <w:r w:rsidRPr="00083FCE">
          <w:rPr>
            <w:rStyle w:val="Hyperlink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www.jstor.org/stable/10.5749/j.ctttv8zj</w:t>
        </w:r>
      </w:hyperlink>
      <w:r w:rsidRPr="00083FCE">
        <w:rPr>
          <w:rFonts w:ascii="Arial" w:hAnsi="Arial" w:cs="Arial"/>
          <w:sz w:val="20"/>
          <w:szCs w:val="20"/>
          <w:shd w:val="clear" w:color="auto" w:fill="FFFFFF"/>
        </w:rPr>
        <w:t>&gt;,</w:t>
      </w:r>
      <w:r w:rsidRPr="00083FCE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[Accessed 29 Apr. 2020].</w:t>
      </w:r>
    </w:p>
    <w:p w:rsidR="007B2698" w:rsidRPr="00083FCE" w:rsidRDefault="007B2698" w:rsidP="00083FCE">
      <w:pPr>
        <w:spacing w:line="36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083FCE" w:rsidRDefault="007B2698" w:rsidP="00083F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B2698">
        <w:rPr>
          <w:rFonts w:ascii="Arial" w:hAnsi="Arial" w:cs="Arial"/>
          <w:sz w:val="20"/>
          <w:szCs w:val="20"/>
        </w:rPr>
        <w:t xml:space="preserve">Becher , Mathias, </w:t>
      </w:r>
      <w:r w:rsidRPr="007B2698">
        <w:rPr>
          <w:rFonts w:ascii="Arial" w:hAnsi="Arial" w:cs="Arial"/>
          <w:i/>
          <w:sz w:val="20"/>
          <w:szCs w:val="20"/>
        </w:rPr>
        <w:t>Charlemagne</w:t>
      </w:r>
      <w:r w:rsidRPr="007B2698">
        <w:rPr>
          <w:rFonts w:ascii="Arial" w:hAnsi="Arial" w:cs="Arial"/>
          <w:sz w:val="20"/>
          <w:szCs w:val="20"/>
        </w:rPr>
        <w:t>, (New Haven: Ya</w:t>
      </w:r>
      <w:r>
        <w:rPr>
          <w:rFonts w:ascii="Arial" w:hAnsi="Arial" w:cs="Arial"/>
          <w:sz w:val="20"/>
          <w:szCs w:val="20"/>
        </w:rPr>
        <w:t>le University Press, 2003).</w:t>
      </w:r>
    </w:p>
    <w:p w:rsidR="007B2698" w:rsidRPr="007B2698" w:rsidRDefault="007B2698" w:rsidP="00083F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E4172" w:rsidRPr="00083FCE" w:rsidRDefault="00987D18" w:rsidP="00083F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3FCE">
        <w:rPr>
          <w:rFonts w:ascii="Arial" w:hAnsi="Arial" w:cs="Arial"/>
          <w:sz w:val="20"/>
          <w:szCs w:val="20"/>
        </w:rPr>
        <w:t xml:space="preserve">Cohen, Jeremy, </w:t>
      </w:r>
      <w:r w:rsidRPr="00083FCE">
        <w:rPr>
          <w:rFonts w:ascii="Arial" w:hAnsi="Arial" w:cs="Arial"/>
          <w:i/>
          <w:sz w:val="20"/>
          <w:szCs w:val="20"/>
        </w:rPr>
        <w:t>Living Letters of the Law: Ideas of the Jew in Medieval Christianity,</w:t>
      </w:r>
      <w:r w:rsidRPr="00083FCE">
        <w:rPr>
          <w:rFonts w:ascii="Arial" w:hAnsi="Arial" w:cs="Arial"/>
          <w:sz w:val="20"/>
          <w:szCs w:val="20"/>
        </w:rPr>
        <w:t xml:space="preserve"> (Berkeley, University of California Press, 1999). </w:t>
      </w:r>
    </w:p>
    <w:p w:rsidR="00666D2D" w:rsidRPr="00083FCE" w:rsidRDefault="00666D2D" w:rsidP="00083F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66D2D" w:rsidRPr="00083FCE" w:rsidRDefault="00C805B5" w:rsidP="00083F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Costambeys, Ma</w:t>
      </w:r>
      <w:r w:rsidR="00666D2D" w:rsidRPr="00083FCE">
        <w:rPr>
          <w:rFonts w:ascii="Arial" w:hAnsi="Arial" w:cs="Arial"/>
          <w:sz w:val="20"/>
          <w:szCs w:val="20"/>
        </w:rPr>
        <w:t>rios, Innes, Matthew and McLean, Simon,</w:t>
      </w:r>
      <w:r w:rsidR="00666D2D" w:rsidRPr="00083FCE">
        <w:rPr>
          <w:rFonts w:ascii="Arial" w:hAnsi="Arial" w:cs="Arial"/>
          <w:i/>
          <w:sz w:val="20"/>
          <w:szCs w:val="20"/>
        </w:rPr>
        <w:t xml:space="preserve"> The Carolingian World</w:t>
      </w:r>
      <w:r w:rsidR="00666D2D" w:rsidRPr="00083FCE">
        <w:rPr>
          <w:rFonts w:ascii="Arial" w:hAnsi="Arial" w:cs="Arial"/>
          <w:sz w:val="20"/>
          <w:szCs w:val="20"/>
        </w:rPr>
        <w:t xml:space="preserve"> (Cambridge: Cambridge University Press, 2011).</w:t>
      </w:r>
    </w:p>
    <w:p w:rsidR="00666D2D" w:rsidRPr="00083FCE" w:rsidRDefault="00666D2D" w:rsidP="00083F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0427A" w:rsidRDefault="00666D2D" w:rsidP="00083F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3FCE">
        <w:rPr>
          <w:rFonts w:ascii="Arial" w:hAnsi="Arial" w:cs="Arial"/>
          <w:sz w:val="20"/>
          <w:szCs w:val="20"/>
        </w:rPr>
        <w:t>Fordham University (2019)</w:t>
      </w:r>
      <w:r w:rsidRPr="00083FCE">
        <w:rPr>
          <w:rFonts w:ascii="Arial" w:hAnsi="Arial" w:cs="Arial"/>
          <w:bCs/>
          <w:i/>
          <w:sz w:val="20"/>
          <w:szCs w:val="20"/>
        </w:rPr>
        <w:t xml:space="preserve">Medieval Sourcebook: Charlemagne: </w:t>
      </w:r>
      <w:r w:rsidRPr="00083FCE">
        <w:rPr>
          <w:rFonts w:ascii="Arial" w:hAnsi="Arial" w:cs="Arial"/>
          <w:i/>
          <w:sz w:val="20"/>
          <w:szCs w:val="20"/>
        </w:rPr>
        <w:t>Capitulary for the Jews, 814</w:t>
      </w:r>
      <w:r w:rsidRPr="00083FCE">
        <w:rPr>
          <w:rFonts w:ascii="Arial" w:hAnsi="Arial" w:cs="Arial"/>
          <w:bCs/>
          <w:i/>
          <w:sz w:val="20"/>
          <w:szCs w:val="20"/>
        </w:rPr>
        <w:t>,</w:t>
      </w:r>
      <w:r w:rsidRPr="00083FCE">
        <w:rPr>
          <w:rFonts w:ascii="Arial" w:hAnsi="Arial" w:cs="Arial"/>
          <w:bCs/>
          <w:sz w:val="20"/>
          <w:szCs w:val="20"/>
        </w:rPr>
        <w:t>&lt;</w:t>
      </w:r>
      <w:hyperlink r:id="rId11" w:history="1">
        <w:r w:rsidRPr="00083FCE">
          <w:rPr>
            <w:rStyle w:val="Hyperlink"/>
            <w:rFonts w:ascii="Arial" w:hAnsi="Arial" w:cs="Arial"/>
            <w:color w:val="auto"/>
            <w:sz w:val="20"/>
            <w:szCs w:val="20"/>
            <w:u w:val="none"/>
          </w:rPr>
          <w:t>https://sourcebooks.fordham.edu/source/814capitul-jews.asp</w:t>
        </w:r>
      </w:hyperlink>
      <w:r w:rsidR="00E76FE6">
        <w:rPr>
          <w:rFonts w:ascii="Arial" w:hAnsi="Arial" w:cs="Arial"/>
          <w:sz w:val="20"/>
          <w:szCs w:val="20"/>
        </w:rPr>
        <w:t>&gt; [Accessed 4 April 2020].</w:t>
      </w:r>
    </w:p>
    <w:p w:rsidR="00E76FE6" w:rsidRPr="00083FCE" w:rsidRDefault="00E76FE6" w:rsidP="00083F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83FCE" w:rsidRDefault="0080427A" w:rsidP="00083FCE">
      <w:pPr>
        <w:spacing w:line="36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083FCE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Marcus, Jacob Rader and Saperstein, </w:t>
      </w:r>
      <w:r w:rsidRPr="00083FCE">
        <w:rPr>
          <w:rFonts w:ascii="Arial" w:hAnsi="Arial" w:cs="Arial"/>
          <w:sz w:val="20"/>
          <w:szCs w:val="20"/>
        </w:rPr>
        <w:t xml:space="preserve">Marc, </w:t>
      </w:r>
      <w:r w:rsidRPr="00083FCE"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The Jews in Christian Europe: A Source Book, 315-1791</w:t>
      </w:r>
      <w:r w:rsidRPr="00083FCE">
        <w:rPr>
          <w:rFonts w:ascii="Arial" w:hAnsi="Arial" w:cs="Arial"/>
          <w:color w:val="333333"/>
          <w:sz w:val="20"/>
          <w:szCs w:val="20"/>
          <w:shd w:val="clear" w:color="auto" w:fill="FFFFFF"/>
        </w:rPr>
        <w:t>, Hebrew Union College Press, 2015, &lt; www.jstor.org/stable/j.ctt1f89t1n.1&gt;[ Accessed 28 March. 2020].</w:t>
      </w:r>
    </w:p>
    <w:p w:rsidR="00083FCE" w:rsidRPr="00083FCE" w:rsidRDefault="00083FCE" w:rsidP="00083FCE">
      <w:pPr>
        <w:spacing w:line="36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3F67A6" w:rsidRPr="00083FCE" w:rsidRDefault="000E4172" w:rsidP="00083F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3FCE">
        <w:rPr>
          <w:rFonts w:ascii="Arial" w:hAnsi="Arial" w:cs="Arial"/>
          <w:sz w:val="20"/>
          <w:szCs w:val="20"/>
        </w:rPr>
        <w:t>Wistrich, Robert S.,</w:t>
      </w:r>
      <w:r w:rsidRPr="00083FCE">
        <w:rPr>
          <w:rFonts w:ascii="Arial" w:hAnsi="Arial" w:cs="Arial"/>
          <w:i/>
          <w:sz w:val="20"/>
          <w:szCs w:val="20"/>
        </w:rPr>
        <w:t xml:space="preserve"> Anti-Semitism – The Longest Hatred, </w:t>
      </w:r>
      <w:r w:rsidRPr="00083FCE">
        <w:rPr>
          <w:rFonts w:ascii="Arial" w:hAnsi="Arial" w:cs="Arial"/>
          <w:sz w:val="20"/>
          <w:szCs w:val="20"/>
        </w:rPr>
        <w:t>(London, Mandarin Books, 1992).</w:t>
      </w:r>
    </w:p>
    <w:p w:rsidR="00083FCE" w:rsidRPr="00083FCE" w:rsidRDefault="00083FCE" w:rsidP="00083F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83FCE" w:rsidRDefault="003B5C40" w:rsidP="00083F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3FCE">
        <w:rPr>
          <w:rFonts w:ascii="Arial" w:hAnsi="Arial" w:cs="Arial"/>
          <w:sz w:val="20"/>
          <w:szCs w:val="20"/>
        </w:rPr>
        <w:t xml:space="preserve">Tosh, John, </w:t>
      </w:r>
      <w:r w:rsidRPr="00083FCE">
        <w:rPr>
          <w:rFonts w:ascii="Arial" w:hAnsi="Arial" w:cs="Arial"/>
          <w:i/>
          <w:sz w:val="20"/>
          <w:szCs w:val="20"/>
        </w:rPr>
        <w:t>The Pursuit of History</w:t>
      </w:r>
      <w:r w:rsidR="00083FCE" w:rsidRPr="00083FCE">
        <w:rPr>
          <w:rFonts w:ascii="Arial" w:hAnsi="Arial" w:cs="Arial"/>
          <w:sz w:val="20"/>
          <w:szCs w:val="20"/>
        </w:rPr>
        <w:t>, (5</w:t>
      </w:r>
      <w:r w:rsidR="00083FCE" w:rsidRPr="00083FCE">
        <w:rPr>
          <w:rFonts w:ascii="Arial" w:hAnsi="Arial" w:cs="Arial"/>
          <w:sz w:val="20"/>
          <w:szCs w:val="20"/>
          <w:vertAlign w:val="superscript"/>
        </w:rPr>
        <w:t>th</w:t>
      </w:r>
      <w:r w:rsidR="00083FCE" w:rsidRPr="00083FCE">
        <w:rPr>
          <w:rFonts w:ascii="Arial" w:hAnsi="Arial" w:cs="Arial"/>
          <w:sz w:val="20"/>
          <w:szCs w:val="20"/>
        </w:rPr>
        <w:t xml:space="preserve"> Edition, Harlowe, Pearson, 2010).  </w:t>
      </w:r>
    </w:p>
    <w:p w:rsidR="00083FCE" w:rsidRPr="00083FCE" w:rsidRDefault="00083FCE" w:rsidP="00083F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83FCE" w:rsidRDefault="003F67A6" w:rsidP="00083FCE">
      <w:pPr>
        <w:spacing w:line="360" w:lineRule="auto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083FCE">
        <w:rPr>
          <w:rFonts w:ascii="Arial" w:hAnsi="Arial" w:cs="Arial"/>
          <w:iCs/>
          <w:color w:val="333333"/>
          <w:sz w:val="20"/>
          <w:szCs w:val="20"/>
          <w:shd w:val="clear" w:color="auto" w:fill="FFFFFF"/>
        </w:rPr>
        <w:t>The North American Review</w:t>
      </w:r>
      <w:r w:rsidRPr="00083FCE">
        <w:rPr>
          <w:rFonts w:ascii="Arial" w:hAnsi="Arial" w:cs="Arial"/>
          <w:color w:val="333333"/>
          <w:sz w:val="20"/>
          <w:szCs w:val="20"/>
          <w:shd w:val="clear" w:color="auto" w:fill="FFFFFF"/>
        </w:rPr>
        <w:t>,</w:t>
      </w:r>
      <w:r w:rsidR="00ED00AA" w:rsidRPr="00083FCE"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 xml:space="preserve"> Usury, and the Usury Laws</w:t>
      </w:r>
      <w:r w:rsidR="00ED00AA" w:rsidRPr="00083FCE">
        <w:rPr>
          <w:rFonts w:ascii="Arial" w:hAnsi="Arial" w:cs="Arial"/>
          <w:color w:val="333333"/>
          <w:sz w:val="20"/>
          <w:szCs w:val="20"/>
          <w:shd w:val="clear" w:color="auto" w:fill="FFFFFF"/>
        </w:rPr>
        <w:t>, Vol</w:t>
      </w:r>
      <w:r w:rsidRPr="00083FCE">
        <w:rPr>
          <w:rFonts w:ascii="Arial" w:hAnsi="Arial" w:cs="Arial"/>
          <w:color w:val="333333"/>
          <w:sz w:val="20"/>
          <w:szCs w:val="20"/>
          <w:shd w:val="clear" w:color="auto" w:fill="FFFFFF"/>
        </w:rPr>
        <w:t>. 39, no. 84, 1834, pp. 68–</w:t>
      </w:r>
      <w:r w:rsidR="00ED00AA" w:rsidRPr="00083FCE">
        <w:rPr>
          <w:rFonts w:ascii="Arial" w:hAnsi="Arial" w:cs="Arial"/>
          <w:color w:val="333333"/>
          <w:sz w:val="20"/>
          <w:szCs w:val="20"/>
          <w:shd w:val="clear" w:color="auto" w:fill="FFFFFF"/>
        </w:rPr>
        <w:t>111</w:t>
      </w:r>
      <w:r w:rsidRPr="00083FCE">
        <w:rPr>
          <w:rFonts w:ascii="Arial" w:hAnsi="Arial" w:cs="Arial"/>
          <w:color w:val="333333"/>
          <w:sz w:val="20"/>
          <w:szCs w:val="20"/>
          <w:shd w:val="clear" w:color="auto" w:fill="FFFFFF"/>
        </w:rPr>
        <w:t>.</w:t>
      </w:r>
      <w:r w:rsidR="003B5C40" w:rsidRPr="00083FCE">
        <w:rPr>
          <w:rFonts w:ascii="Arial" w:hAnsi="Arial" w:cs="Arial"/>
          <w:color w:val="333333"/>
          <w:sz w:val="20"/>
          <w:szCs w:val="20"/>
          <w:shd w:val="clear" w:color="auto" w:fill="FFFFFF"/>
        </w:rPr>
        <w:t>&lt;</w:t>
      </w:r>
      <w:hyperlink r:id="rId12" w:history="1">
        <w:r w:rsidR="003B5C40" w:rsidRPr="00083FCE">
          <w:rPr>
            <w:rStyle w:val="Hyperlink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www.jstor.org/stable/25103071</w:t>
        </w:r>
      </w:hyperlink>
      <w:r w:rsidR="003B5C40" w:rsidRPr="00083FCE">
        <w:rPr>
          <w:rFonts w:ascii="Arial" w:hAnsi="Arial" w:cs="Arial"/>
          <w:sz w:val="20"/>
          <w:szCs w:val="20"/>
          <w:shd w:val="clear" w:color="auto" w:fill="FFFFFF"/>
        </w:rPr>
        <w:t xml:space="preserve">&gt;, </w:t>
      </w:r>
      <w:r w:rsidR="00ED00AA" w:rsidRPr="00083FCE">
        <w:rPr>
          <w:rFonts w:ascii="Arial" w:hAnsi="Arial" w:cs="Arial"/>
          <w:color w:val="333333"/>
          <w:sz w:val="20"/>
          <w:szCs w:val="20"/>
          <w:shd w:val="clear" w:color="auto" w:fill="FFFFFF"/>
        </w:rPr>
        <w:t>[</w:t>
      </w:r>
      <w:r w:rsidRPr="00083FCE">
        <w:rPr>
          <w:rFonts w:ascii="Arial" w:hAnsi="Arial" w:cs="Arial"/>
          <w:color w:val="333333"/>
          <w:sz w:val="20"/>
          <w:szCs w:val="20"/>
          <w:shd w:val="clear" w:color="auto" w:fill="FFFFFF"/>
        </w:rPr>
        <w:t>Accessed 29 Apr. 2020</w:t>
      </w:r>
      <w:r w:rsidR="00ED00AA" w:rsidRPr="00083FCE">
        <w:rPr>
          <w:rFonts w:ascii="Arial" w:hAnsi="Arial" w:cs="Arial"/>
          <w:color w:val="333333"/>
          <w:sz w:val="20"/>
          <w:szCs w:val="20"/>
          <w:shd w:val="clear" w:color="auto" w:fill="FFFFFF"/>
        </w:rPr>
        <w:t>].</w:t>
      </w:r>
    </w:p>
    <w:p w:rsidR="00083FCE" w:rsidRPr="00083FCE" w:rsidRDefault="00083FCE" w:rsidP="00083FCE">
      <w:pPr>
        <w:spacing w:line="360" w:lineRule="auto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083FCE" w:rsidRDefault="003B5C40" w:rsidP="00083FCE">
      <w:pPr>
        <w:spacing w:line="36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83FCE">
        <w:rPr>
          <w:rFonts w:ascii="Arial" w:hAnsi="Arial" w:cs="Arial"/>
          <w:sz w:val="20"/>
          <w:szCs w:val="20"/>
          <w:shd w:val="clear" w:color="auto" w:fill="FFFFFF"/>
        </w:rPr>
        <w:lastRenderedPageBreak/>
        <w:t xml:space="preserve">Thompson, James Westfall. </w:t>
      </w:r>
      <w:r w:rsidRPr="00083FCE">
        <w:rPr>
          <w:rFonts w:ascii="Arial" w:hAnsi="Arial" w:cs="Arial"/>
          <w:i/>
          <w:sz w:val="20"/>
          <w:szCs w:val="20"/>
          <w:shd w:val="clear" w:color="auto" w:fill="FFFFFF"/>
        </w:rPr>
        <w:t>The Commerce of France in the Ninth Century</w:t>
      </w:r>
      <w:r w:rsidRPr="00083FCE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083FCE">
        <w:rPr>
          <w:rFonts w:ascii="Arial" w:hAnsi="Arial" w:cs="Arial"/>
          <w:iCs/>
          <w:sz w:val="20"/>
          <w:szCs w:val="20"/>
          <w:shd w:val="clear" w:color="auto" w:fill="FFFFFF"/>
        </w:rPr>
        <w:t>Journal of Political Economy</w:t>
      </w:r>
      <w:r w:rsidRPr="00083FCE">
        <w:rPr>
          <w:rFonts w:ascii="Arial" w:hAnsi="Arial" w:cs="Arial"/>
          <w:sz w:val="20"/>
          <w:szCs w:val="20"/>
          <w:shd w:val="clear" w:color="auto" w:fill="FFFFFF"/>
        </w:rPr>
        <w:t>, vol. 23, no. 9, 1915, pp. 857–887. </w:t>
      </w:r>
      <w:r w:rsidRPr="00083FCE">
        <w:rPr>
          <w:rFonts w:ascii="Arial" w:hAnsi="Arial" w:cs="Arial"/>
          <w:i/>
          <w:iCs/>
          <w:sz w:val="20"/>
          <w:szCs w:val="20"/>
          <w:shd w:val="clear" w:color="auto" w:fill="FFFFFF"/>
        </w:rPr>
        <w:t>&lt;</w:t>
      </w:r>
      <w:hyperlink r:id="rId13" w:history="1">
        <w:r w:rsidRPr="00083FCE">
          <w:rPr>
            <w:rStyle w:val="Hyperlink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www.jstor.org/stable/1819140&gt;, [Accessed 9 Apr. 2020</w:t>
        </w:r>
      </w:hyperlink>
      <w:r w:rsidRPr="00083FCE">
        <w:rPr>
          <w:rFonts w:ascii="Arial" w:hAnsi="Arial" w:cs="Arial"/>
          <w:sz w:val="20"/>
          <w:szCs w:val="20"/>
          <w:shd w:val="clear" w:color="auto" w:fill="FFFFFF"/>
        </w:rPr>
        <w:t>].</w:t>
      </w:r>
    </w:p>
    <w:p w:rsidR="00083FCE" w:rsidRPr="00083FCE" w:rsidRDefault="00083FCE" w:rsidP="00083FCE">
      <w:pPr>
        <w:spacing w:line="36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:rsidR="00083FCE" w:rsidRDefault="00083FCE" w:rsidP="00083FCE">
      <w:pPr>
        <w:spacing w:line="36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83FCE">
        <w:rPr>
          <w:rFonts w:ascii="Arial" w:hAnsi="Arial" w:cs="Arial"/>
          <w:sz w:val="20"/>
          <w:szCs w:val="20"/>
          <w:shd w:val="clear" w:color="auto" w:fill="FFFFFF"/>
        </w:rPr>
        <w:t xml:space="preserve">Sypek, Jeff, </w:t>
      </w:r>
      <w:r w:rsidRPr="00083FCE">
        <w:rPr>
          <w:rFonts w:ascii="Arial" w:hAnsi="Arial" w:cs="Arial"/>
          <w:i/>
          <w:sz w:val="20"/>
          <w:szCs w:val="20"/>
          <w:shd w:val="clear" w:color="auto" w:fill="FFFFFF"/>
        </w:rPr>
        <w:t xml:space="preserve">Becoming Charlemagne: Europe, Baghdad and the Empires of A.D. 800, </w:t>
      </w:r>
      <w:r w:rsidRPr="00083FCE">
        <w:rPr>
          <w:rFonts w:ascii="Arial" w:hAnsi="Arial" w:cs="Arial"/>
          <w:sz w:val="20"/>
          <w:szCs w:val="20"/>
          <w:shd w:val="clear" w:color="auto" w:fill="FFFFFF"/>
        </w:rPr>
        <w:t xml:space="preserve">(New York, Harper Collins, 2006). </w:t>
      </w:r>
    </w:p>
    <w:p w:rsidR="00AF7013" w:rsidRDefault="00AF7013" w:rsidP="00083FCE">
      <w:pPr>
        <w:spacing w:line="36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:rsidR="00083FCE" w:rsidRDefault="00083FCE" w:rsidP="00083F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3FCE">
        <w:rPr>
          <w:rFonts w:ascii="Arial" w:hAnsi="Arial" w:cs="Arial"/>
          <w:sz w:val="20"/>
          <w:szCs w:val="20"/>
          <w:shd w:val="clear" w:color="auto" w:fill="FFFFFF"/>
        </w:rPr>
        <w:t xml:space="preserve">Universität zu Köln Historisches, Institut (2017) </w:t>
      </w:r>
      <w:r w:rsidRPr="00083FCE">
        <w:rPr>
          <w:rFonts w:ascii="Arial" w:hAnsi="Arial" w:cs="Arial"/>
          <w:i/>
          <w:sz w:val="20"/>
          <w:szCs w:val="20"/>
          <w:shd w:val="clear" w:color="auto" w:fill="FFFFFF"/>
        </w:rPr>
        <w:t xml:space="preserve">Capitularia: </w:t>
      </w:r>
      <w:hyperlink r:id="rId14" w:history="1">
        <w:r w:rsidRPr="00083FCE">
          <w:rPr>
            <w:rStyle w:val="Hyperlink"/>
            <w:rFonts w:ascii="Arial" w:hAnsi="Arial" w:cs="Arial"/>
            <w:i/>
            <w:color w:val="auto"/>
            <w:sz w:val="20"/>
            <w:szCs w:val="20"/>
            <w:u w:val="none"/>
            <w:shd w:val="clear" w:color="auto" w:fill="FFFFFF"/>
          </w:rPr>
          <w:t>Edition der fränkischen Herrschererlasse</w:t>
        </w:r>
      </w:hyperlink>
      <w:r w:rsidRPr="00083FCE">
        <w:rPr>
          <w:rFonts w:ascii="Arial" w:hAnsi="Arial" w:cs="Arial"/>
          <w:i/>
          <w:sz w:val="20"/>
          <w:szCs w:val="20"/>
        </w:rPr>
        <w:t>,</w:t>
      </w:r>
      <w:r w:rsidRPr="00083FCE">
        <w:rPr>
          <w:rFonts w:ascii="Arial" w:hAnsi="Arial" w:cs="Arial"/>
          <w:sz w:val="20"/>
          <w:szCs w:val="20"/>
        </w:rPr>
        <w:t>&lt;</w:t>
      </w:r>
      <w:hyperlink r:id="rId15" w:history="1">
        <w:r w:rsidRPr="00083FCE">
          <w:rPr>
            <w:rStyle w:val="Hyperlink"/>
            <w:rFonts w:ascii="Arial" w:hAnsi="Arial" w:cs="Arial"/>
            <w:color w:val="auto"/>
            <w:sz w:val="20"/>
            <w:szCs w:val="20"/>
            <w:u w:val="none"/>
          </w:rPr>
          <w:t>https://capitularia.uni-koeln.de/en/capit/</w:t>
        </w:r>
      </w:hyperlink>
      <w:r w:rsidRPr="00083FCE">
        <w:rPr>
          <w:rFonts w:ascii="Arial" w:hAnsi="Arial" w:cs="Arial"/>
          <w:sz w:val="20"/>
          <w:szCs w:val="20"/>
        </w:rPr>
        <w:t>&gt;, [Accessed 27 April 2020].</w:t>
      </w:r>
    </w:p>
    <w:p w:rsidR="007B2698" w:rsidRDefault="007B2698" w:rsidP="00083F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83FCE" w:rsidRDefault="007B2698" w:rsidP="00083F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B2698">
        <w:rPr>
          <w:rFonts w:ascii="Arial" w:hAnsi="Arial" w:cs="Arial"/>
          <w:sz w:val="20"/>
          <w:szCs w:val="20"/>
        </w:rPr>
        <w:t xml:space="preserve">Valentin, Hugo, </w:t>
      </w:r>
      <w:r w:rsidRPr="00AF7013">
        <w:rPr>
          <w:rFonts w:ascii="Arial" w:hAnsi="Arial" w:cs="Arial"/>
          <w:i/>
          <w:sz w:val="20"/>
          <w:szCs w:val="20"/>
        </w:rPr>
        <w:t>Anti-Semitism</w:t>
      </w:r>
      <w:r w:rsidRPr="007B2698">
        <w:rPr>
          <w:rFonts w:ascii="Arial" w:hAnsi="Arial" w:cs="Arial"/>
          <w:sz w:val="20"/>
          <w:szCs w:val="20"/>
        </w:rPr>
        <w:t>,</w:t>
      </w:r>
      <w:r w:rsidR="00AF7013">
        <w:rPr>
          <w:rFonts w:ascii="Arial" w:hAnsi="Arial" w:cs="Arial"/>
          <w:sz w:val="20"/>
          <w:szCs w:val="20"/>
        </w:rPr>
        <w:t xml:space="preserve"> </w:t>
      </w:r>
      <w:r w:rsidRPr="007B2698">
        <w:rPr>
          <w:rFonts w:ascii="Arial" w:hAnsi="Arial" w:cs="Arial"/>
          <w:sz w:val="20"/>
          <w:szCs w:val="20"/>
        </w:rPr>
        <w:t xml:space="preserve">trans. by Catrer, A.G. (London, </w:t>
      </w:r>
      <w:r w:rsidR="00AF7013">
        <w:rPr>
          <w:rFonts w:ascii="Arial" w:hAnsi="Arial" w:cs="Arial"/>
          <w:sz w:val="20"/>
          <w:szCs w:val="20"/>
        </w:rPr>
        <w:t>Victor Gollanncz, 1936).</w:t>
      </w:r>
    </w:p>
    <w:p w:rsidR="007B2698" w:rsidRPr="007B2698" w:rsidRDefault="007B2698" w:rsidP="00083F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51604" w:rsidRDefault="00083FCE" w:rsidP="0096426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3FCE">
        <w:rPr>
          <w:rFonts w:ascii="Arial" w:hAnsi="Arial" w:cs="Arial"/>
          <w:sz w:val="20"/>
          <w:szCs w:val="20"/>
        </w:rPr>
        <w:t xml:space="preserve">Williams, Hywell, </w:t>
      </w:r>
      <w:r w:rsidRPr="00083FCE">
        <w:rPr>
          <w:rFonts w:ascii="Arial" w:hAnsi="Arial" w:cs="Arial"/>
          <w:i/>
          <w:sz w:val="20"/>
          <w:szCs w:val="20"/>
        </w:rPr>
        <w:t>Emperor of the West: Charlemagne and The Carolingian Empire</w:t>
      </w:r>
      <w:r w:rsidRPr="00083FCE">
        <w:rPr>
          <w:rFonts w:ascii="Arial" w:hAnsi="Arial" w:cs="Arial"/>
          <w:sz w:val="20"/>
          <w:szCs w:val="20"/>
        </w:rPr>
        <w:t xml:space="preserve">, (London, Quercus, 2011). </w:t>
      </w:r>
    </w:p>
    <w:p w:rsidR="0068535C" w:rsidRPr="0096426A" w:rsidRDefault="0068535C" w:rsidP="0096426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6426A" w:rsidRPr="00083FCE" w:rsidRDefault="0096426A" w:rsidP="0096426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96426A" w:rsidRPr="00083FCE" w:rsidSect="006E10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7099" w:rsidRDefault="00E27099" w:rsidP="000E4172">
      <w:pPr>
        <w:spacing w:after="0" w:line="240" w:lineRule="auto"/>
      </w:pPr>
      <w:r>
        <w:separator/>
      </w:r>
    </w:p>
  </w:endnote>
  <w:endnote w:type="continuationSeparator" w:id="1">
    <w:p w:rsidR="00E27099" w:rsidRDefault="00E27099" w:rsidP="000E4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7099" w:rsidRDefault="00E27099" w:rsidP="000E4172">
      <w:pPr>
        <w:spacing w:after="0" w:line="240" w:lineRule="auto"/>
      </w:pPr>
      <w:r>
        <w:separator/>
      </w:r>
    </w:p>
  </w:footnote>
  <w:footnote w:type="continuationSeparator" w:id="1">
    <w:p w:rsidR="00E27099" w:rsidRDefault="00E27099" w:rsidP="000E4172">
      <w:pPr>
        <w:spacing w:after="0" w:line="240" w:lineRule="auto"/>
      </w:pPr>
      <w:r>
        <w:continuationSeparator/>
      </w:r>
    </w:p>
  </w:footnote>
  <w:footnote w:id="2">
    <w:p w:rsidR="007A06C5" w:rsidRPr="00AF7013" w:rsidRDefault="007A06C5" w:rsidP="00E76FE6">
      <w:pPr>
        <w:pStyle w:val="FootnoteText"/>
        <w:rPr>
          <w:rFonts w:ascii="Arial" w:hAnsi="Arial" w:cs="Arial"/>
          <w:sz w:val="16"/>
          <w:szCs w:val="16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Pr="00AF7013">
        <w:rPr>
          <w:rFonts w:ascii="Arial" w:hAnsi="Arial" w:cs="Arial"/>
          <w:sz w:val="16"/>
          <w:szCs w:val="16"/>
        </w:rPr>
        <w:t xml:space="preserve"> C</w:t>
      </w:r>
      <w:r w:rsidR="00C805B5">
        <w:rPr>
          <w:rFonts w:ascii="Arial" w:hAnsi="Arial" w:cs="Arial"/>
          <w:sz w:val="16"/>
          <w:szCs w:val="16"/>
        </w:rPr>
        <w:t>ostambeys, Ma</w:t>
      </w:r>
      <w:r w:rsidRPr="00AF7013">
        <w:rPr>
          <w:rFonts w:ascii="Arial" w:hAnsi="Arial" w:cs="Arial"/>
          <w:sz w:val="16"/>
          <w:szCs w:val="16"/>
        </w:rPr>
        <w:t>rios, Innes, Matthew and McLean, Simon,</w:t>
      </w:r>
      <w:r w:rsidRPr="00AF7013">
        <w:rPr>
          <w:rFonts w:ascii="Arial" w:hAnsi="Arial" w:cs="Arial"/>
          <w:i/>
          <w:sz w:val="16"/>
          <w:szCs w:val="16"/>
        </w:rPr>
        <w:t xml:space="preserve"> The Carolingian World</w:t>
      </w:r>
      <w:r w:rsidRPr="00AF7013">
        <w:rPr>
          <w:rFonts w:ascii="Arial" w:hAnsi="Arial" w:cs="Arial"/>
          <w:sz w:val="16"/>
          <w:szCs w:val="16"/>
        </w:rPr>
        <w:t xml:space="preserve"> (Cambridge: Cambridge University Press, 2011) p.14. </w:t>
      </w:r>
    </w:p>
  </w:footnote>
  <w:footnote w:id="3">
    <w:p w:rsidR="007A06C5" w:rsidRPr="00AF7013" w:rsidRDefault="007A06C5" w:rsidP="00E76FE6">
      <w:pPr>
        <w:pStyle w:val="FootnoteText"/>
        <w:rPr>
          <w:rFonts w:ascii="Arial" w:hAnsi="Arial" w:cs="Arial"/>
          <w:sz w:val="16"/>
          <w:szCs w:val="16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="007B2698" w:rsidRPr="00AF7013">
        <w:rPr>
          <w:rFonts w:ascii="Arial" w:hAnsi="Arial" w:cs="Arial"/>
          <w:sz w:val="16"/>
          <w:szCs w:val="16"/>
        </w:rPr>
        <w:t xml:space="preserve"> Becher , Mathias, </w:t>
      </w:r>
      <w:r w:rsidR="007B2698" w:rsidRPr="00AF7013">
        <w:rPr>
          <w:rFonts w:ascii="Arial" w:hAnsi="Arial" w:cs="Arial"/>
          <w:i/>
          <w:sz w:val="16"/>
          <w:szCs w:val="16"/>
        </w:rPr>
        <w:t>Charlemagne</w:t>
      </w:r>
      <w:r w:rsidR="007B2698" w:rsidRPr="00AF7013">
        <w:rPr>
          <w:rFonts w:ascii="Arial" w:hAnsi="Arial" w:cs="Arial"/>
          <w:sz w:val="16"/>
          <w:szCs w:val="16"/>
        </w:rPr>
        <w:t xml:space="preserve">, (New Haven: Yale University Press, 2003) p.41. </w:t>
      </w:r>
    </w:p>
  </w:footnote>
  <w:footnote w:id="4">
    <w:p w:rsidR="007A06C5" w:rsidRPr="00AF7013" w:rsidRDefault="007A06C5" w:rsidP="00E76FE6">
      <w:pPr>
        <w:pStyle w:val="FootnoteText"/>
        <w:rPr>
          <w:rFonts w:ascii="Arial" w:hAnsi="Arial" w:cs="Arial"/>
          <w:sz w:val="16"/>
          <w:szCs w:val="16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Pr="00AF7013">
        <w:rPr>
          <w:rFonts w:ascii="Arial" w:hAnsi="Arial" w:cs="Arial"/>
          <w:sz w:val="16"/>
          <w:szCs w:val="16"/>
          <w:shd w:val="clear" w:color="auto" w:fill="FFFFFF"/>
        </w:rPr>
        <w:t>Historisches Institut</w:t>
      </w:r>
      <w:r w:rsidRPr="00AF7013">
        <w:rPr>
          <w:rFonts w:ascii="Arial" w:hAnsi="Arial" w:cs="Arial"/>
          <w:sz w:val="16"/>
          <w:szCs w:val="16"/>
        </w:rPr>
        <w:t xml:space="preserve">, </w:t>
      </w:r>
      <w:r w:rsidRPr="00AF7013">
        <w:rPr>
          <w:rFonts w:ascii="Arial" w:hAnsi="Arial" w:cs="Arial"/>
          <w:sz w:val="16"/>
          <w:szCs w:val="16"/>
          <w:shd w:val="clear" w:color="auto" w:fill="FFFFFF"/>
        </w:rPr>
        <w:t xml:space="preserve">Universität zu Köln (2017) </w:t>
      </w:r>
      <w:r w:rsidRPr="00AF7013">
        <w:rPr>
          <w:rFonts w:ascii="Arial" w:hAnsi="Arial" w:cs="Arial"/>
          <w:i/>
          <w:sz w:val="16"/>
          <w:szCs w:val="16"/>
          <w:shd w:val="clear" w:color="auto" w:fill="FFFFFF"/>
        </w:rPr>
        <w:t xml:space="preserve">Capitularia: </w:t>
      </w:r>
      <w:hyperlink r:id="rId1" w:history="1">
        <w:r w:rsidRPr="00AF7013">
          <w:rPr>
            <w:rStyle w:val="Hyperlink"/>
            <w:rFonts w:ascii="Arial" w:hAnsi="Arial" w:cs="Arial"/>
            <w:i/>
            <w:color w:val="auto"/>
            <w:sz w:val="16"/>
            <w:szCs w:val="16"/>
            <w:u w:val="none"/>
            <w:shd w:val="clear" w:color="auto" w:fill="FFFFFF"/>
          </w:rPr>
          <w:t>Edition der fränkischen Herrschererlasse</w:t>
        </w:r>
      </w:hyperlink>
      <w:r w:rsidRPr="00AF7013">
        <w:rPr>
          <w:rFonts w:ascii="Arial" w:hAnsi="Arial" w:cs="Arial"/>
          <w:i/>
          <w:sz w:val="16"/>
          <w:szCs w:val="16"/>
        </w:rPr>
        <w:t>,</w:t>
      </w:r>
      <w:r w:rsidRPr="00AF7013">
        <w:rPr>
          <w:rFonts w:ascii="Arial" w:hAnsi="Arial" w:cs="Arial"/>
          <w:sz w:val="16"/>
          <w:szCs w:val="16"/>
        </w:rPr>
        <w:t>&lt;</w:t>
      </w:r>
      <w:hyperlink r:id="rId2" w:history="1">
        <w:r w:rsidRPr="00AF7013">
          <w:rPr>
            <w:rStyle w:val="Hyperlink"/>
            <w:rFonts w:ascii="Arial" w:hAnsi="Arial" w:cs="Arial"/>
            <w:color w:val="auto"/>
            <w:sz w:val="16"/>
            <w:szCs w:val="16"/>
            <w:u w:val="none"/>
          </w:rPr>
          <w:t>https://capitularia.uni-koeln.de/en/capit/</w:t>
        </w:r>
      </w:hyperlink>
      <w:r w:rsidRPr="00AF7013">
        <w:rPr>
          <w:rFonts w:ascii="Arial" w:hAnsi="Arial" w:cs="Arial"/>
          <w:sz w:val="16"/>
          <w:szCs w:val="16"/>
        </w:rPr>
        <w:t xml:space="preserve">&gt; [Accessed 27 April 2020]. </w:t>
      </w:r>
    </w:p>
  </w:footnote>
  <w:footnote w:id="5">
    <w:p w:rsidR="007A06C5" w:rsidRPr="00AF7013" w:rsidRDefault="007A06C5" w:rsidP="00E76FE6">
      <w:pPr>
        <w:pStyle w:val="FootnoteText"/>
        <w:rPr>
          <w:rFonts w:ascii="Arial" w:hAnsi="Arial" w:cs="Arial"/>
          <w:sz w:val="16"/>
          <w:szCs w:val="16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Pr="00AF7013">
        <w:rPr>
          <w:rFonts w:ascii="Arial" w:hAnsi="Arial" w:cs="Arial"/>
          <w:sz w:val="16"/>
          <w:szCs w:val="16"/>
          <w:shd w:val="clear" w:color="auto" w:fill="FFFFFF"/>
        </w:rPr>
        <w:t>Historisches Institut</w:t>
      </w:r>
      <w:r w:rsidRPr="00AF7013">
        <w:rPr>
          <w:rFonts w:ascii="Arial" w:hAnsi="Arial" w:cs="Arial"/>
          <w:sz w:val="16"/>
          <w:szCs w:val="16"/>
        </w:rPr>
        <w:t xml:space="preserve">, </w:t>
      </w:r>
      <w:r w:rsidRPr="00AF7013">
        <w:rPr>
          <w:rFonts w:ascii="Arial" w:hAnsi="Arial" w:cs="Arial"/>
          <w:sz w:val="16"/>
          <w:szCs w:val="16"/>
          <w:shd w:val="clear" w:color="auto" w:fill="FFFFFF"/>
        </w:rPr>
        <w:t>Universität zu Köln (2017).</w:t>
      </w:r>
    </w:p>
  </w:footnote>
  <w:footnote w:id="6">
    <w:p w:rsidR="007A06C5" w:rsidRPr="00AF7013" w:rsidRDefault="007A06C5" w:rsidP="00E76FE6">
      <w:pPr>
        <w:spacing w:line="240" w:lineRule="auto"/>
        <w:jc w:val="both"/>
        <w:rPr>
          <w:rFonts w:ascii="Arial" w:hAnsi="Arial" w:cs="Arial"/>
          <w:color w:val="333333"/>
          <w:sz w:val="16"/>
          <w:szCs w:val="16"/>
          <w:shd w:val="clear" w:color="auto" w:fill="FFFFFF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="007937D1" w:rsidRPr="00AF7013">
        <w:rPr>
          <w:rFonts w:ascii="Arial" w:hAnsi="Arial" w:cs="Arial"/>
          <w:color w:val="333333"/>
          <w:sz w:val="16"/>
          <w:szCs w:val="16"/>
          <w:shd w:val="clear" w:color="auto" w:fill="FFFFFF"/>
        </w:rPr>
        <w:t>Bachrach, Bernard S. </w:t>
      </w:r>
      <w:r w:rsidR="007937D1" w:rsidRPr="00AF7013">
        <w:rPr>
          <w:rFonts w:ascii="Arial" w:hAnsi="Arial" w:cs="Arial"/>
          <w:i/>
          <w:iCs/>
          <w:color w:val="333333"/>
          <w:sz w:val="16"/>
          <w:szCs w:val="16"/>
          <w:shd w:val="clear" w:color="auto" w:fill="FFFFFF"/>
        </w:rPr>
        <w:t>Early Medieval Jewish Policy in Western Europe</w:t>
      </w:r>
      <w:r w:rsidR="007937D1" w:rsidRPr="00AF7013">
        <w:rPr>
          <w:rFonts w:ascii="Arial" w:hAnsi="Arial" w:cs="Arial"/>
          <w:color w:val="333333"/>
          <w:sz w:val="16"/>
          <w:szCs w:val="16"/>
          <w:shd w:val="clear" w:color="auto" w:fill="FFFFFF"/>
        </w:rPr>
        <w:t>, University of Minnesota Press, 1977,&lt;</w:t>
      </w:r>
      <w:hyperlink r:id="rId3" w:history="1">
        <w:r w:rsidR="007937D1" w:rsidRPr="00AF7013">
          <w:rPr>
            <w:rStyle w:val="Hyperlink"/>
            <w:rFonts w:ascii="Arial" w:hAnsi="Arial" w:cs="Arial"/>
            <w:color w:val="auto"/>
            <w:sz w:val="16"/>
            <w:szCs w:val="16"/>
            <w:u w:val="none"/>
            <w:shd w:val="clear" w:color="auto" w:fill="FFFFFF"/>
          </w:rPr>
          <w:t>www.jstor.org/stable/10.5749/j.ctttv8zj</w:t>
        </w:r>
      </w:hyperlink>
      <w:r w:rsidR="007937D1" w:rsidRPr="00AF7013">
        <w:rPr>
          <w:rFonts w:ascii="Arial" w:hAnsi="Arial" w:cs="Arial"/>
          <w:sz w:val="16"/>
          <w:szCs w:val="16"/>
          <w:shd w:val="clear" w:color="auto" w:fill="FFFFFF"/>
        </w:rPr>
        <w:t>&gt;,</w:t>
      </w:r>
      <w:r w:rsidR="007937D1" w:rsidRPr="00AF7013">
        <w:rPr>
          <w:rFonts w:ascii="Arial" w:hAnsi="Arial" w:cs="Arial"/>
          <w:color w:val="333333"/>
          <w:sz w:val="16"/>
          <w:szCs w:val="16"/>
          <w:shd w:val="clear" w:color="auto" w:fill="FFFFFF"/>
        </w:rPr>
        <w:t xml:space="preserve"> [Accessed 29 Apr. 2020].</w:t>
      </w:r>
    </w:p>
  </w:footnote>
  <w:footnote w:id="7">
    <w:p w:rsidR="007937D1" w:rsidRPr="00AF7013" w:rsidRDefault="007A06C5" w:rsidP="00E76FE6">
      <w:pPr>
        <w:spacing w:line="240" w:lineRule="auto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="007937D1" w:rsidRPr="00AF7013">
        <w:rPr>
          <w:rFonts w:ascii="Arial" w:hAnsi="Arial" w:cs="Arial"/>
          <w:sz w:val="16"/>
          <w:szCs w:val="16"/>
          <w:shd w:val="clear" w:color="auto" w:fill="FFFFFF"/>
        </w:rPr>
        <w:t xml:space="preserve">Sypek, Jeff, </w:t>
      </w:r>
      <w:r w:rsidR="007937D1" w:rsidRPr="00AF7013">
        <w:rPr>
          <w:rFonts w:ascii="Arial" w:hAnsi="Arial" w:cs="Arial"/>
          <w:i/>
          <w:sz w:val="16"/>
          <w:szCs w:val="16"/>
          <w:shd w:val="clear" w:color="auto" w:fill="FFFFFF"/>
        </w:rPr>
        <w:t xml:space="preserve">Becoming Charlemagne: Europe, Baghdad and the Empires of A.D. 800, </w:t>
      </w:r>
      <w:r w:rsidR="007937D1" w:rsidRPr="00AF7013">
        <w:rPr>
          <w:rFonts w:ascii="Arial" w:hAnsi="Arial" w:cs="Arial"/>
          <w:sz w:val="16"/>
          <w:szCs w:val="16"/>
          <w:shd w:val="clear" w:color="auto" w:fill="FFFFFF"/>
        </w:rPr>
        <w:t>(N</w:t>
      </w:r>
      <w:r w:rsidR="008B22B7" w:rsidRPr="00AF7013">
        <w:rPr>
          <w:rFonts w:ascii="Arial" w:hAnsi="Arial" w:cs="Arial"/>
          <w:sz w:val="16"/>
          <w:szCs w:val="16"/>
          <w:shd w:val="clear" w:color="auto" w:fill="FFFFFF"/>
        </w:rPr>
        <w:t>ew York, Harper Collins, 2006) p.84-85.</w:t>
      </w:r>
    </w:p>
    <w:p w:rsidR="007937D1" w:rsidRPr="00AF7013" w:rsidRDefault="007937D1" w:rsidP="00E76FE6">
      <w:pPr>
        <w:pStyle w:val="FootnoteText"/>
        <w:rPr>
          <w:rFonts w:ascii="Arial" w:hAnsi="Arial" w:cs="Arial"/>
          <w:sz w:val="16"/>
          <w:szCs w:val="16"/>
        </w:rPr>
      </w:pPr>
    </w:p>
  </w:footnote>
  <w:footnote w:id="8">
    <w:p w:rsidR="007A06C5" w:rsidRPr="00AF7013" w:rsidRDefault="007A06C5" w:rsidP="00E76FE6">
      <w:pPr>
        <w:pStyle w:val="FootnoteText"/>
        <w:rPr>
          <w:rFonts w:ascii="Arial" w:hAnsi="Arial" w:cs="Arial"/>
          <w:sz w:val="16"/>
          <w:szCs w:val="16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="008B22B7" w:rsidRPr="00AF7013">
        <w:rPr>
          <w:rFonts w:ascii="Arial" w:hAnsi="Arial" w:cs="Arial"/>
          <w:sz w:val="16"/>
          <w:szCs w:val="16"/>
        </w:rPr>
        <w:t>C</w:t>
      </w:r>
      <w:r w:rsidR="00C805B5">
        <w:rPr>
          <w:rFonts w:ascii="Arial" w:hAnsi="Arial" w:cs="Arial"/>
          <w:sz w:val="16"/>
          <w:szCs w:val="16"/>
        </w:rPr>
        <w:t>ostambeys, Ma</w:t>
      </w:r>
      <w:r w:rsidR="008B22B7" w:rsidRPr="00AF7013">
        <w:rPr>
          <w:rFonts w:ascii="Arial" w:hAnsi="Arial" w:cs="Arial"/>
          <w:sz w:val="16"/>
          <w:szCs w:val="16"/>
        </w:rPr>
        <w:t>rios, Innes, Matthew and McLean, Simon,</w:t>
      </w:r>
      <w:r w:rsidR="008B22B7" w:rsidRPr="00AF7013">
        <w:rPr>
          <w:rFonts w:ascii="Arial" w:hAnsi="Arial" w:cs="Arial"/>
          <w:i/>
          <w:sz w:val="16"/>
          <w:szCs w:val="16"/>
        </w:rPr>
        <w:t xml:space="preserve"> The Carolingian World</w:t>
      </w:r>
      <w:r w:rsidR="008B22B7" w:rsidRPr="00AF7013">
        <w:rPr>
          <w:rFonts w:ascii="Arial" w:hAnsi="Arial" w:cs="Arial"/>
          <w:sz w:val="16"/>
          <w:szCs w:val="16"/>
        </w:rPr>
        <w:t xml:space="preserve"> (Cambridge: Cambridge University Press, 2011) p.196.</w:t>
      </w:r>
    </w:p>
  </w:footnote>
  <w:footnote w:id="9">
    <w:p w:rsidR="007A06C5" w:rsidRPr="00AF7013" w:rsidRDefault="007A06C5" w:rsidP="00E76FE6">
      <w:pPr>
        <w:spacing w:line="240" w:lineRule="auto"/>
        <w:jc w:val="both"/>
        <w:rPr>
          <w:rFonts w:ascii="Arial" w:hAnsi="Arial" w:cs="Arial"/>
          <w:color w:val="333333"/>
          <w:sz w:val="16"/>
          <w:szCs w:val="16"/>
          <w:shd w:val="clear" w:color="auto" w:fill="FFFFFF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="008B22B7" w:rsidRPr="00AF7013">
        <w:rPr>
          <w:rFonts w:ascii="Arial" w:hAnsi="Arial" w:cs="Arial"/>
          <w:color w:val="333333"/>
          <w:sz w:val="16"/>
          <w:szCs w:val="16"/>
          <w:shd w:val="clear" w:color="auto" w:fill="FFFFFF"/>
        </w:rPr>
        <w:t xml:space="preserve">Marcus, Jacob Rader and Saperstein, </w:t>
      </w:r>
      <w:r w:rsidR="008B22B7" w:rsidRPr="00AF7013">
        <w:rPr>
          <w:rFonts w:ascii="Arial" w:hAnsi="Arial" w:cs="Arial"/>
          <w:sz w:val="16"/>
          <w:szCs w:val="16"/>
        </w:rPr>
        <w:t xml:space="preserve">Marc, </w:t>
      </w:r>
      <w:r w:rsidR="008B22B7" w:rsidRPr="00AF7013">
        <w:rPr>
          <w:rFonts w:ascii="Arial" w:hAnsi="Arial" w:cs="Arial"/>
          <w:i/>
          <w:iCs/>
          <w:color w:val="333333"/>
          <w:sz w:val="16"/>
          <w:szCs w:val="16"/>
          <w:shd w:val="clear" w:color="auto" w:fill="FFFFFF"/>
        </w:rPr>
        <w:t>The Jews in Christian Europe: A Source Book, 315-1791</w:t>
      </w:r>
      <w:r w:rsidR="008B22B7" w:rsidRPr="00AF7013">
        <w:rPr>
          <w:rFonts w:ascii="Arial" w:hAnsi="Arial" w:cs="Arial"/>
          <w:color w:val="333333"/>
          <w:sz w:val="16"/>
          <w:szCs w:val="16"/>
          <w:shd w:val="clear" w:color="auto" w:fill="FFFFFF"/>
        </w:rPr>
        <w:t>, Hebrew Union College Press, 2015, &lt; www.jstor.org/stable/j.ctt1f89t1n.1&gt;[ Accessed 28 March. 2020].</w:t>
      </w:r>
    </w:p>
  </w:footnote>
  <w:footnote w:id="10">
    <w:p w:rsidR="007A06C5" w:rsidRPr="00AF7013" w:rsidRDefault="007A06C5" w:rsidP="00E76FE6">
      <w:pPr>
        <w:pStyle w:val="FootnoteText"/>
        <w:rPr>
          <w:rFonts w:ascii="Arial" w:hAnsi="Arial" w:cs="Arial"/>
          <w:sz w:val="16"/>
          <w:szCs w:val="16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="008B22B7" w:rsidRPr="00AF7013">
        <w:rPr>
          <w:rFonts w:ascii="Arial" w:hAnsi="Arial" w:cs="Arial"/>
          <w:sz w:val="16"/>
          <w:szCs w:val="16"/>
          <w:shd w:val="clear" w:color="auto" w:fill="FFFFFF"/>
        </w:rPr>
        <w:t>Historisches Institut</w:t>
      </w:r>
      <w:r w:rsidR="008B22B7" w:rsidRPr="00AF7013">
        <w:rPr>
          <w:rFonts w:ascii="Arial" w:hAnsi="Arial" w:cs="Arial"/>
          <w:sz w:val="16"/>
          <w:szCs w:val="16"/>
        </w:rPr>
        <w:t xml:space="preserve">, </w:t>
      </w:r>
      <w:r w:rsidR="008B22B7" w:rsidRPr="00AF7013">
        <w:rPr>
          <w:rFonts w:ascii="Arial" w:hAnsi="Arial" w:cs="Arial"/>
          <w:sz w:val="16"/>
          <w:szCs w:val="16"/>
          <w:shd w:val="clear" w:color="auto" w:fill="FFFFFF"/>
        </w:rPr>
        <w:t xml:space="preserve">Universität zu Köln (2017) </w:t>
      </w:r>
      <w:r w:rsidR="008B22B7" w:rsidRPr="00AF7013">
        <w:rPr>
          <w:rFonts w:ascii="Arial" w:hAnsi="Arial" w:cs="Arial"/>
          <w:i/>
          <w:sz w:val="16"/>
          <w:szCs w:val="16"/>
          <w:shd w:val="clear" w:color="auto" w:fill="FFFFFF"/>
        </w:rPr>
        <w:t xml:space="preserve">Capitularia: </w:t>
      </w:r>
      <w:hyperlink r:id="rId4" w:history="1">
        <w:r w:rsidR="008B22B7" w:rsidRPr="00AF7013">
          <w:rPr>
            <w:rStyle w:val="Hyperlink"/>
            <w:rFonts w:ascii="Arial" w:hAnsi="Arial" w:cs="Arial"/>
            <w:i/>
            <w:color w:val="auto"/>
            <w:sz w:val="16"/>
            <w:szCs w:val="16"/>
            <w:u w:val="none"/>
            <w:shd w:val="clear" w:color="auto" w:fill="FFFFFF"/>
          </w:rPr>
          <w:t>Edition der fränkischen Herrschererlasse</w:t>
        </w:r>
      </w:hyperlink>
      <w:r w:rsidR="008B22B7" w:rsidRPr="00AF7013">
        <w:rPr>
          <w:rFonts w:ascii="Arial" w:hAnsi="Arial" w:cs="Arial"/>
          <w:i/>
          <w:sz w:val="16"/>
          <w:szCs w:val="16"/>
        </w:rPr>
        <w:t>,</w:t>
      </w:r>
      <w:r w:rsidR="008B22B7" w:rsidRPr="00AF7013">
        <w:rPr>
          <w:rFonts w:ascii="Arial" w:hAnsi="Arial" w:cs="Arial"/>
          <w:sz w:val="16"/>
          <w:szCs w:val="16"/>
        </w:rPr>
        <w:t>&lt;</w:t>
      </w:r>
      <w:hyperlink r:id="rId5" w:history="1">
        <w:r w:rsidR="008B22B7" w:rsidRPr="00AF7013">
          <w:rPr>
            <w:rStyle w:val="Hyperlink"/>
            <w:rFonts w:ascii="Arial" w:hAnsi="Arial" w:cs="Arial"/>
            <w:color w:val="auto"/>
            <w:sz w:val="16"/>
            <w:szCs w:val="16"/>
            <w:u w:val="none"/>
          </w:rPr>
          <w:t>https://capitularia.uni-koeln.de/en/capit/</w:t>
        </w:r>
      </w:hyperlink>
      <w:r w:rsidR="008B22B7" w:rsidRPr="00AF7013">
        <w:rPr>
          <w:rFonts w:ascii="Arial" w:hAnsi="Arial" w:cs="Arial"/>
          <w:sz w:val="16"/>
          <w:szCs w:val="16"/>
        </w:rPr>
        <w:t>&gt; [Accessed 27 April 2020].</w:t>
      </w:r>
    </w:p>
  </w:footnote>
  <w:footnote w:id="11">
    <w:p w:rsidR="007A06C5" w:rsidRPr="00AF7013" w:rsidRDefault="007A06C5" w:rsidP="00E76FE6">
      <w:pPr>
        <w:pStyle w:val="FootnoteText"/>
        <w:rPr>
          <w:rFonts w:ascii="Arial" w:hAnsi="Arial" w:cs="Arial"/>
          <w:sz w:val="16"/>
          <w:szCs w:val="16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Pr="00AF7013">
        <w:rPr>
          <w:rFonts w:ascii="Arial" w:hAnsi="Arial" w:cs="Arial"/>
          <w:color w:val="333333"/>
          <w:sz w:val="16"/>
          <w:szCs w:val="16"/>
          <w:shd w:val="clear" w:color="auto" w:fill="FFFFFF"/>
        </w:rPr>
        <w:t xml:space="preserve"> Marcus, Jacob Rader and Saperstein, </w:t>
      </w:r>
      <w:r w:rsidRPr="00AF7013">
        <w:rPr>
          <w:rFonts w:ascii="Arial" w:hAnsi="Arial" w:cs="Arial"/>
          <w:sz w:val="16"/>
          <w:szCs w:val="16"/>
        </w:rPr>
        <w:t xml:space="preserve">Marc, </w:t>
      </w:r>
      <w:r w:rsidRPr="00AF7013">
        <w:rPr>
          <w:rFonts w:ascii="Arial" w:hAnsi="Arial" w:cs="Arial"/>
          <w:i/>
          <w:iCs/>
          <w:color w:val="333333"/>
          <w:sz w:val="16"/>
          <w:szCs w:val="16"/>
          <w:shd w:val="clear" w:color="auto" w:fill="FFFFFF"/>
        </w:rPr>
        <w:t>The Jews in Christian Europe: A Source Book, 315-1791</w:t>
      </w:r>
      <w:r w:rsidRPr="00AF7013">
        <w:rPr>
          <w:rFonts w:ascii="Arial" w:hAnsi="Arial" w:cs="Arial"/>
          <w:color w:val="333333"/>
          <w:sz w:val="16"/>
          <w:szCs w:val="16"/>
          <w:shd w:val="clear" w:color="auto" w:fill="FFFFFF"/>
        </w:rPr>
        <w:t>, Hebrew Union College Press, 2015, &lt;</w:t>
      </w:r>
      <w:r w:rsidRPr="00AF7013">
        <w:rPr>
          <w:rFonts w:ascii="Arial" w:hAnsi="Arial" w:cs="Arial"/>
          <w:i/>
          <w:iCs/>
          <w:color w:val="333333"/>
          <w:sz w:val="16"/>
          <w:szCs w:val="16"/>
          <w:shd w:val="clear" w:color="auto" w:fill="FFFFFF"/>
        </w:rPr>
        <w:t>JSTOR</w:t>
      </w:r>
      <w:r w:rsidRPr="00AF7013">
        <w:rPr>
          <w:rFonts w:ascii="Arial" w:hAnsi="Arial" w:cs="Arial"/>
          <w:color w:val="333333"/>
          <w:sz w:val="16"/>
          <w:szCs w:val="16"/>
          <w:shd w:val="clear" w:color="auto" w:fill="FFFFFF"/>
        </w:rPr>
        <w:t>, www.jstor.org/stable/j.ctt1f89t1n.1&gt;[ Accessed 28 March. 2020].</w:t>
      </w:r>
    </w:p>
  </w:footnote>
  <w:footnote w:id="12">
    <w:p w:rsidR="007A06C5" w:rsidRPr="00AF7013" w:rsidRDefault="007A06C5" w:rsidP="00E76FE6">
      <w:pPr>
        <w:pStyle w:val="FootnoteText"/>
        <w:rPr>
          <w:rFonts w:ascii="Arial" w:hAnsi="Arial" w:cs="Arial"/>
          <w:sz w:val="16"/>
          <w:szCs w:val="16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="00C805B5">
        <w:rPr>
          <w:rFonts w:ascii="Arial" w:hAnsi="Arial" w:cs="Arial"/>
          <w:sz w:val="16"/>
          <w:szCs w:val="16"/>
        </w:rPr>
        <w:t xml:space="preserve"> Costambeys, Ma</w:t>
      </w:r>
      <w:r w:rsidRPr="00AF7013">
        <w:rPr>
          <w:rFonts w:ascii="Arial" w:hAnsi="Arial" w:cs="Arial"/>
          <w:sz w:val="16"/>
          <w:szCs w:val="16"/>
        </w:rPr>
        <w:t>rios, Innes, Matthew and McLean, Simon,</w:t>
      </w:r>
      <w:r w:rsidRPr="00AF7013">
        <w:rPr>
          <w:rFonts w:ascii="Arial" w:hAnsi="Arial" w:cs="Arial"/>
          <w:i/>
          <w:sz w:val="16"/>
          <w:szCs w:val="16"/>
        </w:rPr>
        <w:t xml:space="preserve"> The Carolingian World</w:t>
      </w:r>
      <w:r w:rsidR="008B22B7" w:rsidRPr="00AF7013">
        <w:rPr>
          <w:rFonts w:ascii="Arial" w:hAnsi="Arial" w:cs="Arial"/>
          <w:sz w:val="16"/>
          <w:szCs w:val="16"/>
        </w:rPr>
        <w:t>,</w:t>
      </w:r>
      <w:r w:rsidRPr="00AF7013">
        <w:rPr>
          <w:rFonts w:ascii="Arial" w:hAnsi="Arial" w:cs="Arial"/>
          <w:sz w:val="16"/>
          <w:szCs w:val="16"/>
        </w:rPr>
        <w:t xml:space="preserve"> p.14.</w:t>
      </w:r>
    </w:p>
  </w:footnote>
  <w:footnote w:id="13">
    <w:p w:rsidR="007A06C5" w:rsidRPr="00AF7013" w:rsidRDefault="007A06C5" w:rsidP="00E76FE6">
      <w:pPr>
        <w:pStyle w:val="FootnoteText"/>
        <w:rPr>
          <w:rFonts w:ascii="Arial" w:hAnsi="Arial" w:cs="Arial"/>
          <w:sz w:val="16"/>
          <w:szCs w:val="16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="007B2698" w:rsidRPr="00AF7013">
        <w:rPr>
          <w:rFonts w:ascii="Arial" w:hAnsi="Arial" w:cs="Arial"/>
          <w:sz w:val="16"/>
          <w:szCs w:val="16"/>
        </w:rPr>
        <w:t xml:space="preserve">Becher , Mathias, </w:t>
      </w:r>
      <w:r w:rsidR="007B2698" w:rsidRPr="00AF7013">
        <w:rPr>
          <w:rFonts w:ascii="Arial" w:hAnsi="Arial" w:cs="Arial"/>
          <w:i/>
          <w:sz w:val="16"/>
          <w:szCs w:val="16"/>
        </w:rPr>
        <w:t>Charlemagne</w:t>
      </w:r>
      <w:r w:rsidR="007B2698" w:rsidRPr="00AF7013">
        <w:rPr>
          <w:rFonts w:ascii="Arial" w:hAnsi="Arial" w:cs="Arial"/>
          <w:sz w:val="16"/>
          <w:szCs w:val="16"/>
        </w:rPr>
        <w:t>, (New Haven: Yale University Press, 2003) p.49.</w:t>
      </w:r>
    </w:p>
  </w:footnote>
  <w:footnote w:id="14">
    <w:p w:rsidR="007A06C5" w:rsidRPr="00AF7013" w:rsidRDefault="007A06C5" w:rsidP="00E76FE6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</w:footnote>
  <w:footnote w:id="15">
    <w:p w:rsidR="007A06C5" w:rsidRPr="00AF7013" w:rsidRDefault="007A06C5" w:rsidP="00E76FE6">
      <w:pPr>
        <w:spacing w:line="240" w:lineRule="auto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="008B22B7" w:rsidRPr="00AF7013">
        <w:rPr>
          <w:rFonts w:ascii="Arial" w:hAnsi="Arial" w:cs="Arial"/>
          <w:sz w:val="16"/>
          <w:szCs w:val="16"/>
          <w:shd w:val="clear" w:color="auto" w:fill="FFFFFF"/>
        </w:rPr>
        <w:t xml:space="preserve">Thompson, James Westfall. </w:t>
      </w:r>
      <w:r w:rsidR="008B22B7" w:rsidRPr="00AF7013">
        <w:rPr>
          <w:rFonts w:ascii="Arial" w:hAnsi="Arial" w:cs="Arial"/>
          <w:i/>
          <w:sz w:val="16"/>
          <w:szCs w:val="16"/>
          <w:shd w:val="clear" w:color="auto" w:fill="FFFFFF"/>
        </w:rPr>
        <w:t>The Commerce of France in the Ninth Century</w:t>
      </w:r>
      <w:r w:rsidR="008B22B7" w:rsidRPr="00AF7013">
        <w:rPr>
          <w:rFonts w:ascii="Arial" w:hAnsi="Arial" w:cs="Arial"/>
          <w:sz w:val="16"/>
          <w:szCs w:val="16"/>
          <w:shd w:val="clear" w:color="auto" w:fill="FFFFFF"/>
        </w:rPr>
        <w:t xml:space="preserve">, </w:t>
      </w:r>
      <w:r w:rsidR="008B22B7" w:rsidRPr="00AF7013">
        <w:rPr>
          <w:rFonts w:ascii="Arial" w:hAnsi="Arial" w:cs="Arial"/>
          <w:iCs/>
          <w:sz w:val="16"/>
          <w:szCs w:val="16"/>
          <w:shd w:val="clear" w:color="auto" w:fill="FFFFFF"/>
        </w:rPr>
        <w:t>Journal of Political Economy</w:t>
      </w:r>
      <w:r w:rsidR="008B22B7" w:rsidRPr="00AF7013">
        <w:rPr>
          <w:rFonts w:ascii="Arial" w:hAnsi="Arial" w:cs="Arial"/>
          <w:sz w:val="16"/>
          <w:szCs w:val="16"/>
          <w:shd w:val="clear" w:color="auto" w:fill="FFFFFF"/>
        </w:rPr>
        <w:t>, vol. 23, no. 9, 1915, pp. 857–887. </w:t>
      </w:r>
      <w:r w:rsidR="008B22B7" w:rsidRPr="00AF7013">
        <w:rPr>
          <w:rFonts w:ascii="Arial" w:hAnsi="Arial" w:cs="Arial"/>
          <w:i/>
          <w:iCs/>
          <w:sz w:val="16"/>
          <w:szCs w:val="16"/>
          <w:shd w:val="clear" w:color="auto" w:fill="FFFFFF"/>
        </w:rPr>
        <w:t>&lt;</w:t>
      </w:r>
      <w:hyperlink r:id="rId6" w:history="1">
        <w:r w:rsidR="008B22B7" w:rsidRPr="00AF7013">
          <w:rPr>
            <w:rStyle w:val="Hyperlink"/>
            <w:rFonts w:ascii="Arial" w:hAnsi="Arial" w:cs="Arial"/>
            <w:color w:val="auto"/>
            <w:sz w:val="16"/>
            <w:szCs w:val="16"/>
            <w:u w:val="none"/>
            <w:shd w:val="clear" w:color="auto" w:fill="FFFFFF"/>
          </w:rPr>
          <w:t>www.jstor.org/stable/1819140&gt;, [Accessed 9 Apr. 2020</w:t>
        </w:r>
      </w:hyperlink>
      <w:r w:rsidR="008B22B7" w:rsidRPr="00AF7013">
        <w:rPr>
          <w:rFonts w:ascii="Arial" w:hAnsi="Arial" w:cs="Arial"/>
          <w:sz w:val="16"/>
          <w:szCs w:val="16"/>
          <w:shd w:val="clear" w:color="auto" w:fill="FFFFFF"/>
        </w:rPr>
        <w:t>].</w:t>
      </w:r>
    </w:p>
  </w:footnote>
  <w:footnote w:id="16">
    <w:p w:rsidR="007A06C5" w:rsidRPr="00AF7013" w:rsidRDefault="007A06C5" w:rsidP="00E76FE6">
      <w:pPr>
        <w:pStyle w:val="FootnoteText"/>
        <w:rPr>
          <w:rFonts w:ascii="Arial" w:hAnsi="Arial" w:cs="Arial"/>
          <w:sz w:val="16"/>
          <w:szCs w:val="16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="008B22B7" w:rsidRPr="00AF7013">
        <w:rPr>
          <w:rFonts w:ascii="Arial" w:hAnsi="Arial" w:cs="Arial"/>
          <w:sz w:val="16"/>
          <w:szCs w:val="16"/>
        </w:rPr>
        <w:t xml:space="preserve">Cohen, Jeremy, </w:t>
      </w:r>
      <w:r w:rsidR="008B22B7" w:rsidRPr="00AF7013">
        <w:rPr>
          <w:rFonts w:ascii="Arial" w:hAnsi="Arial" w:cs="Arial"/>
          <w:i/>
          <w:sz w:val="16"/>
          <w:szCs w:val="16"/>
        </w:rPr>
        <w:t>Living Letters of the Law: Ideas of the Jew in Medieval Christianity,</w:t>
      </w:r>
      <w:r w:rsidR="008B22B7" w:rsidRPr="00AF7013">
        <w:rPr>
          <w:rFonts w:ascii="Arial" w:hAnsi="Arial" w:cs="Arial"/>
          <w:sz w:val="16"/>
          <w:szCs w:val="16"/>
        </w:rPr>
        <w:t xml:space="preserve"> (Berkeley, University of California Press, 1999) p. 144.</w:t>
      </w:r>
    </w:p>
  </w:footnote>
  <w:footnote w:id="17">
    <w:p w:rsidR="007A06C5" w:rsidRPr="00AF7013" w:rsidRDefault="007A06C5" w:rsidP="00E76FE6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="007B2698" w:rsidRPr="00AF7013">
        <w:rPr>
          <w:rFonts w:ascii="Arial" w:hAnsi="Arial" w:cs="Arial"/>
          <w:sz w:val="16"/>
          <w:szCs w:val="16"/>
        </w:rPr>
        <w:t xml:space="preserve">Valentin, Hugo, </w:t>
      </w:r>
      <w:r w:rsidR="007B2698" w:rsidRPr="00AF7013">
        <w:rPr>
          <w:rFonts w:ascii="Arial" w:hAnsi="Arial" w:cs="Arial"/>
          <w:i/>
          <w:sz w:val="16"/>
          <w:szCs w:val="16"/>
        </w:rPr>
        <w:t>Anti-Semitism</w:t>
      </w:r>
      <w:r w:rsidR="007B2698" w:rsidRPr="00AF7013">
        <w:rPr>
          <w:rFonts w:ascii="Arial" w:hAnsi="Arial" w:cs="Arial"/>
          <w:sz w:val="16"/>
          <w:szCs w:val="16"/>
        </w:rPr>
        <w:t>,</w:t>
      </w:r>
      <w:r w:rsidR="00AF7013" w:rsidRPr="00AF7013">
        <w:rPr>
          <w:rFonts w:ascii="Arial" w:hAnsi="Arial" w:cs="Arial"/>
          <w:sz w:val="16"/>
          <w:szCs w:val="16"/>
        </w:rPr>
        <w:t xml:space="preserve"> </w:t>
      </w:r>
      <w:r w:rsidR="007B2698" w:rsidRPr="00AF7013">
        <w:rPr>
          <w:rFonts w:ascii="Arial" w:hAnsi="Arial" w:cs="Arial"/>
          <w:sz w:val="16"/>
          <w:szCs w:val="16"/>
        </w:rPr>
        <w:t xml:space="preserve">trans. by Catrer, A.G. (London, Victor Gollanncz, 1936) p.33. </w:t>
      </w:r>
    </w:p>
  </w:footnote>
  <w:footnote w:id="18">
    <w:p w:rsidR="007A06C5" w:rsidRPr="00AF7013" w:rsidRDefault="007A06C5" w:rsidP="00E76FE6">
      <w:pPr>
        <w:spacing w:line="240" w:lineRule="auto"/>
        <w:rPr>
          <w:rFonts w:ascii="Arial" w:hAnsi="Arial" w:cs="Arial"/>
          <w:sz w:val="16"/>
          <w:szCs w:val="16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="00CF66B4" w:rsidRPr="00AF7013">
        <w:rPr>
          <w:rFonts w:ascii="Arial" w:hAnsi="Arial" w:cs="Arial"/>
          <w:sz w:val="16"/>
          <w:szCs w:val="16"/>
        </w:rPr>
        <w:t>Fordham University (2019)</w:t>
      </w:r>
      <w:r w:rsidR="00CF66B4" w:rsidRPr="00AF7013">
        <w:rPr>
          <w:rFonts w:ascii="Arial" w:hAnsi="Arial" w:cs="Arial"/>
          <w:bCs/>
          <w:i/>
          <w:sz w:val="16"/>
          <w:szCs w:val="16"/>
        </w:rPr>
        <w:t xml:space="preserve">Medieval Sourcebook: Charlemagne: </w:t>
      </w:r>
      <w:r w:rsidR="00CF66B4" w:rsidRPr="00AF7013">
        <w:rPr>
          <w:rFonts w:ascii="Arial" w:hAnsi="Arial" w:cs="Arial"/>
          <w:i/>
          <w:sz w:val="16"/>
          <w:szCs w:val="16"/>
        </w:rPr>
        <w:t>Capitulary for the Jews, 814</w:t>
      </w:r>
      <w:r w:rsidR="00CF66B4" w:rsidRPr="00AF7013">
        <w:rPr>
          <w:rFonts w:ascii="Arial" w:hAnsi="Arial" w:cs="Arial"/>
          <w:bCs/>
          <w:i/>
          <w:sz w:val="16"/>
          <w:szCs w:val="16"/>
        </w:rPr>
        <w:t>,</w:t>
      </w:r>
      <w:r w:rsidR="00CF66B4" w:rsidRPr="00AF7013">
        <w:rPr>
          <w:rFonts w:ascii="Arial" w:hAnsi="Arial" w:cs="Arial"/>
          <w:bCs/>
          <w:sz w:val="16"/>
          <w:szCs w:val="16"/>
        </w:rPr>
        <w:t>&lt;</w:t>
      </w:r>
      <w:hyperlink r:id="rId7" w:history="1">
        <w:r w:rsidR="00CF66B4" w:rsidRPr="00AF7013">
          <w:rPr>
            <w:rStyle w:val="Hyperlink"/>
            <w:rFonts w:ascii="Arial" w:hAnsi="Arial" w:cs="Arial"/>
            <w:color w:val="auto"/>
            <w:sz w:val="16"/>
            <w:szCs w:val="16"/>
            <w:u w:val="none"/>
          </w:rPr>
          <w:t>https://sourcebooks.fordham.edu/source/814capitul-jews.asp</w:t>
        </w:r>
      </w:hyperlink>
      <w:r w:rsidR="00CF66B4" w:rsidRPr="00AF7013">
        <w:rPr>
          <w:rFonts w:ascii="Arial" w:hAnsi="Arial" w:cs="Arial"/>
          <w:sz w:val="16"/>
          <w:szCs w:val="16"/>
        </w:rPr>
        <w:t>&gt; [Accessed 4 April 2020]</w:t>
      </w:r>
    </w:p>
  </w:footnote>
  <w:footnote w:id="19">
    <w:p w:rsidR="007A06C5" w:rsidRPr="00AF7013" w:rsidRDefault="007A06C5" w:rsidP="00E76FE6">
      <w:pPr>
        <w:spacing w:line="240" w:lineRule="auto"/>
        <w:rPr>
          <w:rFonts w:ascii="Arial" w:hAnsi="Arial" w:cs="Arial"/>
          <w:color w:val="333333"/>
          <w:sz w:val="16"/>
          <w:szCs w:val="16"/>
          <w:shd w:val="clear" w:color="auto" w:fill="FFFFFF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="00CF66B4" w:rsidRPr="00AF7013">
        <w:rPr>
          <w:rFonts w:ascii="Arial" w:hAnsi="Arial" w:cs="Arial"/>
          <w:iCs/>
          <w:color w:val="333333"/>
          <w:sz w:val="16"/>
          <w:szCs w:val="16"/>
          <w:shd w:val="clear" w:color="auto" w:fill="FFFFFF"/>
        </w:rPr>
        <w:t>The North American Review</w:t>
      </w:r>
      <w:r w:rsidR="00CF66B4" w:rsidRPr="00AF7013">
        <w:rPr>
          <w:rFonts w:ascii="Arial" w:hAnsi="Arial" w:cs="Arial"/>
          <w:color w:val="333333"/>
          <w:sz w:val="16"/>
          <w:szCs w:val="16"/>
          <w:shd w:val="clear" w:color="auto" w:fill="FFFFFF"/>
        </w:rPr>
        <w:t>,</w:t>
      </w:r>
      <w:r w:rsidR="00CF66B4" w:rsidRPr="00AF7013">
        <w:rPr>
          <w:rFonts w:ascii="Arial" w:hAnsi="Arial" w:cs="Arial"/>
          <w:i/>
          <w:color w:val="333333"/>
          <w:sz w:val="16"/>
          <w:szCs w:val="16"/>
          <w:shd w:val="clear" w:color="auto" w:fill="FFFFFF"/>
        </w:rPr>
        <w:t xml:space="preserve"> Usury, and the Usury Laws</w:t>
      </w:r>
      <w:r w:rsidR="00CF66B4" w:rsidRPr="00AF7013">
        <w:rPr>
          <w:rFonts w:ascii="Arial" w:hAnsi="Arial" w:cs="Arial"/>
          <w:color w:val="333333"/>
          <w:sz w:val="16"/>
          <w:szCs w:val="16"/>
          <w:shd w:val="clear" w:color="auto" w:fill="FFFFFF"/>
        </w:rPr>
        <w:t>, Vol. 39, no. 84, 1834, pp. 68–111.&lt;</w:t>
      </w:r>
      <w:hyperlink r:id="rId8" w:history="1">
        <w:r w:rsidR="00CF66B4" w:rsidRPr="00AF7013">
          <w:rPr>
            <w:rStyle w:val="Hyperlink"/>
            <w:rFonts w:ascii="Arial" w:hAnsi="Arial" w:cs="Arial"/>
            <w:color w:val="auto"/>
            <w:sz w:val="16"/>
            <w:szCs w:val="16"/>
            <w:u w:val="none"/>
            <w:shd w:val="clear" w:color="auto" w:fill="FFFFFF"/>
          </w:rPr>
          <w:t>www.jstor.org/stable/25103071</w:t>
        </w:r>
      </w:hyperlink>
      <w:r w:rsidR="00CF66B4" w:rsidRPr="00AF7013">
        <w:rPr>
          <w:rFonts w:ascii="Arial" w:hAnsi="Arial" w:cs="Arial"/>
          <w:sz w:val="16"/>
          <w:szCs w:val="16"/>
          <w:shd w:val="clear" w:color="auto" w:fill="FFFFFF"/>
        </w:rPr>
        <w:t xml:space="preserve">&gt;, </w:t>
      </w:r>
      <w:r w:rsidR="00CF66B4" w:rsidRPr="00AF7013">
        <w:rPr>
          <w:rFonts w:ascii="Arial" w:hAnsi="Arial" w:cs="Arial"/>
          <w:color w:val="333333"/>
          <w:sz w:val="16"/>
          <w:szCs w:val="16"/>
          <w:shd w:val="clear" w:color="auto" w:fill="FFFFFF"/>
        </w:rPr>
        <w:t>[Accessed 29 Apr. 2020].</w:t>
      </w:r>
    </w:p>
  </w:footnote>
  <w:footnote w:id="20">
    <w:p w:rsidR="007A06C5" w:rsidRPr="00AF7013" w:rsidRDefault="007A06C5" w:rsidP="00E76FE6">
      <w:pPr>
        <w:pStyle w:val="FootnoteText"/>
        <w:rPr>
          <w:rFonts w:ascii="Arial" w:hAnsi="Arial" w:cs="Arial"/>
          <w:sz w:val="16"/>
          <w:szCs w:val="16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Pr="00AF7013">
        <w:rPr>
          <w:rFonts w:ascii="Arial" w:hAnsi="Arial" w:cs="Arial"/>
          <w:sz w:val="16"/>
          <w:szCs w:val="16"/>
        </w:rPr>
        <w:t xml:space="preserve"> Fordham University (2019)</w:t>
      </w:r>
      <w:r w:rsidRPr="00AF7013">
        <w:rPr>
          <w:rFonts w:ascii="Arial" w:hAnsi="Arial" w:cs="Arial"/>
          <w:bCs/>
          <w:i/>
          <w:sz w:val="16"/>
          <w:szCs w:val="16"/>
        </w:rPr>
        <w:t xml:space="preserve">Medieval Sourcebook: Charlemagne: </w:t>
      </w:r>
      <w:r w:rsidRPr="00AF7013">
        <w:rPr>
          <w:rFonts w:ascii="Arial" w:hAnsi="Arial" w:cs="Arial"/>
          <w:i/>
          <w:sz w:val="16"/>
          <w:szCs w:val="16"/>
        </w:rPr>
        <w:t>Capitulary for the Jews,</w:t>
      </w:r>
    </w:p>
  </w:footnote>
  <w:footnote w:id="21">
    <w:p w:rsidR="007A06C5" w:rsidRPr="00AF7013" w:rsidRDefault="007A06C5" w:rsidP="00E76FE6">
      <w:pPr>
        <w:pStyle w:val="FootnoteText"/>
        <w:rPr>
          <w:rFonts w:ascii="Arial" w:hAnsi="Arial" w:cs="Arial"/>
          <w:sz w:val="16"/>
          <w:szCs w:val="16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="00E76FE6" w:rsidRPr="00AF7013">
        <w:rPr>
          <w:rFonts w:ascii="Arial" w:hAnsi="Arial" w:cs="Arial"/>
          <w:i/>
          <w:sz w:val="16"/>
          <w:szCs w:val="16"/>
        </w:rPr>
        <w:t>Ibid</w:t>
      </w:r>
    </w:p>
  </w:footnote>
  <w:footnote w:id="22">
    <w:p w:rsidR="007A06C5" w:rsidRPr="00AF7013" w:rsidRDefault="007A06C5" w:rsidP="00E76FE6">
      <w:pPr>
        <w:pStyle w:val="FootnoteText"/>
        <w:rPr>
          <w:rFonts w:ascii="Arial" w:hAnsi="Arial" w:cs="Arial"/>
          <w:sz w:val="16"/>
          <w:szCs w:val="16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="00CF66B4" w:rsidRPr="00AF7013">
        <w:rPr>
          <w:rFonts w:ascii="Arial" w:hAnsi="Arial" w:cs="Arial"/>
          <w:i/>
          <w:sz w:val="16"/>
          <w:szCs w:val="16"/>
        </w:rPr>
        <w:t xml:space="preserve">Ibid. </w:t>
      </w:r>
    </w:p>
  </w:footnote>
  <w:footnote w:id="23">
    <w:p w:rsidR="007A06C5" w:rsidRPr="00AF7013" w:rsidRDefault="007A06C5" w:rsidP="00E76FE6">
      <w:pPr>
        <w:pStyle w:val="FootnoteText"/>
        <w:rPr>
          <w:rFonts w:ascii="Arial" w:hAnsi="Arial" w:cs="Arial"/>
          <w:sz w:val="16"/>
          <w:szCs w:val="16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="00CF66B4" w:rsidRPr="00AF7013">
        <w:rPr>
          <w:rFonts w:ascii="Arial" w:hAnsi="Arial" w:cs="Arial"/>
          <w:i/>
          <w:sz w:val="16"/>
          <w:szCs w:val="16"/>
        </w:rPr>
        <w:t>Ibid.</w:t>
      </w:r>
    </w:p>
  </w:footnote>
  <w:footnote w:id="24">
    <w:p w:rsidR="00CF66B4" w:rsidRPr="00AF7013" w:rsidRDefault="00CF66B4" w:rsidP="00E76FE6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Pr="00AF7013">
        <w:rPr>
          <w:rFonts w:ascii="Arial" w:hAnsi="Arial" w:cs="Arial"/>
          <w:sz w:val="16"/>
          <w:szCs w:val="16"/>
        </w:rPr>
        <w:t xml:space="preserve">Cohen, Jeremy, </w:t>
      </w:r>
      <w:r w:rsidRPr="00AF7013">
        <w:rPr>
          <w:rFonts w:ascii="Arial" w:hAnsi="Arial" w:cs="Arial"/>
          <w:i/>
          <w:sz w:val="16"/>
          <w:szCs w:val="16"/>
        </w:rPr>
        <w:t>Living Letters of the Law: Ideas of the Jew in Medieval Christianity,</w:t>
      </w:r>
      <w:r w:rsidRPr="00AF7013">
        <w:rPr>
          <w:rFonts w:ascii="Arial" w:hAnsi="Arial" w:cs="Arial"/>
          <w:sz w:val="16"/>
          <w:szCs w:val="16"/>
        </w:rPr>
        <w:t xml:space="preserve"> (Berkeley, University of California Press, 1999) p146.</w:t>
      </w:r>
    </w:p>
  </w:footnote>
  <w:footnote w:id="25">
    <w:p w:rsidR="007A06C5" w:rsidRPr="00AF7013" w:rsidRDefault="007A06C5" w:rsidP="00E76FE6">
      <w:pPr>
        <w:pStyle w:val="FootnoteText"/>
        <w:rPr>
          <w:rFonts w:ascii="Arial" w:hAnsi="Arial" w:cs="Arial"/>
          <w:sz w:val="16"/>
          <w:szCs w:val="16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Pr="00AF7013">
        <w:rPr>
          <w:rFonts w:ascii="Arial" w:hAnsi="Arial" w:cs="Arial"/>
          <w:sz w:val="16"/>
          <w:szCs w:val="16"/>
        </w:rPr>
        <w:t xml:space="preserve"> Fordham University (2019</w:t>
      </w:r>
      <w:r w:rsidR="007B2698" w:rsidRPr="00AF7013">
        <w:rPr>
          <w:rFonts w:ascii="Arial" w:hAnsi="Arial" w:cs="Arial"/>
          <w:sz w:val="16"/>
          <w:szCs w:val="16"/>
        </w:rPr>
        <w:t>)</w:t>
      </w:r>
      <w:r w:rsidR="007B2698" w:rsidRPr="00AF7013">
        <w:rPr>
          <w:rFonts w:ascii="Arial" w:hAnsi="Arial" w:cs="Arial"/>
          <w:bCs/>
          <w:i/>
          <w:sz w:val="16"/>
          <w:szCs w:val="16"/>
        </w:rPr>
        <w:t xml:space="preserve"> Medieval</w:t>
      </w:r>
      <w:r w:rsidRPr="00AF7013">
        <w:rPr>
          <w:rFonts w:ascii="Arial" w:hAnsi="Arial" w:cs="Arial"/>
          <w:bCs/>
          <w:i/>
          <w:sz w:val="16"/>
          <w:szCs w:val="16"/>
        </w:rPr>
        <w:t xml:space="preserve"> Sourcebook: Charlemagne: </w:t>
      </w:r>
      <w:r w:rsidRPr="00AF7013">
        <w:rPr>
          <w:rFonts w:ascii="Arial" w:hAnsi="Arial" w:cs="Arial"/>
          <w:i/>
          <w:sz w:val="16"/>
          <w:szCs w:val="16"/>
        </w:rPr>
        <w:t>Capitulary for the Jews, 814</w:t>
      </w:r>
      <w:r w:rsidR="00111C12" w:rsidRPr="00AF7013">
        <w:rPr>
          <w:rFonts w:ascii="Arial" w:hAnsi="Arial" w:cs="Arial"/>
          <w:bCs/>
          <w:i/>
          <w:sz w:val="16"/>
          <w:szCs w:val="16"/>
        </w:rPr>
        <w:t>.</w:t>
      </w:r>
    </w:p>
  </w:footnote>
  <w:footnote w:id="26">
    <w:p w:rsidR="007A06C5" w:rsidRPr="00AF7013" w:rsidRDefault="007A06C5" w:rsidP="00E76FE6">
      <w:pPr>
        <w:spacing w:line="240" w:lineRule="auto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="00CF66B4" w:rsidRPr="00AF7013">
        <w:rPr>
          <w:rFonts w:ascii="Arial" w:hAnsi="Arial" w:cs="Arial"/>
          <w:sz w:val="16"/>
          <w:szCs w:val="16"/>
          <w:shd w:val="clear" w:color="auto" w:fill="FFFFFF"/>
        </w:rPr>
        <w:t xml:space="preserve">Thompson, James Westfall. </w:t>
      </w:r>
      <w:r w:rsidR="00CF66B4" w:rsidRPr="00AF7013">
        <w:rPr>
          <w:rFonts w:ascii="Arial" w:hAnsi="Arial" w:cs="Arial"/>
          <w:i/>
          <w:sz w:val="16"/>
          <w:szCs w:val="16"/>
          <w:shd w:val="clear" w:color="auto" w:fill="FFFFFF"/>
        </w:rPr>
        <w:t>The Commerce of France in the Ninth Century</w:t>
      </w:r>
      <w:r w:rsidR="00CF66B4" w:rsidRPr="00AF7013">
        <w:rPr>
          <w:rFonts w:ascii="Arial" w:hAnsi="Arial" w:cs="Arial"/>
          <w:sz w:val="16"/>
          <w:szCs w:val="16"/>
          <w:shd w:val="clear" w:color="auto" w:fill="FFFFFF"/>
        </w:rPr>
        <w:t xml:space="preserve">, </w:t>
      </w:r>
      <w:r w:rsidR="00CF66B4" w:rsidRPr="00AF7013">
        <w:rPr>
          <w:rFonts w:ascii="Arial" w:hAnsi="Arial" w:cs="Arial"/>
          <w:iCs/>
          <w:sz w:val="16"/>
          <w:szCs w:val="16"/>
          <w:shd w:val="clear" w:color="auto" w:fill="FFFFFF"/>
        </w:rPr>
        <w:t>Journal of Political Economy</w:t>
      </w:r>
      <w:r w:rsidR="00CF66B4" w:rsidRPr="00AF7013">
        <w:rPr>
          <w:rFonts w:ascii="Arial" w:hAnsi="Arial" w:cs="Arial"/>
          <w:sz w:val="16"/>
          <w:szCs w:val="16"/>
          <w:shd w:val="clear" w:color="auto" w:fill="FFFFFF"/>
        </w:rPr>
        <w:t>, vol. 23, no. 9, 1915, pp. 857–887. </w:t>
      </w:r>
      <w:r w:rsidR="00CF66B4" w:rsidRPr="00AF7013">
        <w:rPr>
          <w:rFonts w:ascii="Arial" w:hAnsi="Arial" w:cs="Arial"/>
          <w:i/>
          <w:iCs/>
          <w:sz w:val="16"/>
          <w:szCs w:val="16"/>
          <w:shd w:val="clear" w:color="auto" w:fill="FFFFFF"/>
        </w:rPr>
        <w:t>&lt;</w:t>
      </w:r>
      <w:hyperlink r:id="rId9" w:history="1">
        <w:r w:rsidR="00CF66B4" w:rsidRPr="00AF7013">
          <w:rPr>
            <w:rStyle w:val="Hyperlink"/>
            <w:rFonts w:ascii="Arial" w:hAnsi="Arial" w:cs="Arial"/>
            <w:color w:val="auto"/>
            <w:sz w:val="16"/>
            <w:szCs w:val="16"/>
            <w:u w:val="none"/>
            <w:shd w:val="clear" w:color="auto" w:fill="FFFFFF"/>
          </w:rPr>
          <w:t>www.jstor.org/stable/1819140&gt;, [Accessed 9 Apr. 2020</w:t>
        </w:r>
      </w:hyperlink>
      <w:r w:rsidR="00CF66B4" w:rsidRPr="00AF7013">
        <w:rPr>
          <w:rFonts w:ascii="Arial" w:hAnsi="Arial" w:cs="Arial"/>
          <w:sz w:val="16"/>
          <w:szCs w:val="16"/>
          <w:shd w:val="clear" w:color="auto" w:fill="FFFFFF"/>
        </w:rPr>
        <w:t>].</w:t>
      </w:r>
    </w:p>
  </w:footnote>
  <w:footnote w:id="27">
    <w:p w:rsidR="007A06C5" w:rsidRPr="00AF7013" w:rsidRDefault="007A06C5" w:rsidP="00E76FE6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="00CF66B4" w:rsidRPr="00AF7013">
        <w:rPr>
          <w:rFonts w:ascii="Arial" w:hAnsi="Arial" w:cs="Arial"/>
          <w:sz w:val="16"/>
          <w:szCs w:val="16"/>
        </w:rPr>
        <w:t>Wistrich, Robert S.,</w:t>
      </w:r>
      <w:r w:rsidR="00CF66B4" w:rsidRPr="00AF7013">
        <w:rPr>
          <w:rFonts w:ascii="Arial" w:hAnsi="Arial" w:cs="Arial"/>
          <w:i/>
          <w:sz w:val="16"/>
          <w:szCs w:val="16"/>
        </w:rPr>
        <w:t xml:space="preserve"> Anti-Semitism – The Longest Hatred, </w:t>
      </w:r>
      <w:r w:rsidR="00CF66B4" w:rsidRPr="00AF7013">
        <w:rPr>
          <w:rFonts w:ascii="Arial" w:hAnsi="Arial" w:cs="Arial"/>
          <w:sz w:val="16"/>
          <w:szCs w:val="16"/>
        </w:rPr>
        <w:t>(London, Mandarin Books, 1992)p 21.</w:t>
      </w:r>
    </w:p>
  </w:footnote>
  <w:footnote w:id="28">
    <w:p w:rsidR="007A06C5" w:rsidRPr="00AF7013" w:rsidRDefault="007A06C5" w:rsidP="00E76FE6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Pr="00AF7013">
        <w:rPr>
          <w:rFonts w:ascii="Arial" w:hAnsi="Arial" w:cs="Arial"/>
          <w:sz w:val="16"/>
          <w:szCs w:val="16"/>
        </w:rPr>
        <w:t xml:space="preserve"> Wistrich, Robert S.,</w:t>
      </w:r>
      <w:r w:rsidRPr="00AF7013">
        <w:rPr>
          <w:rFonts w:ascii="Arial" w:hAnsi="Arial" w:cs="Arial"/>
          <w:i/>
          <w:sz w:val="16"/>
          <w:szCs w:val="16"/>
        </w:rPr>
        <w:t xml:space="preserve"> Anti-Semitism – The Longest Hatred, </w:t>
      </w:r>
      <w:r w:rsidR="00CF66B4" w:rsidRPr="00AF7013">
        <w:rPr>
          <w:rFonts w:ascii="Arial" w:hAnsi="Arial" w:cs="Arial"/>
          <w:sz w:val="16"/>
          <w:szCs w:val="16"/>
        </w:rPr>
        <w:t>p.23</w:t>
      </w:r>
      <w:r w:rsidR="00B51604" w:rsidRPr="00AF7013">
        <w:rPr>
          <w:rFonts w:ascii="Arial" w:hAnsi="Arial" w:cs="Arial"/>
          <w:sz w:val="16"/>
          <w:szCs w:val="16"/>
        </w:rPr>
        <w:t>.</w:t>
      </w:r>
    </w:p>
  </w:footnote>
  <w:footnote w:id="29">
    <w:p w:rsidR="007A06C5" w:rsidRPr="00AF7013" w:rsidRDefault="007A06C5" w:rsidP="00E76FE6">
      <w:pPr>
        <w:spacing w:line="240" w:lineRule="auto"/>
        <w:jc w:val="both"/>
        <w:rPr>
          <w:rFonts w:ascii="Arial" w:hAnsi="Arial" w:cs="Arial"/>
          <w:color w:val="333333"/>
          <w:sz w:val="16"/>
          <w:szCs w:val="16"/>
          <w:shd w:val="clear" w:color="auto" w:fill="FFFFFF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="00E76FE6" w:rsidRPr="00AF7013">
        <w:rPr>
          <w:rFonts w:ascii="Arial" w:hAnsi="Arial" w:cs="Arial"/>
          <w:color w:val="333333"/>
          <w:sz w:val="16"/>
          <w:szCs w:val="16"/>
          <w:shd w:val="clear" w:color="auto" w:fill="FFFFFF"/>
        </w:rPr>
        <w:t>Bachrach, Bernard S. </w:t>
      </w:r>
      <w:r w:rsidR="00E76FE6" w:rsidRPr="00AF7013">
        <w:rPr>
          <w:rFonts w:ascii="Arial" w:hAnsi="Arial" w:cs="Arial"/>
          <w:i/>
          <w:iCs/>
          <w:color w:val="333333"/>
          <w:sz w:val="16"/>
          <w:szCs w:val="16"/>
          <w:shd w:val="clear" w:color="auto" w:fill="FFFFFF"/>
        </w:rPr>
        <w:t>Early Medieval Jewish Policy in Western Europe</w:t>
      </w:r>
      <w:r w:rsidR="00E76FE6" w:rsidRPr="00AF7013">
        <w:rPr>
          <w:rFonts w:ascii="Arial" w:hAnsi="Arial" w:cs="Arial"/>
          <w:color w:val="333333"/>
          <w:sz w:val="16"/>
          <w:szCs w:val="16"/>
          <w:shd w:val="clear" w:color="auto" w:fill="FFFFFF"/>
        </w:rPr>
        <w:t>, University of Minnesota Press, 1977,&lt;</w:t>
      </w:r>
      <w:hyperlink r:id="rId10" w:history="1">
        <w:r w:rsidR="00E76FE6" w:rsidRPr="00AF7013">
          <w:rPr>
            <w:rStyle w:val="Hyperlink"/>
            <w:rFonts w:ascii="Arial" w:hAnsi="Arial" w:cs="Arial"/>
            <w:color w:val="auto"/>
            <w:sz w:val="16"/>
            <w:szCs w:val="16"/>
            <w:u w:val="none"/>
            <w:shd w:val="clear" w:color="auto" w:fill="FFFFFF"/>
          </w:rPr>
          <w:t>www.jstor.org/stable/10.5749/j.ctttv8zj</w:t>
        </w:r>
      </w:hyperlink>
      <w:r w:rsidR="00E76FE6" w:rsidRPr="00AF7013">
        <w:rPr>
          <w:rFonts w:ascii="Arial" w:hAnsi="Arial" w:cs="Arial"/>
          <w:sz w:val="16"/>
          <w:szCs w:val="16"/>
          <w:shd w:val="clear" w:color="auto" w:fill="FFFFFF"/>
        </w:rPr>
        <w:t>&gt;,</w:t>
      </w:r>
      <w:r w:rsidR="00E76FE6" w:rsidRPr="00AF7013">
        <w:rPr>
          <w:rFonts w:ascii="Arial" w:hAnsi="Arial" w:cs="Arial"/>
          <w:color w:val="333333"/>
          <w:sz w:val="16"/>
          <w:szCs w:val="16"/>
          <w:shd w:val="clear" w:color="auto" w:fill="FFFFFF"/>
        </w:rPr>
        <w:t xml:space="preserve"> [Accessed 29 Apr. 2020].</w:t>
      </w:r>
    </w:p>
  </w:footnote>
  <w:footnote w:id="30">
    <w:p w:rsidR="00292A1D" w:rsidRPr="00AF7013" w:rsidRDefault="00292A1D" w:rsidP="00E76FE6">
      <w:pPr>
        <w:spacing w:line="240" w:lineRule="auto"/>
        <w:jc w:val="both"/>
        <w:rPr>
          <w:rFonts w:ascii="Arial" w:hAnsi="Arial" w:cs="Arial"/>
          <w:color w:val="333333"/>
          <w:sz w:val="16"/>
          <w:szCs w:val="16"/>
          <w:shd w:val="clear" w:color="auto" w:fill="FFFFFF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="00E76FE6" w:rsidRPr="00AF7013">
        <w:rPr>
          <w:rFonts w:ascii="Arial" w:hAnsi="Arial" w:cs="Arial"/>
          <w:sz w:val="16"/>
          <w:szCs w:val="16"/>
        </w:rPr>
        <w:t xml:space="preserve">Tosh, John, </w:t>
      </w:r>
      <w:r w:rsidR="00E76FE6" w:rsidRPr="00AF7013">
        <w:rPr>
          <w:rFonts w:ascii="Arial" w:hAnsi="Arial" w:cs="Arial"/>
          <w:i/>
          <w:sz w:val="16"/>
          <w:szCs w:val="16"/>
        </w:rPr>
        <w:t>The Pursuit of History</w:t>
      </w:r>
      <w:r w:rsidR="00E76FE6" w:rsidRPr="00AF7013">
        <w:rPr>
          <w:rFonts w:ascii="Arial" w:hAnsi="Arial" w:cs="Arial"/>
          <w:sz w:val="16"/>
          <w:szCs w:val="16"/>
        </w:rPr>
        <w:t>, (5</w:t>
      </w:r>
      <w:r w:rsidR="00E76FE6" w:rsidRPr="00AF7013">
        <w:rPr>
          <w:rFonts w:ascii="Arial" w:hAnsi="Arial" w:cs="Arial"/>
          <w:sz w:val="16"/>
          <w:szCs w:val="16"/>
          <w:vertAlign w:val="superscript"/>
        </w:rPr>
        <w:t>th</w:t>
      </w:r>
      <w:r w:rsidR="00E76FE6" w:rsidRPr="00AF7013">
        <w:rPr>
          <w:rFonts w:ascii="Arial" w:hAnsi="Arial" w:cs="Arial"/>
          <w:sz w:val="16"/>
          <w:szCs w:val="16"/>
        </w:rPr>
        <w:t xml:space="preserve"> Edition, Harlowe, Pearson, 2010) p.192.  </w:t>
      </w:r>
    </w:p>
  </w:footnote>
  <w:footnote w:id="31">
    <w:p w:rsidR="00E76FE6" w:rsidRPr="00AF7013" w:rsidRDefault="007A06C5" w:rsidP="00E76FE6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AF7013">
        <w:rPr>
          <w:rStyle w:val="FootnoteReference"/>
          <w:rFonts w:ascii="Arial" w:hAnsi="Arial" w:cs="Arial"/>
          <w:sz w:val="16"/>
          <w:szCs w:val="16"/>
        </w:rPr>
        <w:footnoteRef/>
      </w:r>
      <w:r w:rsidR="00E76FE6" w:rsidRPr="00AF7013">
        <w:rPr>
          <w:rFonts w:ascii="Arial" w:hAnsi="Arial" w:cs="Arial"/>
          <w:sz w:val="16"/>
          <w:szCs w:val="16"/>
        </w:rPr>
        <w:t xml:space="preserve">Tosh, John, </w:t>
      </w:r>
      <w:r w:rsidR="00E76FE6" w:rsidRPr="00AF7013">
        <w:rPr>
          <w:rFonts w:ascii="Arial" w:hAnsi="Arial" w:cs="Arial"/>
          <w:i/>
          <w:sz w:val="16"/>
          <w:szCs w:val="16"/>
        </w:rPr>
        <w:t>The Pursuit of History</w:t>
      </w:r>
      <w:r w:rsidR="00E76FE6" w:rsidRPr="00AF7013">
        <w:rPr>
          <w:rFonts w:ascii="Arial" w:hAnsi="Arial" w:cs="Arial"/>
          <w:sz w:val="16"/>
          <w:szCs w:val="16"/>
        </w:rPr>
        <w:t xml:space="preserve">, p.192.  </w:t>
      </w:r>
    </w:p>
    <w:p w:rsidR="007A06C5" w:rsidRDefault="007A06C5" w:rsidP="000361D1">
      <w:pPr>
        <w:pStyle w:val="FootnoteText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8639F"/>
    <w:multiLevelType w:val="hybridMultilevel"/>
    <w:tmpl w:val="51A6C0AC"/>
    <w:lvl w:ilvl="0" w:tplc="F27E7E14">
      <w:start w:val="2"/>
      <w:numFmt w:val="decimal"/>
      <w:lvlText w:val="%1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834FE8"/>
    <w:multiLevelType w:val="hybridMultilevel"/>
    <w:tmpl w:val="1EFC248C"/>
    <w:lvl w:ilvl="0" w:tplc="6F78CFC8">
      <w:start w:val="1"/>
      <w:numFmt w:val="lowerLetter"/>
      <w:lvlText w:val="(%1)"/>
      <w:lvlJc w:val="left"/>
      <w:pPr>
        <w:ind w:left="2345" w:hanging="360"/>
      </w:pPr>
      <w:rPr>
        <w:b w:val="0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Dawn Love">
    <w15:presenceInfo w15:providerId="AD" w15:userId="S::dawn.love@nicva.org::386ce84a-0776-4324-ac74-d55eaee10d3e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5769B"/>
    <w:rsid w:val="00035819"/>
    <w:rsid w:val="000361D1"/>
    <w:rsid w:val="00064EAC"/>
    <w:rsid w:val="000735C9"/>
    <w:rsid w:val="00083FCE"/>
    <w:rsid w:val="000A1E68"/>
    <w:rsid w:val="000B783E"/>
    <w:rsid w:val="000C5CD3"/>
    <w:rsid w:val="000D0429"/>
    <w:rsid w:val="000E4172"/>
    <w:rsid w:val="000F29F1"/>
    <w:rsid w:val="00111945"/>
    <w:rsid w:val="00111C12"/>
    <w:rsid w:val="00127A8B"/>
    <w:rsid w:val="00154563"/>
    <w:rsid w:val="00166A83"/>
    <w:rsid w:val="00170919"/>
    <w:rsid w:val="001C5EDB"/>
    <w:rsid w:val="001F23A2"/>
    <w:rsid w:val="001F71B1"/>
    <w:rsid w:val="00206343"/>
    <w:rsid w:val="0022138E"/>
    <w:rsid w:val="002375A9"/>
    <w:rsid w:val="002652C4"/>
    <w:rsid w:val="002653E6"/>
    <w:rsid w:val="00292A1D"/>
    <w:rsid w:val="002A0918"/>
    <w:rsid w:val="002B01FE"/>
    <w:rsid w:val="002D4055"/>
    <w:rsid w:val="002F2E5F"/>
    <w:rsid w:val="0031337A"/>
    <w:rsid w:val="00342BD9"/>
    <w:rsid w:val="003446B5"/>
    <w:rsid w:val="0035769B"/>
    <w:rsid w:val="003753C0"/>
    <w:rsid w:val="00383D28"/>
    <w:rsid w:val="003B5C40"/>
    <w:rsid w:val="003E7D4F"/>
    <w:rsid w:val="003F67A6"/>
    <w:rsid w:val="00405DB0"/>
    <w:rsid w:val="00444C8B"/>
    <w:rsid w:val="00455384"/>
    <w:rsid w:val="004645C4"/>
    <w:rsid w:val="00465789"/>
    <w:rsid w:val="004727CD"/>
    <w:rsid w:val="00476A90"/>
    <w:rsid w:val="00497494"/>
    <w:rsid w:val="004A6DAC"/>
    <w:rsid w:val="004B7B80"/>
    <w:rsid w:val="004D558D"/>
    <w:rsid w:val="004E0F00"/>
    <w:rsid w:val="004E36BA"/>
    <w:rsid w:val="004F47A5"/>
    <w:rsid w:val="004F6982"/>
    <w:rsid w:val="00511E3B"/>
    <w:rsid w:val="00531DB3"/>
    <w:rsid w:val="00555CE6"/>
    <w:rsid w:val="00586E44"/>
    <w:rsid w:val="00587828"/>
    <w:rsid w:val="006537DA"/>
    <w:rsid w:val="00666D2D"/>
    <w:rsid w:val="0068535C"/>
    <w:rsid w:val="00691AE4"/>
    <w:rsid w:val="006A1E5C"/>
    <w:rsid w:val="006A6473"/>
    <w:rsid w:val="006E103C"/>
    <w:rsid w:val="006F4F51"/>
    <w:rsid w:val="00753D12"/>
    <w:rsid w:val="007552AA"/>
    <w:rsid w:val="00773A7D"/>
    <w:rsid w:val="00776D58"/>
    <w:rsid w:val="007937D1"/>
    <w:rsid w:val="007A06C5"/>
    <w:rsid w:val="007B2698"/>
    <w:rsid w:val="007F39CB"/>
    <w:rsid w:val="0080427A"/>
    <w:rsid w:val="00814C53"/>
    <w:rsid w:val="008802D9"/>
    <w:rsid w:val="008958D5"/>
    <w:rsid w:val="008B22B7"/>
    <w:rsid w:val="008B4044"/>
    <w:rsid w:val="008D0B48"/>
    <w:rsid w:val="008D7E0D"/>
    <w:rsid w:val="008E0D9A"/>
    <w:rsid w:val="008E6FB4"/>
    <w:rsid w:val="008F2595"/>
    <w:rsid w:val="008F3345"/>
    <w:rsid w:val="00902516"/>
    <w:rsid w:val="00903F85"/>
    <w:rsid w:val="00905B86"/>
    <w:rsid w:val="00915C0A"/>
    <w:rsid w:val="0096426A"/>
    <w:rsid w:val="009668D0"/>
    <w:rsid w:val="009755D9"/>
    <w:rsid w:val="00984EFE"/>
    <w:rsid w:val="00987D18"/>
    <w:rsid w:val="00990D28"/>
    <w:rsid w:val="009E751F"/>
    <w:rsid w:val="00A25529"/>
    <w:rsid w:val="00A313B6"/>
    <w:rsid w:val="00A4194F"/>
    <w:rsid w:val="00A50E53"/>
    <w:rsid w:val="00A863EC"/>
    <w:rsid w:val="00A97297"/>
    <w:rsid w:val="00AB7A20"/>
    <w:rsid w:val="00AD1B73"/>
    <w:rsid w:val="00AE6471"/>
    <w:rsid w:val="00AE6EFD"/>
    <w:rsid w:val="00AF7013"/>
    <w:rsid w:val="00B51604"/>
    <w:rsid w:val="00B53C17"/>
    <w:rsid w:val="00BB3A17"/>
    <w:rsid w:val="00BB5027"/>
    <w:rsid w:val="00BE2209"/>
    <w:rsid w:val="00C3158C"/>
    <w:rsid w:val="00C40232"/>
    <w:rsid w:val="00C5778B"/>
    <w:rsid w:val="00C805B5"/>
    <w:rsid w:val="00CC1503"/>
    <w:rsid w:val="00CC2A97"/>
    <w:rsid w:val="00CE4678"/>
    <w:rsid w:val="00CF6678"/>
    <w:rsid w:val="00CF66B4"/>
    <w:rsid w:val="00CF729A"/>
    <w:rsid w:val="00D034EC"/>
    <w:rsid w:val="00D0688A"/>
    <w:rsid w:val="00D45029"/>
    <w:rsid w:val="00D704A9"/>
    <w:rsid w:val="00D7336F"/>
    <w:rsid w:val="00D83643"/>
    <w:rsid w:val="00D977BA"/>
    <w:rsid w:val="00E27099"/>
    <w:rsid w:val="00E47A80"/>
    <w:rsid w:val="00E47F85"/>
    <w:rsid w:val="00E76FE6"/>
    <w:rsid w:val="00E93823"/>
    <w:rsid w:val="00EA6A0C"/>
    <w:rsid w:val="00EB5E9D"/>
    <w:rsid w:val="00ED00AA"/>
    <w:rsid w:val="00ED3BE6"/>
    <w:rsid w:val="00EE2ACD"/>
    <w:rsid w:val="00F123E3"/>
    <w:rsid w:val="00F3544B"/>
    <w:rsid w:val="00F411F0"/>
    <w:rsid w:val="00F510E3"/>
    <w:rsid w:val="00FB1A00"/>
    <w:rsid w:val="00FB7322"/>
    <w:rsid w:val="00FD4264"/>
    <w:rsid w:val="00FE40F1"/>
    <w:rsid w:val="00FF207B"/>
    <w:rsid w:val="00FF64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03C"/>
  </w:style>
  <w:style w:type="paragraph" w:styleId="Heading1">
    <w:name w:val="heading 1"/>
    <w:basedOn w:val="Normal"/>
    <w:link w:val="Heading1Char"/>
    <w:uiPriority w:val="9"/>
    <w:qFormat/>
    <w:rsid w:val="00D034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36B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769B"/>
    <w:pPr>
      <w:ind w:left="720"/>
      <w:contextualSpacing/>
    </w:pPr>
    <w:rPr>
      <w:rFonts w:ascii="Calibri" w:eastAsia="Calibri" w:hAnsi="Calibri" w:cs="Arial"/>
      <w:lang w:eastAsia="en-US"/>
    </w:rPr>
  </w:style>
  <w:style w:type="paragraph" w:styleId="NormalWeb">
    <w:name w:val="Normal (Web)"/>
    <w:basedOn w:val="Normal"/>
    <w:unhideWhenUsed/>
    <w:rsid w:val="00511E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11E3B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E41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E417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E417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B53C17"/>
    <w:rPr>
      <w:color w:val="800080" w:themeColor="followedHyperlink"/>
      <w:u w:val="single"/>
    </w:rPr>
  </w:style>
  <w:style w:type="paragraph" w:customStyle="1" w:styleId="hbodytext">
    <w:name w:val="h_body_text"/>
    <w:basedOn w:val="Normal"/>
    <w:rsid w:val="00476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034E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Emphasis">
    <w:name w:val="Emphasis"/>
    <w:basedOn w:val="DefaultParagraphFont"/>
    <w:uiPriority w:val="20"/>
    <w:qFormat/>
    <w:rsid w:val="001F23A2"/>
    <w:rPr>
      <w:i/>
      <w:iCs/>
    </w:rPr>
  </w:style>
  <w:style w:type="character" w:customStyle="1" w:styleId="tei-author">
    <w:name w:val="tei-author"/>
    <w:basedOn w:val="DefaultParagraphFont"/>
    <w:rsid w:val="00D977BA"/>
  </w:style>
  <w:style w:type="character" w:customStyle="1" w:styleId="tei-surname">
    <w:name w:val="tei-surname"/>
    <w:basedOn w:val="DefaultParagraphFont"/>
    <w:rsid w:val="00D977BA"/>
  </w:style>
  <w:style w:type="character" w:customStyle="1" w:styleId="tei-forename">
    <w:name w:val="tei-forename"/>
    <w:basedOn w:val="DefaultParagraphFont"/>
    <w:rsid w:val="00D977BA"/>
  </w:style>
  <w:style w:type="character" w:customStyle="1" w:styleId="tei-title">
    <w:name w:val="tei-title"/>
    <w:basedOn w:val="DefaultParagraphFont"/>
    <w:rsid w:val="00D977BA"/>
  </w:style>
  <w:style w:type="character" w:customStyle="1" w:styleId="no-glue-after">
    <w:name w:val="no-glue-after"/>
    <w:basedOn w:val="DefaultParagraphFont"/>
    <w:rsid w:val="00D977BA"/>
  </w:style>
  <w:style w:type="character" w:customStyle="1" w:styleId="tei-biblscope">
    <w:name w:val="tei-biblscope"/>
    <w:basedOn w:val="DefaultParagraphFont"/>
    <w:rsid w:val="00D977BA"/>
  </w:style>
  <w:style w:type="character" w:customStyle="1" w:styleId="imprint">
    <w:name w:val="imprint"/>
    <w:basedOn w:val="DefaultParagraphFont"/>
    <w:rsid w:val="00D977BA"/>
  </w:style>
  <w:style w:type="character" w:customStyle="1" w:styleId="tei-date">
    <w:name w:val="tei-date"/>
    <w:basedOn w:val="DefaultParagraphFont"/>
    <w:rsid w:val="00D977BA"/>
  </w:style>
  <w:style w:type="paragraph" w:styleId="BalloonText">
    <w:name w:val="Balloon Text"/>
    <w:basedOn w:val="Normal"/>
    <w:link w:val="BalloonTextChar"/>
    <w:uiPriority w:val="99"/>
    <w:semiHidden/>
    <w:unhideWhenUsed/>
    <w:rsid w:val="00111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C12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36B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4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jstor.org/stable/1819140%3e,%20%5bAccessed%209%20Apr.%202020" TargetMode="Externa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jstor.org/stable/2510307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ourcebooks.fordham.edu/source/814capitul-jews.as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apitularia.uni-koeln.de/en/capit/" TargetMode="External"/><Relationship Id="rId10" Type="http://schemas.openxmlformats.org/officeDocument/2006/relationships/hyperlink" Target="http://www.jstor.org/stable/10.5749/j.ctttv8zj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Carolingian" TargetMode="External"/><Relationship Id="rId14" Type="http://schemas.openxmlformats.org/officeDocument/2006/relationships/hyperlink" Target="file:///C:\Users\dawn.love\Downloads\Edition%20der%20fr&#228;nkischen%20Herrschererlasse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stor.org/stable/25103071" TargetMode="External"/><Relationship Id="rId3" Type="http://schemas.openxmlformats.org/officeDocument/2006/relationships/hyperlink" Target="http://www.jstor.org/stable/10.5749/j.ctttv8zj" TargetMode="External"/><Relationship Id="rId7" Type="http://schemas.openxmlformats.org/officeDocument/2006/relationships/hyperlink" Target="https://sourcebooks.fordham.edu/source/814capitul-jews.asp" TargetMode="External"/><Relationship Id="rId2" Type="http://schemas.openxmlformats.org/officeDocument/2006/relationships/hyperlink" Target="https://capitularia.uni-koeln.de/en/capit/" TargetMode="External"/><Relationship Id="rId1" Type="http://schemas.openxmlformats.org/officeDocument/2006/relationships/hyperlink" Target="file:///C:\Users\dawn.love\Downloads\Edition%20der%20fr&#228;nkischen%20Herrschererlasse" TargetMode="External"/><Relationship Id="rId6" Type="http://schemas.openxmlformats.org/officeDocument/2006/relationships/hyperlink" Target="http://www.jstor.org/stable/1819140%3e,%20%5bAccessed%209%20Apr.%202020" TargetMode="External"/><Relationship Id="rId5" Type="http://schemas.openxmlformats.org/officeDocument/2006/relationships/hyperlink" Target="https://capitularia.uni-koeln.de/en/capit/" TargetMode="External"/><Relationship Id="rId10" Type="http://schemas.openxmlformats.org/officeDocument/2006/relationships/hyperlink" Target="http://www.jstor.org/stable/10.5749/j.ctttv8zj" TargetMode="External"/><Relationship Id="rId4" Type="http://schemas.openxmlformats.org/officeDocument/2006/relationships/hyperlink" Target="file:///C:\Users\dawn.love\Downloads\Edition%20der%20fr&#228;nkischen%20Herrschererlasse" TargetMode="External"/><Relationship Id="rId9" Type="http://schemas.openxmlformats.org/officeDocument/2006/relationships/hyperlink" Target="http://www.jstor.org/stable/1819140%3e,%20%5bAccessed%209%20Apr.%2020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98801FDE-F568-48F1-A5F5-F1B1B0576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1771</Words>
  <Characters>10101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conlon</dc:creator>
  <cp:lastModifiedBy>thomas conlon</cp:lastModifiedBy>
  <cp:revision>2</cp:revision>
  <dcterms:created xsi:type="dcterms:W3CDTF">2020-05-18T16:28:00Z</dcterms:created>
  <dcterms:modified xsi:type="dcterms:W3CDTF">2020-05-18T16:28:00Z</dcterms:modified>
</cp:coreProperties>
</file>