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97CB6" w14:textId="77777777" w:rsidR="00EA3310" w:rsidRDefault="00EA3310" w:rsidP="00EA3310">
      <w:r>
        <w:t>Module name :Research for Learning</w:t>
      </w:r>
    </w:p>
    <w:p w14:paraId="3B723CF7" w14:textId="77777777" w:rsidR="00EA3310" w:rsidRDefault="00EA3310" w:rsidP="00EA3310">
      <w:r>
        <w:t>Module code:ECEY5010C</w:t>
      </w:r>
    </w:p>
    <w:p w14:paraId="2899AA52" w14:textId="77777777" w:rsidR="00EA3310" w:rsidRDefault="00EA3310" w:rsidP="00EA3310">
      <w:r>
        <w:t>Student number:2328612</w:t>
      </w:r>
    </w:p>
    <w:p w14:paraId="7069CC69" w14:textId="77777777" w:rsidR="00192F78" w:rsidRDefault="00192F78" w:rsidP="00821074">
      <w:pPr>
        <w:spacing w:after="0" w:line="480" w:lineRule="auto"/>
        <w:jc w:val="center"/>
        <w:rPr>
          <w:rFonts w:ascii="Arial" w:hAnsi="Arial" w:cs="Arial"/>
          <w:b/>
          <w:bCs/>
          <w:sz w:val="24"/>
          <w:szCs w:val="24"/>
        </w:rPr>
      </w:pPr>
    </w:p>
    <w:p w14:paraId="3B584C06" w14:textId="77777777" w:rsidR="00EA3310" w:rsidRDefault="00EA3310" w:rsidP="00821074">
      <w:pPr>
        <w:spacing w:after="0" w:line="480" w:lineRule="auto"/>
        <w:jc w:val="center"/>
        <w:rPr>
          <w:rFonts w:ascii="Arial" w:hAnsi="Arial" w:cs="Arial"/>
          <w:b/>
          <w:bCs/>
          <w:sz w:val="24"/>
          <w:szCs w:val="24"/>
        </w:rPr>
      </w:pPr>
    </w:p>
    <w:p w14:paraId="47512BD8" w14:textId="17E3ACA6" w:rsidR="00192F78" w:rsidRDefault="00D15D0E" w:rsidP="00D15D0E">
      <w:pPr>
        <w:spacing w:after="0" w:line="480" w:lineRule="auto"/>
        <w:rPr>
          <w:rFonts w:ascii="Arial" w:hAnsi="Arial" w:cs="Arial"/>
          <w:b/>
          <w:bCs/>
          <w:sz w:val="24"/>
          <w:szCs w:val="24"/>
        </w:rPr>
      </w:pPr>
      <w:r>
        <w:rPr>
          <w:rFonts w:ascii="Arial" w:hAnsi="Arial" w:cs="Arial"/>
          <w:b/>
          <w:bCs/>
          <w:sz w:val="24"/>
          <w:szCs w:val="24"/>
        </w:rPr>
        <w:t>I confirm that I have not presented any AI generated text as my own work. I confirm that I have copies of my draft, note and other resources I used before and after the use of AI tools which I may be asked to provide as evidence.</w:t>
      </w:r>
    </w:p>
    <w:p w14:paraId="33A2C89A" w14:textId="77777777" w:rsidR="00192F78" w:rsidRDefault="00192F78" w:rsidP="00821074">
      <w:pPr>
        <w:spacing w:after="0" w:line="480" w:lineRule="auto"/>
        <w:jc w:val="center"/>
        <w:rPr>
          <w:rFonts w:ascii="Arial" w:hAnsi="Arial" w:cs="Arial"/>
          <w:b/>
          <w:bCs/>
          <w:sz w:val="24"/>
          <w:szCs w:val="24"/>
        </w:rPr>
      </w:pPr>
    </w:p>
    <w:p w14:paraId="1FD1C9EF" w14:textId="100BE6D2" w:rsidR="00F937F3" w:rsidRPr="00E161DF" w:rsidRDefault="00A43C64" w:rsidP="00821074">
      <w:pPr>
        <w:spacing w:after="0" w:line="480" w:lineRule="auto"/>
        <w:jc w:val="center"/>
        <w:rPr>
          <w:rFonts w:ascii="Arial" w:hAnsi="Arial" w:cs="Arial"/>
          <w:b/>
          <w:bCs/>
          <w:sz w:val="24"/>
          <w:szCs w:val="24"/>
        </w:rPr>
      </w:pPr>
      <w:r w:rsidRPr="00E161DF">
        <w:rPr>
          <w:rFonts w:ascii="Arial" w:hAnsi="Arial" w:cs="Arial"/>
          <w:b/>
          <w:bCs/>
          <w:sz w:val="24"/>
          <w:szCs w:val="24"/>
        </w:rPr>
        <w:t>An Exploration into h</w:t>
      </w:r>
      <w:r w:rsidR="00F937F3" w:rsidRPr="00E161DF">
        <w:rPr>
          <w:rFonts w:ascii="Arial" w:hAnsi="Arial" w:cs="Arial"/>
          <w:b/>
          <w:bCs/>
          <w:sz w:val="24"/>
          <w:szCs w:val="24"/>
        </w:rPr>
        <w:t>ow Early Years Teachers Teach Science in Early Year</w:t>
      </w:r>
    </w:p>
    <w:p w14:paraId="2474F9C5" w14:textId="1CD76D5C" w:rsidR="00107377" w:rsidRPr="00E161DF" w:rsidRDefault="007C7ADA" w:rsidP="00821074">
      <w:pPr>
        <w:spacing w:after="0" w:line="480" w:lineRule="auto"/>
        <w:rPr>
          <w:rFonts w:ascii="Arial" w:hAnsi="Arial" w:cs="Arial"/>
          <w:sz w:val="24"/>
          <w:szCs w:val="24"/>
        </w:rPr>
      </w:pPr>
      <w:r w:rsidRPr="00E161DF">
        <w:rPr>
          <w:rFonts w:ascii="Arial" w:hAnsi="Arial" w:cs="Arial"/>
          <w:b/>
          <w:bCs/>
          <w:sz w:val="24"/>
          <w:szCs w:val="24"/>
        </w:rPr>
        <w:t>L</w:t>
      </w:r>
      <w:r w:rsidR="00A50D83" w:rsidRPr="00E161DF">
        <w:rPr>
          <w:rFonts w:ascii="Arial" w:hAnsi="Arial" w:cs="Arial"/>
          <w:b/>
          <w:bCs/>
          <w:sz w:val="24"/>
          <w:szCs w:val="24"/>
        </w:rPr>
        <w:t xml:space="preserve">iterature </w:t>
      </w:r>
      <w:r w:rsidR="00A43C64" w:rsidRPr="00E161DF">
        <w:rPr>
          <w:rFonts w:ascii="Arial" w:hAnsi="Arial" w:cs="Arial"/>
          <w:b/>
          <w:bCs/>
          <w:sz w:val="24"/>
          <w:szCs w:val="24"/>
        </w:rPr>
        <w:t>R</w:t>
      </w:r>
      <w:r w:rsidR="00A50D83" w:rsidRPr="00E161DF">
        <w:rPr>
          <w:rFonts w:ascii="Arial" w:hAnsi="Arial" w:cs="Arial"/>
          <w:b/>
          <w:bCs/>
          <w:sz w:val="24"/>
          <w:szCs w:val="24"/>
        </w:rPr>
        <w:t>eview</w:t>
      </w:r>
    </w:p>
    <w:p w14:paraId="3C063980" w14:textId="1274524F" w:rsidR="00107377" w:rsidRPr="00E161DF" w:rsidRDefault="004064AF" w:rsidP="00821074">
      <w:pPr>
        <w:spacing w:after="0" w:line="480" w:lineRule="auto"/>
        <w:rPr>
          <w:rFonts w:ascii="Arial" w:hAnsi="Arial" w:cs="Arial"/>
          <w:sz w:val="24"/>
          <w:szCs w:val="24"/>
        </w:rPr>
      </w:pPr>
      <w:r w:rsidRPr="00E161DF">
        <w:rPr>
          <w:rFonts w:ascii="Arial" w:hAnsi="Arial" w:cs="Arial"/>
          <w:sz w:val="24"/>
          <w:szCs w:val="24"/>
        </w:rPr>
        <w:t>Today, there is growing body of literature exploring the importance of learning of the sciences in the early years</w:t>
      </w:r>
      <w:r w:rsidR="00155A6C" w:rsidRPr="00E161DF">
        <w:rPr>
          <w:rFonts w:ascii="Arial" w:hAnsi="Arial" w:cs="Arial"/>
          <w:sz w:val="24"/>
          <w:szCs w:val="24"/>
        </w:rPr>
        <w:t xml:space="preserve">. </w:t>
      </w:r>
      <w:r w:rsidR="00B03A4C" w:rsidRPr="00E161DF">
        <w:rPr>
          <w:rFonts w:ascii="Arial" w:hAnsi="Arial" w:cs="Arial"/>
          <w:sz w:val="24"/>
          <w:szCs w:val="24"/>
        </w:rPr>
        <w:t xml:space="preserve">Science may be defined as a body of knowledge and the set of activities that expose or result in such knowledge (Akman and </w:t>
      </w:r>
      <w:proofErr w:type="spellStart"/>
      <w:r w:rsidR="00B03A4C" w:rsidRPr="00E161DF">
        <w:rPr>
          <w:rFonts w:ascii="Arial" w:hAnsi="Arial" w:cs="Arial"/>
          <w:sz w:val="24"/>
          <w:szCs w:val="24"/>
        </w:rPr>
        <w:t>Güçhan</w:t>
      </w:r>
      <w:proofErr w:type="spellEnd"/>
      <w:r w:rsidR="00B03A4C" w:rsidRPr="00E161DF">
        <w:rPr>
          <w:rFonts w:ascii="Arial" w:hAnsi="Arial" w:cs="Arial"/>
          <w:sz w:val="24"/>
          <w:szCs w:val="24"/>
        </w:rPr>
        <w:t xml:space="preserve"> Özgül, 2015).  </w:t>
      </w:r>
      <w:r w:rsidR="00155A6C" w:rsidRPr="00E161DF">
        <w:rPr>
          <w:rFonts w:ascii="Arial" w:hAnsi="Arial" w:cs="Arial"/>
          <w:sz w:val="24"/>
          <w:szCs w:val="24"/>
        </w:rPr>
        <w:t xml:space="preserve">Existing literature in this area suggests that, by introducing science in developmentally appropriate manner, practitioners may help support children’s sensory exploration as well as provide essential foundational skills for lifelong science learning (Cabe Trundle and </w:t>
      </w:r>
      <w:proofErr w:type="spellStart"/>
      <w:r w:rsidR="00155A6C" w:rsidRPr="00E161DF">
        <w:rPr>
          <w:rFonts w:ascii="Arial" w:hAnsi="Arial" w:cs="Arial"/>
          <w:sz w:val="24"/>
          <w:szCs w:val="24"/>
        </w:rPr>
        <w:t>Saçkes</w:t>
      </w:r>
      <w:proofErr w:type="spellEnd"/>
      <w:r w:rsidR="00155A6C" w:rsidRPr="00E161DF">
        <w:rPr>
          <w:rFonts w:ascii="Arial" w:hAnsi="Arial" w:cs="Arial"/>
          <w:sz w:val="24"/>
          <w:szCs w:val="24"/>
        </w:rPr>
        <w:t>, 2021; Cabe Trundle, 2015).</w:t>
      </w:r>
      <w:r w:rsidR="00272B32" w:rsidRPr="00E161DF">
        <w:rPr>
          <w:rFonts w:ascii="Arial" w:hAnsi="Arial" w:cs="Arial"/>
          <w:sz w:val="24"/>
          <w:szCs w:val="24"/>
        </w:rPr>
        <w:t xml:space="preserve"> When developmentally suitable, science learning activities can help children to better explore their world, to effectively collect and organize information, apply information and test ideas</w:t>
      </w:r>
      <w:r w:rsidR="00A0775B" w:rsidRPr="00E161DF">
        <w:rPr>
          <w:rFonts w:ascii="Arial" w:hAnsi="Arial" w:cs="Arial"/>
          <w:sz w:val="24"/>
          <w:szCs w:val="24"/>
        </w:rPr>
        <w:t xml:space="preserve"> (Burns et al. 2025). The introduction of science and other stem subjects in ECE has been linked to better understanding of course and effect and improved problem-solving skills (Burns </w:t>
      </w:r>
      <w:r w:rsidR="00A0775B" w:rsidRPr="00F0214C">
        <w:rPr>
          <w:rFonts w:ascii="Arial" w:hAnsi="Arial" w:cs="Arial"/>
          <w:i/>
          <w:iCs/>
          <w:sz w:val="24"/>
          <w:szCs w:val="24"/>
        </w:rPr>
        <w:t>et a</w:t>
      </w:r>
      <w:r w:rsidR="00A0775B" w:rsidRPr="00E161DF">
        <w:rPr>
          <w:rFonts w:ascii="Arial" w:hAnsi="Arial" w:cs="Arial"/>
          <w:i/>
          <w:iCs/>
          <w:sz w:val="24"/>
          <w:szCs w:val="24"/>
        </w:rPr>
        <w:t>l</w:t>
      </w:r>
      <w:r w:rsidR="00A0775B" w:rsidRPr="00E161DF">
        <w:rPr>
          <w:rFonts w:ascii="Arial" w:hAnsi="Arial" w:cs="Arial"/>
          <w:sz w:val="24"/>
          <w:szCs w:val="24"/>
        </w:rPr>
        <w:t>.</w:t>
      </w:r>
      <w:r w:rsidR="00B013D9" w:rsidRPr="00E161DF">
        <w:rPr>
          <w:rFonts w:ascii="Arial" w:hAnsi="Arial" w:cs="Arial"/>
          <w:sz w:val="24"/>
          <w:szCs w:val="24"/>
        </w:rPr>
        <w:t>,</w:t>
      </w:r>
      <w:r w:rsidR="00A0775B" w:rsidRPr="00E161DF">
        <w:rPr>
          <w:rFonts w:ascii="Arial" w:hAnsi="Arial" w:cs="Arial"/>
          <w:sz w:val="24"/>
          <w:szCs w:val="24"/>
        </w:rPr>
        <w:t xml:space="preserve"> 2025; </w:t>
      </w:r>
      <w:r w:rsidR="00077F03" w:rsidRPr="00E161DF">
        <w:rPr>
          <w:rFonts w:ascii="Arial" w:hAnsi="Arial" w:cs="Arial"/>
          <w:sz w:val="24"/>
          <w:szCs w:val="24"/>
        </w:rPr>
        <w:t>Unal and Saglam 2018).</w:t>
      </w:r>
    </w:p>
    <w:p w14:paraId="3303863F" w14:textId="26745033" w:rsidR="00272B32" w:rsidRPr="00E161DF" w:rsidRDefault="00272B32" w:rsidP="00821074">
      <w:pPr>
        <w:spacing w:after="0" w:line="480" w:lineRule="auto"/>
        <w:rPr>
          <w:rFonts w:ascii="Arial" w:hAnsi="Arial" w:cs="Arial"/>
          <w:sz w:val="24"/>
          <w:szCs w:val="24"/>
        </w:rPr>
      </w:pPr>
      <w:r w:rsidRPr="00E161DF">
        <w:rPr>
          <w:rFonts w:ascii="Arial" w:hAnsi="Arial" w:cs="Arial"/>
          <w:sz w:val="24"/>
          <w:szCs w:val="24"/>
        </w:rPr>
        <w:t xml:space="preserve">Whereas practitioners may choose play and direct instructional approaches to the teaching of the sciences, play is particularly essential to the development of core scientific concepts of science. </w:t>
      </w:r>
      <w:r w:rsidR="00D10FC5" w:rsidRPr="00E161DF">
        <w:rPr>
          <w:rFonts w:ascii="Arial" w:hAnsi="Arial" w:cs="Arial"/>
          <w:sz w:val="24"/>
          <w:szCs w:val="24"/>
        </w:rPr>
        <w:t xml:space="preserve">Though play may be defined variably, it can generally </w:t>
      </w:r>
      <w:r w:rsidR="00D10FC5" w:rsidRPr="00E161DF">
        <w:rPr>
          <w:rFonts w:ascii="Arial" w:hAnsi="Arial" w:cs="Arial"/>
          <w:sz w:val="24"/>
          <w:szCs w:val="24"/>
        </w:rPr>
        <w:lastRenderedPageBreak/>
        <w:t xml:space="preserve">be considered as any activity that excites or motivates the child and that frequently involves some physical or intellectual engagement (Kelly-Vance and </w:t>
      </w:r>
      <w:proofErr w:type="spellStart"/>
      <w:r w:rsidR="00D10FC5" w:rsidRPr="00E161DF">
        <w:rPr>
          <w:rFonts w:ascii="Arial" w:hAnsi="Arial" w:cs="Arial"/>
          <w:sz w:val="24"/>
          <w:szCs w:val="24"/>
        </w:rPr>
        <w:t>Ryallis</w:t>
      </w:r>
      <w:proofErr w:type="spellEnd"/>
      <w:r w:rsidR="00B013D9" w:rsidRPr="00E161DF">
        <w:rPr>
          <w:rFonts w:ascii="Arial" w:hAnsi="Arial" w:cs="Arial"/>
          <w:sz w:val="24"/>
          <w:szCs w:val="24"/>
        </w:rPr>
        <w:t>,</w:t>
      </w:r>
      <w:r w:rsidR="00D10FC5" w:rsidRPr="00E161DF">
        <w:rPr>
          <w:rFonts w:ascii="Arial" w:hAnsi="Arial" w:cs="Arial"/>
          <w:sz w:val="24"/>
          <w:szCs w:val="24"/>
        </w:rPr>
        <w:t xml:space="preserve"> 2008</w:t>
      </w:r>
      <w:r w:rsidR="004075E4" w:rsidRPr="00E161DF">
        <w:rPr>
          <w:rFonts w:ascii="Arial" w:hAnsi="Arial" w:cs="Arial"/>
          <w:sz w:val="24"/>
          <w:szCs w:val="24"/>
        </w:rPr>
        <w:t xml:space="preserve">; Akman and </w:t>
      </w:r>
      <w:proofErr w:type="spellStart"/>
      <w:r w:rsidR="004075E4" w:rsidRPr="00E161DF">
        <w:rPr>
          <w:rFonts w:ascii="Arial" w:hAnsi="Arial" w:cs="Arial"/>
          <w:sz w:val="24"/>
          <w:szCs w:val="24"/>
        </w:rPr>
        <w:t>Güçhan</w:t>
      </w:r>
      <w:proofErr w:type="spellEnd"/>
      <w:r w:rsidR="004075E4" w:rsidRPr="00E161DF">
        <w:rPr>
          <w:rFonts w:ascii="Arial" w:hAnsi="Arial" w:cs="Arial"/>
          <w:sz w:val="24"/>
          <w:szCs w:val="24"/>
        </w:rPr>
        <w:t xml:space="preserve"> Özgül, 2015)</w:t>
      </w:r>
      <w:r w:rsidR="00D10FC5" w:rsidRPr="00E161DF">
        <w:rPr>
          <w:rFonts w:ascii="Arial" w:hAnsi="Arial" w:cs="Arial"/>
          <w:sz w:val="24"/>
          <w:szCs w:val="24"/>
        </w:rPr>
        <w:t xml:space="preserve">. </w:t>
      </w:r>
      <w:r w:rsidR="004075E4" w:rsidRPr="00E161DF">
        <w:rPr>
          <w:rFonts w:ascii="Arial" w:hAnsi="Arial" w:cs="Arial"/>
          <w:sz w:val="24"/>
          <w:szCs w:val="24"/>
        </w:rPr>
        <w:t>Play has been considered an essential learning medium which helps children to seek knowledge and to explore their environment, an effective pedagogical tool</w:t>
      </w:r>
      <w:r w:rsidR="00B03A4C" w:rsidRPr="00E161DF">
        <w:rPr>
          <w:rFonts w:ascii="Arial" w:hAnsi="Arial" w:cs="Arial"/>
          <w:sz w:val="24"/>
          <w:szCs w:val="24"/>
        </w:rPr>
        <w:t xml:space="preserve"> (Akman and </w:t>
      </w:r>
      <w:proofErr w:type="spellStart"/>
      <w:r w:rsidR="00B03A4C" w:rsidRPr="00E161DF">
        <w:rPr>
          <w:rFonts w:ascii="Arial" w:hAnsi="Arial" w:cs="Arial"/>
          <w:sz w:val="24"/>
          <w:szCs w:val="24"/>
        </w:rPr>
        <w:t>Güçhan</w:t>
      </w:r>
      <w:proofErr w:type="spellEnd"/>
      <w:r w:rsidR="00B03A4C" w:rsidRPr="00E161DF">
        <w:rPr>
          <w:rFonts w:ascii="Arial" w:hAnsi="Arial" w:cs="Arial"/>
          <w:sz w:val="24"/>
          <w:szCs w:val="24"/>
        </w:rPr>
        <w:t xml:space="preserve"> Özgül, 2015; Trawick</w:t>
      </w:r>
      <w:r w:rsidR="00B013D9" w:rsidRPr="00E161DF">
        <w:rPr>
          <w:rFonts w:ascii="Arial" w:hAnsi="Arial" w:cs="Arial"/>
          <w:sz w:val="24"/>
          <w:szCs w:val="24"/>
        </w:rPr>
        <w:t>,</w:t>
      </w:r>
      <w:r w:rsidR="00B03A4C" w:rsidRPr="00E161DF">
        <w:rPr>
          <w:rFonts w:ascii="Arial" w:hAnsi="Arial" w:cs="Arial"/>
          <w:sz w:val="24"/>
          <w:szCs w:val="24"/>
        </w:rPr>
        <w:t xml:space="preserve"> 2012). </w:t>
      </w:r>
      <w:r w:rsidRPr="00E161DF">
        <w:rPr>
          <w:rFonts w:ascii="Arial" w:hAnsi="Arial" w:cs="Arial"/>
          <w:sz w:val="24"/>
          <w:szCs w:val="24"/>
        </w:rPr>
        <w:t xml:space="preserve">In a study seeking to investigate the impact on play versus direct instruction on children’s grasp of scientific concepts, </w:t>
      </w:r>
      <w:proofErr w:type="spellStart"/>
      <w:r w:rsidRPr="00E161DF">
        <w:rPr>
          <w:rFonts w:ascii="Arial" w:hAnsi="Arial" w:cs="Arial"/>
          <w:sz w:val="24"/>
          <w:szCs w:val="24"/>
        </w:rPr>
        <w:t>Bulunuz</w:t>
      </w:r>
      <w:proofErr w:type="spellEnd"/>
      <w:r w:rsidRPr="00E161DF">
        <w:rPr>
          <w:rFonts w:ascii="Arial" w:hAnsi="Arial" w:cs="Arial"/>
          <w:sz w:val="24"/>
          <w:szCs w:val="24"/>
        </w:rPr>
        <w:t xml:space="preserve"> (2013) reported that children taught science through play were better able to understand science concepts. </w:t>
      </w:r>
      <w:r w:rsidR="00D10FC5" w:rsidRPr="00E161DF">
        <w:rPr>
          <w:rFonts w:ascii="Arial" w:hAnsi="Arial" w:cs="Arial"/>
          <w:sz w:val="24"/>
          <w:szCs w:val="24"/>
        </w:rPr>
        <w:t xml:space="preserve">Similar findings have been reported by </w:t>
      </w:r>
      <w:proofErr w:type="spellStart"/>
      <w:r w:rsidR="00D10FC5" w:rsidRPr="00E161DF">
        <w:rPr>
          <w:rFonts w:ascii="Arial" w:hAnsi="Arial" w:cs="Arial"/>
          <w:sz w:val="24"/>
          <w:szCs w:val="24"/>
        </w:rPr>
        <w:t>Fragkiadaki</w:t>
      </w:r>
      <w:proofErr w:type="spellEnd"/>
      <w:r w:rsidR="00D10FC5" w:rsidRPr="00E161DF">
        <w:rPr>
          <w:rFonts w:ascii="Arial" w:hAnsi="Arial" w:cs="Arial"/>
          <w:sz w:val="24"/>
          <w:szCs w:val="24"/>
        </w:rPr>
        <w:t xml:space="preserve"> and colleagues (2021). In their exploratory qualitative study, the researchers determined that children could develop better argumentations to express their concepts of science phenomena during dramatic play. </w:t>
      </w:r>
    </w:p>
    <w:p w14:paraId="486C5993" w14:textId="11E54019" w:rsidR="009A2140" w:rsidRPr="00E161DF" w:rsidRDefault="007541E5" w:rsidP="00821074">
      <w:pPr>
        <w:pStyle w:val="NoSpacing"/>
        <w:spacing w:line="480" w:lineRule="auto"/>
        <w:rPr>
          <w:rFonts w:ascii="Arial" w:hAnsi="Arial" w:cs="Arial"/>
          <w:sz w:val="24"/>
          <w:szCs w:val="24"/>
        </w:rPr>
      </w:pPr>
      <w:r w:rsidRPr="00E161DF">
        <w:rPr>
          <w:rFonts w:ascii="Arial" w:hAnsi="Arial" w:cs="Arial"/>
          <w:sz w:val="24"/>
          <w:szCs w:val="24"/>
        </w:rPr>
        <w:t xml:space="preserve">Science learning and teaching in ECE can be categorized into inquiry-based, problem-based and project-based types. </w:t>
      </w:r>
      <w:r w:rsidR="00F83D95" w:rsidRPr="00E161DF">
        <w:rPr>
          <w:rFonts w:ascii="Arial" w:hAnsi="Arial" w:cs="Arial"/>
          <w:sz w:val="24"/>
          <w:szCs w:val="24"/>
        </w:rPr>
        <w:t>Inquiry-based science learning emphasizes curiosity, being rooted in experience and reflection (Albion</w:t>
      </w:r>
      <w:r w:rsidR="00B013D9" w:rsidRPr="00E161DF">
        <w:rPr>
          <w:rFonts w:ascii="Arial" w:hAnsi="Arial" w:cs="Arial"/>
          <w:sz w:val="24"/>
          <w:szCs w:val="24"/>
        </w:rPr>
        <w:t>,</w:t>
      </w:r>
      <w:r w:rsidR="00F83D95" w:rsidRPr="00E161DF">
        <w:rPr>
          <w:rFonts w:ascii="Arial" w:hAnsi="Arial" w:cs="Arial"/>
          <w:sz w:val="24"/>
          <w:szCs w:val="24"/>
        </w:rPr>
        <w:t xml:space="preserve"> 2015; Bybee</w:t>
      </w:r>
      <w:r w:rsidR="00B013D9" w:rsidRPr="00E161DF">
        <w:rPr>
          <w:rFonts w:ascii="Arial" w:hAnsi="Arial" w:cs="Arial"/>
          <w:sz w:val="24"/>
          <w:szCs w:val="24"/>
        </w:rPr>
        <w:t>,</w:t>
      </w:r>
      <w:r w:rsidR="00F83D95" w:rsidRPr="00E161DF">
        <w:rPr>
          <w:rFonts w:ascii="Arial" w:hAnsi="Arial" w:cs="Arial"/>
          <w:sz w:val="24"/>
          <w:szCs w:val="24"/>
        </w:rPr>
        <w:t xml:space="preserve"> 2010). In this model, ECE educators work with children to ask questions, investigate solutions,</w:t>
      </w:r>
      <w:r w:rsidR="00AB6F6B" w:rsidRPr="00E161DF">
        <w:rPr>
          <w:rFonts w:ascii="Arial" w:hAnsi="Arial" w:cs="Arial"/>
          <w:sz w:val="24"/>
          <w:szCs w:val="24"/>
        </w:rPr>
        <w:t xml:space="preserve"> gather information while creating knowledge</w:t>
      </w:r>
      <w:r w:rsidR="000E0B2F" w:rsidRPr="00E161DF">
        <w:rPr>
          <w:rFonts w:ascii="Arial" w:hAnsi="Arial" w:cs="Arial"/>
          <w:sz w:val="24"/>
          <w:szCs w:val="24"/>
        </w:rPr>
        <w:t xml:space="preserve"> (Bybee 2015; Ruiz-Martín and Bybee, 2022)</w:t>
      </w:r>
      <w:r w:rsidR="00AB6F6B" w:rsidRPr="00E161DF">
        <w:rPr>
          <w:rFonts w:ascii="Arial" w:hAnsi="Arial" w:cs="Arial"/>
          <w:sz w:val="24"/>
          <w:szCs w:val="24"/>
        </w:rPr>
        <w:t xml:space="preserve">. Information and discoveries are discussed with the learner and the learner encouraged to reflect on the newfound knowledge (Albion 2015). The 5E model </w:t>
      </w:r>
      <w:r w:rsidR="0072395F" w:rsidRPr="00E161DF">
        <w:rPr>
          <w:rFonts w:ascii="Arial" w:hAnsi="Arial" w:cs="Arial"/>
          <w:sz w:val="24"/>
          <w:szCs w:val="24"/>
        </w:rPr>
        <w:t>presents a practical approach commonly used to scaffold inquiry-based science learning in EC education</w:t>
      </w:r>
      <w:r w:rsidR="00557B4B" w:rsidRPr="00E161DF">
        <w:rPr>
          <w:rFonts w:ascii="Arial" w:hAnsi="Arial" w:cs="Arial"/>
          <w:sz w:val="24"/>
          <w:szCs w:val="24"/>
        </w:rPr>
        <w:t xml:space="preserve"> (Bybee</w:t>
      </w:r>
      <w:r w:rsidR="00B013D9" w:rsidRPr="00E161DF">
        <w:rPr>
          <w:rFonts w:ascii="Arial" w:hAnsi="Arial" w:cs="Arial"/>
          <w:sz w:val="24"/>
          <w:szCs w:val="24"/>
        </w:rPr>
        <w:t>,</w:t>
      </w:r>
      <w:r w:rsidR="00557B4B" w:rsidRPr="00E161DF">
        <w:rPr>
          <w:rFonts w:ascii="Arial" w:hAnsi="Arial" w:cs="Arial"/>
          <w:sz w:val="24"/>
          <w:szCs w:val="24"/>
        </w:rPr>
        <w:t xml:space="preserve"> 2015; Ruiz-Martín and Bybee, 2022)</w:t>
      </w:r>
      <w:r w:rsidR="0072395F" w:rsidRPr="00E161DF">
        <w:rPr>
          <w:rFonts w:ascii="Arial" w:hAnsi="Arial" w:cs="Arial"/>
          <w:sz w:val="24"/>
          <w:szCs w:val="24"/>
        </w:rPr>
        <w:t>. During the engage phase, the instructor uses questions to generate interest and help the child to become curious and focus on observation of nature. The instructor helps the child to connect past experiences to new topics and observations</w:t>
      </w:r>
      <w:r w:rsidR="00F0214C">
        <w:rPr>
          <w:rFonts w:ascii="Arial" w:hAnsi="Arial" w:cs="Arial"/>
          <w:sz w:val="24"/>
          <w:szCs w:val="24"/>
        </w:rPr>
        <w:t xml:space="preserve"> </w:t>
      </w:r>
      <w:r w:rsidR="0072395F" w:rsidRPr="00E161DF">
        <w:rPr>
          <w:rFonts w:ascii="Arial" w:hAnsi="Arial" w:cs="Arial"/>
          <w:sz w:val="24"/>
          <w:szCs w:val="24"/>
        </w:rPr>
        <w:t xml:space="preserve">. The explore phase involves asking questions to encourage the child to explore the environment, processes and events helping guide them to engage in productive investigations. In </w:t>
      </w:r>
      <w:r w:rsidR="0072395F" w:rsidRPr="00E161DF">
        <w:rPr>
          <w:rFonts w:ascii="Arial" w:hAnsi="Arial" w:cs="Arial"/>
          <w:sz w:val="24"/>
          <w:szCs w:val="24"/>
        </w:rPr>
        <w:lastRenderedPageBreak/>
        <w:t>the explain phase, the EC teacher may use questions to help the learner to synthesize new understanding and to make sense of their investigations. The learner uses evidence from their investigations to make connections</w:t>
      </w:r>
      <w:r w:rsidR="00F0214C">
        <w:rPr>
          <w:rFonts w:ascii="Arial" w:hAnsi="Arial" w:cs="Arial"/>
          <w:sz w:val="24"/>
          <w:szCs w:val="24"/>
        </w:rPr>
        <w:t xml:space="preserve"> </w:t>
      </w:r>
      <w:r w:rsidR="00557B4B" w:rsidRPr="00E161DF">
        <w:rPr>
          <w:rFonts w:ascii="Arial" w:hAnsi="Arial" w:cs="Arial"/>
          <w:sz w:val="24"/>
          <w:szCs w:val="24"/>
        </w:rPr>
        <w:t xml:space="preserve">. </w:t>
      </w:r>
    </w:p>
    <w:p w14:paraId="441BB2A8" w14:textId="6B6513CB" w:rsidR="00B356E9" w:rsidRPr="00E161DF" w:rsidRDefault="000E0B2F" w:rsidP="00821074">
      <w:pPr>
        <w:pStyle w:val="NoSpacing"/>
        <w:spacing w:line="480" w:lineRule="auto"/>
        <w:rPr>
          <w:rFonts w:ascii="Arial" w:hAnsi="Arial" w:cs="Arial"/>
          <w:sz w:val="24"/>
          <w:szCs w:val="24"/>
        </w:rPr>
      </w:pPr>
      <w:r w:rsidRPr="00E161DF">
        <w:rPr>
          <w:rFonts w:ascii="Arial" w:hAnsi="Arial" w:cs="Arial"/>
          <w:sz w:val="24"/>
          <w:szCs w:val="24"/>
        </w:rPr>
        <w:t xml:space="preserve">Project-based learning involves what is termed as learning by doing (Albion, 2015). In this model, EC instructors work with children or learners to </w:t>
      </w:r>
      <w:r w:rsidR="000B169E" w:rsidRPr="00E161DF">
        <w:rPr>
          <w:rFonts w:ascii="Arial" w:hAnsi="Arial" w:cs="Arial"/>
          <w:sz w:val="24"/>
          <w:szCs w:val="24"/>
        </w:rPr>
        <w:t>formulate meaningful projects. To be meaningful, the project must contain significant content being able to link to the curriculum and elicit the learner’s interest</w:t>
      </w:r>
      <w:r w:rsidR="00027972" w:rsidRPr="00E161DF">
        <w:rPr>
          <w:rFonts w:ascii="Arial" w:hAnsi="Arial" w:cs="Arial"/>
          <w:sz w:val="24"/>
          <w:szCs w:val="24"/>
        </w:rPr>
        <w:t xml:space="preserve"> (Albion</w:t>
      </w:r>
      <w:r w:rsidR="00B013D9" w:rsidRPr="00E161DF">
        <w:rPr>
          <w:rFonts w:ascii="Arial" w:hAnsi="Arial" w:cs="Arial"/>
          <w:sz w:val="24"/>
          <w:szCs w:val="24"/>
        </w:rPr>
        <w:t>,</w:t>
      </w:r>
      <w:r w:rsidR="00027972" w:rsidRPr="00E161DF">
        <w:rPr>
          <w:rFonts w:ascii="Arial" w:hAnsi="Arial" w:cs="Arial"/>
          <w:sz w:val="24"/>
          <w:szCs w:val="24"/>
        </w:rPr>
        <w:t xml:space="preserve"> 2015; DongJin and Mohamad, 2024</w:t>
      </w:r>
      <w:r w:rsidR="000B169E" w:rsidRPr="00E161DF">
        <w:rPr>
          <w:rFonts w:ascii="Arial" w:hAnsi="Arial" w:cs="Arial"/>
          <w:sz w:val="24"/>
          <w:szCs w:val="24"/>
        </w:rPr>
        <w:t xml:space="preserve">. The project may be initiated with an event which engages the interests of the learner and which makes the project relevance clear to the learner. </w:t>
      </w:r>
      <w:r w:rsidR="00EF2905" w:rsidRPr="00E161DF">
        <w:rPr>
          <w:rFonts w:ascii="Arial" w:hAnsi="Arial" w:cs="Arial"/>
          <w:sz w:val="24"/>
          <w:szCs w:val="24"/>
        </w:rPr>
        <w:t xml:space="preserve">It should seek to provide answers to relevant questions linked to the curriculum and should take into account the choices and voices of the learner. </w:t>
      </w:r>
      <w:r w:rsidR="00027972" w:rsidRPr="00E161DF">
        <w:rPr>
          <w:rFonts w:ascii="Arial" w:hAnsi="Arial" w:cs="Arial"/>
          <w:sz w:val="24"/>
          <w:szCs w:val="24"/>
        </w:rPr>
        <w:t>The project should encourage in-depth inquiry and provide opportunities for evaluation. Project-based science education encourages critical thinking providing children with authentic problems which motivate search for solutions (DongJin and Mohamad, 2024; Dinsmore and Fryer, 2023).</w:t>
      </w:r>
    </w:p>
    <w:p w14:paraId="543C8D04" w14:textId="53BFC0AF" w:rsidR="00B356E9" w:rsidRPr="00E161DF" w:rsidRDefault="00B356E9" w:rsidP="00821074">
      <w:pPr>
        <w:pStyle w:val="NoSpacing"/>
        <w:spacing w:line="480" w:lineRule="auto"/>
        <w:rPr>
          <w:rFonts w:ascii="Arial" w:hAnsi="Arial" w:cs="Arial"/>
          <w:sz w:val="24"/>
          <w:szCs w:val="24"/>
        </w:rPr>
      </w:pPr>
      <w:r w:rsidRPr="00E161DF">
        <w:rPr>
          <w:rFonts w:ascii="Arial" w:hAnsi="Arial" w:cs="Arial"/>
          <w:sz w:val="24"/>
          <w:szCs w:val="24"/>
        </w:rPr>
        <w:t xml:space="preserve">In recognition of the role of play in science learning, several regulators and authorities have come up with policies that encourage integration of play in early years practice. The National Association for the Education of Young Children guideline (2018) requires that early year education curriculums include activities that encourage </w:t>
      </w:r>
      <w:r w:rsidR="00B57B58" w:rsidRPr="00E161DF">
        <w:rPr>
          <w:rFonts w:ascii="Arial" w:hAnsi="Arial" w:cs="Arial"/>
          <w:sz w:val="24"/>
          <w:szCs w:val="24"/>
        </w:rPr>
        <w:t>learners to use their five senses to explore, observe and even experiment</w:t>
      </w:r>
      <w:r w:rsidR="001E274F" w:rsidRPr="00E161DF">
        <w:rPr>
          <w:rFonts w:ascii="Arial" w:hAnsi="Arial" w:cs="Arial"/>
          <w:sz w:val="24"/>
          <w:szCs w:val="24"/>
        </w:rPr>
        <w:t xml:space="preserve"> </w:t>
      </w:r>
      <w:r w:rsidR="00B57B58" w:rsidRPr="00E161DF">
        <w:rPr>
          <w:rFonts w:ascii="Arial" w:hAnsi="Arial" w:cs="Arial"/>
          <w:sz w:val="24"/>
          <w:szCs w:val="24"/>
        </w:rPr>
        <w:t>with scientific phenomena</w:t>
      </w:r>
      <w:r w:rsidR="001E274F" w:rsidRPr="00E161DF">
        <w:rPr>
          <w:rFonts w:ascii="Arial" w:hAnsi="Arial" w:cs="Arial"/>
          <w:sz w:val="24"/>
          <w:szCs w:val="24"/>
        </w:rPr>
        <w:t xml:space="preserve">. Instructors are encouraged to provide experiences and materials which may allow children to not only collect data but also represent and document their findings. Whereas the Department of Education early years foundation stage framework does not prescribe a specific teaching approach for the </w:t>
      </w:r>
      <w:r w:rsidR="001E274F" w:rsidRPr="00E161DF">
        <w:rPr>
          <w:rFonts w:ascii="Arial" w:hAnsi="Arial" w:cs="Arial"/>
          <w:sz w:val="24"/>
          <w:szCs w:val="24"/>
        </w:rPr>
        <w:lastRenderedPageBreak/>
        <w:t xml:space="preserve">sciences, it acknowledges the place of play in encouraging learning and require integration of play in learning (Department of Education, 2025). </w:t>
      </w:r>
    </w:p>
    <w:p w14:paraId="13B88B59" w14:textId="76BFAE8D" w:rsidR="00BD23A0" w:rsidRPr="00E161DF" w:rsidRDefault="00BD23A0" w:rsidP="00821074">
      <w:pPr>
        <w:pStyle w:val="NoSpacing"/>
        <w:spacing w:line="480" w:lineRule="auto"/>
        <w:rPr>
          <w:rFonts w:ascii="Arial" w:hAnsi="Arial" w:cs="Arial"/>
          <w:sz w:val="24"/>
          <w:szCs w:val="24"/>
        </w:rPr>
      </w:pPr>
      <w:r w:rsidRPr="00E161DF">
        <w:rPr>
          <w:rFonts w:ascii="Arial" w:hAnsi="Arial" w:cs="Arial"/>
          <w:sz w:val="24"/>
          <w:szCs w:val="24"/>
        </w:rPr>
        <w:t>Despite the foregoing, there remain gaps in the implementation of science teaching and learning in early childhood education. For some EC teachers, the lack of STEM content knowledge remains a major problem</w:t>
      </w:r>
      <w:r w:rsidR="00AC7317" w:rsidRPr="00E161DF">
        <w:rPr>
          <w:rFonts w:ascii="Arial" w:hAnsi="Arial" w:cs="Arial"/>
          <w:sz w:val="24"/>
          <w:szCs w:val="24"/>
        </w:rPr>
        <w:t xml:space="preserve"> (Leung, 2023)</w:t>
      </w:r>
      <w:r w:rsidRPr="00E161DF">
        <w:rPr>
          <w:rFonts w:ascii="Arial" w:hAnsi="Arial" w:cs="Arial"/>
          <w:sz w:val="24"/>
          <w:szCs w:val="24"/>
        </w:rPr>
        <w:t>. This makes it challenging to prepare and to implement science teaching curriculum</w:t>
      </w:r>
      <w:r w:rsidR="00AC7317" w:rsidRPr="00E161DF">
        <w:rPr>
          <w:rFonts w:ascii="Arial" w:hAnsi="Arial" w:cs="Arial"/>
          <w:sz w:val="24"/>
          <w:szCs w:val="24"/>
        </w:rPr>
        <w:t xml:space="preserve"> .</w:t>
      </w:r>
      <w:r w:rsidRPr="00E161DF">
        <w:rPr>
          <w:rFonts w:ascii="Arial" w:hAnsi="Arial" w:cs="Arial"/>
          <w:sz w:val="24"/>
          <w:szCs w:val="24"/>
        </w:rPr>
        <w:t xml:space="preserve"> </w:t>
      </w:r>
      <w:r w:rsidR="009D5919" w:rsidRPr="00E161DF">
        <w:rPr>
          <w:rFonts w:ascii="Arial" w:hAnsi="Arial" w:cs="Arial"/>
          <w:sz w:val="24"/>
          <w:szCs w:val="24"/>
        </w:rPr>
        <w:t xml:space="preserve">Additionally, there still remain considerable gaps in understanding how ECE learners and instructors approach science learning and teaching respectively (Raven and Wenner, 2022). Even when the role of play in science learning is well-appreciated, few studies examining the context of such play activities exist and their influence on science and math concept learning is still not sufficiently characterized (Akman and </w:t>
      </w:r>
      <w:proofErr w:type="spellStart"/>
      <w:r w:rsidR="009D5919" w:rsidRPr="00E161DF">
        <w:rPr>
          <w:rFonts w:ascii="Arial" w:hAnsi="Arial" w:cs="Arial"/>
          <w:sz w:val="24"/>
          <w:szCs w:val="24"/>
        </w:rPr>
        <w:t>Güçhan</w:t>
      </w:r>
      <w:proofErr w:type="spellEnd"/>
      <w:r w:rsidR="009D5919" w:rsidRPr="00E161DF">
        <w:rPr>
          <w:rFonts w:ascii="Arial" w:hAnsi="Arial" w:cs="Arial"/>
          <w:sz w:val="24"/>
          <w:szCs w:val="24"/>
        </w:rPr>
        <w:t xml:space="preserve"> Özgül, 2015). As a result, there is definite need for additional studies</w:t>
      </w:r>
      <w:r w:rsidR="00AC7317" w:rsidRPr="00E161DF">
        <w:rPr>
          <w:rFonts w:ascii="Arial" w:hAnsi="Arial" w:cs="Arial"/>
          <w:sz w:val="24"/>
          <w:szCs w:val="24"/>
        </w:rPr>
        <w:t xml:space="preserve"> in this respect.</w:t>
      </w:r>
    </w:p>
    <w:p w14:paraId="0AEE5249" w14:textId="3A0BCCEA" w:rsidR="00A50D83" w:rsidRPr="00E161DF" w:rsidRDefault="00A50D83" w:rsidP="00821074">
      <w:pPr>
        <w:spacing w:after="0" w:line="480" w:lineRule="auto"/>
        <w:rPr>
          <w:rFonts w:ascii="Arial" w:hAnsi="Arial" w:cs="Arial"/>
          <w:sz w:val="24"/>
          <w:szCs w:val="24"/>
        </w:rPr>
      </w:pPr>
      <w:r w:rsidRPr="00E161DF">
        <w:rPr>
          <w:rFonts w:ascii="Arial" w:hAnsi="Arial" w:cs="Arial"/>
          <w:b/>
          <w:bCs/>
          <w:sz w:val="24"/>
          <w:szCs w:val="24"/>
        </w:rPr>
        <w:t xml:space="preserve">Methodological </w:t>
      </w:r>
      <w:r w:rsidR="007C7ADA" w:rsidRPr="00E161DF">
        <w:rPr>
          <w:rFonts w:ascii="Arial" w:hAnsi="Arial" w:cs="Arial"/>
          <w:b/>
          <w:bCs/>
          <w:sz w:val="24"/>
          <w:szCs w:val="24"/>
        </w:rPr>
        <w:t>C</w:t>
      </w:r>
      <w:r w:rsidRPr="00E161DF">
        <w:rPr>
          <w:rFonts w:ascii="Arial" w:hAnsi="Arial" w:cs="Arial"/>
          <w:b/>
          <w:bCs/>
          <w:sz w:val="24"/>
          <w:szCs w:val="24"/>
        </w:rPr>
        <w:t>onsiderations</w:t>
      </w:r>
    </w:p>
    <w:p w14:paraId="652B8D78" w14:textId="6FE3F23D" w:rsidR="00F937F3" w:rsidRPr="00E161DF" w:rsidRDefault="00A43C64" w:rsidP="00821074">
      <w:pPr>
        <w:spacing w:after="0" w:line="480" w:lineRule="auto"/>
        <w:rPr>
          <w:rFonts w:ascii="Arial" w:hAnsi="Arial" w:cs="Arial"/>
          <w:sz w:val="24"/>
          <w:szCs w:val="24"/>
        </w:rPr>
      </w:pPr>
      <w:r w:rsidRPr="00E161DF">
        <w:rPr>
          <w:rFonts w:ascii="Arial" w:hAnsi="Arial" w:cs="Arial"/>
          <w:b/>
          <w:bCs/>
          <w:sz w:val="24"/>
          <w:szCs w:val="24"/>
        </w:rPr>
        <w:t>C</w:t>
      </w:r>
      <w:r w:rsidR="00A50D83" w:rsidRPr="00E161DF">
        <w:rPr>
          <w:rFonts w:ascii="Arial" w:hAnsi="Arial" w:cs="Arial"/>
          <w:b/>
          <w:bCs/>
          <w:sz w:val="24"/>
          <w:szCs w:val="24"/>
        </w:rPr>
        <w:t>hosen</w:t>
      </w:r>
      <w:r w:rsidR="00A50D83" w:rsidRPr="00E161DF">
        <w:rPr>
          <w:rFonts w:ascii="Arial" w:hAnsi="Arial" w:cs="Arial"/>
          <w:sz w:val="24"/>
          <w:szCs w:val="24"/>
        </w:rPr>
        <w:t xml:space="preserve"> </w:t>
      </w:r>
      <w:r w:rsidRPr="00E161DF">
        <w:rPr>
          <w:rFonts w:ascii="Arial" w:hAnsi="Arial" w:cs="Arial"/>
          <w:b/>
          <w:bCs/>
          <w:sz w:val="24"/>
          <w:szCs w:val="24"/>
        </w:rPr>
        <w:t>S</w:t>
      </w:r>
      <w:r w:rsidR="00A50D83" w:rsidRPr="00E161DF">
        <w:rPr>
          <w:rFonts w:ascii="Arial" w:hAnsi="Arial" w:cs="Arial"/>
          <w:b/>
          <w:bCs/>
          <w:sz w:val="24"/>
          <w:szCs w:val="24"/>
        </w:rPr>
        <w:t>ample</w:t>
      </w:r>
    </w:p>
    <w:p w14:paraId="10642A20" w14:textId="1833CFCC" w:rsidR="009A2140" w:rsidRPr="00E161DF" w:rsidRDefault="00F937F3" w:rsidP="00821074">
      <w:pPr>
        <w:spacing w:after="0" w:line="480" w:lineRule="auto"/>
        <w:rPr>
          <w:rFonts w:ascii="Arial" w:hAnsi="Arial" w:cs="Arial"/>
          <w:sz w:val="24"/>
          <w:szCs w:val="24"/>
        </w:rPr>
      </w:pPr>
      <w:r w:rsidRPr="00E161DF">
        <w:rPr>
          <w:rFonts w:ascii="Arial" w:hAnsi="Arial" w:cs="Arial"/>
          <w:sz w:val="24"/>
          <w:szCs w:val="24"/>
        </w:rPr>
        <w:t>In research, a sample may be defined as a subset of a population from whom data is collected. For the purpose of the proposed study, the sample will include 41 classrooms in Swansea. The sample size will include approximately 600 children and about 100 teachers. The study seeks to include both learners and teachers to provide multiple perspectives on learning</w:t>
      </w:r>
      <w:r w:rsidR="00D574DC" w:rsidRPr="00E161DF">
        <w:rPr>
          <w:rFonts w:ascii="Arial" w:hAnsi="Arial" w:cs="Arial"/>
          <w:sz w:val="24"/>
          <w:szCs w:val="24"/>
        </w:rPr>
        <w:t xml:space="preserve">. The teachers included in the study will provide insight into instructional strategies and classroom management during learning. The children will provide important feedback on engagement and effectiveness of the learning techniques employed in the classroom. Including both teachers and learners will help the researcher to better understand interactional </w:t>
      </w:r>
      <w:r w:rsidR="00D574DC" w:rsidRPr="00E161DF">
        <w:rPr>
          <w:rFonts w:ascii="Arial" w:hAnsi="Arial" w:cs="Arial"/>
          <w:sz w:val="24"/>
          <w:szCs w:val="24"/>
        </w:rPr>
        <w:lastRenderedPageBreak/>
        <w:t>dynamics as well as capture key contextual factors influencing the learning process</w:t>
      </w:r>
      <w:r w:rsidR="00D63CE3" w:rsidRPr="00E161DF">
        <w:rPr>
          <w:rFonts w:ascii="Arial" w:hAnsi="Arial" w:cs="Arial"/>
          <w:sz w:val="24"/>
          <w:szCs w:val="24"/>
        </w:rPr>
        <w:t xml:space="preserve"> (Siddig and </w:t>
      </w:r>
      <w:proofErr w:type="spellStart"/>
      <w:r w:rsidR="00D63CE3" w:rsidRPr="00E161DF">
        <w:rPr>
          <w:rFonts w:ascii="Arial" w:hAnsi="Arial" w:cs="Arial"/>
          <w:sz w:val="24"/>
          <w:szCs w:val="24"/>
        </w:rPr>
        <w:t>Alkhoudary</w:t>
      </w:r>
      <w:proofErr w:type="spellEnd"/>
      <w:r w:rsidR="00D63CE3" w:rsidRPr="00E161DF">
        <w:rPr>
          <w:rFonts w:ascii="Arial" w:hAnsi="Arial" w:cs="Arial"/>
          <w:sz w:val="24"/>
          <w:szCs w:val="24"/>
        </w:rPr>
        <w:t>, 2018).</w:t>
      </w:r>
    </w:p>
    <w:p w14:paraId="388DA630" w14:textId="477C7BD5" w:rsidR="00A50D83" w:rsidRPr="00E161DF" w:rsidRDefault="00A50D83" w:rsidP="00821074">
      <w:pPr>
        <w:spacing w:after="0" w:line="480" w:lineRule="auto"/>
        <w:rPr>
          <w:rFonts w:ascii="Arial" w:hAnsi="Arial" w:cs="Arial"/>
          <w:b/>
          <w:bCs/>
          <w:sz w:val="24"/>
          <w:szCs w:val="24"/>
        </w:rPr>
      </w:pPr>
      <w:r w:rsidRPr="00E161DF">
        <w:rPr>
          <w:rFonts w:ascii="Arial" w:hAnsi="Arial" w:cs="Arial"/>
          <w:b/>
          <w:bCs/>
          <w:sz w:val="24"/>
          <w:szCs w:val="24"/>
        </w:rPr>
        <w:t xml:space="preserve">What </w:t>
      </w:r>
      <w:r w:rsidR="00B013D9" w:rsidRPr="00E161DF">
        <w:rPr>
          <w:rFonts w:ascii="Arial" w:hAnsi="Arial" w:cs="Arial"/>
          <w:b/>
          <w:bCs/>
          <w:sz w:val="24"/>
          <w:szCs w:val="24"/>
        </w:rPr>
        <w:t>T</w:t>
      </w:r>
      <w:r w:rsidRPr="00E161DF">
        <w:rPr>
          <w:rFonts w:ascii="Arial" w:hAnsi="Arial" w:cs="Arial"/>
          <w:b/>
          <w:bCs/>
          <w:sz w:val="24"/>
          <w:szCs w:val="24"/>
        </w:rPr>
        <w:t xml:space="preserve">ype of </w:t>
      </w:r>
      <w:r w:rsidR="00B013D9" w:rsidRPr="00E161DF">
        <w:rPr>
          <w:rFonts w:ascii="Arial" w:hAnsi="Arial" w:cs="Arial"/>
          <w:b/>
          <w:bCs/>
          <w:sz w:val="24"/>
          <w:szCs w:val="24"/>
        </w:rPr>
        <w:t>S</w:t>
      </w:r>
      <w:r w:rsidRPr="00E161DF">
        <w:rPr>
          <w:rFonts w:ascii="Arial" w:hAnsi="Arial" w:cs="Arial"/>
          <w:b/>
          <w:bCs/>
          <w:sz w:val="24"/>
          <w:szCs w:val="24"/>
        </w:rPr>
        <w:t>ample is it</w:t>
      </w:r>
    </w:p>
    <w:p w14:paraId="4DA3BF6E" w14:textId="583FF998" w:rsidR="00D574DC" w:rsidRPr="00E161DF" w:rsidRDefault="001E5709" w:rsidP="00821074">
      <w:pPr>
        <w:spacing w:after="0" w:line="480" w:lineRule="auto"/>
        <w:rPr>
          <w:rFonts w:ascii="Arial" w:hAnsi="Arial" w:cs="Arial"/>
          <w:sz w:val="24"/>
          <w:szCs w:val="24"/>
        </w:rPr>
      </w:pPr>
      <w:r w:rsidRPr="00E161DF">
        <w:rPr>
          <w:rFonts w:ascii="Arial" w:hAnsi="Arial" w:cs="Arial"/>
          <w:sz w:val="24"/>
          <w:szCs w:val="24"/>
        </w:rPr>
        <w:t xml:space="preserve">The proposed study will use purposive sampling. </w:t>
      </w:r>
      <w:r w:rsidR="001E5F4C" w:rsidRPr="00E161DF">
        <w:rPr>
          <w:rFonts w:ascii="Arial" w:hAnsi="Arial" w:cs="Arial"/>
          <w:sz w:val="24"/>
          <w:szCs w:val="24"/>
        </w:rPr>
        <w:t>This is a type of non-probability sampling strategy in which participants are selected on the basis of specific characteristics or experiences that are considered relevant to the study</w:t>
      </w:r>
      <w:r w:rsidR="00D63CE3" w:rsidRPr="00E161DF">
        <w:rPr>
          <w:rFonts w:ascii="Arial" w:hAnsi="Arial" w:cs="Arial"/>
          <w:sz w:val="24"/>
          <w:szCs w:val="24"/>
        </w:rPr>
        <w:t xml:space="preserve"> (Palinkas </w:t>
      </w:r>
      <w:r w:rsidR="00D63CE3" w:rsidRPr="00F0214C">
        <w:rPr>
          <w:rFonts w:ascii="Arial" w:hAnsi="Arial" w:cs="Arial"/>
          <w:i/>
          <w:iCs/>
          <w:sz w:val="24"/>
          <w:szCs w:val="24"/>
        </w:rPr>
        <w:t>et al</w:t>
      </w:r>
      <w:r w:rsidR="00D63CE3" w:rsidRPr="00E161DF">
        <w:rPr>
          <w:rFonts w:ascii="Arial" w:hAnsi="Arial" w:cs="Arial"/>
          <w:sz w:val="24"/>
          <w:szCs w:val="24"/>
        </w:rPr>
        <w:t>., 2015)</w:t>
      </w:r>
      <w:r w:rsidR="001E5F4C" w:rsidRPr="00E161DF">
        <w:rPr>
          <w:rFonts w:ascii="Arial" w:hAnsi="Arial" w:cs="Arial"/>
          <w:sz w:val="24"/>
          <w:szCs w:val="24"/>
        </w:rPr>
        <w:t xml:space="preserve">. In the proposed study, teachers are selected because they possess specialised knowledge and experiences and viewed as experts on the subject. Purposive sampling </w:t>
      </w:r>
      <w:r w:rsidR="00DC1B85" w:rsidRPr="00E161DF">
        <w:rPr>
          <w:rFonts w:ascii="Arial" w:hAnsi="Arial" w:cs="Arial"/>
          <w:sz w:val="24"/>
          <w:szCs w:val="24"/>
        </w:rPr>
        <w:t>ensures targeted relevance which can result in information-reach sources that are highly useful for the research question</w:t>
      </w:r>
      <w:r w:rsidR="00D63CE3" w:rsidRPr="00E161DF">
        <w:rPr>
          <w:rFonts w:ascii="Arial" w:hAnsi="Arial" w:cs="Arial"/>
          <w:sz w:val="24"/>
          <w:szCs w:val="24"/>
        </w:rPr>
        <w:t> </w:t>
      </w:r>
      <w:r w:rsidR="00DC1B85" w:rsidRPr="00E161DF">
        <w:rPr>
          <w:rFonts w:ascii="Arial" w:hAnsi="Arial" w:cs="Arial"/>
          <w:sz w:val="24"/>
          <w:szCs w:val="24"/>
        </w:rPr>
        <w:t>. Purposive sampling ensures efficiency by concentrating resources on participants who are most likely to yield deep and relevant data. Despite the foregoing advantages, purposive sampling has limited generalizability</w:t>
      </w:r>
      <w:r w:rsidR="00AD2A5D" w:rsidRPr="00E161DF">
        <w:rPr>
          <w:rFonts w:ascii="Arial" w:hAnsi="Arial" w:cs="Arial"/>
          <w:sz w:val="24"/>
          <w:szCs w:val="24"/>
        </w:rPr>
        <w:t xml:space="preserve"> (Patton</w:t>
      </w:r>
      <w:r w:rsidR="00B013D9" w:rsidRPr="00E161DF">
        <w:rPr>
          <w:rFonts w:ascii="Arial" w:hAnsi="Arial" w:cs="Arial"/>
          <w:sz w:val="24"/>
          <w:szCs w:val="24"/>
        </w:rPr>
        <w:t>,</w:t>
      </w:r>
      <w:r w:rsidR="00AD2A5D" w:rsidRPr="00E161DF">
        <w:rPr>
          <w:rFonts w:ascii="Arial" w:hAnsi="Arial" w:cs="Arial"/>
          <w:sz w:val="24"/>
          <w:szCs w:val="24"/>
        </w:rPr>
        <w:t xml:space="preserve"> 2015)</w:t>
      </w:r>
      <w:r w:rsidR="00DC1B85" w:rsidRPr="00E161DF">
        <w:rPr>
          <w:rFonts w:ascii="Arial" w:hAnsi="Arial" w:cs="Arial"/>
          <w:sz w:val="24"/>
          <w:szCs w:val="24"/>
        </w:rPr>
        <w:t>. The sample may not be sufficiently representative and, as a result, the data may not be generalized to the larger population</w:t>
      </w:r>
      <w:r w:rsidR="00AD2A5D" w:rsidRPr="00E161DF">
        <w:rPr>
          <w:rFonts w:ascii="Arial" w:hAnsi="Arial" w:cs="Arial"/>
          <w:sz w:val="24"/>
          <w:szCs w:val="24"/>
        </w:rPr>
        <w:t xml:space="preserve"> </w:t>
      </w:r>
      <w:r w:rsidR="00DC1B85" w:rsidRPr="00E161DF">
        <w:rPr>
          <w:rFonts w:ascii="Arial" w:hAnsi="Arial" w:cs="Arial"/>
          <w:sz w:val="24"/>
          <w:szCs w:val="24"/>
        </w:rPr>
        <w:t xml:space="preserve">. This type of sampling has inferential limitations as this may require probability samples. </w:t>
      </w:r>
    </w:p>
    <w:p w14:paraId="027BF8F5" w14:textId="1644DB52" w:rsidR="00C24176" w:rsidRPr="00E161DF" w:rsidRDefault="00C24176" w:rsidP="00821074">
      <w:pPr>
        <w:spacing w:after="0" w:line="480" w:lineRule="auto"/>
        <w:rPr>
          <w:rFonts w:ascii="Arial" w:hAnsi="Arial" w:cs="Arial"/>
          <w:sz w:val="24"/>
          <w:szCs w:val="24"/>
        </w:rPr>
      </w:pPr>
      <w:r w:rsidRPr="00E161DF">
        <w:rPr>
          <w:rFonts w:ascii="Arial" w:hAnsi="Arial" w:cs="Arial"/>
          <w:sz w:val="24"/>
          <w:szCs w:val="24"/>
        </w:rPr>
        <w:t>The chosen sample size of 40 classrooms, 600 children and 100 teachers will ensure sufficient statistical power taking into consideration resource limitations. Too small a sample size frequently yields false negatives and increases chances of failing to detect otherwise real effects</w:t>
      </w:r>
      <w:r w:rsidR="00AD2A5D" w:rsidRPr="00E161DF">
        <w:rPr>
          <w:rFonts w:ascii="Arial" w:hAnsi="Arial" w:cs="Arial"/>
          <w:sz w:val="24"/>
          <w:szCs w:val="24"/>
        </w:rPr>
        <w:t xml:space="preserve"> (Button </w:t>
      </w:r>
      <w:r w:rsidR="00AD2A5D" w:rsidRPr="00E161DF">
        <w:rPr>
          <w:rFonts w:ascii="Arial" w:hAnsi="Arial" w:cs="Arial"/>
          <w:i/>
          <w:iCs/>
          <w:sz w:val="24"/>
          <w:szCs w:val="24"/>
        </w:rPr>
        <w:t>et al.,</w:t>
      </w:r>
      <w:r w:rsidR="00AD2A5D" w:rsidRPr="00E161DF">
        <w:rPr>
          <w:rFonts w:ascii="Arial" w:hAnsi="Arial" w:cs="Arial"/>
          <w:sz w:val="24"/>
          <w:szCs w:val="24"/>
        </w:rPr>
        <w:t xml:space="preserve"> 2013)</w:t>
      </w:r>
      <w:r w:rsidRPr="00E161DF">
        <w:rPr>
          <w:rFonts w:ascii="Arial" w:hAnsi="Arial" w:cs="Arial"/>
          <w:sz w:val="24"/>
          <w:szCs w:val="24"/>
        </w:rPr>
        <w:t xml:space="preserve">. When researchers fail to answer research questions, participants’ and researcher’s time is often wasted. On the other hand, too large a sample size can be extremely costly and may detect trivial, meaningless differences that may make data interpretation difficult. </w:t>
      </w:r>
    </w:p>
    <w:p w14:paraId="6910C638" w14:textId="77777777" w:rsidR="00D6106D" w:rsidRDefault="00D6106D" w:rsidP="00821074">
      <w:pPr>
        <w:spacing w:after="0" w:line="480" w:lineRule="auto"/>
        <w:rPr>
          <w:rFonts w:ascii="Arial" w:hAnsi="Arial" w:cs="Arial"/>
          <w:b/>
          <w:bCs/>
          <w:sz w:val="24"/>
          <w:szCs w:val="24"/>
        </w:rPr>
      </w:pPr>
    </w:p>
    <w:p w14:paraId="34DFC729" w14:textId="77777777" w:rsidR="00D6106D" w:rsidRDefault="00D6106D" w:rsidP="00821074">
      <w:pPr>
        <w:spacing w:after="0" w:line="480" w:lineRule="auto"/>
        <w:rPr>
          <w:rFonts w:ascii="Arial" w:hAnsi="Arial" w:cs="Arial"/>
          <w:b/>
          <w:bCs/>
          <w:sz w:val="24"/>
          <w:szCs w:val="24"/>
        </w:rPr>
      </w:pPr>
    </w:p>
    <w:p w14:paraId="03C70BB7" w14:textId="43913660" w:rsidR="00A50D83" w:rsidRPr="00E161DF" w:rsidRDefault="00A43C64" w:rsidP="00821074">
      <w:pPr>
        <w:spacing w:after="0" w:line="480" w:lineRule="auto"/>
        <w:rPr>
          <w:rFonts w:ascii="Arial" w:hAnsi="Arial" w:cs="Arial"/>
          <w:b/>
          <w:bCs/>
          <w:sz w:val="24"/>
          <w:szCs w:val="24"/>
        </w:rPr>
      </w:pPr>
      <w:r w:rsidRPr="00E161DF">
        <w:rPr>
          <w:rFonts w:ascii="Arial" w:hAnsi="Arial" w:cs="Arial"/>
          <w:b/>
          <w:bCs/>
          <w:sz w:val="24"/>
          <w:szCs w:val="24"/>
        </w:rPr>
        <w:lastRenderedPageBreak/>
        <w:t>C</w:t>
      </w:r>
      <w:r w:rsidR="00A50D83" w:rsidRPr="00E161DF">
        <w:rPr>
          <w:rFonts w:ascii="Arial" w:hAnsi="Arial" w:cs="Arial"/>
          <w:b/>
          <w:bCs/>
          <w:sz w:val="24"/>
          <w:szCs w:val="24"/>
        </w:rPr>
        <w:t xml:space="preserve">hosen methods for </w:t>
      </w:r>
      <w:r w:rsidRPr="00E161DF">
        <w:rPr>
          <w:rFonts w:ascii="Arial" w:hAnsi="Arial" w:cs="Arial"/>
          <w:b/>
          <w:bCs/>
          <w:sz w:val="24"/>
          <w:szCs w:val="24"/>
        </w:rPr>
        <w:t xml:space="preserve">the </w:t>
      </w:r>
      <w:r w:rsidR="00A50D83" w:rsidRPr="00E161DF">
        <w:rPr>
          <w:rFonts w:ascii="Arial" w:hAnsi="Arial" w:cs="Arial"/>
          <w:b/>
          <w:bCs/>
          <w:sz w:val="24"/>
          <w:szCs w:val="24"/>
        </w:rPr>
        <w:t>research project</w:t>
      </w:r>
    </w:p>
    <w:p w14:paraId="3348E7A1" w14:textId="7B12E0BF" w:rsidR="00156F0B" w:rsidRPr="00E161DF" w:rsidRDefault="00156F0B" w:rsidP="00821074">
      <w:pPr>
        <w:spacing w:after="0" w:line="480" w:lineRule="auto"/>
        <w:rPr>
          <w:rFonts w:ascii="Arial" w:hAnsi="Arial" w:cs="Arial"/>
          <w:sz w:val="24"/>
          <w:szCs w:val="24"/>
        </w:rPr>
      </w:pPr>
      <w:r w:rsidRPr="00E161DF">
        <w:rPr>
          <w:rFonts w:ascii="Arial" w:hAnsi="Arial" w:cs="Arial"/>
          <w:sz w:val="24"/>
          <w:szCs w:val="24"/>
        </w:rPr>
        <w:t xml:space="preserve">The proposed study will use mixed methods. </w:t>
      </w:r>
      <w:r w:rsidR="00986B31" w:rsidRPr="00E161DF">
        <w:rPr>
          <w:rFonts w:ascii="Arial" w:hAnsi="Arial" w:cs="Arial"/>
          <w:sz w:val="24"/>
          <w:szCs w:val="24"/>
        </w:rPr>
        <w:t xml:space="preserve">In effect, the study will employ both </w:t>
      </w:r>
      <w:r w:rsidR="0077719D" w:rsidRPr="00E161DF">
        <w:rPr>
          <w:rFonts w:ascii="Arial" w:hAnsi="Arial" w:cs="Arial"/>
          <w:sz w:val="24"/>
          <w:szCs w:val="24"/>
        </w:rPr>
        <w:t>quantitative</w:t>
      </w:r>
      <w:r w:rsidR="00986B31" w:rsidRPr="00E161DF">
        <w:rPr>
          <w:rFonts w:ascii="Arial" w:hAnsi="Arial" w:cs="Arial"/>
          <w:sz w:val="24"/>
          <w:szCs w:val="24"/>
        </w:rPr>
        <w:t xml:space="preserve"> and qualitative techniques. Quantitative studies frequently make use of structured data collection instruments with predefined variables. These studies employ statistical techniques to statistically measure a phenomenon and test hypotheses</w:t>
      </w:r>
      <w:r w:rsidR="00AD2A5D" w:rsidRPr="00E161DF">
        <w:rPr>
          <w:rFonts w:ascii="Arial" w:hAnsi="Arial" w:cs="Arial"/>
          <w:sz w:val="24"/>
          <w:szCs w:val="24"/>
        </w:rPr>
        <w:t xml:space="preserve"> (Creswell and Creswell</w:t>
      </w:r>
      <w:r w:rsidR="00B013D9" w:rsidRPr="00E161DF">
        <w:rPr>
          <w:rFonts w:ascii="Arial" w:hAnsi="Arial" w:cs="Arial"/>
          <w:sz w:val="24"/>
          <w:szCs w:val="24"/>
        </w:rPr>
        <w:t>,</w:t>
      </w:r>
      <w:r w:rsidR="00AD2A5D" w:rsidRPr="00E161DF">
        <w:rPr>
          <w:rFonts w:ascii="Arial" w:hAnsi="Arial" w:cs="Arial"/>
          <w:sz w:val="24"/>
          <w:szCs w:val="24"/>
        </w:rPr>
        <w:t xml:space="preserve"> 2018)</w:t>
      </w:r>
      <w:r w:rsidR="00986B31" w:rsidRPr="00E161DF">
        <w:rPr>
          <w:rFonts w:ascii="Arial" w:hAnsi="Arial" w:cs="Arial"/>
          <w:sz w:val="24"/>
          <w:szCs w:val="24"/>
        </w:rPr>
        <w:t>. Quantitative research allows researchers to generalize findings to their target populations provided that the sampling technique is appropriate and that the sample size is sufficient. This method allows researchers to produce potentially precise and replicable findings which can be useful for hypothesis testing as well as causal inference</w:t>
      </w:r>
      <w:r w:rsidR="00AD2A5D" w:rsidRPr="00E161DF">
        <w:rPr>
          <w:rFonts w:ascii="Arial" w:hAnsi="Arial" w:cs="Arial"/>
          <w:sz w:val="24"/>
          <w:szCs w:val="24"/>
        </w:rPr>
        <w:t xml:space="preserve"> </w:t>
      </w:r>
      <w:r w:rsidR="00986B31" w:rsidRPr="00E161DF">
        <w:rPr>
          <w:rFonts w:ascii="Arial" w:hAnsi="Arial" w:cs="Arial"/>
          <w:sz w:val="24"/>
          <w:szCs w:val="24"/>
        </w:rPr>
        <w:t xml:space="preserve">. </w:t>
      </w:r>
      <w:r w:rsidR="0046175F" w:rsidRPr="00E161DF">
        <w:rPr>
          <w:rFonts w:ascii="Arial" w:hAnsi="Arial" w:cs="Arial"/>
          <w:sz w:val="24"/>
          <w:szCs w:val="24"/>
        </w:rPr>
        <w:t>Additionally, quantitative research may allow for better comparison of findings across different groups. However, studies employing pure quantitative methods risk missing out on context and nuances structured measures frequently overlook emergent and contextual factors</w:t>
      </w:r>
      <w:r w:rsidR="00AD2A5D" w:rsidRPr="00E161DF">
        <w:rPr>
          <w:rFonts w:ascii="Arial" w:hAnsi="Arial" w:cs="Arial"/>
          <w:sz w:val="24"/>
          <w:szCs w:val="24"/>
        </w:rPr>
        <w:t xml:space="preserve"> (Sapkota</w:t>
      </w:r>
      <w:r w:rsidR="00B013D9" w:rsidRPr="00E161DF">
        <w:rPr>
          <w:rFonts w:ascii="Arial" w:hAnsi="Arial" w:cs="Arial"/>
          <w:sz w:val="24"/>
          <w:szCs w:val="24"/>
        </w:rPr>
        <w:t>,</w:t>
      </w:r>
      <w:r w:rsidR="00AD2A5D" w:rsidRPr="00E161DF">
        <w:rPr>
          <w:rFonts w:ascii="Arial" w:hAnsi="Arial" w:cs="Arial"/>
          <w:sz w:val="24"/>
          <w:szCs w:val="24"/>
        </w:rPr>
        <w:t xml:space="preserve"> 2024)</w:t>
      </w:r>
      <w:r w:rsidR="0046175F" w:rsidRPr="00E161DF">
        <w:rPr>
          <w:rFonts w:ascii="Arial" w:hAnsi="Arial" w:cs="Arial"/>
          <w:sz w:val="24"/>
          <w:szCs w:val="24"/>
        </w:rPr>
        <w:t xml:space="preserve"> The study instruments employed in quantitative studies are often rigid risking producing superficial measures that are culturally misaligned. Additionally, these studies often require comparatively larger samples making them costlier and more logistically complex.</w:t>
      </w:r>
    </w:p>
    <w:p w14:paraId="47FDF1BF" w14:textId="53E115BB" w:rsidR="00FD250E" w:rsidRPr="00E161DF" w:rsidRDefault="00FD250E" w:rsidP="00821074">
      <w:pPr>
        <w:spacing w:after="0" w:line="480" w:lineRule="auto"/>
        <w:rPr>
          <w:rFonts w:ascii="Arial" w:hAnsi="Arial" w:cs="Arial"/>
          <w:sz w:val="24"/>
          <w:szCs w:val="24"/>
        </w:rPr>
      </w:pPr>
      <w:r w:rsidRPr="00E161DF">
        <w:rPr>
          <w:rFonts w:ascii="Arial" w:hAnsi="Arial" w:cs="Arial"/>
          <w:sz w:val="24"/>
          <w:szCs w:val="24"/>
        </w:rPr>
        <w:t xml:space="preserve">On the other hand, qualitative research makes use of rich and detailed non-quantitative data often collected through interviews, focus groups, observations or document analysis. This approach aims to better understand participant perspectives and contextual factors that are relevant to a phenomenon or phenomena. This way, qualitative studies </w:t>
      </w:r>
      <w:r w:rsidR="00036A9B" w:rsidRPr="00E161DF">
        <w:rPr>
          <w:rFonts w:ascii="Arial" w:hAnsi="Arial" w:cs="Arial"/>
          <w:sz w:val="24"/>
          <w:szCs w:val="24"/>
        </w:rPr>
        <w:t>help produce rich descriptions of target phenomena or subjects and help inform theory development</w:t>
      </w:r>
      <w:r w:rsidR="00F321F8" w:rsidRPr="00E161DF">
        <w:rPr>
          <w:rFonts w:ascii="Arial" w:hAnsi="Arial" w:cs="Arial"/>
          <w:sz w:val="24"/>
          <w:szCs w:val="24"/>
        </w:rPr>
        <w:t xml:space="preserve"> (Tracy, 2010)</w:t>
      </w:r>
      <w:r w:rsidR="00036A9B" w:rsidRPr="00E161DF">
        <w:rPr>
          <w:rFonts w:ascii="Arial" w:hAnsi="Arial" w:cs="Arial"/>
          <w:sz w:val="24"/>
          <w:szCs w:val="24"/>
        </w:rPr>
        <w:t xml:space="preserve"> The researcher may better capture complexities and the lived experiences of participants. The researcher may better explore emergent and potentially context-specific factors that may then inform </w:t>
      </w:r>
      <w:r w:rsidR="00036A9B" w:rsidRPr="00E161DF">
        <w:rPr>
          <w:rFonts w:ascii="Arial" w:hAnsi="Arial" w:cs="Arial"/>
          <w:sz w:val="24"/>
          <w:szCs w:val="24"/>
        </w:rPr>
        <w:lastRenderedPageBreak/>
        <w:t>additional studies</w:t>
      </w:r>
      <w:r w:rsidR="00F321F8" w:rsidRPr="00E161DF">
        <w:rPr>
          <w:rFonts w:ascii="Arial" w:hAnsi="Arial" w:cs="Arial"/>
          <w:sz w:val="24"/>
          <w:szCs w:val="24"/>
        </w:rPr>
        <w:t xml:space="preserve"> (Tracy, 2018)</w:t>
      </w:r>
      <w:r w:rsidR="00036A9B" w:rsidRPr="00E161DF">
        <w:rPr>
          <w:rFonts w:ascii="Arial" w:hAnsi="Arial" w:cs="Arial"/>
          <w:sz w:val="24"/>
          <w:szCs w:val="24"/>
        </w:rPr>
        <w:t xml:space="preserve">. However, </w:t>
      </w:r>
      <w:r w:rsidR="003F5B60" w:rsidRPr="00E161DF">
        <w:rPr>
          <w:rFonts w:ascii="Arial" w:hAnsi="Arial" w:cs="Arial"/>
          <w:sz w:val="24"/>
          <w:szCs w:val="24"/>
        </w:rPr>
        <w:t>results of qualitative studies can be difficult to generalize</w:t>
      </w:r>
      <w:r w:rsidR="00F321F8" w:rsidRPr="00E161DF">
        <w:rPr>
          <w:rFonts w:ascii="Arial" w:hAnsi="Arial" w:cs="Arial"/>
          <w:sz w:val="24"/>
          <w:szCs w:val="24"/>
        </w:rPr>
        <w:t xml:space="preserve"> (Mwita, 2022)</w:t>
      </w:r>
      <w:r w:rsidR="003F5B60" w:rsidRPr="00E161DF">
        <w:rPr>
          <w:rFonts w:ascii="Arial" w:hAnsi="Arial" w:cs="Arial"/>
          <w:sz w:val="24"/>
          <w:szCs w:val="24"/>
        </w:rPr>
        <w:t xml:space="preserve">. There is risk of sampling, data collection and data interpretation biases when the researcher does not appropriately utilize reflexivity triangulation and audit trails. This may limit usefulness and trustworthiness of the data. </w:t>
      </w:r>
    </w:p>
    <w:p w14:paraId="469B208C" w14:textId="675E5EAB" w:rsidR="003F5B60" w:rsidRPr="00E161DF" w:rsidRDefault="003F5B60" w:rsidP="00821074">
      <w:pPr>
        <w:spacing w:after="0" w:line="480" w:lineRule="auto"/>
        <w:rPr>
          <w:rFonts w:ascii="Arial" w:hAnsi="Arial" w:cs="Arial"/>
          <w:sz w:val="24"/>
          <w:szCs w:val="24"/>
        </w:rPr>
      </w:pPr>
      <w:r w:rsidRPr="00E161DF">
        <w:rPr>
          <w:rFonts w:ascii="Arial" w:hAnsi="Arial" w:cs="Arial"/>
          <w:sz w:val="24"/>
          <w:szCs w:val="24"/>
        </w:rPr>
        <w:t>On the other hand, mi</w:t>
      </w:r>
      <w:r w:rsidR="005F5D50" w:rsidRPr="00E161DF">
        <w:rPr>
          <w:rFonts w:ascii="Arial" w:hAnsi="Arial" w:cs="Arial"/>
          <w:sz w:val="24"/>
          <w:szCs w:val="24"/>
        </w:rPr>
        <w:t>x</w:t>
      </w:r>
      <w:r w:rsidRPr="00E161DF">
        <w:rPr>
          <w:rFonts w:ascii="Arial" w:hAnsi="Arial" w:cs="Arial"/>
          <w:sz w:val="24"/>
          <w:szCs w:val="24"/>
        </w:rPr>
        <w:t>ed method stud</w:t>
      </w:r>
      <w:r w:rsidR="005F5D50" w:rsidRPr="00E161DF">
        <w:rPr>
          <w:rFonts w:ascii="Arial" w:hAnsi="Arial" w:cs="Arial"/>
          <w:sz w:val="24"/>
          <w:szCs w:val="24"/>
        </w:rPr>
        <w:t>ies will combine qualitative and quantitative techniques for data collection, analysis and interpretation</w:t>
      </w:r>
      <w:r w:rsidR="00F45ABA" w:rsidRPr="00E161DF">
        <w:rPr>
          <w:rFonts w:ascii="Arial" w:hAnsi="Arial" w:cs="Arial"/>
          <w:sz w:val="24"/>
          <w:szCs w:val="24"/>
        </w:rPr>
        <w:t xml:space="preserve"> (</w:t>
      </w:r>
      <w:proofErr w:type="spellStart"/>
      <w:r w:rsidR="00F45ABA" w:rsidRPr="00E161DF">
        <w:rPr>
          <w:rFonts w:ascii="Arial" w:hAnsi="Arial" w:cs="Arial"/>
          <w:sz w:val="24"/>
          <w:szCs w:val="24"/>
        </w:rPr>
        <w:t>Oranga</w:t>
      </w:r>
      <w:proofErr w:type="spellEnd"/>
      <w:r w:rsidR="00F45ABA" w:rsidRPr="00E161DF">
        <w:rPr>
          <w:rFonts w:ascii="Arial" w:hAnsi="Arial" w:cs="Arial"/>
          <w:sz w:val="24"/>
          <w:szCs w:val="24"/>
        </w:rPr>
        <w:t>, 2025)</w:t>
      </w:r>
      <w:r w:rsidR="005F5D50" w:rsidRPr="00E161DF">
        <w:rPr>
          <w:rFonts w:ascii="Arial" w:hAnsi="Arial" w:cs="Arial"/>
          <w:sz w:val="24"/>
          <w:szCs w:val="24"/>
        </w:rPr>
        <w:t xml:space="preserve">. </w:t>
      </w:r>
      <w:r w:rsidR="00A5218B" w:rsidRPr="00E161DF">
        <w:rPr>
          <w:rFonts w:ascii="Arial" w:hAnsi="Arial" w:cs="Arial"/>
          <w:sz w:val="24"/>
          <w:szCs w:val="24"/>
        </w:rPr>
        <w:t>Mixed method approach allows researchers to triangulate evidence further strengthening the validity of their findings</w:t>
      </w:r>
      <w:r w:rsidR="00F45ABA" w:rsidRPr="00E161DF">
        <w:rPr>
          <w:rFonts w:ascii="Arial" w:hAnsi="Arial" w:cs="Arial"/>
          <w:sz w:val="24"/>
          <w:szCs w:val="24"/>
        </w:rPr>
        <w:t xml:space="preserve"> </w:t>
      </w:r>
      <w:r w:rsidR="00A5218B" w:rsidRPr="00E161DF">
        <w:rPr>
          <w:rFonts w:ascii="Arial" w:hAnsi="Arial" w:cs="Arial"/>
          <w:sz w:val="24"/>
          <w:szCs w:val="24"/>
        </w:rPr>
        <w:t>. Mixed method studies provide the advantage of generalizability of quantitative technique and the richness or depth or qualitative methods</w:t>
      </w:r>
      <w:r w:rsidR="00F45ABA" w:rsidRPr="00E161DF">
        <w:rPr>
          <w:rFonts w:ascii="Arial" w:hAnsi="Arial" w:cs="Arial"/>
          <w:sz w:val="24"/>
          <w:szCs w:val="24"/>
        </w:rPr>
        <w:t xml:space="preserve"> </w:t>
      </w:r>
      <w:r w:rsidR="00A5218B" w:rsidRPr="00E161DF">
        <w:rPr>
          <w:rFonts w:ascii="Arial" w:hAnsi="Arial" w:cs="Arial"/>
          <w:sz w:val="24"/>
          <w:szCs w:val="24"/>
        </w:rPr>
        <w:t xml:space="preserve">. </w:t>
      </w:r>
      <w:r w:rsidR="0026654B" w:rsidRPr="00E161DF">
        <w:rPr>
          <w:rFonts w:ascii="Arial" w:hAnsi="Arial" w:cs="Arial"/>
          <w:sz w:val="24"/>
          <w:szCs w:val="24"/>
        </w:rPr>
        <w:t>Mixed method has been selected for the proposed study because it allows the researcher to generate comprehensive responses to the ‘what’ and ‘how’ of science education in early years practice</w:t>
      </w:r>
      <w:r w:rsidR="00F45ABA" w:rsidRPr="00E161DF">
        <w:rPr>
          <w:rFonts w:ascii="Arial" w:hAnsi="Arial" w:cs="Arial"/>
          <w:sz w:val="24"/>
          <w:szCs w:val="24"/>
        </w:rPr>
        <w:t xml:space="preserve"> </w:t>
      </w:r>
      <w:r w:rsidR="00F0214C">
        <w:rPr>
          <w:rFonts w:ascii="Arial" w:hAnsi="Arial" w:cs="Arial"/>
          <w:sz w:val="24"/>
          <w:szCs w:val="24"/>
        </w:rPr>
        <w:t>.</w:t>
      </w:r>
      <w:r w:rsidR="0026654B" w:rsidRPr="00E161DF">
        <w:rPr>
          <w:rFonts w:ascii="Arial" w:hAnsi="Arial" w:cs="Arial"/>
          <w:sz w:val="24"/>
          <w:szCs w:val="24"/>
        </w:rPr>
        <w:t>However, mixed method studies may require more resources</w:t>
      </w:r>
      <w:r w:rsidR="00904841" w:rsidRPr="00E161DF">
        <w:rPr>
          <w:rFonts w:ascii="Arial" w:hAnsi="Arial" w:cs="Arial"/>
          <w:sz w:val="24"/>
          <w:szCs w:val="24"/>
        </w:rPr>
        <w:t xml:space="preserve"> and time. In some instances, it may be difficult to integrate quantitative and qualitative data and findings risk being disjointed or otherwise difficult to reconcile</w:t>
      </w:r>
      <w:r w:rsidR="006E5505" w:rsidRPr="00E161DF">
        <w:rPr>
          <w:rFonts w:ascii="Arial" w:hAnsi="Arial" w:cs="Arial"/>
          <w:sz w:val="24"/>
          <w:szCs w:val="24"/>
        </w:rPr>
        <w:t xml:space="preserve"> (Östlund </w:t>
      </w:r>
      <w:r w:rsidR="006E5505" w:rsidRPr="00E161DF">
        <w:rPr>
          <w:rFonts w:ascii="Arial" w:hAnsi="Arial" w:cs="Arial"/>
          <w:i/>
          <w:iCs/>
          <w:sz w:val="24"/>
          <w:szCs w:val="24"/>
        </w:rPr>
        <w:t>et al.</w:t>
      </w:r>
      <w:r w:rsidR="006E5505" w:rsidRPr="00E161DF">
        <w:rPr>
          <w:rFonts w:ascii="Arial" w:hAnsi="Arial" w:cs="Arial"/>
          <w:sz w:val="24"/>
          <w:szCs w:val="24"/>
        </w:rPr>
        <w:t>, 2020).</w:t>
      </w:r>
    </w:p>
    <w:p w14:paraId="6E904C93" w14:textId="78756410" w:rsidR="00904841" w:rsidRPr="00E161DF" w:rsidRDefault="00904841" w:rsidP="00821074">
      <w:pPr>
        <w:spacing w:after="0" w:line="480" w:lineRule="auto"/>
        <w:rPr>
          <w:rFonts w:ascii="Arial" w:hAnsi="Arial" w:cs="Arial"/>
          <w:sz w:val="24"/>
          <w:szCs w:val="24"/>
        </w:rPr>
      </w:pPr>
      <w:r w:rsidRPr="00E161DF">
        <w:rPr>
          <w:rFonts w:ascii="Arial" w:hAnsi="Arial" w:cs="Arial"/>
          <w:sz w:val="24"/>
          <w:szCs w:val="24"/>
        </w:rPr>
        <w:t xml:space="preserve">For data collection, the proposed will use both interviews and observations. </w:t>
      </w:r>
      <w:r w:rsidR="00F45ABA" w:rsidRPr="00E161DF">
        <w:rPr>
          <w:rFonts w:ascii="Arial" w:hAnsi="Arial" w:cs="Arial"/>
          <w:sz w:val="24"/>
          <w:szCs w:val="24"/>
        </w:rPr>
        <w:t>The data collector will observe learning and activities in the classroom around teaching of science.</w:t>
      </w:r>
      <w:r w:rsidR="000658EC" w:rsidRPr="00E161DF">
        <w:rPr>
          <w:rFonts w:ascii="Arial" w:hAnsi="Arial" w:cs="Arial"/>
          <w:sz w:val="24"/>
          <w:szCs w:val="24"/>
        </w:rPr>
        <w:t xml:space="preserve"> Interviews are, in essence, researcher-led conversations</w:t>
      </w:r>
      <w:r w:rsidR="00123D4B" w:rsidRPr="00E161DF">
        <w:rPr>
          <w:rFonts w:ascii="Arial" w:hAnsi="Arial" w:cs="Arial"/>
          <w:sz w:val="24"/>
          <w:szCs w:val="24"/>
        </w:rPr>
        <w:t xml:space="preserve"> (Kvale</w:t>
      </w:r>
      <w:r w:rsidR="00F6771C" w:rsidRPr="00E161DF">
        <w:rPr>
          <w:rFonts w:ascii="Arial" w:hAnsi="Arial" w:cs="Arial"/>
          <w:sz w:val="24"/>
          <w:szCs w:val="24"/>
        </w:rPr>
        <w:t xml:space="preserve"> and</w:t>
      </w:r>
      <w:r w:rsidR="00123D4B" w:rsidRPr="00E161DF">
        <w:rPr>
          <w:rFonts w:ascii="Arial" w:hAnsi="Arial" w:cs="Arial"/>
          <w:sz w:val="24"/>
          <w:szCs w:val="24"/>
        </w:rPr>
        <w:t xml:space="preserve"> Brinkmann</w:t>
      </w:r>
      <w:r w:rsidR="00B013D9" w:rsidRPr="00E161DF">
        <w:rPr>
          <w:rFonts w:ascii="Arial" w:hAnsi="Arial" w:cs="Arial"/>
          <w:sz w:val="24"/>
          <w:szCs w:val="24"/>
        </w:rPr>
        <w:t>,</w:t>
      </w:r>
      <w:r w:rsidR="00123D4B" w:rsidRPr="00E161DF">
        <w:rPr>
          <w:rFonts w:ascii="Arial" w:hAnsi="Arial" w:cs="Arial"/>
          <w:sz w:val="24"/>
          <w:szCs w:val="24"/>
        </w:rPr>
        <w:t xml:space="preserve"> 200</w:t>
      </w:r>
      <w:r w:rsidR="00F6771C" w:rsidRPr="00E161DF">
        <w:rPr>
          <w:rFonts w:ascii="Arial" w:hAnsi="Arial" w:cs="Arial"/>
          <w:sz w:val="24"/>
          <w:szCs w:val="24"/>
        </w:rPr>
        <w:t>9</w:t>
      </w:r>
      <w:r w:rsidR="00123D4B" w:rsidRPr="00E161DF">
        <w:rPr>
          <w:rFonts w:ascii="Arial" w:hAnsi="Arial" w:cs="Arial"/>
          <w:sz w:val="24"/>
          <w:szCs w:val="24"/>
        </w:rPr>
        <w:t>)</w:t>
      </w:r>
      <w:r w:rsidR="000658EC" w:rsidRPr="00E161DF">
        <w:rPr>
          <w:rFonts w:ascii="Arial" w:hAnsi="Arial" w:cs="Arial"/>
          <w:sz w:val="24"/>
          <w:szCs w:val="24"/>
        </w:rPr>
        <w:t xml:space="preserve">. The interviews will include open-ended questions to explore the experiences, and practices that occur in the context of science learning in the classroom. The interviews will include structured and semi-structured elements with teachers and, where necessary, learners. Interviews </w:t>
      </w:r>
      <w:r w:rsidR="004D7C8B" w:rsidRPr="00E161DF">
        <w:rPr>
          <w:rFonts w:ascii="Arial" w:hAnsi="Arial" w:cs="Arial"/>
          <w:sz w:val="24"/>
          <w:szCs w:val="24"/>
        </w:rPr>
        <w:t>are useful because they will allow for in-depth understanding</w:t>
      </w:r>
      <w:r w:rsidR="00123D4B" w:rsidRPr="00E161DF">
        <w:rPr>
          <w:rFonts w:ascii="Arial" w:hAnsi="Arial" w:cs="Arial"/>
          <w:sz w:val="24"/>
          <w:szCs w:val="24"/>
        </w:rPr>
        <w:t xml:space="preserve"> </w:t>
      </w:r>
      <w:r w:rsidR="004D7C8B" w:rsidRPr="00E161DF">
        <w:rPr>
          <w:rFonts w:ascii="Arial" w:hAnsi="Arial" w:cs="Arial"/>
          <w:sz w:val="24"/>
          <w:szCs w:val="24"/>
        </w:rPr>
        <w:t xml:space="preserve">. Semi-structured and non-structured interviews will allow the researcher to explore the rational for specific student science learning </w:t>
      </w:r>
      <w:r w:rsidR="004D7C8B" w:rsidRPr="00E161DF">
        <w:rPr>
          <w:rFonts w:ascii="Arial" w:hAnsi="Arial" w:cs="Arial"/>
          <w:sz w:val="24"/>
          <w:szCs w:val="24"/>
        </w:rPr>
        <w:lastRenderedPageBreak/>
        <w:t>strategies, motivation and sense-making as well as instructional rationales. Since the interviews are semi or non-structured, the interviewer may be able to probe emerging issues as well as clarify responses and seek additional explanations. This encourages responsiveness and may help generate rich data. The interviews will help to capture the perspectives of the s</w:t>
      </w:r>
      <w:r w:rsidR="00164378" w:rsidRPr="00E161DF">
        <w:rPr>
          <w:rFonts w:ascii="Arial" w:hAnsi="Arial" w:cs="Arial"/>
          <w:sz w:val="24"/>
          <w:szCs w:val="24"/>
        </w:rPr>
        <w:t>t</w:t>
      </w:r>
      <w:r w:rsidR="004D7C8B" w:rsidRPr="00E161DF">
        <w:rPr>
          <w:rFonts w:ascii="Arial" w:hAnsi="Arial" w:cs="Arial"/>
          <w:sz w:val="24"/>
          <w:szCs w:val="24"/>
        </w:rPr>
        <w:t xml:space="preserve">udy subjects on classroom events as well as help to better understand constraints that shape </w:t>
      </w:r>
      <w:r w:rsidR="00164378" w:rsidRPr="00E161DF">
        <w:rPr>
          <w:rFonts w:ascii="Arial" w:hAnsi="Arial" w:cs="Arial"/>
          <w:sz w:val="24"/>
          <w:szCs w:val="24"/>
        </w:rPr>
        <w:t>lesson delivery. Despite the foregoing advantages, participants may be tempted to offer socially desirable responses leading to reporting bias</w:t>
      </w:r>
      <w:r w:rsidR="00123D4B" w:rsidRPr="00E161DF">
        <w:rPr>
          <w:rFonts w:ascii="Arial" w:hAnsi="Arial" w:cs="Arial"/>
          <w:sz w:val="24"/>
          <w:szCs w:val="24"/>
        </w:rPr>
        <w:t xml:space="preserve"> (</w:t>
      </w:r>
      <w:proofErr w:type="spellStart"/>
      <w:r w:rsidR="00123D4B" w:rsidRPr="00E161DF">
        <w:rPr>
          <w:rFonts w:ascii="Arial" w:hAnsi="Arial" w:cs="Arial"/>
          <w:sz w:val="24"/>
          <w:szCs w:val="24"/>
        </w:rPr>
        <w:t>Krumpal</w:t>
      </w:r>
      <w:proofErr w:type="spellEnd"/>
      <w:r w:rsidR="00B013D9" w:rsidRPr="00E161DF">
        <w:rPr>
          <w:rFonts w:ascii="Arial" w:hAnsi="Arial" w:cs="Arial"/>
          <w:sz w:val="24"/>
          <w:szCs w:val="24"/>
        </w:rPr>
        <w:t>,</w:t>
      </w:r>
      <w:r w:rsidR="00123D4B" w:rsidRPr="00E161DF">
        <w:rPr>
          <w:rFonts w:ascii="Arial" w:hAnsi="Arial" w:cs="Arial"/>
          <w:sz w:val="24"/>
          <w:szCs w:val="24"/>
        </w:rPr>
        <w:t xml:space="preserve"> 2013)</w:t>
      </w:r>
      <w:r w:rsidR="00164378" w:rsidRPr="00E161DF">
        <w:rPr>
          <w:rFonts w:ascii="Arial" w:hAnsi="Arial" w:cs="Arial"/>
          <w:sz w:val="24"/>
          <w:szCs w:val="24"/>
        </w:rPr>
        <w:t>. Semi-structured and non-structured interviews can yield rich but also heterogenous data that may be difficult to systematically compare</w:t>
      </w:r>
      <w:r w:rsidR="00123D4B" w:rsidRPr="00E161DF">
        <w:rPr>
          <w:rFonts w:ascii="Arial" w:hAnsi="Arial" w:cs="Arial"/>
          <w:sz w:val="24"/>
          <w:szCs w:val="24"/>
        </w:rPr>
        <w:t xml:space="preserve"> (</w:t>
      </w:r>
      <w:proofErr w:type="spellStart"/>
      <w:r w:rsidR="00123D4B" w:rsidRPr="00E161DF">
        <w:rPr>
          <w:rFonts w:ascii="Arial" w:hAnsi="Arial" w:cs="Arial"/>
          <w:sz w:val="24"/>
          <w:szCs w:val="24"/>
        </w:rPr>
        <w:t>Kakilla</w:t>
      </w:r>
      <w:proofErr w:type="spellEnd"/>
      <w:r w:rsidR="00B013D9" w:rsidRPr="00E161DF">
        <w:rPr>
          <w:rFonts w:ascii="Arial" w:hAnsi="Arial" w:cs="Arial"/>
          <w:sz w:val="24"/>
          <w:szCs w:val="24"/>
        </w:rPr>
        <w:t>,</w:t>
      </w:r>
      <w:r w:rsidR="00123D4B" w:rsidRPr="00E161DF">
        <w:rPr>
          <w:rFonts w:ascii="Arial" w:hAnsi="Arial" w:cs="Arial"/>
          <w:sz w:val="24"/>
          <w:szCs w:val="24"/>
        </w:rPr>
        <w:t xml:space="preserve"> 2021).</w:t>
      </w:r>
    </w:p>
    <w:p w14:paraId="5962B74B" w14:textId="059637A4" w:rsidR="00164378" w:rsidRPr="00E161DF" w:rsidRDefault="00164378" w:rsidP="00821074">
      <w:pPr>
        <w:spacing w:after="0" w:line="480" w:lineRule="auto"/>
        <w:rPr>
          <w:rFonts w:ascii="Arial" w:hAnsi="Arial" w:cs="Arial"/>
          <w:sz w:val="24"/>
          <w:szCs w:val="24"/>
        </w:rPr>
      </w:pPr>
      <w:r w:rsidRPr="00E161DF">
        <w:rPr>
          <w:rFonts w:ascii="Arial" w:hAnsi="Arial" w:cs="Arial"/>
          <w:sz w:val="24"/>
          <w:szCs w:val="24"/>
        </w:rPr>
        <w:t xml:space="preserve">Observations </w:t>
      </w:r>
      <w:r w:rsidR="00136BCF" w:rsidRPr="00E161DF">
        <w:rPr>
          <w:rFonts w:ascii="Arial" w:hAnsi="Arial" w:cs="Arial"/>
          <w:sz w:val="24"/>
          <w:szCs w:val="24"/>
        </w:rPr>
        <w:t xml:space="preserve">involve systematically watching classroom activities including teacher-learner interactions. These are frequently recorded, coded and interpreted to generate meanings. </w:t>
      </w:r>
      <w:r w:rsidR="001008C6" w:rsidRPr="00E161DF">
        <w:rPr>
          <w:rFonts w:ascii="Arial" w:hAnsi="Arial" w:cs="Arial"/>
          <w:sz w:val="24"/>
          <w:szCs w:val="24"/>
        </w:rPr>
        <w:t>Observations are important because they provide direct evidence for behaviours- something that may not be revealed during interviews. Observations will allow the researcher to note how instructions unfold in the class context and how lessons are paced. Despite these advantages, there is risk of reactivity when learners and instructors change how behaviours due to be observed</w:t>
      </w:r>
      <w:r w:rsidR="00D97158" w:rsidRPr="00E161DF">
        <w:rPr>
          <w:rFonts w:ascii="Arial" w:hAnsi="Arial" w:cs="Arial"/>
          <w:sz w:val="24"/>
          <w:szCs w:val="24"/>
        </w:rPr>
        <w:t xml:space="preserve"> (</w:t>
      </w:r>
      <w:proofErr w:type="spellStart"/>
      <w:r w:rsidR="00D97158" w:rsidRPr="00E161DF">
        <w:rPr>
          <w:rFonts w:ascii="Arial" w:hAnsi="Arial" w:cs="Arial"/>
          <w:sz w:val="24"/>
          <w:szCs w:val="24"/>
        </w:rPr>
        <w:t>Mostafazadeh</w:t>
      </w:r>
      <w:proofErr w:type="spellEnd"/>
      <w:r w:rsidR="00D97158" w:rsidRPr="00E161DF">
        <w:rPr>
          <w:rFonts w:ascii="Arial" w:hAnsi="Arial" w:cs="Arial"/>
          <w:sz w:val="24"/>
          <w:szCs w:val="24"/>
        </w:rPr>
        <w:t xml:space="preserve">-Bora, 2020). </w:t>
      </w:r>
      <w:r w:rsidR="00703171" w:rsidRPr="00E161DF">
        <w:rPr>
          <w:rFonts w:ascii="Arial" w:hAnsi="Arial" w:cs="Arial"/>
          <w:sz w:val="24"/>
          <w:szCs w:val="24"/>
        </w:rPr>
        <w:t xml:space="preserve">This is termed the Hawthorne effect. In such instances, the participate perceives that attention is focused on them, that the situation demands socially desirable conduct and then respond in ways they think are considered desirable. </w:t>
      </w:r>
      <w:r w:rsidR="00305DCF" w:rsidRPr="00E161DF">
        <w:rPr>
          <w:rFonts w:ascii="Arial" w:hAnsi="Arial" w:cs="Arial"/>
          <w:sz w:val="24"/>
          <w:szCs w:val="24"/>
        </w:rPr>
        <w:t>Since observed changes frequently reflect reactivity and not the true effect of an intervention, the validity of the observation may be negatively impacted and the changes may not reflect usual or typical behaviour</w:t>
      </w:r>
      <w:r w:rsidR="00D97158" w:rsidRPr="00E161DF">
        <w:rPr>
          <w:rFonts w:ascii="Arial" w:hAnsi="Arial" w:cs="Arial"/>
          <w:sz w:val="24"/>
          <w:szCs w:val="24"/>
        </w:rPr>
        <w:t xml:space="preserve"> (McCambridge </w:t>
      </w:r>
      <w:r w:rsidR="00D97158" w:rsidRPr="00E161DF">
        <w:rPr>
          <w:rFonts w:ascii="Arial" w:hAnsi="Arial" w:cs="Arial"/>
          <w:i/>
          <w:iCs/>
          <w:sz w:val="24"/>
          <w:szCs w:val="24"/>
        </w:rPr>
        <w:t>et al</w:t>
      </w:r>
      <w:r w:rsidR="00D97158" w:rsidRPr="00E161DF">
        <w:rPr>
          <w:rFonts w:ascii="Arial" w:hAnsi="Arial" w:cs="Arial"/>
          <w:sz w:val="24"/>
          <w:szCs w:val="24"/>
        </w:rPr>
        <w:t>.</w:t>
      </w:r>
      <w:r w:rsidR="00B013D9" w:rsidRPr="00E161DF">
        <w:rPr>
          <w:rFonts w:ascii="Arial" w:hAnsi="Arial" w:cs="Arial"/>
          <w:sz w:val="24"/>
          <w:szCs w:val="24"/>
        </w:rPr>
        <w:t>,</w:t>
      </w:r>
      <w:r w:rsidR="00D97158" w:rsidRPr="00E161DF">
        <w:rPr>
          <w:rFonts w:ascii="Arial" w:hAnsi="Arial" w:cs="Arial"/>
          <w:sz w:val="24"/>
          <w:szCs w:val="24"/>
        </w:rPr>
        <w:t xml:space="preserve"> 2014)</w:t>
      </w:r>
      <w:r w:rsidR="00305DCF" w:rsidRPr="00E161DF">
        <w:rPr>
          <w:rFonts w:ascii="Arial" w:hAnsi="Arial" w:cs="Arial"/>
          <w:sz w:val="24"/>
          <w:szCs w:val="24"/>
        </w:rPr>
        <w:t xml:space="preserve">. Prolonged engagement as well as repeated observations may help reduce the Hawthorne effect since participant response tends to stabilize gradually. </w:t>
      </w:r>
      <w:r w:rsidR="00305DCF" w:rsidRPr="00E161DF">
        <w:rPr>
          <w:rFonts w:ascii="Arial" w:hAnsi="Arial" w:cs="Arial"/>
          <w:sz w:val="24"/>
          <w:szCs w:val="24"/>
        </w:rPr>
        <w:lastRenderedPageBreak/>
        <w:t xml:space="preserve">Additionally, researchers could consider using </w:t>
      </w:r>
      <w:r w:rsidR="001A514B" w:rsidRPr="00E161DF">
        <w:rPr>
          <w:rFonts w:ascii="Arial" w:hAnsi="Arial" w:cs="Arial"/>
          <w:sz w:val="24"/>
          <w:szCs w:val="24"/>
        </w:rPr>
        <w:t>unobtrusive</w:t>
      </w:r>
      <w:r w:rsidR="00305DCF" w:rsidRPr="00E161DF">
        <w:rPr>
          <w:rFonts w:ascii="Arial" w:hAnsi="Arial" w:cs="Arial"/>
          <w:sz w:val="24"/>
          <w:szCs w:val="24"/>
        </w:rPr>
        <w:t xml:space="preserve"> measures where possible to reduce risk of participants focusing on being observed or the objects of the study</w:t>
      </w:r>
      <w:r w:rsidR="00D97158" w:rsidRPr="00E161DF">
        <w:rPr>
          <w:rFonts w:ascii="Arial" w:hAnsi="Arial" w:cs="Arial"/>
          <w:sz w:val="24"/>
          <w:szCs w:val="24"/>
        </w:rPr>
        <w:t xml:space="preserve"> (</w:t>
      </w:r>
      <w:proofErr w:type="spellStart"/>
      <w:r w:rsidR="00D97158" w:rsidRPr="00E161DF">
        <w:rPr>
          <w:rFonts w:ascii="Arial" w:hAnsi="Arial" w:cs="Arial"/>
          <w:sz w:val="24"/>
          <w:szCs w:val="24"/>
        </w:rPr>
        <w:t>Angrosino</w:t>
      </w:r>
      <w:proofErr w:type="spellEnd"/>
      <w:r w:rsidR="00D97158" w:rsidRPr="00E161DF">
        <w:rPr>
          <w:rFonts w:ascii="Arial" w:hAnsi="Arial" w:cs="Arial"/>
          <w:sz w:val="24"/>
          <w:szCs w:val="24"/>
        </w:rPr>
        <w:t>, 2007)</w:t>
      </w:r>
      <w:r w:rsidR="00305DCF" w:rsidRPr="00E161DF">
        <w:rPr>
          <w:rFonts w:ascii="Arial" w:hAnsi="Arial" w:cs="Arial"/>
          <w:sz w:val="24"/>
          <w:szCs w:val="24"/>
        </w:rPr>
        <w:t xml:space="preserve">. </w:t>
      </w:r>
      <w:r w:rsidR="00753A58" w:rsidRPr="00E161DF">
        <w:rPr>
          <w:rFonts w:ascii="Arial" w:hAnsi="Arial" w:cs="Arial"/>
          <w:sz w:val="24"/>
          <w:szCs w:val="24"/>
        </w:rPr>
        <w:t xml:space="preserve">In some cases, it may help to first collect baseline data before starting the actual observation or intervention. This helps the researcher to effectively characterize pre-intervention behaviour. </w:t>
      </w:r>
    </w:p>
    <w:p w14:paraId="2A3FD577" w14:textId="54C9A691" w:rsidR="00753A58" w:rsidRPr="00E161DF" w:rsidRDefault="00753A58" w:rsidP="00821074">
      <w:pPr>
        <w:spacing w:after="0" w:line="480" w:lineRule="auto"/>
        <w:rPr>
          <w:rFonts w:ascii="Arial" w:hAnsi="Arial" w:cs="Arial"/>
          <w:sz w:val="24"/>
          <w:szCs w:val="24"/>
        </w:rPr>
      </w:pPr>
      <w:r w:rsidRPr="00E161DF">
        <w:rPr>
          <w:rFonts w:ascii="Arial" w:hAnsi="Arial" w:cs="Arial"/>
          <w:sz w:val="24"/>
          <w:szCs w:val="24"/>
        </w:rPr>
        <w:t>The halo effect occurs when the researcher, observer, rater or respondent allows one or a limited set of attributes to disproportionately affect their assessment of performance or other relevant measured constructs</w:t>
      </w:r>
      <w:r w:rsidR="005B4AC9" w:rsidRPr="00E161DF">
        <w:rPr>
          <w:rFonts w:ascii="Arial" w:hAnsi="Arial" w:cs="Arial"/>
          <w:sz w:val="24"/>
          <w:szCs w:val="24"/>
        </w:rPr>
        <w:t xml:space="preserve"> (</w:t>
      </w:r>
      <w:proofErr w:type="spellStart"/>
      <w:r w:rsidR="005B4AC9" w:rsidRPr="00E161DF">
        <w:rPr>
          <w:rFonts w:ascii="Arial" w:hAnsi="Arial" w:cs="Arial"/>
          <w:sz w:val="24"/>
          <w:szCs w:val="24"/>
        </w:rPr>
        <w:t>Bechger</w:t>
      </w:r>
      <w:proofErr w:type="spellEnd"/>
      <w:r w:rsidR="005B4AC9" w:rsidRPr="00E161DF">
        <w:rPr>
          <w:rFonts w:ascii="Arial" w:hAnsi="Arial" w:cs="Arial"/>
          <w:sz w:val="24"/>
          <w:szCs w:val="24"/>
        </w:rPr>
        <w:t xml:space="preserve"> </w:t>
      </w:r>
      <w:r w:rsidR="005B4AC9" w:rsidRPr="00E161DF">
        <w:rPr>
          <w:rFonts w:ascii="Arial" w:hAnsi="Arial" w:cs="Arial"/>
          <w:i/>
          <w:iCs/>
          <w:sz w:val="24"/>
          <w:szCs w:val="24"/>
        </w:rPr>
        <w:t>et al</w:t>
      </w:r>
      <w:r w:rsidRPr="00E161DF">
        <w:rPr>
          <w:rFonts w:ascii="Arial" w:hAnsi="Arial" w:cs="Arial"/>
          <w:sz w:val="24"/>
          <w:szCs w:val="24"/>
        </w:rPr>
        <w:t>.</w:t>
      </w:r>
      <w:r w:rsidR="00B013D9" w:rsidRPr="00E161DF">
        <w:rPr>
          <w:rFonts w:ascii="Arial" w:hAnsi="Arial" w:cs="Arial"/>
          <w:sz w:val="24"/>
          <w:szCs w:val="24"/>
        </w:rPr>
        <w:t>,</w:t>
      </w:r>
      <w:r w:rsidR="005B4AC9" w:rsidRPr="00E161DF">
        <w:rPr>
          <w:rFonts w:ascii="Arial" w:hAnsi="Arial" w:cs="Arial"/>
          <w:sz w:val="24"/>
          <w:szCs w:val="24"/>
        </w:rPr>
        <w:t xml:space="preserve"> 2010).</w:t>
      </w:r>
      <w:r w:rsidRPr="00E161DF">
        <w:rPr>
          <w:rFonts w:ascii="Arial" w:hAnsi="Arial" w:cs="Arial"/>
          <w:sz w:val="24"/>
          <w:szCs w:val="24"/>
        </w:rPr>
        <w:t xml:space="preserve"> For example, a teacher’s enthusiasm may inflate ratings on classroom management or some other performance measures even when the two are not related. This can reduce the degree to which the measure effectively assesses the </w:t>
      </w:r>
      <w:r w:rsidR="00982FF7" w:rsidRPr="00E161DF">
        <w:rPr>
          <w:rFonts w:ascii="Arial" w:hAnsi="Arial" w:cs="Arial"/>
          <w:sz w:val="24"/>
          <w:szCs w:val="24"/>
        </w:rPr>
        <w:t>construct being measured</w:t>
      </w:r>
      <w:r w:rsidR="005B4AC9" w:rsidRPr="00E161DF">
        <w:rPr>
          <w:rFonts w:ascii="Arial" w:hAnsi="Arial" w:cs="Arial"/>
          <w:sz w:val="24"/>
          <w:szCs w:val="24"/>
        </w:rPr>
        <w:t xml:space="preserve">. </w:t>
      </w:r>
      <w:r w:rsidR="00982FF7" w:rsidRPr="00E161DF">
        <w:rPr>
          <w:rFonts w:ascii="Arial" w:hAnsi="Arial" w:cs="Arial"/>
          <w:sz w:val="24"/>
          <w:szCs w:val="24"/>
        </w:rPr>
        <w:t>This bias can inflate correlations and, eventually, generate erroneous conclusions</w:t>
      </w:r>
    </w:p>
    <w:p w14:paraId="3630D9F3" w14:textId="1C1052A8" w:rsidR="00A50D83" w:rsidRPr="00E161DF" w:rsidRDefault="007F57D1" w:rsidP="00821074">
      <w:pPr>
        <w:spacing w:after="0" w:line="480" w:lineRule="auto"/>
        <w:rPr>
          <w:rFonts w:ascii="Arial" w:hAnsi="Arial" w:cs="Arial"/>
          <w:sz w:val="24"/>
          <w:szCs w:val="24"/>
        </w:rPr>
      </w:pPr>
      <w:r w:rsidRPr="00E161DF">
        <w:rPr>
          <w:rFonts w:ascii="Arial" w:hAnsi="Arial" w:cs="Arial"/>
          <w:sz w:val="24"/>
          <w:szCs w:val="24"/>
        </w:rPr>
        <w:t>In research, triangulation refers to the intentional employment of several methods, data sources, perspectives and investigators in the study of the same phenomenon</w:t>
      </w:r>
      <w:r w:rsidR="00550894" w:rsidRPr="00E161DF">
        <w:rPr>
          <w:rFonts w:ascii="Arial" w:hAnsi="Arial" w:cs="Arial"/>
          <w:sz w:val="24"/>
          <w:szCs w:val="24"/>
        </w:rPr>
        <w:t xml:space="preserve"> (Carter </w:t>
      </w:r>
      <w:r w:rsidR="00550894" w:rsidRPr="00E161DF">
        <w:rPr>
          <w:rFonts w:ascii="Arial" w:hAnsi="Arial" w:cs="Arial"/>
          <w:i/>
          <w:iCs/>
          <w:sz w:val="24"/>
          <w:szCs w:val="24"/>
        </w:rPr>
        <w:t>et al.,</w:t>
      </w:r>
      <w:r w:rsidR="00550894" w:rsidRPr="00E161DF">
        <w:rPr>
          <w:rFonts w:ascii="Arial" w:hAnsi="Arial" w:cs="Arial"/>
          <w:sz w:val="24"/>
          <w:szCs w:val="24"/>
        </w:rPr>
        <w:t xml:space="preserve"> 2014)</w:t>
      </w:r>
      <w:r w:rsidRPr="00E161DF">
        <w:rPr>
          <w:rFonts w:ascii="Arial" w:hAnsi="Arial" w:cs="Arial"/>
          <w:sz w:val="24"/>
          <w:szCs w:val="24"/>
        </w:rPr>
        <w:t>. This helps to ensure that findings are cross-verified. For the current study, triangulation will be necessary as it may help to increase trustworthiness and credibility of the finding</w:t>
      </w:r>
      <w:r w:rsidR="00550894" w:rsidRPr="00E161DF">
        <w:rPr>
          <w:rFonts w:ascii="Arial" w:hAnsi="Arial" w:cs="Arial"/>
          <w:sz w:val="24"/>
          <w:szCs w:val="24"/>
        </w:rPr>
        <w:t xml:space="preserve"> (Heale </w:t>
      </w:r>
      <w:r w:rsidR="00B013D9" w:rsidRPr="00E161DF">
        <w:rPr>
          <w:rFonts w:ascii="Arial" w:hAnsi="Arial" w:cs="Arial"/>
          <w:sz w:val="24"/>
          <w:szCs w:val="24"/>
        </w:rPr>
        <w:t>and</w:t>
      </w:r>
      <w:r w:rsidR="00550894" w:rsidRPr="00E161DF">
        <w:rPr>
          <w:rFonts w:ascii="Arial" w:hAnsi="Arial" w:cs="Arial"/>
          <w:sz w:val="24"/>
          <w:szCs w:val="24"/>
        </w:rPr>
        <w:t xml:space="preserve"> Forbes, 2013)</w:t>
      </w:r>
      <w:r w:rsidR="007E0864" w:rsidRPr="00E161DF">
        <w:rPr>
          <w:rFonts w:ascii="Arial" w:hAnsi="Arial" w:cs="Arial"/>
          <w:sz w:val="24"/>
          <w:szCs w:val="24"/>
        </w:rPr>
        <w:t xml:space="preserve">. Triangulation will allow the researcher to check if and to what extend different approaches yield the same conclusions. </w:t>
      </w:r>
      <w:r w:rsidR="00916997" w:rsidRPr="00E161DF">
        <w:rPr>
          <w:rFonts w:ascii="Arial" w:hAnsi="Arial" w:cs="Arial"/>
          <w:sz w:val="24"/>
          <w:szCs w:val="24"/>
        </w:rPr>
        <w:t>Triangulation will potentially improve construct validity by helping reduce reliance on a single perspective or measure</w:t>
      </w:r>
      <w:r w:rsidR="00550894" w:rsidRPr="00E161DF">
        <w:rPr>
          <w:rFonts w:ascii="Arial" w:hAnsi="Arial" w:cs="Arial"/>
          <w:sz w:val="24"/>
          <w:szCs w:val="24"/>
        </w:rPr>
        <w:t xml:space="preserve"> (</w:t>
      </w:r>
      <w:proofErr w:type="spellStart"/>
      <w:r w:rsidR="00550894" w:rsidRPr="00E161DF">
        <w:rPr>
          <w:rFonts w:ascii="Arial" w:hAnsi="Arial" w:cs="Arial"/>
          <w:sz w:val="24"/>
          <w:szCs w:val="24"/>
        </w:rPr>
        <w:t>O’Cathain</w:t>
      </w:r>
      <w:proofErr w:type="spellEnd"/>
      <w:r w:rsidR="00550894" w:rsidRPr="00E161DF">
        <w:rPr>
          <w:rFonts w:ascii="Arial" w:hAnsi="Arial" w:cs="Arial"/>
          <w:sz w:val="24"/>
          <w:szCs w:val="24"/>
        </w:rPr>
        <w:t xml:space="preserve"> </w:t>
      </w:r>
      <w:r w:rsidR="00550894" w:rsidRPr="00E161DF">
        <w:rPr>
          <w:rFonts w:ascii="Arial" w:hAnsi="Arial" w:cs="Arial"/>
          <w:i/>
          <w:iCs/>
          <w:sz w:val="24"/>
          <w:szCs w:val="24"/>
        </w:rPr>
        <w:t>et al.,</w:t>
      </w:r>
      <w:r w:rsidR="00550894" w:rsidRPr="00E161DF">
        <w:rPr>
          <w:rFonts w:ascii="Arial" w:hAnsi="Arial" w:cs="Arial"/>
          <w:sz w:val="24"/>
          <w:szCs w:val="24"/>
        </w:rPr>
        <w:t xml:space="preserve"> 2010)</w:t>
      </w:r>
      <w:r w:rsidR="00916997" w:rsidRPr="00E161DF">
        <w:rPr>
          <w:rFonts w:ascii="Arial" w:hAnsi="Arial" w:cs="Arial"/>
          <w:sz w:val="24"/>
          <w:szCs w:val="24"/>
        </w:rPr>
        <w:t xml:space="preserve">. </w:t>
      </w:r>
      <w:r w:rsidR="00B8148E" w:rsidRPr="00E161DF">
        <w:rPr>
          <w:rFonts w:ascii="Arial" w:hAnsi="Arial" w:cs="Arial"/>
          <w:sz w:val="24"/>
          <w:szCs w:val="24"/>
        </w:rPr>
        <w:t xml:space="preserve">This will help to increase confidence in the findings of the study as well as provide comprehensive and richer understanding of </w:t>
      </w:r>
      <w:r w:rsidR="00D7013B" w:rsidRPr="00E161DF">
        <w:rPr>
          <w:rFonts w:ascii="Arial" w:hAnsi="Arial" w:cs="Arial"/>
          <w:sz w:val="24"/>
          <w:szCs w:val="24"/>
        </w:rPr>
        <w:t>learning and teaching approaches</w:t>
      </w:r>
      <w:r w:rsidR="00550894" w:rsidRPr="00E161DF">
        <w:rPr>
          <w:rFonts w:ascii="Arial" w:hAnsi="Arial" w:cs="Arial"/>
          <w:sz w:val="24"/>
          <w:szCs w:val="24"/>
        </w:rPr>
        <w:t xml:space="preserve"> (Carter </w:t>
      </w:r>
      <w:r w:rsidR="00550894" w:rsidRPr="00E161DF">
        <w:rPr>
          <w:rFonts w:ascii="Arial" w:hAnsi="Arial" w:cs="Arial"/>
          <w:i/>
          <w:iCs/>
          <w:sz w:val="24"/>
          <w:szCs w:val="24"/>
        </w:rPr>
        <w:t>et al.,</w:t>
      </w:r>
      <w:r w:rsidR="00550894" w:rsidRPr="00E161DF">
        <w:rPr>
          <w:rFonts w:ascii="Arial" w:hAnsi="Arial" w:cs="Arial"/>
          <w:sz w:val="24"/>
          <w:szCs w:val="24"/>
        </w:rPr>
        <w:t xml:space="preserve"> 2014)</w:t>
      </w:r>
      <w:r w:rsidR="00D7013B" w:rsidRPr="00E161DF">
        <w:rPr>
          <w:rFonts w:ascii="Arial" w:hAnsi="Arial" w:cs="Arial"/>
          <w:sz w:val="24"/>
          <w:szCs w:val="24"/>
        </w:rPr>
        <w:t xml:space="preserve">. </w:t>
      </w:r>
    </w:p>
    <w:p w14:paraId="18E58B5C" w14:textId="27F11828" w:rsidR="00D7013B" w:rsidRPr="00E161DF" w:rsidRDefault="00D7013B" w:rsidP="00821074">
      <w:pPr>
        <w:spacing w:after="0" w:line="480" w:lineRule="auto"/>
        <w:rPr>
          <w:rFonts w:ascii="Arial" w:hAnsi="Arial" w:cs="Arial"/>
          <w:sz w:val="24"/>
          <w:szCs w:val="24"/>
        </w:rPr>
      </w:pPr>
      <w:r w:rsidRPr="00E161DF">
        <w:rPr>
          <w:rFonts w:ascii="Arial" w:hAnsi="Arial" w:cs="Arial"/>
          <w:sz w:val="24"/>
          <w:szCs w:val="24"/>
        </w:rPr>
        <w:lastRenderedPageBreak/>
        <w:t xml:space="preserve">Although questionnaires were considered for data collection, they may not be suitable for the current study. These are often </w:t>
      </w:r>
      <w:r w:rsidR="00B013D9" w:rsidRPr="00E161DF">
        <w:rPr>
          <w:rFonts w:ascii="Arial" w:hAnsi="Arial" w:cs="Arial"/>
          <w:sz w:val="24"/>
          <w:szCs w:val="24"/>
        </w:rPr>
        <w:t>closed-ended</w:t>
      </w:r>
      <w:r w:rsidRPr="00E161DF">
        <w:rPr>
          <w:rFonts w:ascii="Arial" w:hAnsi="Arial" w:cs="Arial"/>
          <w:sz w:val="24"/>
          <w:szCs w:val="24"/>
        </w:rPr>
        <w:t xml:space="preserve"> and may not help the researcher to capture the complex motivates and conte</w:t>
      </w:r>
      <w:r w:rsidR="00455B81" w:rsidRPr="00E161DF">
        <w:rPr>
          <w:rFonts w:ascii="Arial" w:hAnsi="Arial" w:cs="Arial"/>
          <w:sz w:val="24"/>
          <w:szCs w:val="24"/>
        </w:rPr>
        <w:t>x</w:t>
      </w:r>
      <w:r w:rsidRPr="00E161DF">
        <w:rPr>
          <w:rFonts w:ascii="Arial" w:hAnsi="Arial" w:cs="Arial"/>
          <w:sz w:val="24"/>
          <w:szCs w:val="24"/>
        </w:rPr>
        <w:t xml:space="preserve">tual explanations in the learning environment. </w:t>
      </w:r>
      <w:r w:rsidR="00455B81" w:rsidRPr="00E161DF">
        <w:rPr>
          <w:rFonts w:ascii="Arial" w:hAnsi="Arial" w:cs="Arial"/>
          <w:sz w:val="24"/>
          <w:szCs w:val="24"/>
        </w:rPr>
        <w:t>There is also the risk of low response rates which can reduce the sample size</w:t>
      </w:r>
      <w:r w:rsidR="0021642F" w:rsidRPr="00E161DF">
        <w:rPr>
          <w:rFonts w:ascii="Arial" w:hAnsi="Arial" w:cs="Arial"/>
          <w:sz w:val="24"/>
          <w:szCs w:val="24"/>
        </w:rPr>
        <w:t xml:space="preserve"> (Groves </w:t>
      </w:r>
      <w:r w:rsidR="00B013D9" w:rsidRPr="00E161DF">
        <w:rPr>
          <w:rFonts w:ascii="Arial" w:hAnsi="Arial" w:cs="Arial"/>
          <w:sz w:val="24"/>
          <w:szCs w:val="24"/>
        </w:rPr>
        <w:t>and</w:t>
      </w:r>
      <w:r w:rsidR="0021642F" w:rsidRPr="00E161DF">
        <w:rPr>
          <w:rFonts w:ascii="Arial" w:hAnsi="Arial" w:cs="Arial"/>
          <w:sz w:val="24"/>
          <w:szCs w:val="24"/>
        </w:rPr>
        <w:t xml:space="preserve"> </w:t>
      </w:r>
      <w:proofErr w:type="spellStart"/>
      <w:r w:rsidR="0021642F" w:rsidRPr="00E161DF">
        <w:rPr>
          <w:rFonts w:ascii="Arial" w:hAnsi="Arial" w:cs="Arial"/>
          <w:sz w:val="24"/>
          <w:szCs w:val="24"/>
        </w:rPr>
        <w:t>Peytcheva</w:t>
      </w:r>
      <w:proofErr w:type="spellEnd"/>
      <w:r w:rsidR="0021642F" w:rsidRPr="00E161DF">
        <w:rPr>
          <w:rFonts w:ascii="Arial" w:hAnsi="Arial" w:cs="Arial"/>
          <w:sz w:val="24"/>
          <w:szCs w:val="24"/>
        </w:rPr>
        <w:t>, 2011)</w:t>
      </w:r>
      <w:r w:rsidR="00455B81" w:rsidRPr="00E161DF">
        <w:rPr>
          <w:rFonts w:ascii="Arial" w:hAnsi="Arial" w:cs="Arial"/>
          <w:sz w:val="24"/>
          <w:szCs w:val="24"/>
        </w:rPr>
        <w:t xml:space="preserve">. The researcher may not have control over the response environment and respondents may </w:t>
      </w:r>
      <w:r w:rsidR="00457EE7" w:rsidRPr="00E161DF">
        <w:rPr>
          <w:rFonts w:ascii="Arial" w:hAnsi="Arial" w:cs="Arial"/>
          <w:sz w:val="24"/>
          <w:szCs w:val="24"/>
        </w:rPr>
        <w:t>consult others before responses.</w:t>
      </w:r>
    </w:p>
    <w:p w14:paraId="6F86DB46" w14:textId="77777777" w:rsidR="00AF4BC2" w:rsidRPr="00E161DF" w:rsidRDefault="00AF4BC2" w:rsidP="00821074">
      <w:pPr>
        <w:spacing w:after="0" w:line="480" w:lineRule="auto"/>
        <w:rPr>
          <w:rFonts w:ascii="Arial" w:hAnsi="Arial" w:cs="Arial"/>
          <w:sz w:val="24"/>
          <w:szCs w:val="24"/>
        </w:rPr>
      </w:pPr>
    </w:p>
    <w:p w14:paraId="4B60F7BC" w14:textId="77777777" w:rsidR="005C4446" w:rsidRDefault="005C4446" w:rsidP="00821074">
      <w:pPr>
        <w:spacing w:after="0" w:line="480" w:lineRule="auto"/>
        <w:rPr>
          <w:rFonts w:ascii="Arial" w:hAnsi="Arial" w:cs="Arial"/>
          <w:b/>
          <w:bCs/>
          <w:sz w:val="24"/>
          <w:szCs w:val="24"/>
        </w:rPr>
      </w:pPr>
    </w:p>
    <w:p w14:paraId="2031982E" w14:textId="77777777" w:rsidR="005C4446" w:rsidRDefault="005C4446" w:rsidP="00821074">
      <w:pPr>
        <w:spacing w:after="0" w:line="480" w:lineRule="auto"/>
        <w:rPr>
          <w:rFonts w:ascii="Arial" w:hAnsi="Arial" w:cs="Arial"/>
          <w:b/>
          <w:bCs/>
          <w:sz w:val="24"/>
          <w:szCs w:val="24"/>
        </w:rPr>
      </w:pPr>
    </w:p>
    <w:p w14:paraId="280CBA8A" w14:textId="77777777" w:rsidR="005C4446" w:rsidRDefault="005C4446" w:rsidP="00821074">
      <w:pPr>
        <w:spacing w:after="0" w:line="480" w:lineRule="auto"/>
        <w:rPr>
          <w:rFonts w:ascii="Arial" w:hAnsi="Arial" w:cs="Arial"/>
          <w:b/>
          <w:bCs/>
          <w:sz w:val="24"/>
          <w:szCs w:val="24"/>
        </w:rPr>
      </w:pPr>
    </w:p>
    <w:p w14:paraId="111FBBEE" w14:textId="77777777" w:rsidR="00F0214C" w:rsidRDefault="00F0214C" w:rsidP="00821074">
      <w:pPr>
        <w:spacing w:after="0" w:line="480" w:lineRule="auto"/>
        <w:rPr>
          <w:rFonts w:ascii="Arial" w:hAnsi="Arial" w:cs="Arial"/>
          <w:b/>
          <w:bCs/>
          <w:sz w:val="24"/>
          <w:szCs w:val="24"/>
        </w:rPr>
      </w:pPr>
    </w:p>
    <w:p w14:paraId="654FF424" w14:textId="4A8CA842" w:rsidR="00A50D83" w:rsidRPr="00E161DF" w:rsidRDefault="00A50D83" w:rsidP="00821074">
      <w:pPr>
        <w:spacing w:after="0" w:line="480" w:lineRule="auto"/>
        <w:rPr>
          <w:rFonts w:ascii="Arial" w:hAnsi="Arial" w:cs="Arial"/>
          <w:sz w:val="24"/>
          <w:szCs w:val="24"/>
        </w:rPr>
      </w:pPr>
      <w:r w:rsidRPr="00E161DF">
        <w:rPr>
          <w:rFonts w:ascii="Arial" w:hAnsi="Arial" w:cs="Arial"/>
          <w:b/>
          <w:bCs/>
          <w:sz w:val="24"/>
          <w:szCs w:val="24"/>
        </w:rPr>
        <w:t xml:space="preserve">Ethical </w:t>
      </w:r>
      <w:r w:rsidR="00A43C64" w:rsidRPr="00E161DF">
        <w:rPr>
          <w:rFonts w:ascii="Arial" w:hAnsi="Arial" w:cs="Arial"/>
          <w:b/>
          <w:bCs/>
          <w:sz w:val="24"/>
          <w:szCs w:val="24"/>
        </w:rPr>
        <w:t>C</w:t>
      </w:r>
      <w:r w:rsidRPr="00E161DF">
        <w:rPr>
          <w:rFonts w:ascii="Arial" w:hAnsi="Arial" w:cs="Arial"/>
          <w:b/>
          <w:bCs/>
          <w:sz w:val="24"/>
          <w:szCs w:val="24"/>
        </w:rPr>
        <w:t>onsiderations</w:t>
      </w:r>
    </w:p>
    <w:p w14:paraId="74ED719B" w14:textId="71DFCDC3" w:rsidR="00A50D83" w:rsidRPr="00E161DF" w:rsidRDefault="00AA7A8E" w:rsidP="00821074">
      <w:pPr>
        <w:spacing w:after="0" w:line="480" w:lineRule="auto"/>
        <w:rPr>
          <w:rFonts w:ascii="Arial" w:hAnsi="Arial" w:cs="Arial"/>
          <w:b/>
          <w:bCs/>
          <w:sz w:val="24"/>
          <w:szCs w:val="24"/>
        </w:rPr>
      </w:pPr>
      <w:r w:rsidRPr="00E161DF">
        <w:rPr>
          <w:rFonts w:ascii="Arial" w:hAnsi="Arial" w:cs="Arial"/>
          <w:b/>
          <w:bCs/>
          <w:sz w:val="24"/>
          <w:szCs w:val="24"/>
        </w:rPr>
        <w:t>G</w:t>
      </w:r>
      <w:r w:rsidR="00A50D83" w:rsidRPr="00E161DF">
        <w:rPr>
          <w:rFonts w:ascii="Arial" w:hAnsi="Arial" w:cs="Arial"/>
          <w:b/>
          <w:bCs/>
          <w:sz w:val="24"/>
          <w:szCs w:val="24"/>
        </w:rPr>
        <w:t>ain</w:t>
      </w:r>
      <w:r w:rsidRPr="00E161DF">
        <w:rPr>
          <w:rFonts w:ascii="Arial" w:hAnsi="Arial" w:cs="Arial"/>
          <w:b/>
          <w:bCs/>
          <w:sz w:val="24"/>
          <w:szCs w:val="24"/>
        </w:rPr>
        <w:t>ing C</w:t>
      </w:r>
      <w:r w:rsidR="00A50D83" w:rsidRPr="00E161DF">
        <w:rPr>
          <w:rFonts w:ascii="Arial" w:hAnsi="Arial" w:cs="Arial"/>
          <w:b/>
          <w:bCs/>
          <w:sz w:val="24"/>
          <w:szCs w:val="24"/>
        </w:rPr>
        <w:t xml:space="preserve">onsent from </w:t>
      </w:r>
      <w:r w:rsidRPr="00E161DF">
        <w:rPr>
          <w:rFonts w:ascii="Arial" w:hAnsi="Arial" w:cs="Arial"/>
          <w:b/>
          <w:bCs/>
          <w:sz w:val="24"/>
          <w:szCs w:val="24"/>
        </w:rPr>
        <w:t>P</w:t>
      </w:r>
      <w:r w:rsidR="00A50D83" w:rsidRPr="00E161DF">
        <w:rPr>
          <w:rFonts w:ascii="Arial" w:hAnsi="Arial" w:cs="Arial"/>
          <w:b/>
          <w:bCs/>
          <w:sz w:val="24"/>
          <w:szCs w:val="24"/>
        </w:rPr>
        <w:t xml:space="preserve">articipants </w:t>
      </w:r>
    </w:p>
    <w:p w14:paraId="6A272A6D" w14:textId="3CED9BB4" w:rsidR="00CE14E8" w:rsidRPr="00E161DF" w:rsidRDefault="00CE14E8" w:rsidP="00821074">
      <w:pPr>
        <w:spacing w:after="0" w:line="480" w:lineRule="auto"/>
        <w:rPr>
          <w:rFonts w:ascii="Arial" w:hAnsi="Arial" w:cs="Arial"/>
          <w:sz w:val="24"/>
          <w:szCs w:val="24"/>
        </w:rPr>
      </w:pPr>
      <w:r w:rsidRPr="00E161DF">
        <w:rPr>
          <w:rFonts w:ascii="Arial" w:hAnsi="Arial" w:cs="Arial"/>
          <w:sz w:val="24"/>
          <w:szCs w:val="24"/>
        </w:rPr>
        <w:t xml:space="preserve">Ensuring sufficient consent requires that participants are thoroughly informed about the various elements of the study. An information </w:t>
      </w:r>
      <w:r w:rsidR="00F6771C" w:rsidRPr="00E161DF">
        <w:rPr>
          <w:rFonts w:ascii="Arial" w:hAnsi="Arial" w:cs="Arial"/>
          <w:sz w:val="24"/>
          <w:szCs w:val="24"/>
        </w:rPr>
        <w:t>sheet</w:t>
      </w:r>
      <w:r w:rsidR="001317C6" w:rsidRPr="00E161DF">
        <w:rPr>
          <w:rFonts w:ascii="Arial" w:hAnsi="Arial" w:cs="Arial"/>
          <w:sz w:val="24"/>
          <w:szCs w:val="24"/>
        </w:rPr>
        <w:t xml:space="preserve"> should be provided. This helps </w:t>
      </w:r>
      <w:r w:rsidRPr="00E161DF">
        <w:rPr>
          <w:rFonts w:ascii="Arial" w:hAnsi="Arial" w:cs="Arial"/>
          <w:sz w:val="24"/>
          <w:szCs w:val="24"/>
        </w:rPr>
        <w:t>participants to clo</w:t>
      </w:r>
      <w:r w:rsidR="001317C6" w:rsidRPr="00E161DF">
        <w:rPr>
          <w:rFonts w:ascii="Arial" w:hAnsi="Arial" w:cs="Arial"/>
          <w:sz w:val="24"/>
          <w:szCs w:val="24"/>
        </w:rPr>
        <w:t>sely consider the benefits and risks and make own informed decisions regarding their participation. The information sheet should be written in simple language, translated if need and age-appropriate for children and parents or guardians</w:t>
      </w:r>
      <w:r w:rsidR="00F6771C" w:rsidRPr="00E161DF">
        <w:rPr>
          <w:rFonts w:ascii="Arial" w:hAnsi="Arial" w:cs="Arial"/>
          <w:sz w:val="24"/>
          <w:szCs w:val="24"/>
        </w:rPr>
        <w:t xml:space="preserve">. </w:t>
      </w:r>
      <w:r w:rsidR="001317C6" w:rsidRPr="00E161DF">
        <w:rPr>
          <w:rFonts w:ascii="Arial" w:hAnsi="Arial" w:cs="Arial"/>
          <w:sz w:val="24"/>
          <w:szCs w:val="24"/>
        </w:rPr>
        <w:t>It should similarly provide an explanation of for how to opt out of the study. For children, assent should be sought in an age-appropriate manner before beginning any activities and should be rechecked before undertaking sensitive tasks</w:t>
      </w:r>
      <w:r w:rsidR="00F6771C" w:rsidRPr="00E161DF">
        <w:rPr>
          <w:rFonts w:ascii="Arial" w:hAnsi="Arial" w:cs="Arial"/>
          <w:sz w:val="24"/>
          <w:szCs w:val="24"/>
        </w:rPr>
        <w:t xml:space="preserve"> </w:t>
      </w:r>
      <w:r w:rsidR="00974FDD" w:rsidRPr="00E161DF">
        <w:rPr>
          <w:rFonts w:ascii="Arial" w:hAnsi="Arial" w:cs="Arial"/>
          <w:sz w:val="24"/>
          <w:szCs w:val="24"/>
        </w:rPr>
        <w:t xml:space="preserve">(Askari </w:t>
      </w:r>
      <w:r w:rsidR="00974FDD" w:rsidRPr="00F0214C">
        <w:rPr>
          <w:rFonts w:ascii="Arial" w:hAnsi="Arial" w:cs="Arial"/>
          <w:i/>
          <w:iCs/>
          <w:sz w:val="24"/>
          <w:szCs w:val="24"/>
        </w:rPr>
        <w:t>et al</w:t>
      </w:r>
      <w:r w:rsidR="00974FDD" w:rsidRPr="00E161DF">
        <w:rPr>
          <w:rFonts w:ascii="Arial" w:hAnsi="Arial" w:cs="Arial"/>
          <w:sz w:val="24"/>
          <w:szCs w:val="24"/>
        </w:rPr>
        <w:t>., 2024)</w:t>
      </w:r>
      <w:r w:rsidR="001317C6" w:rsidRPr="00E161DF">
        <w:rPr>
          <w:rFonts w:ascii="Arial" w:hAnsi="Arial" w:cs="Arial"/>
          <w:sz w:val="24"/>
          <w:szCs w:val="24"/>
        </w:rPr>
        <w:t xml:space="preserve">. The researcher should provide multiple ways to consent and should allow time for questions from participants. It is essential to explain that participation or lack thereof is not to affect grades, services or relationship with </w:t>
      </w:r>
      <w:r w:rsidR="001317C6" w:rsidRPr="00E161DF">
        <w:rPr>
          <w:rFonts w:ascii="Arial" w:hAnsi="Arial" w:cs="Arial"/>
          <w:sz w:val="24"/>
          <w:szCs w:val="24"/>
        </w:rPr>
        <w:lastRenderedPageBreak/>
        <w:t>teachers. The researcher should make it easy for participants to withdraw from the study if they should so need to</w:t>
      </w:r>
      <w:r w:rsidR="00F6771C" w:rsidRPr="00E161DF">
        <w:rPr>
          <w:rFonts w:ascii="Arial" w:hAnsi="Arial" w:cs="Arial"/>
          <w:sz w:val="24"/>
          <w:szCs w:val="24"/>
        </w:rPr>
        <w:t xml:space="preserve"> </w:t>
      </w:r>
      <w:r w:rsidR="001317C6" w:rsidRPr="00E161DF">
        <w:rPr>
          <w:rFonts w:ascii="Arial" w:hAnsi="Arial" w:cs="Arial"/>
          <w:sz w:val="24"/>
          <w:szCs w:val="24"/>
        </w:rPr>
        <w:t xml:space="preserve">. For instance, participants can withdraw consent or assent verbally in the class or write a note to the teacher. </w:t>
      </w:r>
    </w:p>
    <w:p w14:paraId="725CF177" w14:textId="3319CEEE" w:rsidR="001317C6" w:rsidRPr="00E161DF" w:rsidRDefault="001317C6" w:rsidP="00821074">
      <w:pPr>
        <w:spacing w:after="0" w:line="480" w:lineRule="auto"/>
        <w:rPr>
          <w:rFonts w:ascii="Arial" w:hAnsi="Arial" w:cs="Arial"/>
          <w:sz w:val="24"/>
          <w:szCs w:val="24"/>
        </w:rPr>
      </w:pPr>
      <w:r w:rsidRPr="00E161DF">
        <w:rPr>
          <w:rFonts w:ascii="Arial" w:hAnsi="Arial" w:cs="Arial"/>
          <w:sz w:val="24"/>
          <w:szCs w:val="24"/>
        </w:rPr>
        <w:t>Researchers must look out for situations when participants do not want to continue in the study. This may take the form of explicit</w:t>
      </w:r>
      <w:r w:rsidR="00974FDD" w:rsidRPr="00E161DF">
        <w:rPr>
          <w:rFonts w:ascii="Arial" w:hAnsi="Arial" w:cs="Arial"/>
          <w:sz w:val="24"/>
          <w:szCs w:val="24"/>
        </w:rPr>
        <w:t xml:space="preserve"> or implicit (</w:t>
      </w:r>
      <w:proofErr w:type="spellStart"/>
      <w:r w:rsidR="00974FDD" w:rsidRPr="00E161DF">
        <w:rPr>
          <w:rFonts w:ascii="Arial" w:hAnsi="Arial" w:cs="Arial"/>
          <w:sz w:val="24"/>
          <w:szCs w:val="24"/>
        </w:rPr>
        <w:t>Kamuya</w:t>
      </w:r>
      <w:proofErr w:type="spellEnd"/>
      <w:r w:rsidR="00974FDD" w:rsidRPr="00E161DF">
        <w:rPr>
          <w:rFonts w:ascii="Arial" w:hAnsi="Arial" w:cs="Arial"/>
          <w:sz w:val="24"/>
          <w:szCs w:val="24"/>
        </w:rPr>
        <w:t xml:space="preserve"> </w:t>
      </w:r>
      <w:r w:rsidR="00974FDD" w:rsidRPr="00E161DF">
        <w:rPr>
          <w:rFonts w:ascii="Arial" w:hAnsi="Arial" w:cs="Arial"/>
          <w:i/>
          <w:iCs/>
          <w:sz w:val="24"/>
          <w:szCs w:val="24"/>
        </w:rPr>
        <w:t xml:space="preserve">et al. </w:t>
      </w:r>
      <w:r w:rsidR="00974FDD" w:rsidRPr="00E161DF">
        <w:rPr>
          <w:rFonts w:ascii="Arial" w:hAnsi="Arial" w:cs="Arial"/>
          <w:sz w:val="24"/>
          <w:szCs w:val="24"/>
        </w:rPr>
        <w:t xml:space="preserve">2015). It is explicit, for example, when </w:t>
      </w:r>
      <w:r w:rsidRPr="00E161DF">
        <w:rPr>
          <w:rFonts w:ascii="Arial" w:hAnsi="Arial" w:cs="Arial"/>
          <w:sz w:val="24"/>
          <w:szCs w:val="24"/>
        </w:rPr>
        <w:t>teacher or a child says ‘no’</w:t>
      </w:r>
      <w:r w:rsidR="00F6771C" w:rsidRPr="00E161DF">
        <w:rPr>
          <w:rFonts w:ascii="Arial" w:hAnsi="Arial" w:cs="Arial"/>
          <w:sz w:val="24"/>
          <w:szCs w:val="24"/>
        </w:rPr>
        <w:t>.</w:t>
      </w:r>
      <w:r w:rsidRPr="00E161DF">
        <w:rPr>
          <w:rFonts w:ascii="Arial" w:hAnsi="Arial" w:cs="Arial"/>
          <w:sz w:val="24"/>
          <w:szCs w:val="24"/>
        </w:rPr>
        <w:t xml:space="preserve"> Participants may decline to sign consent or assent forms or may otherwise withdraw signed consent. In these cases, the researcher must treat such explicit </w:t>
      </w:r>
      <w:r w:rsidR="009A4B8E" w:rsidRPr="00E161DF">
        <w:rPr>
          <w:rFonts w:ascii="Arial" w:hAnsi="Arial" w:cs="Arial"/>
          <w:sz w:val="24"/>
          <w:szCs w:val="24"/>
        </w:rPr>
        <w:t>refusals as final and must immediately cease data collection. Parents or guardians may contact the teacher or researcher revoking assent or consent. Such instances are to be treated as definitive evidence of refusal for participation and must be respected. In some instances, participants may fail to return consent forms even after reminders from the researchers. This should be treated as refusal of participation and such potential participants are to be excluded from participatio</w:t>
      </w:r>
      <w:r w:rsidR="00F6771C" w:rsidRPr="00E161DF">
        <w:rPr>
          <w:rFonts w:ascii="Arial" w:hAnsi="Arial" w:cs="Arial"/>
          <w:sz w:val="24"/>
          <w:szCs w:val="24"/>
        </w:rPr>
        <w:t xml:space="preserve">n (University of Liverpool, </w:t>
      </w:r>
      <w:proofErr w:type="spellStart"/>
      <w:r w:rsidR="00F6771C" w:rsidRPr="00E161DF">
        <w:rPr>
          <w:rFonts w:ascii="Arial" w:hAnsi="Arial" w:cs="Arial"/>
          <w:sz w:val="24"/>
          <w:szCs w:val="24"/>
        </w:rPr>
        <w:t>n.d</w:t>
      </w:r>
      <w:proofErr w:type="spellEnd"/>
      <w:r w:rsidR="00F6771C" w:rsidRPr="00E161DF">
        <w:rPr>
          <w:rFonts w:ascii="Arial" w:hAnsi="Arial" w:cs="Arial"/>
          <w:sz w:val="24"/>
          <w:szCs w:val="24"/>
        </w:rPr>
        <w:t>)</w:t>
      </w:r>
    </w:p>
    <w:p w14:paraId="261AA8EC" w14:textId="1E6296A6" w:rsidR="009A4B8E" w:rsidRPr="00E161DF" w:rsidRDefault="009A4B8E" w:rsidP="00821074">
      <w:pPr>
        <w:spacing w:after="0" w:line="480" w:lineRule="auto"/>
        <w:rPr>
          <w:rFonts w:ascii="Arial" w:hAnsi="Arial" w:cs="Arial"/>
          <w:sz w:val="24"/>
          <w:szCs w:val="24"/>
        </w:rPr>
      </w:pPr>
      <w:r w:rsidRPr="00E161DF">
        <w:rPr>
          <w:rFonts w:ascii="Arial" w:hAnsi="Arial" w:cs="Arial"/>
          <w:sz w:val="24"/>
          <w:szCs w:val="24"/>
        </w:rPr>
        <w:t>Additionally, researchers must look out for subtle signs or dissent or discomfort during activities</w:t>
      </w:r>
      <w:r w:rsidR="00BE7DF4" w:rsidRPr="00E161DF">
        <w:rPr>
          <w:rFonts w:ascii="Arial" w:hAnsi="Arial" w:cs="Arial"/>
          <w:sz w:val="24"/>
          <w:szCs w:val="24"/>
        </w:rPr>
        <w:t xml:space="preserve"> (Coyne, 2014)</w:t>
      </w:r>
      <w:r w:rsidRPr="00E161DF">
        <w:rPr>
          <w:rFonts w:ascii="Arial" w:hAnsi="Arial" w:cs="Arial"/>
          <w:sz w:val="24"/>
          <w:szCs w:val="24"/>
        </w:rPr>
        <w:t xml:space="preserve"> These signs may be verbal or behavioural. For example, participants may withdraw from group activities, avoid some activities, remain silent when asked to contribute or attempt to leave an activity setting</w:t>
      </w:r>
      <w:r w:rsidR="00BE7DF4" w:rsidRPr="00E161DF">
        <w:rPr>
          <w:rFonts w:ascii="Arial" w:hAnsi="Arial" w:cs="Arial"/>
          <w:sz w:val="24"/>
          <w:szCs w:val="24"/>
        </w:rPr>
        <w:t xml:space="preserve"> </w:t>
      </w:r>
      <w:r w:rsidRPr="00E161DF">
        <w:rPr>
          <w:rFonts w:ascii="Arial" w:hAnsi="Arial" w:cs="Arial"/>
          <w:sz w:val="24"/>
          <w:szCs w:val="24"/>
        </w:rPr>
        <w:t>. In other instances, a participant may verbally ask to be excused from an activity or activities or express emotional or physical discomfort</w:t>
      </w:r>
      <w:r w:rsidR="00BE7DF4" w:rsidRPr="00E161DF">
        <w:rPr>
          <w:rFonts w:ascii="Arial" w:hAnsi="Arial" w:cs="Arial"/>
          <w:sz w:val="24"/>
          <w:szCs w:val="24"/>
        </w:rPr>
        <w:t xml:space="preserve"> </w:t>
      </w:r>
      <w:r w:rsidRPr="00E161DF">
        <w:rPr>
          <w:rFonts w:ascii="Arial" w:hAnsi="Arial" w:cs="Arial"/>
          <w:sz w:val="24"/>
          <w:szCs w:val="24"/>
        </w:rPr>
        <w:t xml:space="preserve">. In other instances, a practitioner may note and inform the researcher that a child is uncomfortable </w:t>
      </w:r>
      <w:r w:rsidR="00337064" w:rsidRPr="00E161DF">
        <w:rPr>
          <w:rFonts w:ascii="Arial" w:hAnsi="Arial" w:cs="Arial"/>
          <w:sz w:val="24"/>
          <w:szCs w:val="24"/>
        </w:rPr>
        <w:t xml:space="preserve">with a certain activity. These instances may indicate reluctant compliance and the researcher must treat them as withdrawal to ensure participant agency. </w:t>
      </w:r>
    </w:p>
    <w:p w14:paraId="71CF6C17" w14:textId="77777777" w:rsidR="00D6106D" w:rsidRDefault="00D6106D" w:rsidP="00821074">
      <w:pPr>
        <w:spacing w:after="0" w:line="480" w:lineRule="auto"/>
        <w:rPr>
          <w:rFonts w:ascii="Arial" w:hAnsi="Arial" w:cs="Arial"/>
          <w:b/>
          <w:bCs/>
          <w:sz w:val="24"/>
          <w:szCs w:val="24"/>
        </w:rPr>
      </w:pPr>
    </w:p>
    <w:p w14:paraId="7479EBDD" w14:textId="77777777" w:rsidR="00D6106D" w:rsidRDefault="00D6106D" w:rsidP="00821074">
      <w:pPr>
        <w:spacing w:after="0" w:line="480" w:lineRule="auto"/>
        <w:rPr>
          <w:rFonts w:ascii="Arial" w:hAnsi="Arial" w:cs="Arial"/>
          <w:b/>
          <w:bCs/>
          <w:sz w:val="24"/>
          <w:szCs w:val="24"/>
        </w:rPr>
      </w:pPr>
    </w:p>
    <w:p w14:paraId="709540CC" w14:textId="3D72B441" w:rsidR="00A50D83" w:rsidRPr="00E161DF" w:rsidRDefault="00AA7A8E" w:rsidP="00821074">
      <w:pPr>
        <w:spacing w:after="0" w:line="480" w:lineRule="auto"/>
        <w:rPr>
          <w:rFonts w:ascii="Arial" w:hAnsi="Arial" w:cs="Arial"/>
          <w:b/>
          <w:bCs/>
          <w:sz w:val="24"/>
          <w:szCs w:val="24"/>
        </w:rPr>
      </w:pPr>
      <w:r w:rsidRPr="00E161DF">
        <w:rPr>
          <w:rFonts w:ascii="Arial" w:hAnsi="Arial" w:cs="Arial"/>
          <w:b/>
          <w:bCs/>
          <w:sz w:val="24"/>
          <w:szCs w:val="24"/>
        </w:rPr>
        <w:lastRenderedPageBreak/>
        <w:t>S</w:t>
      </w:r>
      <w:r w:rsidR="00B561C1" w:rsidRPr="00E161DF">
        <w:rPr>
          <w:rFonts w:ascii="Arial" w:hAnsi="Arial" w:cs="Arial"/>
          <w:b/>
          <w:bCs/>
          <w:sz w:val="24"/>
          <w:szCs w:val="24"/>
        </w:rPr>
        <w:t>how</w:t>
      </w:r>
      <w:r w:rsidRPr="00E161DF">
        <w:rPr>
          <w:rFonts w:ascii="Arial" w:hAnsi="Arial" w:cs="Arial"/>
          <w:b/>
          <w:bCs/>
          <w:sz w:val="24"/>
          <w:szCs w:val="24"/>
        </w:rPr>
        <w:t>ing O</w:t>
      </w:r>
      <w:r w:rsidR="00B561C1" w:rsidRPr="00E161DF">
        <w:rPr>
          <w:rFonts w:ascii="Arial" w:hAnsi="Arial" w:cs="Arial"/>
          <w:b/>
          <w:bCs/>
          <w:sz w:val="24"/>
          <w:szCs w:val="24"/>
        </w:rPr>
        <w:t>penness</w:t>
      </w:r>
    </w:p>
    <w:p w14:paraId="0E62475A" w14:textId="175E69E3" w:rsidR="006D5B0B" w:rsidRPr="00E161DF" w:rsidRDefault="006D5B0B" w:rsidP="00821074">
      <w:pPr>
        <w:spacing w:after="0" w:line="480" w:lineRule="auto"/>
        <w:rPr>
          <w:rFonts w:ascii="Arial" w:hAnsi="Arial" w:cs="Arial"/>
          <w:sz w:val="24"/>
          <w:szCs w:val="24"/>
        </w:rPr>
      </w:pPr>
      <w:r w:rsidRPr="00E161DF">
        <w:rPr>
          <w:rFonts w:ascii="Arial" w:hAnsi="Arial" w:cs="Arial"/>
          <w:sz w:val="24"/>
          <w:szCs w:val="24"/>
        </w:rPr>
        <w:t>Ensuring openness requires that the researcher avails a detailed information consent for the specific study. The inform</w:t>
      </w:r>
      <w:r w:rsidR="00BE7DF4" w:rsidRPr="00E161DF">
        <w:rPr>
          <w:rFonts w:ascii="Arial" w:hAnsi="Arial" w:cs="Arial"/>
          <w:sz w:val="24"/>
          <w:szCs w:val="24"/>
        </w:rPr>
        <w:t xml:space="preserve">ed </w:t>
      </w:r>
      <w:r w:rsidRPr="00E161DF">
        <w:rPr>
          <w:rFonts w:ascii="Arial" w:hAnsi="Arial" w:cs="Arial"/>
          <w:sz w:val="24"/>
          <w:szCs w:val="24"/>
        </w:rPr>
        <w:t>consent is to include plain-language statement of purpose explaining not just what the study is trying to assess but also the importance therefore</w:t>
      </w:r>
      <w:r w:rsidR="00BC68FA" w:rsidRPr="00E161DF">
        <w:rPr>
          <w:rFonts w:ascii="Arial" w:hAnsi="Arial" w:cs="Arial"/>
          <w:sz w:val="24"/>
          <w:szCs w:val="24"/>
        </w:rPr>
        <w:t>.</w:t>
      </w:r>
      <w:r w:rsidRPr="00E161DF">
        <w:rPr>
          <w:rFonts w:ascii="Arial" w:hAnsi="Arial" w:cs="Arial"/>
          <w:sz w:val="24"/>
          <w:szCs w:val="24"/>
        </w:rPr>
        <w:t xml:space="preserve"> The researcher is to include a brief explanation of how the findings will be used and who may access the findings. The sheet should clearly describe research activities, time investment, location, frequency, whether there will be recording and observation</w:t>
      </w:r>
      <w:r w:rsidR="009D580C" w:rsidRPr="00E161DF">
        <w:rPr>
          <w:rFonts w:ascii="Arial" w:hAnsi="Arial" w:cs="Arial"/>
          <w:sz w:val="24"/>
          <w:szCs w:val="24"/>
        </w:rPr>
        <w:t xml:space="preserve"> (University of Liverpool, 2024)</w:t>
      </w:r>
      <w:r w:rsidRPr="00E161DF">
        <w:rPr>
          <w:rFonts w:ascii="Arial" w:hAnsi="Arial" w:cs="Arial"/>
          <w:sz w:val="24"/>
          <w:szCs w:val="24"/>
        </w:rPr>
        <w:t>. The information sheet is to provide a brief but concrete description of any possible risks including discomforts</w:t>
      </w:r>
      <w:r w:rsidR="000A3768" w:rsidRPr="00E161DF">
        <w:rPr>
          <w:rFonts w:ascii="Arial" w:hAnsi="Arial" w:cs="Arial"/>
          <w:sz w:val="24"/>
          <w:szCs w:val="24"/>
        </w:rPr>
        <w:t>,</w:t>
      </w:r>
      <w:r w:rsidRPr="00E161DF">
        <w:rPr>
          <w:rFonts w:ascii="Arial" w:hAnsi="Arial" w:cs="Arial"/>
          <w:sz w:val="24"/>
          <w:szCs w:val="24"/>
        </w:rPr>
        <w:t xml:space="preserve"> and any potential direct or societal benefits </w:t>
      </w:r>
      <w:r w:rsidR="000A3768" w:rsidRPr="00E161DF">
        <w:rPr>
          <w:rFonts w:ascii="Arial" w:hAnsi="Arial" w:cs="Arial"/>
          <w:sz w:val="24"/>
          <w:szCs w:val="24"/>
        </w:rPr>
        <w:t>that may result from the study. The researcher should supply information regarding how data will be collected, recorded and handled including how it will be stored, who can access the data, duration for which the data will be stored, how and with whom it will be shared</w:t>
      </w:r>
      <w:r w:rsidR="009D580C" w:rsidRPr="00E161DF">
        <w:rPr>
          <w:rFonts w:ascii="Arial" w:hAnsi="Arial" w:cs="Arial"/>
          <w:sz w:val="24"/>
          <w:szCs w:val="24"/>
        </w:rPr>
        <w:t xml:space="preserve"> (University of Liverpool, 2024; Data Protection Act</w:t>
      </w:r>
      <w:r w:rsidR="00B013D9" w:rsidRPr="00E161DF">
        <w:rPr>
          <w:rFonts w:ascii="Arial" w:hAnsi="Arial" w:cs="Arial"/>
          <w:sz w:val="24"/>
          <w:szCs w:val="24"/>
        </w:rPr>
        <w:t>,</w:t>
      </w:r>
      <w:r w:rsidR="009D580C" w:rsidRPr="00E161DF">
        <w:rPr>
          <w:rFonts w:ascii="Arial" w:hAnsi="Arial" w:cs="Arial"/>
          <w:sz w:val="24"/>
          <w:szCs w:val="24"/>
        </w:rPr>
        <w:t xml:space="preserve"> 2018</w:t>
      </w:r>
      <w:r w:rsidR="00364BA1" w:rsidRPr="00E161DF">
        <w:rPr>
          <w:rFonts w:ascii="Arial" w:hAnsi="Arial" w:cs="Arial"/>
          <w:sz w:val="24"/>
          <w:szCs w:val="24"/>
        </w:rPr>
        <w:t xml:space="preserve">; Health Research Authority, </w:t>
      </w:r>
      <w:proofErr w:type="spellStart"/>
      <w:r w:rsidR="00364BA1" w:rsidRPr="00E161DF">
        <w:rPr>
          <w:rFonts w:ascii="Arial" w:hAnsi="Arial" w:cs="Arial"/>
          <w:sz w:val="24"/>
          <w:szCs w:val="24"/>
        </w:rPr>
        <w:t>n.d</w:t>
      </w:r>
      <w:proofErr w:type="spellEnd"/>
      <w:r w:rsidR="00364BA1" w:rsidRPr="00E161DF">
        <w:rPr>
          <w:rFonts w:ascii="Arial" w:hAnsi="Arial" w:cs="Arial"/>
          <w:sz w:val="24"/>
          <w:szCs w:val="24"/>
        </w:rPr>
        <w:t>).</w:t>
      </w:r>
      <w:r w:rsidR="009D580C" w:rsidRPr="00E161DF">
        <w:rPr>
          <w:rFonts w:ascii="Arial" w:hAnsi="Arial" w:cs="Arial"/>
          <w:sz w:val="24"/>
          <w:szCs w:val="24"/>
        </w:rPr>
        <w:t xml:space="preserve">) </w:t>
      </w:r>
      <w:r w:rsidR="000A3768" w:rsidRPr="00E161DF">
        <w:rPr>
          <w:rFonts w:ascii="Arial" w:hAnsi="Arial" w:cs="Arial"/>
          <w:sz w:val="24"/>
          <w:szCs w:val="24"/>
        </w:rPr>
        <w:t xml:space="preserve"> Researchers must explain that participation is voluntary and that withdrawal or refusal to participate will not result in any penalties to participants. Participants should also know how to contact the researcher for withdrawal and explanation of what will happen to data that has already been collected</w:t>
      </w:r>
      <w:r w:rsidR="009D580C" w:rsidRPr="00E161DF">
        <w:rPr>
          <w:rFonts w:ascii="Arial" w:hAnsi="Arial" w:cs="Arial"/>
          <w:sz w:val="24"/>
          <w:szCs w:val="24"/>
        </w:rPr>
        <w:t xml:space="preserve"> .</w:t>
      </w:r>
    </w:p>
    <w:p w14:paraId="5E633AEF" w14:textId="188CEF65" w:rsidR="000A3768" w:rsidRPr="00E161DF" w:rsidRDefault="000A3768" w:rsidP="00821074">
      <w:pPr>
        <w:spacing w:after="0" w:line="480" w:lineRule="auto"/>
        <w:rPr>
          <w:rFonts w:ascii="Arial" w:hAnsi="Arial" w:cs="Arial"/>
          <w:sz w:val="24"/>
          <w:szCs w:val="24"/>
        </w:rPr>
      </w:pPr>
      <w:r w:rsidRPr="00E161DF">
        <w:rPr>
          <w:rFonts w:ascii="Arial" w:hAnsi="Arial" w:cs="Arial"/>
          <w:sz w:val="24"/>
          <w:szCs w:val="24"/>
        </w:rPr>
        <w:t xml:space="preserve">Similarly, </w:t>
      </w:r>
      <w:r w:rsidR="00E574DC" w:rsidRPr="00E161DF">
        <w:rPr>
          <w:rFonts w:ascii="Arial" w:hAnsi="Arial" w:cs="Arial"/>
          <w:sz w:val="24"/>
          <w:szCs w:val="24"/>
        </w:rPr>
        <w:t>the information sheet should provide explanation of how consent or assent will continuously be reassessed. Alternatives and accommodation for non-participants will be explained as well as contact details for researchers. An age-appropriate explanation</w:t>
      </w:r>
      <w:r w:rsidR="00587AF1" w:rsidRPr="00E161DF">
        <w:rPr>
          <w:rFonts w:ascii="Arial" w:hAnsi="Arial" w:cs="Arial"/>
          <w:sz w:val="24"/>
          <w:szCs w:val="24"/>
        </w:rPr>
        <w:t>,</w:t>
      </w:r>
      <w:r w:rsidR="00E574DC" w:rsidRPr="00E161DF">
        <w:rPr>
          <w:rFonts w:ascii="Arial" w:hAnsi="Arial" w:cs="Arial"/>
          <w:sz w:val="24"/>
          <w:szCs w:val="24"/>
        </w:rPr>
        <w:t xml:space="preserve"> including a visual explanation of the study will be </w:t>
      </w:r>
      <w:r w:rsidR="00587AF1" w:rsidRPr="00E161DF">
        <w:rPr>
          <w:rFonts w:ascii="Arial" w:hAnsi="Arial" w:cs="Arial"/>
          <w:sz w:val="24"/>
          <w:szCs w:val="24"/>
        </w:rPr>
        <w:t>supplied</w:t>
      </w:r>
      <w:r w:rsidR="00364BA1" w:rsidRPr="00E161DF">
        <w:rPr>
          <w:rFonts w:ascii="Arial" w:hAnsi="Arial" w:cs="Arial"/>
          <w:sz w:val="24"/>
          <w:szCs w:val="24"/>
        </w:rPr>
        <w:t xml:space="preserve"> (University of Liverpool, 2024)</w:t>
      </w:r>
      <w:r w:rsidR="00E574DC" w:rsidRPr="00E161DF">
        <w:rPr>
          <w:rFonts w:ascii="Arial" w:hAnsi="Arial" w:cs="Arial"/>
          <w:sz w:val="24"/>
          <w:szCs w:val="24"/>
        </w:rPr>
        <w:t>.</w:t>
      </w:r>
      <w:r w:rsidR="00953600" w:rsidRPr="00E161DF">
        <w:rPr>
          <w:rFonts w:ascii="Arial" w:hAnsi="Arial" w:cs="Arial"/>
          <w:sz w:val="24"/>
          <w:szCs w:val="24"/>
        </w:rPr>
        <w:t xml:space="preserve"> The information sheet should include what identifiers will be collected, how those identifiers will be stored, anonymization plan and any limitations to confidentiality</w:t>
      </w:r>
      <w:r w:rsidR="00364BA1" w:rsidRPr="00E161DF">
        <w:rPr>
          <w:rFonts w:ascii="Arial" w:hAnsi="Arial" w:cs="Arial"/>
          <w:sz w:val="24"/>
          <w:szCs w:val="24"/>
        </w:rPr>
        <w:t xml:space="preserve"> (Health Research Authority, </w:t>
      </w:r>
      <w:proofErr w:type="spellStart"/>
      <w:r w:rsidR="00364BA1" w:rsidRPr="00E161DF">
        <w:rPr>
          <w:rFonts w:ascii="Arial" w:hAnsi="Arial" w:cs="Arial"/>
          <w:sz w:val="24"/>
          <w:szCs w:val="24"/>
        </w:rPr>
        <w:t>n.d</w:t>
      </w:r>
      <w:proofErr w:type="spellEnd"/>
      <w:r w:rsidR="00364BA1" w:rsidRPr="00E161DF">
        <w:rPr>
          <w:rFonts w:ascii="Arial" w:hAnsi="Arial" w:cs="Arial"/>
          <w:sz w:val="24"/>
          <w:szCs w:val="24"/>
        </w:rPr>
        <w:t>).</w:t>
      </w:r>
    </w:p>
    <w:p w14:paraId="3CECE646" w14:textId="0DD85E3F" w:rsidR="00587AF1" w:rsidRPr="00E161DF" w:rsidRDefault="00587AF1" w:rsidP="00821074">
      <w:pPr>
        <w:spacing w:after="0" w:line="480" w:lineRule="auto"/>
        <w:rPr>
          <w:rFonts w:ascii="Arial" w:hAnsi="Arial" w:cs="Arial"/>
          <w:sz w:val="24"/>
          <w:szCs w:val="24"/>
        </w:rPr>
      </w:pPr>
      <w:r w:rsidRPr="00E161DF">
        <w:rPr>
          <w:rFonts w:ascii="Arial" w:hAnsi="Arial" w:cs="Arial"/>
          <w:sz w:val="24"/>
          <w:szCs w:val="24"/>
        </w:rPr>
        <w:lastRenderedPageBreak/>
        <w:t>To ensure utmost openness, there will be several levels of consent. At the institutional level, approval will be sought from the ethics board. Approval will also be sought from the participating schools before approaching teachers and families. Active parental or guardian consent will be sought to ensure further transparency. For teachers, signed consent will be sought with explicit options to withdraw of refuse to participate. Child assent will be obtained on an ongoing basis</w:t>
      </w:r>
      <w:r w:rsidR="00953600" w:rsidRPr="00E161DF">
        <w:rPr>
          <w:rFonts w:ascii="Arial" w:hAnsi="Arial" w:cs="Arial"/>
          <w:sz w:val="24"/>
          <w:szCs w:val="24"/>
        </w:rPr>
        <w:t>,</w:t>
      </w:r>
      <w:r w:rsidRPr="00E161DF">
        <w:rPr>
          <w:rFonts w:ascii="Arial" w:hAnsi="Arial" w:cs="Arial"/>
          <w:sz w:val="24"/>
          <w:szCs w:val="24"/>
        </w:rPr>
        <w:t xml:space="preserve"> and any changes to the same documented and actioned accordingly</w:t>
      </w:r>
      <w:r w:rsidR="00851BB2" w:rsidRPr="00E161DF">
        <w:rPr>
          <w:rFonts w:ascii="Arial" w:hAnsi="Arial" w:cs="Arial"/>
          <w:sz w:val="24"/>
          <w:szCs w:val="24"/>
        </w:rPr>
        <w:t xml:space="preserve"> (Cotrim </w:t>
      </w:r>
      <w:r w:rsidR="00851BB2" w:rsidRPr="00F0214C">
        <w:rPr>
          <w:rFonts w:ascii="Arial" w:hAnsi="Arial" w:cs="Arial"/>
          <w:i/>
          <w:iCs/>
          <w:sz w:val="24"/>
          <w:szCs w:val="24"/>
        </w:rPr>
        <w:t>et al</w:t>
      </w:r>
      <w:r w:rsidR="00851BB2" w:rsidRPr="00E161DF">
        <w:rPr>
          <w:rFonts w:ascii="Arial" w:hAnsi="Arial" w:cs="Arial"/>
          <w:sz w:val="24"/>
          <w:szCs w:val="24"/>
        </w:rPr>
        <w:t>., 2021).</w:t>
      </w:r>
    </w:p>
    <w:p w14:paraId="542C37C6" w14:textId="3577878B" w:rsidR="00A50D83" w:rsidRPr="00E161DF" w:rsidRDefault="00AA7A8E" w:rsidP="00821074">
      <w:pPr>
        <w:spacing w:after="0" w:line="480" w:lineRule="auto"/>
        <w:rPr>
          <w:rFonts w:ascii="Arial" w:hAnsi="Arial" w:cs="Arial"/>
          <w:b/>
          <w:bCs/>
          <w:sz w:val="24"/>
          <w:szCs w:val="24"/>
        </w:rPr>
      </w:pPr>
      <w:r w:rsidRPr="00E161DF">
        <w:rPr>
          <w:rFonts w:ascii="Arial" w:hAnsi="Arial" w:cs="Arial"/>
          <w:b/>
          <w:bCs/>
          <w:sz w:val="24"/>
          <w:szCs w:val="24"/>
        </w:rPr>
        <w:t>P</w:t>
      </w:r>
      <w:r w:rsidR="00A50D83" w:rsidRPr="00E161DF">
        <w:rPr>
          <w:rFonts w:ascii="Arial" w:hAnsi="Arial" w:cs="Arial"/>
          <w:b/>
          <w:bCs/>
          <w:sz w:val="24"/>
          <w:szCs w:val="24"/>
        </w:rPr>
        <w:t>rotect</w:t>
      </w:r>
      <w:r w:rsidRPr="00E161DF">
        <w:rPr>
          <w:rFonts w:ascii="Arial" w:hAnsi="Arial" w:cs="Arial"/>
          <w:b/>
          <w:bCs/>
          <w:sz w:val="24"/>
          <w:szCs w:val="24"/>
        </w:rPr>
        <w:t>ing C</w:t>
      </w:r>
      <w:r w:rsidR="00A50D83" w:rsidRPr="00E161DF">
        <w:rPr>
          <w:rFonts w:ascii="Arial" w:hAnsi="Arial" w:cs="Arial"/>
          <w:b/>
          <w:bCs/>
          <w:sz w:val="24"/>
          <w:szCs w:val="24"/>
        </w:rPr>
        <w:t xml:space="preserve">onfidentiality and </w:t>
      </w:r>
      <w:r w:rsidRPr="00E161DF">
        <w:rPr>
          <w:rFonts w:ascii="Arial" w:hAnsi="Arial" w:cs="Arial"/>
          <w:b/>
          <w:bCs/>
          <w:sz w:val="24"/>
          <w:szCs w:val="24"/>
        </w:rPr>
        <w:t>A</w:t>
      </w:r>
      <w:r w:rsidR="00A50D83" w:rsidRPr="00E161DF">
        <w:rPr>
          <w:rFonts w:ascii="Arial" w:hAnsi="Arial" w:cs="Arial"/>
          <w:b/>
          <w:bCs/>
          <w:sz w:val="24"/>
          <w:szCs w:val="24"/>
        </w:rPr>
        <w:t>nonymity </w:t>
      </w:r>
    </w:p>
    <w:p w14:paraId="68DDA621" w14:textId="7DCC3D80" w:rsidR="00587AF1" w:rsidRPr="00E161DF" w:rsidRDefault="00953600" w:rsidP="00821074">
      <w:pPr>
        <w:spacing w:after="0" w:line="480" w:lineRule="auto"/>
        <w:rPr>
          <w:rFonts w:ascii="Arial" w:hAnsi="Arial" w:cs="Arial"/>
          <w:sz w:val="24"/>
          <w:szCs w:val="24"/>
        </w:rPr>
      </w:pPr>
      <w:r w:rsidRPr="00E161DF">
        <w:rPr>
          <w:rFonts w:ascii="Arial" w:hAnsi="Arial" w:cs="Arial"/>
          <w:sz w:val="24"/>
          <w:szCs w:val="24"/>
        </w:rPr>
        <w:t>Early year education researchers must ensure to provide confidentiality and anonymity</w:t>
      </w:r>
      <w:r w:rsidR="00851BB2" w:rsidRPr="00E161DF">
        <w:rPr>
          <w:rFonts w:ascii="Arial" w:hAnsi="Arial" w:cs="Arial"/>
          <w:sz w:val="24"/>
          <w:szCs w:val="24"/>
        </w:rPr>
        <w:t xml:space="preserve"> (Bertram </w:t>
      </w:r>
      <w:r w:rsidR="00851BB2" w:rsidRPr="00E161DF">
        <w:rPr>
          <w:rFonts w:ascii="Arial" w:hAnsi="Arial" w:cs="Arial"/>
          <w:i/>
          <w:iCs/>
          <w:sz w:val="24"/>
          <w:szCs w:val="24"/>
        </w:rPr>
        <w:t>et al.,</w:t>
      </w:r>
      <w:r w:rsidR="00851BB2" w:rsidRPr="00E161DF">
        <w:rPr>
          <w:rFonts w:ascii="Arial" w:hAnsi="Arial" w:cs="Arial"/>
          <w:sz w:val="24"/>
          <w:szCs w:val="24"/>
        </w:rPr>
        <w:t xml:space="preserve"> 2025)</w:t>
      </w:r>
      <w:r w:rsidRPr="00E161DF">
        <w:rPr>
          <w:rFonts w:ascii="Arial" w:hAnsi="Arial" w:cs="Arial"/>
          <w:sz w:val="24"/>
          <w:szCs w:val="24"/>
        </w:rPr>
        <w:t>. By collecting only what is necessary for effective analysis, the researcher can reduce risk of breach of confidentiality</w:t>
      </w:r>
      <w:r w:rsidR="00851BB2" w:rsidRPr="00E161DF">
        <w:rPr>
          <w:rFonts w:ascii="Arial" w:hAnsi="Arial" w:cs="Arial"/>
          <w:sz w:val="24"/>
          <w:szCs w:val="24"/>
        </w:rPr>
        <w:t xml:space="preserve"> </w:t>
      </w:r>
      <w:r w:rsidRPr="00E161DF">
        <w:rPr>
          <w:rFonts w:ascii="Arial" w:hAnsi="Arial" w:cs="Arial"/>
          <w:sz w:val="24"/>
          <w:szCs w:val="24"/>
        </w:rPr>
        <w:t>. By using coded identifiers right from the onset of data collection, researchers can reduce risk of identification and re-identification further promoting confidentiality. For audio notes, sensitive speech should be summarized rather than quoted verbatim (Felzmann</w:t>
      </w:r>
      <w:r w:rsidR="00B013D9" w:rsidRPr="00E161DF">
        <w:rPr>
          <w:rFonts w:ascii="Arial" w:hAnsi="Arial" w:cs="Arial"/>
          <w:sz w:val="24"/>
          <w:szCs w:val="24"/>
        </w:rPr>
        <w:t>,</w:t>
      </w:r>
      <w:r w:rsidRPr="00E161DF">
        <w:rPr>
          <w:rFonts w:ascii="Arial" w:hAnsi="Arial" w:cs="Arial"/>
          <w:sz w:val="24"/>
          <w:szCs w:val="24"/>
        </w:rPr>
        <w:t xml:space="preserve"> 2009). If it is necessary to quote verbatim, identifying information may be anonymized . </w:t>
      </w:r>
    </w:p>
    <w:p w14:paraId="00879BCB" w14:textId="68D7E7AD" w:rsidR="00550973" w:rsidRPr="00E161DF" w:rsidRDefault="00550973" w:rsidP="00821074">
      <w:pPr>
        <w:spacing w:after="0" w:line="480" w:lineRule="auto"/>
        <w:rPr>
          <w:rFonts w:ascii="Arial" w:hAnsi="Arial" w:cs="Arial"/>
          <w:sz w:val="24"/>
          <w:szCs w:val="24"/>
        </w:rPr>
      </w:pPr>
      <w:r w:rsidRPr="00E161DF">
        <w:rPr>
          <w:rFonts w:ascii="Arial" w:hAnsi="Arial" w:cs="Arial"/>
          <w:sz w:val="24"/>
          <w:szCs w:val="24"/>
        </w:rPr>
        <w:t>In addition to anonymization and limiting data collected, researchers must also implement technical and administrative safeguards</w:t>
      </w:r>
      <w:r w:rsidR="004464A1" w:rsidRPr="00E161DF">
        <w:rPr>
          <w:rFonts w:ascii="Arial" w:hAnsi="Arial" w:cs="Arial"/>
          <w:sz w:val="24"/>
          <w:szCs w:val="24"/>
        </w:rPr>
        <w:t xml:space="preserve"> </w:t>
      </w:r>
      <w:r w:rsidRPr="00E161DF">
        <w:rPr>
          <w:rFonts w:ascii="Arial" w:hAnsi="Arial" w:cs="Arial"/>
          <w:sz w:val="24"/>
          <w:szCs w:val="24"/>
        </w:rPr>
        <w:t>. Electronic data should be stored on encrypted drives and servers with role-based and restricted access</w:t>
      </w:r>
      <w:r w:rsidR="004464A1" w:rsidRPr="00E161DF">
        <w:rPr>
          <w:rFonts w:ascii="Arial" w:hAnsi="Arial" w:cs="Arial"/>
          <w:sz w:val="24"/>
          <w:szCs w:val="24"/>
        </w:rPr>
        <w:t xml:space="preserve"> (Information Commissioner Officer, 2023)</w:t>
      </w:r>
      <w:r w:rsidRPr="00E161DF">
        <w:rPr>
          <w:rFonts w:ascii="Arial" w:hAnsi="Arial" w:cs="Arial"/>
          <w:sz w:val="24"/>
          <w:szCs w:val="24"/>
        </w:rPr>
        <w:t xml:space="preserve">. Individuals who have access to research data should be provided training on confidentiality. The researchers must set clear retention and destruction policies and ensure secure deletion and shredding procedures. </w:t>
      </w:r>
    </w:p>
    <w:p w14:paraId="47A07201" w14:textId="5994933E" w:rsidR="00550973" w:rsidRPr="00E161DF" w:rsidRDefault="00550973" w:rsidP="00821074">
      <w:pPr>
        <w:spacing w:after="0" w:line="480" w:lineRule="auto"/>
        <w:rPr>
          <w:rFonts w:ascii="Arial" w:hAnsi="Arial" w:cs="Arial"/>
          <w:sz w:val="24"/>
          <w:szCs w:val="24"/>
        </w:rPr>
      </w:pPr>
      <w:r w:rsidRPr="00E161DF">
        <w:rPr>
          <w:rFonts w:ascii="Arial" w:hAnsi="Arial" w:cs="Arial"/>
          <w:sz w:val="24"/>
          <w:szCs w:val="24"/>
        </w:rPr>
        <w:t>Anonymization should be done early and, where possible, irreversibly</w:t>
      </w:r>
      <w:r w:rsidR="00DD7A77" w:rsidRPr="00E161DF">
        <w:rPr>
          <w:rFonts w:ascii="Arial" w:hAnsi="Arial" w:cs="Arial"/>
          <w:sz w:val="24"/>
          <w:szCs w:val="24"/>
        </w:rPr>
        <w:t xml:space="preserve"> </w:t>
      </w:r>
      <w:r w:rsidR="004464A1" w:rsidRPr="00E161DF">
        <w:rPr>
          <w:rFonts w:ascii="Arial" w:hAnsi="Arial" w:cs="Arial"/>
          <w:sz w:val="24"/>
          <w:szCs w:val="24"/>
        </w:rPr>
        <w:t>(Zlatko Delev, 2025)</w:t>
      </w:r>
      <w:r w:rsidRPr="00E161DF">
        <w:rPr>
          <w:rFonts w:ascii="Arial" w:hAnsi="Arial" w:cs="Arial"/>
          <w:sz w:val="24"/>
          <w:szCs w:val="24"/>
        </w:rPr>
        <w:t>. The names can be replaced with codes and small-scale demographics such as birthdate must be removed or generalized</w:t>
      </w:r>
      <w:r w:rsidR="004464A1" w:rsidRPr="00E161DF">
        <w:rPr>
          <w:rFonts w:ascii="Arial" w:hAnsi="Arial" w:cs="Arial"/>
          <w:sz w:val="24"/>
          <w:szCs w:val="24"/>
        </w:rPr>
        <w:t xml:space="preserve"> </w:t>
      </w:r>
      <w:r w:rsidRPr="00E161DF">
        <w:rPr>
          <w:rFonts w:ascii="Arial" w:hAnsi="Arial" w:cs="Arial"/>
          <w:sz w:val="24"/>
          <w:szCs w:val="24"/>
        </w:rPr>
        <w:t xml:space="preserve">. </w:t>
      </w:r>
      <w:r w:rsidR="00261957" w:rsidRPr="00E161DF">
        <w:rPr>
          <w:rFonts w:ascii="Arial" w:hAnsi="Arial" w:cs="Arial"/>
          <w:sz w:val="24"/>
          <w:szCs w:val="24"/>
        </w:rPr>
        <w:t xml:space="preserve">Classroom-level results must be </w:t>
      </w:r>
      <w:r w:rsidR="00261957" w:rsidRPr="00E161DF">
        <w:rPr>
          <w:rFonts w:ascii="Arial" w:hAnsi="Arial" w:cs="Arial"/>
          <w:sz w:val="24"/>
          <w:szCs w:val="24"/>
        </w:rPr>
        <w:lastRenderedPageBreak/>
        <w:t xml:space="preserve">aggregated. There is need for clear processes for reporting any data breaches. In those cases, affected participants may need to be notified and any potential harms addressed. Regular auditing may be necessary to check storage safety, access logs and adherence to protocols for anonymization. </w:t>
      </w:r>
    </w:p>
    <w:p w14:paraId="26BBFF80" w14:textId="18221EFE" w:rsidR="00B561C1" w:rsidRPr="00E161DF" w:rsidRDefault="00AA7A8E" w:rsidP="00821074">
      <w:pPr>
        <w:spacing w:after="0" w:line="480" w:lineRule="auto"/>
        <w:rPr>
          <w:rFonts w:ascii="Arial" w:hAnsi="Arial" w:cs="Arial"/>
          <w:b/>
          <w:bCs/>
          <w:sz w:val="24"/>
          <w:szCs w:val="24"/>
        </w:rPr>
      </w:pPr>
      <w:r w:rsidRPr="00E161DF">
        <w:rPr>
          <w:rFonts w:ascii="Arial" w:hAnsi="Arial" w:cs="Arial"/>
          <w:b/>
          <w:bCs/>
          <w:sz w:val="24"/>
          <w:szCs w:val="24"/>
        </w:rPr>
        <w:t>Risks and Mitigation Techniques</w:t>
      </w:r>
      <w:r w:rsidR="00A50D83" w:rsidRPr="00E161DF">
        <w:rPr>
          <w:rFonts w:ascii="Arial" w:hAnsi="Arial" w:cs="Arial"/>
          <w:b/>
          <w:bCs/>
          <w:sz w:val="24"/>
          <w:szCs w:val="24"/>
        </w:rPr>
        <w:t xml:space="preserve"> </w:t>
      </w:r>
    </w:p>
    <w:p w14:paraId="738114B5" w14:textId="535C3844" w:rsidR="003F608B" w:rsidRPr="00E161DF" w:rsidRDefault="003F608B" w:rsidP="00821074">
      <w:pPr>
        <w:spacing w:after="0" w:line="480" w:lineRule="auto"/>
        <w:rPr>
          <w:rFonts w:ascii="Arial" w:hAnsi="Arial" w:cs="Arial"/>
          <w:sz w:val="24"/>
          <w:szCs w:val="24"/>
        </w:rPr>
      </w:pPr>
      <w:r w:rsidRPr="00E161DF">
        <w:rPr>
          <w:rFonts w:ascii="Arial" w:hAnsi="Arial" w:cs="Arial"/>
          <w:b/>
          <w:bCs/>
          <w:sz w:val="24"/>
          <w:szCs w:val="24"/>
        </w:rPr>
        <w:t>P</w:t>
      </w:r>
      <w:r w:rsidR="00A50D83" w:rsidRPr="00E161DF">
        <w:rPr>
          <w:rFonts w:ascii="Arial" w:hAnsi="Arial" w:cs="Arial"/>
          <w:b/>
          <w:bCs/>
          <w:sz w:val="24"/>
          <w:szCs w:val="24"/>
        </w:rPr>
        <w:t>articipant</w:t>
      </w:r>
    </w:p>
    <w:p w14:paraId="17A8E85D" w14:textId="17F7AD50" w:rsidR="00AE31E8" w:rsidRPr="00E161DF" w:rsidRDefault="00D00858" w:rsidP="00821074">
      <w:pPr>
        <w:spacing w:after="0" w:line="480" w:lineRule="auto"/>
        <w:rPr>
          <w:rFonts w:ascii="Arial" w:hAnsi="Arial" w:cs="Arial"/>
          <w:sz w:val="24"/>
          <w:szCs w:val="24"/>
        </w:rPr>
      </w:pPr>
      <w:r w:rsidRPr="00E161DF">
        <w:rPr>
          <w:rFonts w:ascii="Arial" w:hAnsi="Arial" w:cs="Arial"/>
          <w:sz w:val="24"/>
          <w:szCs w:val="24"/>
        </w:rPr>
        <w:t>Participants may experience embarrassment, anxiety of may be upset from questions asked, tasks assigned or feedback provided</w:t>
      </w:r>
      <w:r w:rsidR="00DB3C12" w:rsidRPr="00E161DF">
        <w:rPr>
          <w:rFonts w:ascii="Arial" w:hAnsi="Arial" w:cs="Arial"/>
          <w:sz w:val="24"/>
          <w:szCs w:val="24"/>
        </w:rPr>
        <w:t xml:space="preserve"> (Sim and Waterfield, 2019)</w:t>
      </w:r>
      <w:r w:rsidRPr="00E161DF">
        <w:rPr>
          <w:rFonts w:ascii="Arial" w:hAnsi="Arial" w:cs="Arial"/>
          <w:sz w:val="24"/>
          <w:szCs w:val="24"/>
        </w:rPr>
        <w:t>. For these cases, researchers may offer breaks, or even stop an activity when a participant becomes agitated or otherwise distressed. Participating in class learning activities may alter peer dynamics and some participants risk being ex</w:t>
      </w:r>
      <w:r w:rsidR="00502BD0" w:rsidRPr="00E161DF">
        <w:rPr>
          <w:rFonts w:ascii="Arial" w:hAnsi="Arial" w:cs="Arial"/>
          <w:sz w:val="24"/>
          <w:szCs w:val="24"/>
        </w:rPr>
        <w:t xml:space="preserve">cluded. The researcher is to anonymize reporting </w:t>
      </w:r>
      <w:r w:rsidR="00A14EB4" w:rsidRPr="00E161DF">
        <w:rPr>
          <w:rFonts w:ascii="Arial" w:hAnsi="Arial" w:cs="Arial"/>
          <w:sz w:val="24"/>
          <w:szCs w:val="24"/>
        </w:rPr>
        <w:t>and to brief the instructors techniques to ensure inclusivity. To avoid confidentiality breach, the researcher is to limit access to data and to encrypt files to make it difficult for unauthorized access</w:t>
      </w:r>
      <w:r w:rsidR="00976F77" w:rsidRPr="00E161DF">
        <w:rPr>
          <w:rFonts w:ascii="Arial" w:hAnsi="Arial" w:cs="Arial"/>
          <w:sz w:val="24"/>
          <w:szCs w:val="24"/>
        </w:rPr>
        <w:t xml:space="preserve"> (Myers</w:t>
      </w:r>
      <w:r w:rsidR="00D93561" w:rsidRPr="00E161DF">
        <w:rPr>
          <w:rFonts w:ascii="Arial" w:hAnsi="Arial" w:cs="Arial"/>
          <w:sz w:val="24"/>
          <w:szCs w:val="24"/>
        </w:rPr>
        <w:t>,</w:t>
      </w:r>
      <w:r w:rsidR="00976F77" w:rsidRPr="00E161DF">
        <w:rPr>
          <w:rFonts w:ascii="Arial" w:hAnsi="Arial" w:cs="Arial"/>
          <w:sz w:val="24"/>
          <w:szCs w:val="24"/>
        </w:rPr>
        <w:t xml:space="preserve"> 2025).</w:t>
      </w:r>
      <w:r w:rsidR="00A14EB4" w:rsidRPr="00E161DF">
        <w:rPr>
          <w:rFonts w:ascii="Arial" w:hAnsi="Arial" w:cs="Arial"/>
          <w:sz w:val="24"/>
          <w:szCs w:val="24"/>
        </w:rPr>
        <w:t xml:space="preserve"> To avoid coercion, consent or assent is to be obtained privately and emphasis on zero penalty on non-participation emphasized (</w:t>
      </w:r>
      <w:proofErr w:type="spellStart"/>
      <w:r w:rsidR="00A14EB4" w:rsidRPr="00E161DF">
        <w:rPr>
          <w:rFonts w:ascii="Arial" w:hAnsi="Arial" w:cs="Arial"/>
          <w:sz w:val="24"/>
          <w:szCs w:val="24"/>
        </w:rPr>
        <w:t>Felzmann</w:t>
      </w:r>
      <w:proofErr w:type="spellEnd"/>
      <w:r w:rsidR="00D93561" w:rsidRPr="00E161DF">
        <w:rPr>
          <w:rFonts w:ascii="Arial" w:hAnsi="Arial" w:cs="Arial"/>
          <w:sz w:val="24"/>
          <w:szCs w:val="24"/>
        </w:rPr>
        <w:t>,</w:t>
      </w:r>
      <w:r w:rsidR="00A14EB4" w:rsidRPr="00E161DF">
        <w:rPr>
          <w:rFonts w:ascii="Arial" w:hAnsi="Arial" w:cs="Arial"/>
          <w:sz w:val="24"/>
          <w:szCs w:val="24"/>
        </w:rPr>
        <w:t xml:space="preserve"> 2009). </w:t>
      </w:r>
    </w:p>
    <w:p w14:paraId="2557710D" w14:textId="07671328" w:rsidR="003F608B" w:rsidRPr="00E161DF" w:rsidRDefault="00457EE7" w:rsidP="00821074">
      <w:pPr>
        <w:spacing w:after="0" w:line="480" w:lineRule="auto"/>
        <w:rPr>
          <w:rFonts w:ascii="Arial" w:hAnsi="Arial" w:cs="Arial"/>
          <w:sz w:val="24"/>
          <w:szCs w:val="24"/>
        </w:rPr>
      </w:pPr>
      <w:r w:rsidRPr="00E161DF">
        <w:rPr>
          <w:rFonts w:ascii="Arial" w:hAnsi="Arial" w:cs="Arial"/>
          <w:b/>
          <w:bCs/>
          <w:sz w:val="24"/>
          <w:szCs w:val="24"/>
        </w:rPr>
        <w:t>T</w:t>
      </w:r>
      <w:r w:rsidR="00A50D83" w:rsidRPr="00E161DF">
        <w:rPr>
          <w:rFonts w:ascii="Arial" w:hAnsi="Arial" w:cs="Arial"/>
          <w:b/>
          <w:bCs/>
          <w:sz w:val="24"/>
          <w:szCs w:val="24"/>
        </w:rPr>
        <w:t>he researcher</w:t>
      </w:r>
    </w:p>
    <w:p w14:paraId="56148922" w14:textId="4B67CD59" w:rsidR="003C013F" w:rsidRPr="00E161DF" w:rsidRDefault="00004A6B" w:rsidP="00821074">
      <w:pPr>
        <w:spacing w:after="0" w:line="480" w:lineRule="auto"/>
        <w:rPr>
          <w:rFonts w:ascii="Arial" w:hAnsi="Arial" w:cs="Arial"/>
          <w:sz w:val="24"/>
          <w:szCs w:val="24"/>
        </w:rPr>
      </w:pPr>
      <w:r w:rsidRPr="00E161DF">
        <w:rPr>
          <w:rFonts w:ascii="Arial" w:hAnsi="Arial" w:cs="Arial"/>
          <w:sz w:val="24"/>
          <w:szCs w:val="24"/>
        </w:rPr>
        <w:t>For the researcher, potential risks include physical safety risks, psychological and emotional risks, interpersonal conflict and aggression, professional and reputational risks, legal, ethical data breach and role conflict issues</w:t>
      </w:r>
      <w:r w:rsidR="00976F77" w:rsidRPr="00E161DF">
        <w:rPr>
          <w:rFonts w:ascii="Arial" w:hAnsi="Arial" w:cs="Arial"/>
          <w:sz w:val="24"/>
          <w:szCs w:val="24"/>
        </w:rPr>
        <w:t xml:space="preserve"> (Rice and McAllum, 2025).</w:t>
      </w:r>
      <w:r w:rsidRPr="00E161DF">
        <w:rPr>
          <w:rFonts w:ascii="Arial" w:hAnsi="Arial" w:cs="Arial"/>
          <w:sz w:val="24"/>
          <w:szCs w:val="24"/>
        </w:rPr>
        <w:t xml:space="preserve"> To reduce these risks, there is need for effective and ongoing risk assessment including conducting pre-visits to generate comprehensive safety plan</w:t>
      </w:r>
      <w:r w:rsidR="00976F77" w:rsidRPr="00E161DF">
        <w:rPr>
          <w:rFonts w:ascii="Arial" w:hAnsi="Arial" w:cs="Arial"/>
          <w:sz w:val="24"/>
          <w:szCs w:val="24"/>
        </w:rPr>
        <w:t xml:space="preserve"> (Social Research Association, </w:t>
      </w:r>
      <w:proofErr w:type="spellStart"/>
      <w:r w:rsidR="00976F77" w:rsidRPr="00E161DF">
        <w:rPr>
          <w:rFonts w:ascii="Arial" w:hAnsi="Arial" w:cs="Arial"/>
          <w:sz w:val="24"/>
          <w:szCs w:val="24"/>
        </w:rPr>
        <w:t>n.d</w:t>
      </w:r>
      <w:proofErr w:type="spellEnd"/>
      <w:r w:rsidR="00976F77" w:rsidRPr="00E161DF">
        <w:rPr>
          <w:rFonts w:ascii="Arial" w:hAnsi="Arial" w:cs="Arial"/>
          <w:sz w:val="24"/>
          <w:szCs w:val="24"/>
        </w:rPr>
        <w:t>)</w:t>
      </w:r>
      <w:r w:rsidRPr="00E161DF">
        <w:rPr>
          <w:rFonts w:ascii="Arial" w:hAnsi="Arial" w:cs="Arial"/>
          <w:sz w:val="24"/>
          <w:szCs w:val="24"/>
        </w:rPr>
        <w:t>. Mandatory training on safeguarding, safety reporting and data protection is essential for ensuring personal and date safety.</w:t>
      </w:r>
      <w:r w:rsidR="00C320F5" w:rsidRPr="00E161DF">
        <w:rPr>
          <w:rFonts w:ascii="Arial" w:hAnsi="Arial" w:cs="Arial"/>
          <w:sz w:val="24"/>
          <w:szCs w:val="24"/>
        </w:rPr>
        <w:t xml:space="preserve"> There is need for an incident response plan to cover physical incidents, aggressive encounters and </w:t>
      </w:r>
      <w:r w:rsidR="00C320F5" w:rsidRPr="00E161DF">
        <w:rPr>
          <w:rFonts w:ascii="Arial" w:hAnsi="Arial" w:cs="Arial"/>
          <w:sz w:val="24"/>
          <w:szCs w:val="24"/>
        </w:rPr>
        <w:lastRenderedPageBreak/>
        <w:t xml:space="preserve">public complaints. For fieldworkers, insurance cover should be provided to cover adverse field events. </w:t>
      </w:r>
    </w:p>
    <w:p w14:paraId="4C758DCF" w14:textId="0D630AFF" w:rsidR="003F608B" w:rsidRPr="00E161DF" w:rsidRDefault="00457EE7" w:rsidP="00821074">
      <w:pPr>
        <w:spacing w:after="0" w:line="480" w:lineRule="auto"/>
        <w:rPr>
          <w:rFonts w:ascii="Arial" w:hAnsi="Arial" w:cs="Arial"/>
          <w:sz w:val="24"/>
          <w:szCs w:val="24"/>
        </w:rPr>
      </w:pPr>
      <w:r w:rsidRPr="00E161DF">
        <w:rPr>
          <w:rFonts w:ascii="Arial" w:hAnsi="Arial" w:cs="Arial"/>
          <w:b/>
          <w:bCs/>
          <w:sz w:val="24"/>
          <w:szCs w:val="24"/>
        </w:rPr>
        <w:t>T</w:t>
      </w:r>
      <w:r w:rsidR="00A50D83" w:rsidRPr="00E161DF">
        <w:rPr>
          <w:rFonts w:ascii="Arial" w:hAnsi="Arial" w:cs="Arial"/>
          <w:b/>
          <w:bCs/>
          <w:sz w:val="24"/>
          <w:szCs w:val="24"/>
        </w:rPr>
        <w:t xml:space="preserve">he </w:t>
      </w:r>
      <w:r w:rsidR="00AA7A8E" w:rsidRPr="00E161DF">
        <w:rPr>
          <w:rFonts w:ascii="Arial" w:hAnsi="Arial" w:cs="Arial"/>
          <w:b/>
          <w:bCs/>
          <w:sz w:val="24"/>
          <w:szCs w:val="24"/>
        </w:rPr>
        <w:t>U</w:t>
      </w:r>
      <w:r w:rsidR="00A50D83" w:rsidRPr="00E161DF">
        <w:rPr>
          <w:rFonts w:ascii="Arial" w:hAnsi="Arial" w:cs="Arial"/>
          <w:b/>
          <w:bCs/>
          <w:sz w:val="24"/>
          <w:szCs w:val="24"/>
        </w:rPr>
        <w:t>niversity</w:t>
      </w:r>
      <w:r w:rsidR="00A50D83" w:rsidRPr="00E161DF">
        <w:rPr>
          <w:rFonts w:ascii="Arial" w:hAnsi="Arial" w:cs="Arial"/>
          <w:sz w:val="24"/>
          <w:szCs w:val="24"/>
        </w:rPr>
        <w:t xml:space="preserve"> </w:t>
      </w:r>
    </w:p>
    <w:p w14:paraId="1C61CB0E" w14:textId="3754E24E" w:rsidR="00C86385" w:rsidRPr="00E161DF" w:rsidRDefault="00C86385" w:rsidP="00821074">
      <w:pPr>
        <w:spacing w:after="0" w:line="480" w:lineRule="auto"/>
        <w:rPr>
          <w:rFonts w:ascii="Arial" w:hAnsi="Arial" w:cs="Arial"/>
          <w:sz w:val="24"/>
          <w:szCs w:val="24"/>
        </w:rPr>
      </w:pPr>
      <w:r w:rsidRPr="00E161DF">
        <w:rPr>
          <w:rFonts w:ascii="Arial" w:hAnsi="Arial" w:cs="Arial"/>
          <w:sz w:val="24"/>
          <w:szCs w:val="24"/>
        </w:rPr>
        <w:t>Negative publicity, complaints and legal action can arise from actual or potential harm to participants damaging the university reputation and relationship with stakeholders</w:t>
      </w:r>
      <w:r w:rsidR="00EB130B" w:rsidRPr="00E161DF">
        <w:rPr>
          <w:rFonts w:ascii="Arial" w:hAnsi="Arial" w:cs="Arial"/>
          <w:sz w:val="24"/>
          <w:szCs w:val="24"/>
        </w:rPr>
        <w:t xml:space="preserve"> (British Educational Research Association, 2018)</w:t>
      </w:r>
      <w:r w:rsidRPr="00E161DF">
        <w:rPr>
          <w:rFonts w:ascii="Arial" w:hAnsi="Arial" w:cs="Arial"/>
          <w:sz w:val="24"/>
          <w:szCs w:val="24"/>
        </w:rPr>
        <w:t>. This may be mitigated through effective communication and clear complaint procedures. Noncompliance with safeguarding obligations and data protection regulations can led to litigation and regulatory sanctions</w:t>
      </w:r>
      <w:r w:rsidR="00EB130B" w:rsidRPr="00E161DF">
        <w:rPr>
          <w:rFonts w:ascii="Arial" w:hAnsi="Arial" w:cs="Arial"/>
          <w:sz w:val="24"/>
          <w:szCs w:val="24"/>
        </w:rPr>
        <w:t xml:space="preserve"> (Noah, Moon and John, 2024)</w:t>
      </w:r>
      <w:r w:rsidRPr="00E161DF">
        <w:rPr>
          <w:rFonts w:ascii="Arial" w:hAnsi="Arial" w:cs="Arial"/>
          <w:sz w:val="24"/>
          <w:szCs w:val="24"/>
        </w:rPr>
        <w:t xml:space="preserve">. This may be mitigated by </w:t>
      </w:r>
      <w:r w:rsidR="003C013F" w:rsidRPr="00E161DF">
        <w:rPr>
          <w:rFonts w:ascii="Arial" w:hAnsi="Arial" w:cs="Arial"/>
          <w:sz w:val="24"/>
          <w:szCs w:val="24"/>
        </w:rPr>
        <w:t>ensuring thorough ethics approval process and keeping audit-ready records of reports and consent.</w:t>
      </w:r>
    </w:p>
    <w:p w14:paraId="14E6EB01" w14:textId="77777777" w:rsidR="0071572B" w:rsidRPr="00E161DF" w:rsidRDefault="0071572B" w:rsidP="00821074">
      <w:pPr>
        <w:spacing w:after="0" w:line="480" w:lineRule="auto"/>
        <w:rPr>
          <w:rFonts w:ascii="Arial" w:hAnsi="Arial" w:cs="Arial"/>
          <w:b/>
          <w:bCs/>
          <w:sz w:val="24"/>
          <w:szCs w:val="24"/>
        </w:rPr>
      </w:pPr>
      <w:r w:rsidRPr="00E161DF">
        <w:rPr>
          <w:rFonts w:ascii="Arial" w:hAnsi="Arial" w:cs="Arial"/>
          <w:b/>
          <w:bCs/>
          <w:sz w:val="24"/>
          <w:szCs w:val="24"/>
        </w:rPr>
        <w:t>Compliance with G</w:t>
      </w:r>
      <w:r w:rsidR="00A50D83" w:rsidRPr="00E161DF">
        <w:rPr>
          <w:rFonts w:ascii="Arial" w:hAnsi="Arial" w:cs="Arial"/>
          <w:b/>
          <w:bCs/>
          <w:sz w:val="24"/>
          <w:szCs w:val="24"/>
        </w:rPr>
        <w:t xml:space="preserve">uidelines and </w:t>
      </w:r>
      <w:r w:rsidRPr="00E161DF">
        <w:rPr>
          <w:rFonts w:ascii="Arial" w:hAnsi="Arial" w:cs="Arial"/>
          <w:b/>
          <w:bCs/>
          <w:sz w:val="24"/>
          <w:szCs w:val="24"/>
        </w:rPr>
        <w:t>L</w:t>
      </w:r>
      <w:r w:rsidR="00A50D83" w:rsidRPr="00E161DF">
        <w:rPr>
          <w:rFonts w:ascii="Arial" w:hAnsi="Arial" w:cs="Arial"/>
          <w:b/>
          <w:bCs/>
          <w:sz w:val="24"/>
          <w:szCs w:val="24"/>
        </w:rPr>
        <w:t>egislation</w:t>
      </w:r>
    </w:p>
    <w:p w14:paraId="3CA707EE" w14:textId="77F36034" w:rsidR="0092481F" w:rsidRPr="00E161DF" w:rsidRDefault="00CA604A" w:rsidP="00821074">
      <w:pPr>
        <w:spacing w:after="0" w:line="480" w:lineRule="auto"/>
        <w:rPr>
          <w:rFonts w:ascii="Arial" w:hAnsi="Arial" w:cs="Arial"/>
          <w:sz w:val="24"/>
          <w:szCs w:val="24"/>
        </w:rPr>
      </w:pPr>
      <w:r w:rsidRPr="00E161DF">
        <w:rPr>
          <w:rFonts w:ascii="Arial" w:hAnsi="Arial" w:cs="Arial"/>
          <w:sz w:val="24"/>
          <w:szCs w:val="24"/>
        </w:rPr>
        <w:t>To comply with guidelines and legislation such as GD</w:t>
      </w:r>
      <w:r w:rsidR="00266CC8" w:rsidRPr="00E161DF">
        <w:rPr>
          <w:rFonts w:ascii="Arial" w:hAnsi="Arial" w:cs="Arial"/>
          <w:sz w:val="24"/>
          <w:szCs w:val="24"/>
        </w:rPr>
        <w:t>PR</w:t>
      </w:r>
      <w:r w:rsidRPr="00E161DF">
        <w:rPr>
          <w:rFonts w:ascii="Arial" w:hAnsi="Arial" w:cs="Arial"/>
          <w:sz w:val="24"/>
          <w:szCs w:val="24"/>
        </w:rPr>
        <w:t xml:space="preserve"> 2018 and DP Act 2018, the researcher </w:t>
      </w:r>
      <w:r w:rsidR="00D83B9E" w:rsidRPr="00E161DF">
        <w:rPr>
          <w:rFonts w:ascii="Arial" w:hAnsi="Arial" w:cs="Arial"/>
          <w:sz w:val="24"/>
          <w:szCs w:val="24"/>
        </w:rPr>
        <w:t>will</w:t>
      </w:r>
      <w:r w:rsidRPr="00E161DF">
        <w:rPr>
          <w:rFonts w:ascii="Arial" w:hAnsi="Arial" w:cs="Arial"/>
          <w:sz w:val="24"/>
          <w:szCs w:val="24"/>
        </w:rPr>
        <w:t xml:space="preserve"> ensure there is a lawful purpose </w:t>
      </w:r>
      <w:r w:rsidR="004B40A7" w:rsidRPr="00E161DF">
        <w:rPr>
          <w:rFonts w:ascii="Arial" w:hAnsi="Arial" w:cs="Arial"/>
          <w:sz w:val="24"/>
          <w:szCs w:val="24"/>
        </w:rPr>
        <w:t xml:space="preserve">and transparent process </w:t>
      </w:r>
      <w:r w:rsidRPr="00E161DF">
        <w:rPr>
          <w:rFonts w:ascii="Arial" w:hAnsi="Arial" w:cs="Arial"/>
          <w:sz w:val="24"/>
          <w:szCs w:val="24"/>
        </w:rPr>
        <w:t xml:space="preserve">for </w:t>
      </w:r>
      <w:r w:rsidR="004B40A7" w:rsidRPr="00E161DF">
        <w:rPr>
          <w:rFonts w:ascii="Arial" w:hAnsi="Arial" w:cs="Arial"/>
          <w:sz w:val="24"/>
          <w:szCs w:val="24"/>
        </w:rPr>
        <w:t>data collection</w:t>
      </w:r>
      <w:r w:rsidR="00D83B9E" w:rsidRPr="00E161DF">
        <w:rPr>
          <w:rFonts w:ascii="Arial" w:hAnsi="Arial" w:cs="Arial"/>
          <w:sz w:val="24"/>
          <w:szCs w:val="24"/>
        </w:rPr>
        <w:t xml:space="preserve">. Additional processes must be put in place to ensure data accuracy, storage limitation, </w:t>
      </w:r>
      <w:r w:rsidR="00D62D93" w:rsidRPr="00E161DF">
        <w:rPr>
          <w:rFonts w:ascii="Arial" w:hAnsi="Arial" w:cs="Arial"/>
          <w:sz w:val="24"/>
          <w:szCs w:val="24"/>
        </w:rPr>
        <w:t xml:space="preserve">integrity, confidentiality, minimization and accountability. Electronic or paper copies of signed consents by participants will be stored safely and researcher will ensure that the consent is informed and unambiguous </w:t>
      </w:r>
      <w:r w:rsidR="00266CC8" w:rsidRPr="00E161DF">
        <w:rPr>
          <w:rFonts w:ascii="Arial" w:hAnsi="Arial" w:cs="Arial"/>
          <w:sz w:val="24"/>
          <w:szCs w:val="24"/>
        </w:rPr>
        <w:t>(</w:t>
      </w:r>
      <w:r w:rsidR="00D62D93" w:rsidRPr="00E161DF">
        <w:rPr>
          <w:rFonts w:ascii="Arial" w:hAnsi="Arial" w:cs="Arial"/>
          <w:sz w:val="24"/>
          <w:szCs w:val="24"/>
        </w:rPr>
        <w:t>Data Protection Act, 2018). Personal data will not be used in a way to cause harm to participants and consent will be obtained from parents or guardians to data from the learners. Participants will be informed of their right to withdraw from the study, object to the processing of their personal information or even request erasure of their data in keeping with GDP</w:t>
      </w:r>
      <w:r w:rsidR="00266CC8" w:rsidRPr="00E161DF">
        <w:rPr>
          <w:rFonts w:ascii="Arial" w:hAnsi="Arial" w:cs="Arial"/>
          <w:sz w:val="24"/>
          <w:szCs w:val="24"/>
        </w:rPr>
        <w:t>R</w:t>
      </w:r>
      <w:r w:rsidR="00D62D93" w:rsidRPr="00E161DF">
        <w:rPr>
          <w:rFonts w:ascii="Arial" w:hAnsi="Arial" w:cs="Arial"/>
          <w:sz w:val="24"/>
          <w:szCs w:val="24"/>
        </w:rPr>
        <w:t xml:space="preserve"> </w:t>
      </w:r>
      <w:r w:rsidR="00266CC8" w:rsidRPr="00E161DF">
        <w:rPr>
          <w:rFonts w:ascii="Arial" w:hAnsi="Arial" w:cs="Arial"/>
          <w:sz w:val="24"/>
          <w:szCs w:val="24"/>
        </w:rPr>
        <w:t xml:space="preserve">and </w:t>
      </w:r>
      <w:r w:rsidR="00D62D93" w:rsidRPr="00E161DF">
        <w:rPr>
          <w:rFonts w:ascii="Arial" w:hAnsi="Arial" w:cs="Arial"/>
          <w:sz w:val="24"/>
          <w:szCs w:val="24"/>
        </w:rPr>
        <w:t xml:space="preserve">Data Protection Act (2018). </w:t>
      </w:r>
    </w:p>
    <w:p w14:paraId="1E2559F1" w14:textId="13C0977A" w:rsidR="00A50D83" w:rsidRPr="00E161DF" w:rsidRDefault="002014D3" w:rsidP="00821074">
      <w:pPr>
        <w:spacing w:after="0" w:line="480" w:lineRule="auto"/>
        <w:rPr>
          <w:rFonts w:ascii="Arial" w:hAnsi="Arial" w:cs="Arial"/>
          <w:sz w:val="24"/>
          <w:szCs w:val="24"/>
        </w:rPr>
      </w:pPr>
      <w:r w:rsidRPr="00E161DF">
        <w:rPr>
          <w:rFonts w:ascii="Arial" w:hAnsi="Arial" w:cs="Arial"/>
          <w:sz w:val="24"/>
          <w:szCs w:val="24"/>
        </w:rPr>
        <w:t xml:space="preserve">To comply with BERA guidelines, the data collection tools will be designed to avoid harm and researcher will ensure they are age-appropriate and include parental </w:t>
      </w:r>
      <w:r w:rsidRPr="00E161DF">
        <w:rPr>
          <w:rFonts w:ascii="Arial" w:hAnsi="Arial" w:cs="Arial"/>
          <w:sz w:val="24"/>
          <w:szCs w:val="24"/>
        </w:rPr>
        <w:lastRenderedPageBreak/>
        <w:t>consent as necessary</w:t>
      </w:r>
      <w:r w:rsidR="00266CC8" w:rsidRPr="00E161DF">
        <w:rPr>
          <w:rFonts w:ascii="Arial" w:hAnsi="Arial" w:cs="Arial"/>
          <w:sz w:val="24"/>
          <w:szCs w:val="24"/>
        </w:rPr>
        <w:t xml:space="preserve"> (BERA</w:t>
      </w:r>
      <w:r w:rsidR="00D93561" w:rsidRPr="00E161DF">
        <w:rPr>
          <w:rFonts w:ascii="Arial" w:hAnsi="Arial" w:cs="Arial"/>
          <w:sz w:val="24"/>
          <w:szCs w:val="24"/>
        </w:rPr>
        <w:t>,</w:t>
      </w:r>
      <w:r w:rsidR="00266CC8" w:rsidRPr="00E161DF">
        <w:rPr>
          <w:rFonts w:ascii="Arial" w:hAnsi="Arial" w:cs="Arial"/>
          <w:sz w:val="24"/>
          <w:szCs w:val="24"/>
        </w:rPr>
        <w:t xml:space="preserve"> 2018)</w:t>
      </w:r>
      <w:r w:rsidRPr="00E161DF">
        <w:rPr>
          <w:rFonts w:ascii="Arial" w:hAnsi="Arial" w:cs="Arial"/>
          <w:sz w:val="24"/>
          <w:szCs w:val="24"/>
        </w:rPr>
        <w:t>. Information sheets will be provided as previously described and identifiable data will be minimized. Power dynamics will be considered to ensure voluntary participation</w:t>
      </w:r>
      <w:r w:rsidR="00266CC8" w:rsidRPr="00E161DF">
        <w:rPr>
          <w:rFonts w:ascii="Arial" w:hAnsi="Arial" w:cs="Arial"/>
          <w:sz w:val="24"/>
          <w:szCs w:val="24"/>
        </w:rPr>
        <w:t xml:space="preserve"> (University of Wales Trinity Saint David, 2022)</w:t>
      </w:r>
      <w:r w:rsidRPr="00E161DF">
        <w:rPr>
          <w:rFonts w:ascii="Arial" w:hAnsi="Arial" w:cs="Arial"/>
          <w:sz w:val="24"/>
          <w:szCs w:val="24"/>
        </w:rPr>
        <w:t xml:space="preserve">. </w:t>
      </w:r>
      <w:r w:rsidR="00CA29DA" w:rsidRPr="00E161DF">
        <w:rPr>
          <w:rFonts w:ascii="Arial" w:hAnsi="Arial" w:cs="Arial"/>
          <w:sz w:val="24"/>
          <w:szCs w:val="24"/>
        </w:rPr>
        <w:t>In line with the UWTSD guidelines, the UWTSD Research Data management plan will be completed and the researcher will comply with the University Research Data management guidelines. The researcher will employ pseudonymisation and will restrict access to research data by roles and using strong authentication (University of Wales Trinity Saint David, 2022).</w:t>
      </w:r>
    </w:p>
    <w:p w14:paraId="0D0E73DF" w14:textId="77777777" w:rsidR="00A50D83" w:rsidRPr="00E161DF" w:rsidRDefault="00A50D83" w:rsidP="00821074">
      <w:pPr>
        <w:spacing w:after="0" w:line="480" w:lineRule="auto"/>
        <w:rPr>
          <w:rFonts w:ascii="Arial" w:hAnsi="Arial" w:cs="Arial"/>
          <w:sz w:val="24"/>
          <w:szCs w:val="24"/>
        </w:rPr>
      </w:pPr>
    </w:p>
    <w:p w14:paraId="4D49A482" w14:textId="1D38E732" w:rsidR="00A50D83" w:rsidRPr="00E161DF" w:rsidRDefault="00A50D83" w:rsidP="00821074">
      <w:pPr>
        <w:spacing w:after="0" w:line="480" w:lineRule="auto"/>
        <w:rPr>
          <w:rFonts w:ascii="Arial" w:hAnsi="Arial" w:cs="Arial"/>
          <w:sz w:val="24"/>
          <w:szCs w:val="24"/>
        </w:rPr>
      </w:pPr>
    </w:p>
    <w:p w14:paraId="442906A2" w14:textId="77777777" w:rsidR="000B7F09" w:rsidRPr="00E161DF" w:rsidRDefault="000B7F09" w:rsidP="00821074">
      <w:pPr>
        <w:spacing w:line="480" w:lineRule="auto"/>
        <w:rPr>
          <w:rFonts w:ascii="Arial" w:hAnsi="Arial" w:cs="Arial"/>
          <w:b/>
          <w:bCs/>
          <w:sz w:val="24"/>
          <w:szCs w:val="24"/>
        </w:rPr>
      </w:pPr>
      <w:r w:rsidRPr="00E161DF">
        <w:rPr>
          <w:rFonts w:ascii="Arial" w:hAnsi="Arial" w:cs="Arial"/>
          <w:b/>
          <w:bCs/>
          <w:sz w:val="24"/>
          <w:szCs w:val="24"/>
        </w:rPr>
        <w:br w:type="page"/>
      </w:r>
    </w:p>
    <w:p w14:paraId="0B463A6A" w14:textId="07F24A26" w:rsidR="00821074" w:rsidRPr="00974FDD" w:rsidRDefault="00155A6C" w:rsidP="00821074">
      <w:pPr>
        <w:spacing w:after="0" w:line="480" w:lineRule="auto"/>
        <w:rPr>
          <w:rFonts w:ascii="Arial" w:hAnsi="Arial" w:cs="Arial"/>
          <w:b/>
          <w:bCs/>
          <w:sz w:val="24"/>
          <w:szCs w:val="24"/>
        </w:rPr>
      </w:pPr>
      <w:r w:rsidRPr="00E161DF">
        <w:rPr>
          <w:rFonts w:ascii="Arial" w:hAnsi="Arial" w:cs="Arial"/>
          <w:b/>
          <w:bCs/>
          <w:sz w:val="24"/>
          <w:szCs w:val="24"/>
        </w:rPr>
        <w:lastRenderedPageBreak/>
        <w:t>References</w:t>
      </w:r>
    </w:p>
    <w:p w14:paraId="203BB972"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Akman, B. and </w:t>
      </w:r>
      <w:proofErr w:type="spellStart"/>
      <w:r w:rsidRPr="00821074">
        <w:rPr>
          <w:rFonts w:ascii="Arial" w:hAnsi="Arial" w:cs="Arial"/>
          <w:sz w:val="24"/>
          <w:szCs w:val="24"/>
          <w:lang w:val="en-US"/>
        </w:rPr>
        <w:t>Güçhan</w:t>
      </w:r>
      <w:proofErr w:type="spellEnd"/>
      <w:r w:rsidRPr="00821074">
        <w:rPr>
          <w:rFonts w:ascii="Arial" w:hAnsi="Arial" w:cs="Arial"/>
          <w:sz w:val="24"/>
          <w:szCs w:val="24"/>
          <w:lang w:val="en-US"/>
        </w:rPr>
        <w:t xml:space="preserve"> Özgül, S. (2015) ‘Role of Play in Teaching Science in the Early Childhood Years’, </w:t>
      </w:r>
      <w:r w:rsidRPr="00821074">
        <w:rPr>
          <w:rFonts w:ascii="Arial" w:hAnsi="Arial" w:cs="Arial"/>
          <w:i/>
          <w:iCs/>
          <w:sz w:val="24"/>
          <w:szCs w:val="24"/>
          <w:lang w:val="en-US"/>
        </w:rPr>
        <w:t>Research in Early Childhood Science Education</w:t>
      </w:r>
      <w:r w:rsidRPr="00821074">
        <w:rPr>
          <w:rFonts w:ascii="Arial" w:hAnsi="Arial" w:cs="Arial"/>
          <w:sz w:val="24"/>
          <w:szCs w:val="24"/>
          <w:lang w:val="en-US"/>
        </w:rPr>
        <w:t xml:space="preserve">, pp.237–258. Available at: </w:t>
      </w:r>
      <w:hyperlink r:id="rId10" w:history="1">
        <w:r w:rsidRPr="00821074">
          <w:rPr>
            <w:rStyle w:val="Hyperlink"/>
            <w:rFonts w:ascii="Arial" w:hAnsi="Arial" w:cs="Arial"/>
            <w:sz w:val="24"/>
            <w:szCs w:val="24"/>
            <w:lang w:val="en-US"/>
          </w:rPr>
          <w:t>https://doi.org/10.1007/978-94-017-9505-0_11</w:t>
        </w:r>
      </w:hyperlink>
      <w:r w:rsidRPr="00821074">
        <w:rPr>
          <w:rFonts w:ascii="Arial" w:hAnsi="Arial" w:cs="Arial"/>
          <w:sz w:val="24"/>
          <w:szCs w:val="24"/>
          <w:lang w:val="en-US"/>
        </w:rPr>
        <w:t xml:space="preserve">. </w:t>
      </w:r>
    </w:p>
    <w:p w14:paraId="2E460216"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‌Albion, P. (2015) ‘Project-, problem-, and inquiry-based learning’, In Henderson, M. J. and Romeo, G. (Eds.), </w:t>
      </w:r>
      <w:r w:rsidRPr="00821074">
        <w:rPr>
          <w:rFonts w:ascii="Arial" w:hAnsi="Arial" w:cs="Arial"/>
          <w:i/>
          <w:iCs/>
          <w:sz w:val="24"/>
          <w:szCs w:val="24"/>
          <w:lang w:val="en-US"/>
        </w:rPr>
        <w:t>Teaching and digital technologies: Big issues and critical questions </w:t>
      </w:r>
      <w:r w:rsidRPr="00821074">
        <w:rPr>
          <w:rFonts w:ascii="Arial" w:hAnsi="Arial" w:cs="Arial"/>
          <w:sz w:val="24"/>
          <w:szCs w:val="24"/>
          <w:lang w:val="en-US"/>
        </w:rPr>
        <w:t xml:space="preserve">(pp. 240–252). Cambridge University Press. Available at: </w:t>
      </w:r>
      <w:hyperlink r:id="rId11" w:history="1">
        <w:r w:rsidRPr="00821074">
          <w:rPr>
            <w:rStyle w:val="Hyperlink"/>
            <w:rFonts w:ascii="Arial" w:hAnsi="Arial" w:cs="Arial"/>
            <w:sz w:val="24"/>
            <w:szCs w:val="24"/>
            <w:lang w:val="en-US"/>
          </w:rPr>
          <w:t>https://eprints.usq.edu.au/27878/1/Albion_Ch19_AV.pdf</w:t>
        </w:r>
      </w:hyperlink>
    </w:p>
    <w:p w14:paraId="4ECADE42"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821074">
        <w:rPr>
          <w:rFonts w:ascii="Arial" w:hAnsi="Arial" w:cs="Arial"/>
          <w:sz w:val="24"/>
          <w:szCs w:val="24"/>
          <w:lang w:val="en-US"/>
        </w:rPr>
        <w:t>Angrosino</w:t>
      </w:r>
      <w:proofErr w:type="spellEnd"/>
      <w:r w:rsidRPr="00821074">
        <w:rPr>
          <w:rFonts w:ascii="Arial" w:hAnsi="Arial" w:cs="Arial"/>
          <w:sz w:val="24"/>
          <w:szCs w:val="24"/>
          <w:lang w:val="en-US"/>
        </w:rPr>
        <w:t xml:space="preserve">, M. (2007) ‘Doing Ethnographic and Observational Research’, In N. K. Denzin and Y. S. Lincoln (Eds.), </w:t>
      </w:r>
      <w:r w:rsidRPr="00821074">
        <w:rPr>
          <w:rFonts w:ascii="Arial" w:hAnsi="Arial" w:cs="Arial"/>
          <w:i/>
          <w:iCs/>
          <w:sz w:val="24"/>
          <w:szCs w:val="24"/>
          <w:lang w:val="en-US"/>
        </w:rPr>
        <w:t>The SAGE Handbook of Qualitative Research</w:t>
      </w:r>
      <w:r w:rsidRPr="00821074">
        <w:rPr>
          <w:rFonts w:ascii="Arial" w:hAnsi="Arial" w:cs="Arial"/>
          <w:sz w:val="24"/>
          <w:szCs w:val="24"/>
          <w:lang w:val="en-US"/>
        </w:rPr>
        <w:t xml:space="preserve"> (3rd ed., pp. 667–680). SAGE. Available at: </w:t>
      </w:r>
      <w:hyperlink r:id="rId12" w:history="1">
        <w:r w:rsidRPr="00821074">
          <w:rPr>
            <w:rStyle w:val="Hyperlink"/>
            <w:rFonts w:ascii="Arial" w:hAnsi="Arial" w:cs="Arial"/>
            <w:sz w:val="24"/>
            <w:szCs w:val="24"/>
            <w:lang w:val="en-US"/>
          </w:rPr>
          <w:t>https://doi.org/10.4135/9781848607927.n37</w:t>
        </w:r>
      </w:hyperlink>
      <w:r w:rsidRPr="00821074">
        <w:rPr>
          <w:rFonts w:ascii="Arial" w:hAnsi="Arial" w:cs="Arial"/>
          <w:sz w:val="24"/>
          <w:szCs w:val="24"/>
          <w:lang w:val="en-US"/>
        </w:rPr>
        <w:t xml:space="preserve"> </w:t>
      </w:r>
    </w:p>
    <w:p w14:paraId="57BD62C4"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Askari, G. Vajdi, M. Jafari-Nasab, S. and </w:t>
      </w:r>
      <w:proofErr w:type="spellStart"/>
      <w:r w:rsidRPr="00821074">
        <w:rPr>
          <w:rFonts w:ascii="Arial" w:hAnsi="Arial" w:cs="Arial"/>
          <w:sz w:val="24"/>
          <w:szCs w:val="24"/>
          <w:lang w:val="en-US"/>
        </w:rPr>
        <w:t>Golpour</w:t>
      </w:r>
      <w:proofErr w:type="spellEnd"/>
      <w:r w:rsidRPr="00821074">
        <w:rPr>
          <w:rFonts w:ascii="Arial" w:hAnsi="Arial" w:cs="Arial"/>
          <w:sz w:val="24"/>
          <w:szCs w:val="24"/>
          <w:lang w:val="en-US"/>
        </w:rPr>
        <w:t>-Hamedani, S. (2024) ‘Ethical guidelines for human research on children and adolescents: A narrative review study’, </w:t>
      </w:r>
      <w:r w:rsidRPr="00821074">
        <w:rPr>
          <w:rFonts w:ascii="Arial" w:hAnsi="Arial" w:cs="Arial"/>
          <w:i/>
          <w:iCs/>
          <w:sz w:val="24"/>
          <w:szCs w:val="24"/>
          <w:lang w:val="en-US"/>
        </w:rPr>
        <w:t>Journal of Research in Medical Sciences</w:t>
      </w:r>
      <w:r w:rsidRPr="00821074">
        <w:rPr>
          <w:rFonts w:ascii="Arial" w:hAnsi="Arial" w:cs="Arial"/>
          <w:sz w:val="24"/>
          <w:szCs w:val="24"/>
          <w:lang w:val="en-US"/>
        </w:rPr>
        <w:t xml:space="preserve">, [online] 29(1). Available at: </w:t>
      </w:r>
      <w:hyperlink r:id="rId13" w:history="1">
        <w:r w:rsidRPr="00821074">
          <w:rPr>
            <w:rStyle w:val="Hyperlink"/>
            <w:rFonts w:ascii="Arial" w:hAnsi="Arial" w:cs="Arial"/>
            <w:sz w:val="24"/>
            <w:szCs w:val="24"/>
            <w:lang w:val="en-US"/>
          </w:rPr>
          <w:t>https://doi.org/10.4103/jrms.jrms_610_23</w:t>
        </w:r>
      </w:hyperlink>
      <w:r w:rsidRPr="00821074">
        <w:rPr>
          <w:rFonts w:ascii="Arial" w:hAnsi="Arial" w:cs="Arial"/>
          <w:sz w:val="24"/>
          <w:szCs w:val="24"/>
          <w:lang w:val="en-US"/>
        </w:rPr>
        <w:t>. ‌</w:t>
      </w:r>
    </w:p>
    <w:p w14:paraId="1782DC69"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821074">
        <w:rPr>
          <w:rFonts w:ascii="Arial" w:hAnsi="Arial" w:cs="Arial"/>
          <w:sz w:val="24"/>
          <w:szCs w:val="24"/>
          <w:lang w:val="en-US"/>
        </w:rPr>
        <w:t>Bechger</w:t>
      </w:r>
      <w:proofErr w:type="spellEnd"/>
      <w:r w:rsidRPr="00821074">
        <w:rPr>
          <w:rFonts w:ascii="Arial" w:hAnsi="Arial" w:cs="Arial"/>
          <w:sz w:val="24"/>
          <w:szCs w:val="24"/>
          <w:lang w:val="en-US"/>
        </w:rPr>
        <w:t>, T. M. Maris, G. and Hsiao, Y-P. (2010) ‘Detecting halo effects in performance</w:t>
      </w:r>
      <w:r w:rsidRPr="00821074">
        <w:rPr>
          <w:rFonts w:ascii="Arial" w:hAnsi="Arial" w:cs="Arial"/>
          <w:sz w:val="24"/>
          <w:szCs w:val="24"/>
          <w:lang w:val="en-US"/>
        </w:rPr>
        <w:noBreakHyphen/>
        <w:t xml:space="preserve">based examinations’, </w:t>
      </w:r>
      <w:r w:rsidRPr="00821074">
        <w:rPr>
          <w:rFonts w:ascii="Arial" w:hAnsi="Arial" w:cs="Arial"/>
          <w:i/>
          <w:iCs/>
          <w:sz w:val="24"/>
          <w:szCs w:val="24"/>
          <w:lang w:val="en-US"/>
        </w:rPr>
        <w:t>Applied Psychological Measurement</w:t>
      </w:r>
      <w:r w:rsidRPr="00821074">
        <w:rPr>
          <w:rFonts w:ascii="Arial" w:hAnsi="Arial" w:cs="Arial"/>
          <w:sz w:val="24"/>
          <w:szCs w:val="24"/>
          <w:lang w:val="en-US"/>
        </w:rPr>
        <w:t xml:space="preserve">, 34(8), 607–619. Available at: </w:t>
      </w:r>
      <w:hyperlink r:id="rId14" w:history="1">
        <w:r w:rsidRPr="00821074">
          <w:rPr>
            <w:rStyle w:val="Hyperlink"/>
            <w:rFonts w:ascii="Arial" w:hAnsi="Arial" w:cs="Arial"/>
            <w:sz w:val="24"/>
            <w:szCs w:val="24"/>
          </w:rPr>
          <w:t>(PDF) Detecting Halo Effects in Performance-Based Examinations</w:t>
        </w:r>
      </w:hyperlink>
    </w:p>
    <w:p w14:paraId="124E6E81"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BERA. (2018) </w:t>
      </w:r>
      <w:r w:rsidRPr="00821074">
        <w:rPr>
          <w:rFonts w:ascii="Arial" w:hAnsi="Arial" w:cs="Arial"/>
          <w:i/>
          <w:iCs/>
          <w:sz w:val="24"/>
          <w:szCs w:val="24"/>
          <w:lang w:val="en-US"/>
        </w:rPr>
        <w:t>Ethical Guidelines for Educational Research, fourth edition (2018)</w:t>
      </w:r>
      <w:r w:rsidRPr="00821074">
        <w:rPr>
          <w:rFonts w:ascii="Arial" w:hAnsi="Arial" w:cs="Arial"/>
          <w:sz w:val="24"/>
          <w:szCs w:val="24"/>
          <w:lang w:val="en-US"/>
        </w:rPr>
        <w:t xml:space="preserve">. [online] Bera.ac.uk. Available at: </w:t>
      </w:r>
      <w:hyperlink r:id="rId15" w:history="1">
        <w:r w:rsidRPr="00821074">
          <w:rPr>
            <w:rStyle w:val="Hyperlink"/>
            <w:rFonts w:ascii="Arial" w:hAnsi="Arial" w:cs="Arial"/>
            <w:sz w:val="24"/>
            <w:szCs w:val="24"/>
            <w:lang w:val="en-US"/>
          </w:rPr>
          <w:t>https://www.bera.ac.uk/publication/ethical-guidelines-for-educational-research-2018</w:t>
        </w:r>
      </w:hyperlink>
      <w:r w:rsidRPr="00821074">
        <w:rPr>
          <w:rFonts w:ascii="Arial" w:hAnsi="Arial" w:cs="Arial"/>
          <w:sz w:val="24"/>
          <w:szCs w:val="24"/>
          <w:lang w:val="en-US"/>
        </w:rPr>
        <w:t>. [Accessed 18 Oct. 2025].</w:t>
      </w:r>
    </w:p>
    <w:p w14:paraId="65F213D7"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lastRenderedPageBreak/>
        <w:t xml:space="preserve">Bertram, T. </w:t>
      </w:r>
      <w:r w:rsidRPr="00821074">
        <w:rPr>
          <w:rFonts w:ascii="Arial" w:hAnsi="Arial" w:cs="Arial"/>
          <w:i/>
          <w:iCs/>
          <w:sz w:val="24"/>
          <w:szCs w:val="24"/>
          <w:lang w:val="en-US"/>
        </w:rPr>
        <w:t xml:space="preserve">et al. </w:t>
      </w:r>
      <w:r w:rsidRPr="00821074">
        <w:rPr>
          <w:rFonts w:ascii="Arial" w:hAnsi="Arial" w:cs="Arial"/>
          <w:sz w:val="24"/>
          <w:szCs w:val="24"/>
          <w:lang w:val="en-US"/>
        </w:rPr>
        <w:t>(2025) </w:t>
      </w:r>
      <w:r w:rsidRPr="00821074">
        <w:rPr>
          <w:rFonts w:ascii="Arial" w:hAnsi="Arial" w:cs="Arial"/>
          <w:i/>
          <w:iCs/>
          <w:sz w:val="24"/>
          <w:szCs w:val="24"/>
          <w:lang w:val="en-US"/>
        </w:rPr>
        <w:t>EECERA Ethical Code for Early Childhood Researchers REVISED VERSION 1.2: May 2015 EECERA Working Group: EECERA Ethical Code for Early Childhood Researchers</w:t>
      </w:r>
      <w:r w:rsidRPr="00821074">
        <w:rPr>
          <w:rFonts w:ascii="Arial" w:hAnsi="Arial" w:cs="Arial"/>
          <w:sz w:val="24"/>
          <w:szCs w:val="24"/>
          <w:lang w:val="en-US"/>
        </w:rPr>
        <w:t xml:space="preserve">. [online] Available at: </w:t>
      </w:r>
      <w:hyperlink r:id="rId16" w:history="1">
        <w:r w:rsidRPr="00821074">
          <w:rPr>
            <w:rStyle w:val="Hyperlink"/>
            <w:rFonts w:ascii="Arial" w:hAnsi="Arial" w:cs="Arial"/>
            <w:sz w:val="24"/>
            <w:szCs w:val="24"/>
            <w:lang w:val="en-US"/>
          </w:rPr>
          <w:t>https://www.p2g.ukf.sk/wp-content/uploads/EECERA-Ethical-Code.pdf</w:t>
        </w:r>
      </w:hyperlink>
      <w:r w:rsidRPr="00821074">
        <w:rPr>
          <w:rFonts w:ascii="Arial" w:hAnsi="Arial" w:cs="Arial"/>
          <w:sz w:val="24"/>
          <w:szCs w:val="24"/>
          <w:lang w:val="en-US"/>
        </w:rPr>
        <w:t xml:space="preserve"> [Accessed 20 Oct. 2024].</w:t>
      </w:r>
    </w:p>
    <w:p w14:paraId="12F01C2A"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proofErr w:type="spellStart"/>
      <w:r w:rsidRPr="00821074">
        <w:rPr>
          <w:rFonts w:ascii="Arial" w:hAnsi="Arial" w:cs="Arial"/>
          <w:sz w:val="24"/>
          <w:szCs w:val="24"/>
          <w:lang w:val="en-US"/>
        </w:rPr>
        <w:t>Bulunuz</w:t>
      </w:r>
      <w:proofErr w:type="spellEnd"/>
      <w:r w:rsidRPr="00821074">
        <w:rPr>
          <w:rFonts w:ascii="Arial" w:hAnsi="Arial" w:cs="Arial"/>
          <w:sz w:val="24"/>
          <w:szCs w:val="24"/>
          <w:lang w:val="en-US"/>
        </w:rPr>
        <w:t>, M. (2013) ‘Teaching science through play in kindergarten: Does integrated play and science instruction build understanding?’, </w:t>
      </w:r>
      <w:r w:rsidRPr="00821074">
        <w:rPr>
          <w:rFonts w:ascii="Arial" w:hAnsi="Arial" w:cs="Arial"/>
          <w:i/>
          <w:iCs/>
          <w:sz w:val="24"/>
          <w:szCs w:val="24"/>
          <w:lang w:val="en-US"/>
        </w:rPr>
        <w:t>European Early Childhood Education Research Journal</w:t>
      </w:r>
      <w:r w:rsidRPr="00821074">
        <w:rPr>
          <w:rFonts w:ascii="Arial" w:hAnsi="Arial" w:cs="Arial"/>
          <w:sz w:val="24"/>
          <w:szCs w:val="24"/>
          <w:lang w:val="en-US"/>
        </w:rPr>
        <w:t xml:space="preserve">, [online] 21(2), pp.226–249. Available </w:t>
      </w:r>
      <w:proofErr w:type="spellStart"/>
      <w:r w:rsidRPr="00821074">
        <w:rPr>
          <w:rFonts w:ascii="Arial" w:hAnsi="Arial" w:cs="Arial"/>
          <w:sz w:val="24"/>
          <w:szCs w:val="24"/>
          <w:lang w:val="en-US"/>
        </w:rPr>
        <w:t>et</w:t>
      </w:r>
      <w:proofErr w:type="spellEnd"/>
      <w:r w:rsidRPr="00821074">
        <w:rPr>
          <w:rFonts w:ascii="Arial" w:hAnsi="Arial" w:cs="Arial"/>
          <w:sz w:val="24"/>
          <w:szCs w:val="24"/>
          <w:lang w:val="en-US"/>
        </w:rPr>
        <w:t xml:space="preserve">: </w:t>
      </w:r>
      <w:hyperlink r:id="rId17" w:history="1">
        <w:r w:rsidRPr="00821074">
          <w:rPr>
            <w:rStyle w:val="Hyperlink"/>
            <w:rFonts w:ascii="Arial" w:hAnsi="Arial" w:cs="Arial"/>
            <w:sz w:val="24"/>
            <w:szCs w:val="24"/>
            <w:lang w:val="en-US"/>
          </w:rPr>
          <w:t>https://doi.org/10.1080/1350293x.2013.789195</w:t>
        </w:r>
      </w:hyperlink>
      <w:r w:rsidRPr="00821074">
        <w:rPr>
          <w:rFonts w:ascii="Arial" w:hAnsi="Arial" w:cs="Arial"/>
          <w:sz w:val="24"/>
          <w:szCs w:val="24"/>
          <w:lang w:val="en-US"/>
        </w:rPr>
        <w:t xml:space="preserve">. </w:t>
      </w:r>
    </w:p>
    <w:p w14:paraId="207530CE"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Burns, S. </w:t>
      </w:r>
      <w:r w:rsidRPr="00821074">
        <w:rPr>
          <w:rFonts w:ascii="Arial" w:hAnsi="Arial" w:cs="Arial"/>
          <w:i/>
          <w:iCs/>
          <w:sz w:val="24"/>
          <w:szCs w:val="24"/>
          <w:lang w:val="en-US"/>
        </w:rPr>
        <w:t xml:space="preserve">et al. </w:t>
      </w:r>
      <w:r w:rsidRPr="00821074">
        <w:rPr>
          <w:rFonts w:ascii="Arial" w:hAnsi="Arial" w:cs="Arial"/>
          <w:sz w:val="24"/>
          <w:szCs w:val="24"/>
          <w:lang w:val="en-US"/>
        </w:rPr>
        <w:t>(2025) ‘A systematic review and meta</w:t>
      </w:r>
      <w:r w:rsidRPr="00821074">
        <w:rPr>
          <w:rFonts w:ascii="Cambria Math" w:hAnsi="Cambria Math" w:cs="Cambria Math"/>
          <w:sz w:val="24"/>
          <w:szCs w:val="24"/>
          <w:lang w:val="en-US"/>
        </w:rPr>
        <w:t>‐</w:t>
      </w:r>
      <w:r w:rsidRPr="00821074">
        <w:rPr>
          <w:rFonts w:ascii="Arial" w:hAnsi="Arial" w:cs="Arial"/>
          <w:sz w:val="24"/>
          <w:szCs w:val="24"/>
          <w:lang w:val="en-US"/>
        </w:rPr>
        <w:t>analysis of approaches to teaching problem</w:t>
      </w:r>
      <w:r w:rsidRPr="00821074">
        <w:rPr>
          <w:rFonts w:ascii="Cambria Math" w:hAnsi="Cambria Math" w:cs="Cambria Math"/>
          <w:sz w:val="24"/>
          <w:szCs w:val="24"/>
          <w:lang w:val="en-US"/>
        </w:rPr>
        <w:t>‐</w:t>
      </w:r>
      <w:r w:rsidRPr="00821074">
        <w:rPr>
          <w:rFonts w:ascii="Arial" w:hAnsi="Arial" w:cs="Arial"/>
          <w:sz w:val="24"/>
          <w:szCs w:val="24"/>
          <w:lang w:val="en-US"/>
        </w:rPr>
        <w:t>solving skills in early childhood education and care settings: A focus on science, technology, engineering and mathematics activities’, </w:t>
      </w:r>
      <w:r w:rsidRPr="00821074">
        <w:rPr>
          <w:rFonts w:ascii="Arial" w:hAnsi="Arial" w:cs="Arial"/>
          <w:i/>
          <w:iCs/>
          <w:sz w:val="24"/>
          <w:szCs w:val="24"/>
          <w:lang w:val="en-US"/>
        </w:rPr>
        <w:t>Review of Education</w:t>
      </w:r>
      <w:r w:rsidRPr="00821074">
        <w:rPr>
          <w:rFonts w:ascii="Arial" w:hAnsi="Arial" w:cs="Arial"/>
          <w:sz w:val="24"/>
          <w:szCs w:val="24"/>
          <w:lang w:val="en-US"/>
        </w:rPr>
        <w:t xml:space="preserve">, 13(2). Available at: </w:t>
      </w:r>
      <w:hyperlink r:id="rId18" w:history="1">
        <w:r w:rsidRPr="00821074">
          <w:rPr>
            <w:rStyle w:val="Hyperlink"/>
            <w:rFonts w:ascii="Arial" w:hAnsi="Arial" w:cs="Arial"/>
            <w:sz w:val="24"/>
            <w:szCs w:val="24"/>
            <w:lang w:val="en-US"/>
          </w:rPr>
          <w:t>https://doi.org/10.1002/rev3.70079</w:t>
        </w:r>
      </w:hyperlink>
      <w:r w:rsidRPr="00821074">
        <w:rPr>
          <w:rFonts w:ascii="Arial" w:hAnsi="Arial" w:cs="Arial"/>
          <w:sz w:val="24"/>
          <w:szCs w:val="24"/>
          <w:lang w:val="en-US"/>
        </w:rPr>
        <w:t>.</w:t>
      </w:r>
    </w:p>
    <w:p w14:paraId="4ADE157E"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Button, K. </w:t>
      </w:r>
      <w:r w:rsidRPr="00821074">
        <w:rPr>
          <w:rFonts w:ascii="Arial" w:hAnsi="Arial" w:cs="Arial"/>
          <w:i/>
          <w:iCs/>
          <w:sz w:val="24"/>
          <w:szCs w:val="24"/>
          <w:lang w:val="en-US"/>
        </w:rPr>
        <w:t xml:space="preserve">et al. </w:t>
      </w:r>
      <w:r w:rsidRPr="00821074">
        <w:rPr>
          <w:rFonts w:ascii="Arial" w:hAnsi="Arial" w:cs="Arial"/>
          <w:sz w:val="24"/>
          <w:szCs w:val="24"/>
          <w:lang w:val="en-US"/>
        </w:rPr>
        <w:t xml:space="preserve"> (2013). Power failure: Why Small Sample Size Undermines the Reliability of Neuroscience. </w:t>
      </w:r>
      <w:r w:rsidRPr="00821074">
        <w:rPr>
          <w:rFonts w:ascii="Arial" w:hAnsi="Arial" w:cs="Arial"/>
          <w:i/>
          <w:iCs/>
          <w:sz w:val="24"/>
          <w:szCs w:val="24"/>
          <w:lang w:val="en-US"/>
        </w:rPr>
        <w:t>Nature Reviews Neuroscience</w:t>
      </w:r>
      <w:r w:rsidRPr="00821074">
        <w:rPr>
          <w:rFonts w:ascii="Arial" w:hAnsi="Arial" w:cs="Arial"/>
          <w:sz w:val="24"/>
          <w:szCs w:val="24"/>
          <w:lang w:val="en-US"/>
        </w:rPr>
        <w:t xml:space="preserve">, 14(5), pp.365–376. Available at: </w:t>
      </w:r>
      <w:hyperlink r:id="rId19" w:history="1">
        <w:r w:rsidRPr="00821074">
          <w:rPr>
            <w:rStyle w:val="Hyperlink"/>
            <w:rFonts w:ascii="Arial" w:hAnsi="Arial" w:cs="Arial"/>
            <w:sz w:val="24"/>
            <w:szCs w:val="24"/>
            <w:lang w:val="en-US"/>
          </w:rPr>
          <w:t>https://www.nature.com/articles/nrn3475</w:t>
        </w:r>
      </w:hyperlink>
      <w:r w:rsidRPr="00821074">
        <w:rPr>
          <w:rFonts w:ascii="Arial" w:hAnsi="Arial" w:cs="Arial"/>
          <w:sz w:val="24"/>
          <w:szCs w:val="24"/>
          <w:lang w:val="en-US"/>
        </w:rPr>
        <w:t>. [Accessed 18 Oct. 2025].</w:t>
      </w:r>
    </w:p>
    <w:p w14:paraId="44EB67A0"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rPr>
        <w:t>Bybee, R. (2010) ‘Advancing STEM education: A 2020 vision’, </w:t>
      </w:r>
      <w:r w:rsidRPr="00821074">
        <w:rPr>
          <w:rFonts w:ascii="Arial" w:hAnsi="Arial" w:cs="Arial"/>
          <w:i/>
          <w:iCs/>
          <w:sz w:val="24"/>
          <w:szCs w:val="24"/>
        </w:rPr>
        <w:t>Technology and Engineering Teacher</w:t>
      </w:r>
      <w:r w:rsidRPr="00821074">
        <w:rPr>
          <w:rFonts w:ascii="Arial" w:hAnsi="Arial" w:cs="Arial"/>
          <w:sz w:val="24"/>
          <w:szCs w:val="24"/>
        </w:rPr>
        <w:t>, </w:t>
      </w:r>
      <w:r w:rsidRPr="00821074">
        <w:rPr>
          <w:rFonts w:ascii="Arial" w:hAnsi="Arial" w:cs="Arial"/>
          <w:i/>
          <w:iCs/>
          <w:sz w:val="24"/>
          <w:szCs w:val="24"/>
        </w:rPr>
        <w:t>70</w:t>
      </w:r>
      <w:r w:rsidRPr="00821074">
        <w:rPr>
          <w:rFonts w:ascii="Arial" w:hAnsi="Arial" w:cs="Arial"/>
          <w:sz w:val="24"/>
          <w:szCs w:val="24"/>
        </w:rPr>
        <w:t>(1), 30–35. </w:t>
      </w:r>
      <w:r w:rsidRPr="00821074">
        <w:rPr>
          <w:rFonts w:ascii="Arial" w:hAnsi="Arial" w:cs="Arial"/>
          <w:sz w:val="24"/>
          <w:szCs w:val="24"/>
          <w:lang w:val="en-US"/>
        </w:rPr>
        <w:t xml:space="preserve">Available at: </w:t>
      </w:r>
      <w:hyperlink r:id="rId20" w:history="1">
        <w:r w:rsidRPr="00821074">
          <w:rPr>
            <w:rStyle w:val="Hyperlink"/>
            <w:rFonts w:ascii="Arial" w:hAnsi="Arial" w:cs="Arial"/>
            <w:sz w:val="24"/>
            <w:szCs w:val="24"/>
          </w:rPr>
          <w:t>https://www.proquest.com/openview/75bbe8b13bf3f54ebd755333ffd8621e/1?pq-origsite=gscholar&amp;cbl=34845</w:t>
        </w:r>
      </w:hyperlink>
      <w:r w:rsidRPr="00821074">
        <w:rPr>
          <w:rFonts w:ascii="Arial" w:hAnsi="Arial" w:cs="Arial"/>
          <w:sz w:val="24"/>
          <w:szCs w:val="24"/>
        </w:rPr>
        <w:t xml:space="preserve">. </w:t>
      </w:r>
      <w:r w:rsidRPr="00821074">
        <w:rPr>
          <w:rFonts w:ascii="Arial" w:hAnsi="Arial" w:cs="Arial"/>
          <w:sz w:val="24"/>
          <w:szCs w:val="24"/>
          <w:lang w:val="en-US"/>
        </w:rPr>
        <w:t>[Accessed 18 Oct. 2025].</w:t>
      </w:r>
    </w:p>
    <w:p w14:paraId="15F351B3"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Bybee, R. W. (2015) </w:t>
      </w:r>
      <w:r w:rsidRPr="00821074">
        <w:rPr>
          <w:rFonts w:ascii="Arial" w:hAnsi="Arial" w:cs="Arial"/>
          <w:i/>
          <w:iCs/>
          <w:sz w:val="24"/>
          <w:szCs w:val="24"/>
          <w:lang w:val="en-US"/>
        </w:rPr>
        <w:t>The BSCS 5E instructional model: Creating teachable moments</w:t>
      </w:r>
      <w:r w:rsidRPr="00821074">
        <w:rPr>
          <w:rFonts w:ascii="Arial" w:hAnsi="Arial" w:cs="Arial"/>
          <w:sz w:val="24"/>
          <w:szCs w:val="24"/>
          <w:lang w:val="en-US"/>
        </w:rPr>
        <w:t xml:space="preserve">. NSTA Press. Available at: </w:t>
      </w:r>
      <w:hyperlink r:id="rId21" w:history="1">
        <w:r w:rsidRPr="00821074">
          <w:rPr>
            <w:rStyle w:val="Hyperlink"/>
            <w:rFonts w:ascii="Arial" w:hAnsi="Arial" w:cs="Arial"/>
            <w:sz w:val="24"/>
            <w:szCs w:val="24"/>
          </w:rPr>
          <w:t>Bybee: The BSCS 5E instructional model: Creating... - Google Scholar</w:t>
        </w:r>
      </w:hyperlink>
    </w:p>
    <w:p w14:paraId="3291FB12"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lastRenderedPageBreak/>
        <w:t>‌Cabe Trundle, K. (2015) ‘The Inclusion of Science in Early Childhood Classrooms’, </w:t>
      </w:r>
      <w:r w:rsidRPr="00821074">
        <w:rPr>
          <w:rFonts w:ascii="Arial" w:hAnsi="Arial" w:cs="Arial"/>
          <w:i/>
          <w:iCs/>
          <w:sz w:val="24"/>
          <w:szCs w:val="24"/>
          <w:lang w:val="en-US"/>
        </w:rPr>
        <w:t>Research in Early Childhood Science Education</w:t>
      </w:r>
      <w:r w:rsidRPr="00821074">
        <w:rPr>
          <w:rFonts w:ascii="Arial" w:hAnsi="Arial" w:cs="Arial"/>
          <w:sz w:val="24"/>
          <w:szCs w:val="24"/>
          <w:lang w:val="en-US"/>
        </w:rPr>
        <w:t xml:space="preserve">, pp.1–6. Available at: </w:t>
      </w:r>
      <w:hyperlink r:id="rId22" w:history="1">
        <w:r w:rsidRPr="00821074">
          <w:rPr>
            <w:rStyle w:val="Hyperlink"/>
            <w:rFonts w:ascii="Arial" w:hAnsi="Arial" w:cs="Arial"/>
            <w:sz w:val="24"/>
            <w:szCs w:val="24"/>
            <w:lang w:val="en-US"/>
          </w:rPr>
          <w:t>https://doi.org/10.1007/978-94-017-9505-0_1</w:t>
        </w:r>
      </w:hyperlink>
      <w:r w:rsidRPr="00821074">
        <w:rPr>
          <w:rFonts w:ascii="Arial" w:hAnsi="Arial" w:cs="Arial"/>
          <w:sz w:val="24"/>
          <w:szCs w:val="24"/>
          <w:lang w:val="en-US"/>
        </w:rPr>
        <w:t xml:space="preserve">. </w:t>
      </w:r>
    </w:p>
    <w:p w14:paraId="2559C07A"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Cabe Trundle, K. and </w:t>
      </w:r>
      <w:proofErr w:type="spellStart"/>
      <w:r w:rsidRPr="00821074">
        <w:rPr>
          <w:rFonts w:ascii="Arial" w:hAnsi="Arial" w:cs="Arial"/>
          <w:sz w:val="24"/>
          <w:szCs w:val="24"/>
          <w:lang w:val="en-US"/>
        </w:rPr>
        <w:t>Saçkes</w:t>
      </w:r>
      <w:proofErr w:type="spellEnd"/>
      <w:r w:rsidRPr="00821074">
        <w:rPr>
          <w:rFonts w:ascii="Arial" w:hAnsi="Arial" w:cs="Arial"/>
          <w:sz w:val="24"/>
          <w:szCs w:val="24"/>
          <w:lang w:val="en-US"/>
        </w:rPr>
        <w:t>, M. (2021) ‘Teaching and learning science during the early years’, </w:t>
      </w:r>
      <w:r w:rsidRPr="00821074">
        <w:rPr>
          <w:rFonts w:ascii="Arial" w:hAnsi="Arial" w:cs="Arial"/>
          <w:i/>
          <w:iCs/>
          <w:sz w:val="24"/>
          <w:szCs w:val="24"/>
          <w:lang w:val="en-US"/>
        </w:rPr>
        <w:t>Journal of Childhood, Education &amp; Society</w:t>
      </w:r>
      <w:r w:rsidRPr="00821074">
        <w:rPr>
          <w:rFonts w:ascii="Arial" w:hAnsi="Arial" w:cs="Arial"/>
          <w:sz w:val="24"/>
          <w:szCs w:val="24"/>
          <w:lang w:val="en-US"/>
        </w:rPr>
        <w:t xml:space="preserve">, 2(3), pp.217–219. Available at: </w:t>
      </w:r>
      <w:hyperlink r:id="rId23" w:history="1">
        <w:r w:rsidRPr="00821074">
          <w:rPr>
            <w:rStyle w:val="Hyperlink"/>
            <w:rFonts w:ascii="Arial" w:hAnsi="Arial" w:cs="Arial"/>
            <w:sz w:val="24"/>
            <w:szCs w:val="24"/>
            <w:lang w:val="en-US"/>
          </w:rPr>
          <w:t>https://doi.org/10.37291/2717638x.202123159</w:t>
        </w:r>
      </w:hyperlink>
      <w:r w:rsidRPr="00821074">
        <w:rPr>
          <w:rFonts w:ascii="Arial" w:hAnsi="Arial" w:cs="Arial"/>
          <w:sz w:val="24"/>
          <w:szCs w:val="24"/>
          <w:lang w:val="en-US"/>
        </w:rPr>
        <w:t xml:space="preserve">. </w:t>
      </w:r>
    </w:p>
    <w:p w14:paraId="7F39C11D"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Carter, N. </w:t>
      </w:r>
      <w:r w:rsidRPr="00821074">
        <w:rPr>
          <w:rFonts w:ascii="Arial" w:hAnsi="Arial" w:cs="Arial"/>
          <w:i/>
          <w:iCs/>
          <w:sz w:val="24"/>
          <w:szCs w:val="24"/>
          <w:lang w:val="en-US"/>
        </w:rPr>
        <w:t>et al.</w:t>
      </w:r>
      <w:r w:rsidRPr="00821074">
        <w:rPr>
          <w:rFonts w:ascii="Arial" w:hAnsi="Arial" w:cs="Arial"/>
          <w:sz w:val="24"/>
          <w:szCs w:val="24"/>
          <w:lang w:val="en-US"/>
        </w:rPr>
        <w:t xml:space="preserve"> (2014) ‘The use of triangulation in qualitative research’, </w:t>
      </w:r>
      <w:r w:rsidRPr="00821074">
        <w:rPr>
          <w:rFonts w:ascii="Arial" w:hAnsi="Arial" w:cs="Arial"/>
          <w:i/>
          <w:iCs/>
          <w:sz w:val="24"/>
          <w:szCs w:val="24"/>
          <w:lang w:val="en-US"/>
        </w:rPr>
        <w:t>Oncology Nursing Forum</w:t>
      </w:r>
      <w:r w:rsidRPr="00821074">
        <w:rPr>
          <w:rFonts w:ascii="Arial" w:hAnsi="Arial" w:cs="Arial"/>
          <w:sz w:val="24"/>
          <w:szCs w:val="24"/>
          <w:lang w:val="en-US"/>
        </w:rPr>
        <w:t xml:space="preserve">, 41(5), 545–547. Available at: </w:t>
      </w:r>
      <w:hyperlink r:id="rId24" w:history="1">
        <w:r w:rsidRPr="00821074">
          <w:rPr>
            <w:rStyle w:val="Hyperlink"/>
            <w:rFonts w:ascii="Arial" w:hAnsi="Arial" w:cs="Arial"/>
            <w:sz w:val="24"/>
            <w:szCs w:val="24"/>
            <w:lang w:val="en-US"/>
          </w:rPr>
          <w:t>https://doi.org/10.1188/14.onf.545-547</w:t>
        </w:r>
      </w:hyperlink>
      <w:r w:rsidRPr="00821074">
        <w:rPr>
          <w:rFonts w:ascii="Arial" w:hAnsi="Arial" w:cs="Arial"/>
          <w:sz w:val="24"/>
          <w:szCs w:val="24"/>
          <w:lang w:val="en-US"/>
        </w:rPr>
        <w:t xml:space="preserve"> </w:t>
      </w:r>
    </w:p>
    <w:p w14:paraId="65B26999"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Cotrim, H. </w:t>
      </w:r>
      <w:r w:rsidRPr="00821074">
        <w:rPr>
          <w:rFonts w:ascii="Arial" w:hAnsi="Arial" w:cs="Arial"/>
          <w:i/>
          <w:iCs/>
          <w:sz w:val="24"/>
          <w:szCs w:val="24"/>
          <w:lang w:val="en-US"/>
        </w:rPr>
        <w:t xml:space="preserve">et al. </w:t>
      </w:r>
      <w:r w:rsidRPr="00821074">
        <w:rPr>
          <w:rFonts w:ascii="Arial" w:hAnsi="Arial" w:cs="Arial"/>
          <w:sz w:val="24"/>
          <w:szCs w:val="24"/>
          <w:lang w:val="en-US"/>
        </w:rPr>
        <w:t>(2021) ‘Children’s understanding of informed assents in research studies’, </w:t>
      </w:r>
      <w:r w:rsidRPr="00821074">
        <w:rPr>
          <w:rFonts w:ascii="Arial" w:hAnsi="Arial" w:cs="Arial"/>
          <w:i/>
          <w:iCs/>
          <w:sz w:val="24"/>
          <w:szCs w:val="24"/>
          <w:lang w:val="en-US"/>
        </w:rPr>
        <w:t>Healthcare</w:t>
      </w:r>
      <w:r w:rsidRPr="00821074">
        <w:rPr>
          <w:rFonts w:ascii="Arial" w:hAnsi="Arial" w:cs="Arial"/>
          <w:sz w:val="24"/>
          <w:szCs w:val="24"/>
          <w:lang w:val="en-US"/>
        </w:rPr>
        <w:t xml:space="preserve">, [online] 9(7), p.871. Available at: </w:t>
      </w:r>
      <w:hyperlink r:id="rId25" w:history="1">
        <w:r w:rsidRPr="00821074">
          <w:rPr>
            <w:rStyle w:val="Hyperlink"/>
            <w:rFonts w:ascii="Arial" w:hAnsi="Arial" w:cs="Arial"/>
            <w:sz w:val="24"/>
            <w:szCs w:val="24"/>
            <w:lang w:val="en-US"/>
          </w:rPr>
          <w:t>https://doi.org/10.3390/healthcare9070871</w:t>
        </w:r>
      </w:hyperlink>
      <w:r w:rsidRPr="00821074">
        <w:rPr>
          <w:rFonts w:ascii="Arial" w:hAnsi="Arial" w:cs="Arial"/>
          <w:sz w:val="24"/>
          <w:szCs w:val="24"/>
          <w:lang w:val="en-US"/>
        </w:rPr>
        <w:t xml:space="preserve">. </w:t>
      </w:r>
    </w:p>
    <w:p w14:paraId="0889FA5D"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Coyne, I. (2014) ‘Negotiating consent and dissent: Observing signs of discomfort in child research’, </w:t>
      </w:r>
      <w:r w:rsidRPr="00821074">
        <w:rPr>
          <w:rFonts w:ascii="Arial" w:hAnsi="Arial" w:cs="Arial"/>
          <w:i/>
          <w:iCs/>
          <w:sz w:val="24"/>
          <w:szCs w:val="24"/>
          <w:lang w:val="en-US"/>
        </w:rPr>
        <w:t>Journal of Child Health Care</w:t>
      </w:r>
      <w:r w:rsidRPr="00821074">
        <w:rPr>
          <w:rFonts w:ascii="Arial" w:hAnsi="Arial" w:cs="Arial"/>
          <w:sz w:val="24"/>
          <w:szCs w:val="24"/>
          <w:lang w:val="en-US"/>
        </w:rPr>
        <w:t xml:space="preserve">, 18(2), pp.121–130. </w:t>
      </w:r>
      <w:hyperlink r:id="rId26" w:history="1">
        <w:r w:rsidRPr="00821074">
          <w:rPr>
            <w:rStyle w:val="Hyperlink"/>
            <w:rFonts w:ascii="Arial" w:hAnsi="Arial" w:cs="Arial"/>
            <w:sz w:val="24"/>
            <w:szCs w:val="24"/>
            <w:lang w:val="en-US"/>
          </w:rPr>
          <w:t>https://eric.ed.gov/?id=EJ1025221</w:t>
        </w:r>
      </w:hyperlink>
      <w:r w:rsidRPr="00821074">
        <w:rPr>
          <w:rFonts w:ascii="Arial" w:hAnsi="Arial" w:cs="Arial"/>
          <w:sz w:val="24"/>
          <w:szCs w:val="24"/>
          <w:lang w:val="en-US"/>
        </w:rPr>
        <w:t xml:space="preserve"> [Accessed 18 Oct. 2025].</w:t>
      </w:r>
    </w:p>
    <w:p w14:paraId="305664DA" w14:textId="77777777" w:rsidR="00821074" w:rsidRPr="00821074" w:rsidRDefault="00821074" w:rsidP="00821074">
      <w:pPr>
        <w:pStyle w:val="ListParagraph"/>
        <w:numPr>
          <w:ilvl w:val="0"/>
          <w:numId w:val="6"/>
        </w:numPr>
        <w:spacing w:line="480" w:lineRule="auto"/>
        <w:rPr>
          <w:rFonts w:ascii="Arial" w:hAnsi="Arial" w:cs="Arial"/>
          <w:sz w:val="24"/>
          <w:szCs w:val="24"/>
        </w:rPr>
      </w:pPr>
      <w:r w:rsidRPr="00821074">
        <w:rPr>
          <w:rFonts w:ascii="Arial" w:hAnsi="Arial" w:cs="Arial"/>
          <w:sz w:val="24"/>
          <w:szCs w:val="24"/>
        </w:rPr>
        <w:t xml:space="preserve">Creswell, J. W. and Creswell, J. D. (2018) </w:t>
      </w:r>
      <w:r w:rsidRPr="00821074">
        <w:rPr>
          <w:rFonts w:ascii="Arial" w:hAnsi="Arial" w:cs="Arial"/>
          <w:i/>
          <w:iCs/>
          <w:sz w:val="24"/>
          <w:szCs w:val="24"/>
        </w:rPr>
        <w:t>Research Design: Qualitative, Quantitative, and Mixed Methods Approaches.</w:t>
      </w:r>
      <w:r w:rsidRPr="00821074">
        <w:rPr>
          <w:rFonts w:ascii="Arial" w:hAnsi="Arial" w:cs="Arial"/>
          <w:sz w:val="24"/>
          <w:szCs w:val="24"/>
        </w:rPr>
        <w:t xml:space="preserve"> (5th ed.).</w:t>
      </w:r>
    </w:p>
    <w:p w14:paraId="7D67D955"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i/>
          <w:iCs/>
          <w:sz w:val="24"/>
          <w:szCs w:val="24"/>
          <w:lang w:val="en-US"/>
        </w:rPr>
        <w:t>Data Protection Act 2018</w:t>
      </w:r>
      <w:r w:rsidRPr="00821074">
        <w:rPr>
          <w:rFonts w:ascii="Arial" w:hAnsi="Arial" w:cs="Arial"/>
          <w:sz w:val="24"/>
          <w:szCs w:val="24"/>
          <w:lang w:val="en-US"/>
        </w:rPr>
        <w:t>, c.12. Available at: https://www.legislation.gov.uk/ukpga/2018/12/contents (Accessed: 18 Oct 2025).</w:t>
      </w:r>
    </w:p>
    <w:p w14:paraId="14097F6D"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rPr>
        <w:t xml:space="preserve">Department of Education. (2025). </w:t>
      </w:r>
      <w:r w:rsidRPr="00821074">
        <w:rPr>
          <w:rFonts w:ascii="Arial" w:hAnsi="Arial" w:cs="Arial"/>
          <w:sz w:val="24"/>
          <w:szCs w:val="24"/>
          <w:lang w:val="en-US"/>
        </w:rPr>
        <w:t xml:space="preserve">Early years foundation stage statutory framework For group and school-based providers Setting the standards for learning, development and care for children from birth to five. Available at: </w:t>
      </w:r>
      <w:hyperlink r:id="rId27" w:history="1">
        <w:r w:rsidRPr="00821074">
          <w:rPr>
            <w:rStyle w:val="Hyperlink"/>
            <w:rFonts w:ascii="Arial" w:hAnsi="Arial" w:cs="Arial"/>
            <w:sz w:val="24"/>
            <w:szCs w:val="24"/>
            <w:lang w:val="en-US"/>
          </w:rPr>
          <w:t>https://assets.publishing.service.gov.uk/media/68c024cb8c6d992f23edd79c/E</w:t>
        </w:r>
        <w:r w:rsidRPr="00821074">
          <w:rPr>
            <w:rStyle w:val="Hyperlink"/>
            <w:rFonts w:ascii="Arial" w:hAnsi="Arial" w:cs="Arial"/>
            <w:sz w:val="24"/>
            <w:szCs w:val="24"/>
            <w:lang w:val="en-US"/>
          </w:rPr>
          <w:lastRenderedPageBreak/>
          <w:t>arly_years_foundation_stage_statutory_framework_-_for_group_and_school-based_providers.pdf.pdf</w:t>
        </w:r>
      </w:hyperlink>
      <w:r w:rsidRPr="00821074">
        <w:rPr>
          <w:rFonts w:ascii="Arial" w:hAnsi="Arial" w:cs="Arial"/>
          <w:sz w:val="24"/>
          <w:szCs w:val="24"/>
          <w:lang w:val="en-US"/>
        </w:rPr>
        <w:t>. [Accessed 18 Oct. 2025].</w:t>
      </w:r>
    </w:p>
    <w:p w14:paraId="4B6A41A7"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Dinsmore, D.L. and Fryer, L.K. (2023) ‘Critical Thinking and Its Relation to Strategic Processing’, </w:t>
      </w:r>
      <w:r w:rsidRPr="00821074">
        <w:rPr>
          <w:rFonts w:ascii="Arial" w:hAnsi="Arial" w:cs="Arial"/>
          <w:i/>
          <w:iCs/>
          <w:sz w:val="24"/>
          <w:szCs w:val="24"/>
          <w:lang w:val="en-US"/>
        </w:rPr>
        <w:t>Educational Psychology Review</w:t>
      </w:r>
      <w:r w:rsidRPr="00821074">
        <w:rPr>
          <w:rFonts w:ascii="Arial" w:hAnsi="Arial" w:cs="Arial"/>
          <w:sz w:val="24"/>
          <w:szCs w:val="24"/>
          <w:lang w:val="en-US"/>
        </w:rPr>
        <w:t xml:space="preserve">, 35(1). Available at: </w:t>
      </w:r>
      <w:hyperlink r:id="rId28" w:history="1">
        <w:r w:rsidRPr="00821074">
          <w:rPr>
            <w:rStyle w:val="Hyperlink"/>
            <w:rFonts w:ascii="Arial" w:hAnsi="Arial" w:cs="Arial"/>
            <w:sz w:val="24"/>
            <w:szCs w:val="24"/>
            <w:lang w:val="en-US"/>
          </w:rPr>
          <w:t>https://doi.org/10.1007/s10648-023-09755-z</w:t>
        </w:r>
      </w:hyperlink>
      <w:r w:rsidRPr="00821074">
        <w:rPr>
          <w:rFonts w:ascii="Arial" w:hAnsi="Arial" w:cs="Arial"/>
          <w:sz w:val="24"/>
          <w:szCs w:val="24"/>
          <w:lang w:val="en-US"/>
        </w:rPr>
        <w:t xml:space="preserve">. </w:t>
      </w:r>
    </w:p>
    <w:p w14:paraId="46658154"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Felzmann, H. (2009) ‘Ethical Issues in School-Based Research’, </w:t>
      </w:r>
      <w:r w:rsidRPr="00821074">
        <w:rPr>
          <w:rFonts w:ascii="Arial" w:hAnsi="Arial" w:cs="Arial"/>
          <w:i/>
          <w:iCs/>
          <w:sz w:val="24"/>
          <w:szCs w:val="24"/>
          <w:lang w:val="en-US"/>
        </w:rPr>
        <w:t>Research Ethics</w:t>
      </w:r>
      <w:r w:rsidRPr="00821074">
        <w:rPr>
          <w:rFonts w:ascii="Arial" w:hAnsi="Arial" w:cs="Arial"/>
          <w:sz w:val="24"/>
          <w:szCs w:val="24"/>
          <w:lang w:val="en-US"/>
        </w:rPr>
        <w:t xml:space="preserve">, [online] 5(3), pp.104–109. Available at: </w:t>
      </w:r>
      <w:hyperlink r:id="rId29" w:history="1">
        <w:r w:rsidRPr="00821074">
          <w:rPr>
            <w:rStyle w:val="Hyperlink"/>
            <w:rFonts w:ascii="Arial" w:hAnsi="Arial" w:cs="Arial"/>
            <w:sz w:val="24"/>
            <w:szCs w:val="24"/>
            <w:lang w:val="en-US"/>
          </w:rPr>
          <w:t>https://doi.org/10.1177/174701610900500304</w:t>
        </w:r>
      </w:hyperlink>
      <w:r w:rsidRPr="00821074">
        <w:rPr>
          <w:rFonts w:ascii="Arial" w:hAnsi="Arial" w:cs="Arial"/>
          <w:sz w:val="24"/>
          <w:szCs w:val="24"/>
          <w:lang w:val="en-US"/>
        </w:rPr>
        <w:t xml:space="preserve">. </w:t>
      </w:r>
    </w:p>
    <w:p w14:paraId="3F1F4F4E"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w:t>
      </w:r>
      <w:proofErr w:type="spellStart"/>
      <w:r w:rsidRPr="00821074">
        <w:rPr>
          <w:rFonts w:ascii="Arial" w:hAnsi="Arial" w:cs="Arial"/>
          <w:sz w:val="24"/>
          <w:szCs w:val="24"/>
          <w:lang w:val="en-US"/>
        </w:rPr>
        <w:t>Fragkiadaki</w:t>
      </w:r>
      <w:proofErr w:type="spellEnd"/>
      <w:r w:rsidRPr="00821074">
        <w:rPr>
          <w:rFonts w:ascii="Arial" w:hAnsi="Arial" w:cs="Arial"/>
          <w:sz w:val="24"/>
          <w:szCs w:val="24"/>
          <w:lang w:val="en-US"/>
        </w:rPr>
        <w:t>, G. Armeni, A. Zioga, S. and Ravanis, K. (2021) ‘Dramatic play as a means to explore and support preschool children’s thinking about thermal insulation’, </w:t>
      </w:r>
      <w:r w:rsidRPr="00821074">
        <w:rPr>
          <w:rFonts w:ascii="Arial" w:hAnsi="Arial" w:cs="Arial"/>
          <w:i/>
          <w:iCs/>
          <w:sz w:val="24"/>
          <w:szCs w:val="24"/>
          <w:lang w:val="en-US"/>
        </w:rPr>
        <w:t>Journal of Childhood, Education &amp; Society</w:t>
      </w:r>
      <w:r w:rsidRPr="00821074">
        <w:rPr>
          <w:rFonts w:ascii="Arial" w:hAnsi="Arial" w:cs="Arial"/>
          <w:sz w:val="24"/>
          <w:szCs w:val="24"/>
          <w:lang w:val="en-US"/>
        </w:rPr>
        <w:t xml:space="preserve">, 2(3), pp.220–234. Available at: </w:t>
      </w:r>
      <w:hyperlink r:id="rId30" w:history="1">
        <w:r w:rsidRPr="00821074">
          <w:rPr>
            <w:rStyle w:val="Hyperlink"/>
            <w:rFonts w:ascii="Arial" w:hAnsi="Arial" w:cs="Arial"/>
            <w:sz w:val="24"/>
            <w:szCs w:val="24"/>
            <w:lang w:val="en-US"/>
          </w:rPr>
          <w:t>https://doi.org/10.37291/2717638x.20212395</w:t>
        </w:r>
      </w:hyperlink>
      <w:r w:rsidRPr="00821074">
        <w:rPr>
          <w:rFonts w:ascii="Arial" w:hAnsi="Arial" w:cs="Arial"/>
          <w:sz w:val="24"/>
          <w:szCs w:val="24"/>
          <w:lang w:val="en-US"/>
        </w:rPr>
        <w:t xml:space="preserve">. </w:t>
      </w:r>
    </w:p>
    <w:p w14:paraId="2F322A5F"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rPr>
        <w:t xml:space="preserve">Groves, R.M. and Peytcheva, E. (2008) The Impact of Nonresponse Rates on Nonresponse Bias: A Meta-Analysis. Public Opinion Quarterly, 72, 167-189. Available at: </w:t>
      </w:r>
      <w:hyperlink r:id="rId31" w:history="1">
        <w:r w:rsidRPr="00821074">
          <w:rPr>
            <w:rStyle w:val="Hyperlink"/>
            <w:rFonts w:ascii="Arial" w:hAnsi="Arial" w:cs="Arial"/>
            <w:sz w:val="24"/>
            <w:szCs w:val="24"/>
            <w:lang w:val="en-US"/>
          </w:rPr>
          <w:t>https://doi.org/10.1093/poq/nfn011</w:t>
        </w:r>
      </w:hyperlink>
      <w:r w:rsidRPr="00821074">
        <w:rPr>
          <w:rFonts w:ascii="Arial" w:hAnsi="Arial" w:cs="Arial"/>
          <w:sz w:val="24"/>
          <w:szCs w:val="24"/>
          <w:lang w:val="en-US"/>
        </w:rPr>
        <w:t xml:space="preserve"> </w:t>
      </w:r>
    </w:p>
    <w:p w14:paraId="3290397B"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Heale, R. and Forbes, D. (2013) ‘Understanding triangulation in research’, </w:t>
      </w:r>
      <w:r w:rsidRPr="00821074">
        <w:rPr>
          <w:rFonts w:ascii="Arial" w:hAnsi="Arial" w:cs="Arial"/>
          <w:i/>
          <w:iCs/>
          <w:sz w:val="24"/>
          <w:szCs w:val="24"/>
          <w:lang w:val="en-US"/>
        </w:rPr>
        <w:t>Evidence</w:t>
      </w:r>
      <w:r w:rsidRPr="00821074">
        <w:rPr>
          <w:rFonts w:ascii="Arial" w:hAnsi="Arial" w:cs="Arial"/>
          <w:i/>
          <w:iCs/>
          <w:sz w:val="24"/>
          <w:szCs w:val="24"/>
          <w:lang w:val="en-US"/>
        </w:rPr>
        <w:noBreakHyphen/>
        <w:t>Based Nursing</w:t>
      </w:r>
      <w:r w:rsidRPr="00821074">
        <w:rPr>
          <w:rFonts w:ascii="Arial" w:hAnsi="Arial" w:cs="Arial"/>
          <w:sz w:val="24"/>
          <w:szCs w:val="24"/>
          <w:lang w:val="en-US"/>
        </w:rPr>
        <w:t xml:space="preserve">, 16(4), 98–98. Available at: </w:t>
      </w:r>
      <w:hyperlink r:id="rId32" w:history="1">
        <w:r w:rsidRPr="00821074">
          <w:rPr>
            <w:rStyle w:val="Hyperlink"/>
            <w:rFonts w:ascii="Arial" w:hAnsi="Arial" w:cs="Arial"/>
            <w:sz w:val="24"/>
            <w:szCs w:val="24"/>
            <w:lang w:val="en-US"/>
          </w:rPr>
          <w:t>https://doi.org/10.1136/eb-2013-101494</w:t>
        </w:r>
      </w:hyperlink>
      <w:r w:rsidRPr="00821074">
        <w:rPr>
          <w:rFonts w:ascii="Arial" w:hAnsi="Arial" w:cs="Arial"/>
          <w:sz w:val="24"/>
          <w:szCs w:val="24"/>
          <w:lang w:val="en-US"/>
        </w:rPr>
        <w:t xml:space="preserve"> </w:t>
      </w:r>
    </w:p>
    <w:p w14:paraId="61F9FBA6" w14:textId="77777777" w:rsidR="00821074" w:rsidRPr="00821074" w:rsidRDefault="00821074" w:rsidP="00821074">
      <w:pPr>
        <w:pStyle w:val="ListParagraph"/>
        <w:numPr>
          <w:ilvl w:val="0"/>
          <w:numId w:val="6"/>
        </w:numPr>
        <w:spacing w:line="480" w:lineRule="auto"/>
        <w:rPr>
          <w:rFonts w:ascii="Arial" w:hAnsi="Arial" w:cs="Arial"/>
          <w:b/>
          <w:bCs/>
          <w:sz w:val="24"/>
          <w:szCs w:val="24"/>
          <w:lang w:val="en-US"/>
        </w:rPr>
      </w:pPr>
      <w:r w:rsidRPr="00821074">
        <w:rPr>
          <w:rFonts w:ascii="Arial" w:hAnsi="Arial" w:cs="Arial"/>
          <w:sz w:val="24"/>
          <w:szCs w:val="24"/>
          <w:lang w:val="en-US"/>
        </w:rPr>
        <w:t>Health Research Authority (n.d.) </w:t>
      </w:r>
      <w:r w:rsidRPr="00821074">
        <w:rPr>
          <w:rFonts w:ascii="Arial" w:hAnsi="Arial" w:cs="Arial"/>
          <w:i/>
          <w:iCs/>
          <w:sz w:val="24"/>
          <w:szCs w:val="24"/>
          <w:lang w:val="en-US"/>
        </w:rPr>
        <w:t>Content: Participant Information Sheet: What’s Involved - Consent and Participant information sheet preparation guidance.</w:t>
      </w:r>
      <w:r w:rsidRPr="00821074">
        <w:rPr>
          <w:rFonts w:ascii="Arial" w:hAnsi="Arial" w:cs="Arial"/>
          <w:sz w:val="24"/>
          <w:szCs w:val="24"/>
          <w:lang w:val="en-US"/>
        </w:rPr>
        <w:t xml:space="preserve"> [online] Available at: </w:t>
      </w:r>
      <w:hyperlink r:id="rId33" w:history="1">
        <w:r w:rsidRPr="00821074">
          <w:rPr>
            <w:rStyle w:val="Hyperlink"/>
            <w:rFonts w:ascii="Arial" w:hAnsi="Arial" w:cs="Arial"/>
            <w:sz w:val="24"/>
            <w:szCs w:val="24"/>
            <w:lang w:val="en-US"/>
          </w:rPr>
          <w:t>https://www.hra-decisiontools.org.uk/consent/content-sheet-involved.html</w:t>
        </w:r>
      </w:hyperlink>
      <w:r w:rsidRPr="00821074">
        <w:rPr>
          <w:rFonts w:ascii="Arial" w:hAnsi="Arial" w:cs="Arial"/>
          <w:b/>
          <w:bCs/>
          <w:sz w:val="24"/>
          <w:szCs w:val="24"/>
          <w:lang w:val="en-US"/>
        </w:rPr>
        <w:t xml:space="preserve">. </w:t>
      </w:r>
      <w:r w:rsidRPr="00821074">
        <w:rPr>
          <w:rFonts w:ascii="Arial" w:hAnsi="Arial" w:cs="Arial"/>
          <w:sz w:val="24"/>
          <w:szCs w:val="24"/>
          <w:lang w:val="en-US"/>
        </w:rPr>
        <w:t>[Accessed 18 Oct. 2025].</w:t>
      </w:r>
    </w:p>
    <w:p w14:paraId="4E37F296"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ICO. (2023) </w:t>
      </w:r>
      <w:r w:rsidRPr="00821074">
        <w:rPr>
          <w:rFonts w:ascii="Arial" w:hAnsi="Arial" w:cs="Arial"/>
          <w:i/>
          <w:iCs/>
          <w:sz w:val="24"/>
          <w:szCs w:val="24"/>
          <w:lang w:val="en-US"/>
        </w:rPr>
        <w:t>Encryption and data storage</w:t>
      </w:r>
      <w:r w:rsidRPr="00821074">
        <w:rPr>
          <w:rFonts w:ascii="Arial" w:hAnsi="Arial" w:cs="Arial"/>
          <w:sz w:val="24"/>
          <w:szCs w:val="24"/>
          <w:lang w:val="en-US"/>
        </w:rPr>
        <w:t xml:space="preserve">. [online] ico.org.uk. Available at: </w:t>
      </w:r>
      <w:hyperlink r:id="rId34" w:history="1">
        <w:r w:rsidRPr="00821074">
          <w:rPr>
            <w:rStyle w:val="Hyperlink"/>
            <w:rFonts w:ascii="Arial" w:hAnsi="Arial" w:cs="Arial"/>
            <w:sz w:val="24"/>
            <w:szCs w:val="24"/>
            <w:lang w:val="en-US"/>
          </w:rPr>
          <w:t>https://ico.org.uk/for-organisations/uk-gdpr-guidance-and-</w:t>
        </w:r>
        <w:r w:rsidRPr="00821074">
          <w:rPr>
            <w:rStyle w:val="Hyperlink"/>
            <w:rFonts w:ascii="Arial" w:hAnsi="Arial" w:cs="Arial"/>
            <w:sz w:val="24"/>
            <w:szCs w:val="24"/>
            <w:lang w:val="en-US"/>
          </w:rPr>
          <w:lastRenderedPageBreak/>
          <w:t>resources/security/encryption/encryption-and-data-storage/</w:t>
        </w:r>
      </w:hyperlink>
      <w:r w:rsidRPr="00821074">
        <w:rPr>
          <w:rFonts w:ascii="Arial" w:hAnsi="Arial" w:cs="Arial"/>
          <w:sz w:val="24"/>
          <w:szCs w:val="24"/>
          <w:lang w:val="en-US"/>
        </w:rPr>
        <w:t>. [Accessed 18 Oct. 2025].</w:t>
      </w:r>
    </w:p>
    <w:p w14:paraId="536231D1"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w:t>
      </w:r>
      <w:proofErr w:type="spellStart"/>
      <w:r w:rsidRPr="00821074">
        <w:rPr>
          <w:rFonts w:ascii="Arial" w:hAnsi="Arial" w:cs="Arial"/>
          <w:sz w:val="24"/>
          <w:szCs w:val="24"/>
          <w:lang w:val="en-US"/>
        </w:rPr>
        <w:t>Kakilla</w:t>
      </w:r>
      <w:proofErr w:type="spellEnd"/>
      <w:r w:rsidRPr="00821074">
        <w:rPr>
          <w:rFonts w:ascii="Arial" w:hAnsi="Arial" w:cs="Arial"/>
          <w:sz w:val="24"/>
          <w:szCs w:val="24"/>
          <w:lang w:val="en-US"/>
        </w:rPr>
        <w:t>, C. (2021) ‘Strengths and Weaknesses of Semi-Structured Interviews in Qualitative Research: A Critical Essay’, </w:t>
      </w:r>
      <w:r w:rsidRPr="00821074">
        <w:rPr>
          <w:rFonts w:ascii="Arial" w:hAnsi="Arial" w:cs="Arial"/>
          <w:i/>
          <w:iCs/>
          <w:sz w:val="24"/>
          <w:szCs w:val="24"/>
          <w:lang w:val="en-US"/>
        </w:rPr>
        <w:t>Preprints</w:t>
      </w:r>
      <w:r w:rsidRPr="00821074">
        <w:rPr>
          <w:rFonts w:ascii="Arial" w:hAnsi="Arial" w:cs="Arial"/>
          <w:sz w:val="24"/>
          <w:szCs w:val="24"/>
          <w:lang w:val="en-US"/>
        </w:rPr>
        <w:t xml:space="preserve">, 1(1). Available at: </w:t>
      </w:r>
      <w:hyperlink r:id="rId35" w:history="1">
        <w:r w:rsidRPr="00821074">
          <w:rPr>
            <w:rStyle w:val="Hyperlink"/>
            <w:rFonts w:ascii="Arial" w:hAnsi="Arial" w:cs="Arial"/>
            <w:sz w:val="24"/>
            <w:szCs w:val="24"/>
            <w:lang w:val="en-US"/>
          </w:rPr>
          <w:t>https://doi.org/10.20944/preprints202106.0491.v1</w:t>
        </w:r>
      </w:hyperlink>
      <w:r w:rsidRPr="00821074">
        <w:rPr>
          <w:rFonts w:ascii="Arial" w:hAnsi="Arial" w:cs="Arial"/>
          <w:sz w:val="24"/>
          <w:szCs w:val="24"/>
          <w:lang w:val="en-US"/>
        </w:rPr>
        <w:t xml:space="preserve">. </w:t>
      </w:r>
    </w:p>
    <w:p w14:paraId="791E0A25"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5C4446">
        <w:rPr>
          <w:rFonts w:ascii="Arial" w:hAnsi="Arial" w:cs="Arial"/>
          <w:sz w:val="24"/>
          <w:szCs w:val="24"/>
          <w:lang w:val="fr-FR"/>
        </w:rPr>
        <w:t>Kamuya</w:t>
      </w:r>
      <w:proofErr w:type="spellEnd"/>
      <w:r w:rsidRPr="005C4446">
        <w:rPr>
          <w:rFonts w:ascii="Arial" w:hAnsi="Arial" w:cs="Arial"/>
          <w:sz w:val="24"/>
          <w:szCs w:val="24"/>
          <w:lang w:val="fr-FR"/>
        </w:rPr>
        <w:t xml:space="preserve">, D.M. </w:t>
      </w:r>
      <w:r w:rsidRPr="005C4446">
        <w:rPr>
          <w:rFonts w:ascii="Arial" w:hAnsi="Arial" w:cs="Arial"/>
          <w:i/>
          <w:iCs/>
          <w:sz w:val="24"/>
          <w:szCs w:val="24"/>
          <w:lang w:val="fr-FR"/>
        </w:rPr>
        <w:t>et al.</w:t>
      </w:r>
      <w:r w:rsidRPr="005C4446">
        <w:rPr>
          <w:rFonts w:ascii="Arial" w:hAnsi="Arial" w:cs="Arial"/>
          <w:sz w:val="24"/>
          <w:szCs w:val="24"/>
          <w:lang w:val="fr-FR"/>
        </w:rPr>
        <w:t xml:space="preserve"> </w:t>
      </w:r>
      <w:r w:rsidRPr="00821074">
        <w:rPr>
          <w:rFonts w:ascii="Arial" w:hAnsi="Arial" w:cs="Arial"/>
          <w:sz w:val="24"/>
          <w:szCs w:val="24"/>
          <w:lang w:val="en-US"/>
        </w:rPr>
        <w:t>(2015) ‘The One Who Chases You Away Does Not Tell You Go’: Silent Refusals and Complex Power Relations in Research Consent Processes’, </w:t>
      </w:r>
      <w:r w:rsidRPr="00821074">
        <w:rPr>
          <w:rFonts w:ascii="Arial" w:hAnsi="Arial" w:cs="Arial"/>
          <w:i/>
          <w:iCs/>
          <w:sz w:val="24"/>
          <w:szCs w:val="24"/>
          <w:lang w:val="en-US"/>
        </w:rPr>
        <w:t>PLOS ONE</w:t>
      </w:r>
      <w:r w:rsidRPr="00821074">
        <w:rPr>
          <w:rFonts w:ascii="Arial" w:hAnsi="Arial" w:cs="Arial"/>
          <w:sz w:val="24"/>
          <w:szCs w:val="24"/>
          <w:lang w:val="en-US"/>
        </w:rPr>
        <w:t xml:space="preserve">, 10(5), p.e0126671. Available at: </w:t>
      </w:r>
      <w:hyperlink r:id="rId36" w:history="1">
        <w:r w:rsidRPr="00821074">
          <w:rPr>
            <w:rStyle w:val="Hyperlink"/>
            <w:rFonts w:ascii="Arial" w:hAnsi="Arial" w:cs="Arial"/>
            <w:sz w:val="24"/>
            <w:szCs w:val="24"/>
            <w:lang w:val="en-US"/>
          </w:rPr>
          <w:t>https://doi.org/10.1371/journal.pone.0126671</w:t>
        </w:r>
      </w:hyperlink>
      <w:r w:rsidRPr="00821074">
        <w:rPr>
          <w:rFonts w:ascii="Arial" w:hAnsi="Arial" w:cs="Arial"/>
          <w:sz w:val="24"/>
          <w:szCs w:val="24"/>
          <w:lang w:val="en-US"/>
        </w:rPr>
        <w:t xml:space="preserve">. </w:t>
      </w:r>
    </w:p>
    <w:p w14:paraId="10782AE0" w14:textId="77777777" w:rsidR="00821074" w:rsidRPr="00821074" w:rsidRDefault="00821074" w:rsidP="00821074">
      <w:pPr>
        <w:pStyle w:val="ListParagraph"/>
        <w:numPr>
          <w:ilvl w:val="0"/>
          <w:numId w:val="6"/>
        </w:numPr>
        <w:spacing w:line="480" w:lineRule="auto"/>
        <w:rPr>
          <w:rFonts w:ascii="Arial" w:hAnsi="Arial" w:cs="Arial"/>
          <w:sz w:val="24"/>
          <w:szCs w:val="24"/>
        </w:rPr>
      </w:pPr>
      <w:r w:rsidRPr="00821074">
        <w:rPr>
          <w:rFonts w:ascii="Arial" w:hAnsi="Arial" w:cs="Arial"/>
          <w:sz w:val="24"/>
          <w:szCs w:val="24"/>
        </w:rPr>
        <w:t xml:space="preserve">Kelly-Vance, L. and Ryalls, B. (2008) ‘Best practices in play assessment and intervention’, In Grimes, J. and Thomas, A. (Eds.) </w:t>
      </w:r>
      <w:r w:rsidRPr="00821074">
        <w:rPr>
          <w:rFonts w:ascii="Arial" w:hAnsi="Arial" w:cs="Arial"/>
          <w:i/>
          <w:iCs/>
          <w:sz w:val="24"/>
          <w:szCs w:val="24"/>
        </w:rPr>
        <w:t>Best practices in school psychology</w:t>
      </w:r>
      <w:r w:rsidRPr="00821074">
        <w:rPr>
          <w:rFonts w:ascii="Arial" w:hAnsi="Arial" w:cs="Arial"/>
          <w:sz w:val="24"/>
          <w:szCs w:val="24"/>
        </w:rPr>
        <w:t xml:space="preserve">, 5(2), 549–559. Available at: </w:t>
      </w:r>
      <w:hyperlink r:id="rId37" w:history="1">
        <w:r w:rsidRPr="00821074">
          <w:rPr>
            <w:rStyle w:val="Hyperlink"/>
            <w:rFonts w:ascii="Arial" w:hAnsi="Arial" w:cs="Arial"/>
            <w:sz w:val="24"/>
            <w:szCs w:val="24"/>
          </w:rPr>
          <w:t>http://www.nasponline.org/publications/booksproducts/BP5Samples/549_BPV71_33.Pdf</w:t>
        </w:r>
      </w:hyperlink>
      <w:r w:rsidRPr="00821074">
        <w:rPr>
          <w:rFonts w:ascii="Arial" w:hAnsi="Arial" w:cs="Arial"/>
          <w:sz w:val="24"/>
          <w:szCs w:val="24"/>
        </w:rPr>
        <w:t xml:space="preserve"> Accessed 18, Oct 2025</w:t>
      </w:r>
    </w:p>
    <w:p w14:paraId="6D11898C"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821074">
        <w:rPr>
          <w:rFonts w:ascii="Arial" w:hAnsi="Arial" w:cs="Arial"/>
          <w:sz w:val="24"/>
          <w:szCs w:val="24"/>
          <w:lang w:val="en-US"/>
        </w:rPr>
        <w:t>Krumpal</w:t>
      </w:r>
      <w:proofErr w:type="spellEnd"/>
      <w:r w:rsidRPr="00821074">
        <w:rPr>
          <w:rFonts w:ascii="Arial" w:hAnsi="Arial" w:cs="Arial"/>
          <w:sz w:val="24"/>
          <w:szCs w:val="24"/>
          <w:lang w:val="en-US"/>
        </w:rPr>
        <w:t xml:space="preserve">, I. (2013) ‘Determinants of social desirability bias in sensitive surveys: a literature review’, </w:t>
      </w:r>
      <w:r w:rsidRPr="00821074">
        <w:rPr>
          <w:rFonts w:ascii="Arial" w:hAnsi="Arial" w:cs="Arial"/>
          <w:i/>
          <w:iCs/>
          <w:sz w:val="24"/>
          <w:szCs w:val="24"/>
          <w:lang w:val="en-US"/>
        </w:rPr>
        <w:t>Survey Research Methods</w:t>
      </w:r>
      <w:r w:rsidRPr="00821074">
        <w:rPr>
          <w:rFonts w:ascii="Arial" w:hAnsi="Arial" w:cs="Arial"/>
          <w:sz w:val="24"/>
          <w:szCs w:val="24"/>
          <w:lang w:val="en-US"/>
        </w:rPr>
        <w:t xml:space="preserve">, 7(2), 161–179. Available at: </w:t>
      </w:r>
      <w:hyperlink r:id="rId38" w:history="1">
        <w:r w:rsidRPr="00821074">
          <w:rPr>
            <w:rStyle w:val="Hyperlink"/>
            <w:rFonts w:ascii="Arial" w:hAnsi="Arial" w:cs="Arial"/>
            <w:sz w:val="24"/>
            <w:szCs w:val="24"/>
            <w:lang w:val="en-US"/>
          </w:rPr>
          <w:t>https://doi.org/10.18148/srm/2013.v7i2.5678</w:t>
        </w:r>
      </w:hyperlink>
      <w:r w:rsidRPr="00821074">
        <w:rPr>
          <w:rFonts w:ascii="Arial" w:hAnsi="Arial" w:cs="Arial"/>
          <w:sz w:val="24"/>
          <w:szCs w:val="24"/>
          <w:lang w:val="en-US"/>
        </w:rPr>
        <w:t xml:space="preserve"> </w:t>
      </w:r>
    </w:p>
    <w:p w14:paraId="54D6A636"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Kvale, S. and Brinkmann, S. (2009) </w:t>
      </w:r>
      <w:r w:rsidRPr="00821074">
        <w:rPr>
          <w:rFonts w:ascii="Arial" w:hAnsi="Arial" w:cs="Arial"/>
          <w:i/>
          <w:iCs/>
          <w:sz w:val="24"/>
          <w:szCs w:val="24"/>
          <w:lang w:val="en-US"/>
        </w:rPr>
        <w:t>Interviews: Learning the Craft of Qualitative Research Interviewing</w:t>
      </w:r>
      <w:r w:rsidRPr="00821074">
        <w:rPr>
          <w:rFonts w:ascii="Arial" w:hAnsi="Arial" w:cs="Arial"/>
          <w:sz w:val="24"/>
          <w:szCs w:val="24"/>
          <w:lang w:val="en-US"/>
        </w:rPr>
        <w:t>. (2nd ed.). Sage.</w:t>
      </w:r>
    </w:p>
    <w:p w14:paraId="49B34440"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McCambridge, J. de Bruin, M. and Witton, J. (2014) ‘Research participation effects: a systematic review’, </w:t>
      </w:r>
      <w:r w:rsidRPr="00821074">
        <w:rPr>
          <w:rFonts w:ascii="Arial" w:hAnsi="Arial" w:cs="Arial"/>
          <w:i/>
          <w:iCs/>
          <w:sz w:val="24"/>
          <w:szCs w:val="24"/>
          <w:lang w:val="en-US"/>
        </w:rPr>
        <w:t>BMC Medical Research Methodology</w:t>
      </w:r>
      <w:r w:rsidRPr="00821074">
        <w:rPr>
          <w:rFonts w:ascii="Arial" w:hAnsi="Arial" w:cs="Arial"/>
          <w:sz w:val="24"/>
          <w:szCs w:val="24"/>
          <w:lang w:val="en-US"/>
        </w:rPr>
        <w:t xml:space="preserve">, 14, 1. Available at: </w:t>
      </w:r>
      <w:hyperlink r:id="rId39" w:history="1">
        <w:r w:rsidRPr="00821074">
          <w:rPr>
            <w:rStyle w:val="Hyperlink"/>
            <w:rFonts w:ascii="Arial" w:hAnsi="Arial" w:cs="Arial"/>
            <w:sz w:val="24"/>
            <w:szCs w:val="24"/>
            <w:lang w:val="en-US"/>
          </w:rPr>
          <w:t>https://doi.org/10.1186/1471-2288-14-1</w:t>
        </w:r>
      </w:hyperlink>
      <w:r w:rsidRPr="00821074">
        <w:rPr>
          <w:rFonts w:ascii="Arial" w:hAnsi="Arial" w:cs="Arial"/>
          <w:sz w:val="24"/>
          <w:szCs w:val="24"/>
          <w:lang w:val="en-US"/>
        </w:rPr>
        <w:t xml:space="preserve"> </w:t>
      </w:r>
    </w:p>
    <w:p w14:paraId="7D4E34E5"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821074">
        <w:rPr>
          <w:rFonts w:ascii="Arial" w:hAnsi="Arial" w:cs="Arial"/>
          <w:sz w:val="24"/>
          <w:szCs w:val="24"/>
          <w:lang w:val="en-US"/>
        </w:rPr>
        <w:t>Mostafazadeh</w:t>
      </w:r>
      <w:proofErr w:type="spellEnd"/>
      <w:r w:rsidRPr="00821074">
        <w:rPr>
          <w:rFonts w:ascii="Arial" w:hAnsi="Arial" w:cs="Arial"/>
          <w:sz w:val="24"/>
          <w:szCs w:val="24"/>
          <w:lang w:val="en-US"/>
        </w:rPr>
        <w:t xml:space="preserve">-Bora, M. (2020) ‘The Hawthorne effect in observational studies: Threat or opportunity?’, </w:t>
      </w:r>
      <w:r w:rsidRPr="00821074">
        <w:rPr>
          <w:rFonts w:ascii="Arial" w:hAnsi="Arial" w:cs="Arial"/>
          <w:i/>
          <w:iCs/>
          <w:sz w:val="24"/>
          <w:szCs w:val="24"/>
          <w:lang w:val="en-US"/>
        </w:rPr>
        <w:t>Infection Control &amp; Hospital Epidemiology</w:t>
      </w:r>
      <w:r w:rsidRPr="00821074">
        <w:rPr>
          <w:rFonts w:ascii="Arial" w:hAnsi="Arial" w:cs="Arial"/>
          <w:sz w:val="24"/>
          <w:szCs w:val="24"/>
          <w:lang w:val="en-US"/>
        </w:rPr>
        <w:t xml:space="preserve">, 41(4), 491. </w:t>
      </w:r>
      <w:hyperlink r:id="rId40" w:history="1">
        <w:r w:rsidRPr="00821074">
          <w:rPr>
            <w:rStyle w:val="Hyperlink"/>
            <w:rFonts w:ascii="Arial" w:hAnsi="Arial" w:cs="Arial"/>
            <w:sz w:val="24"/>
            <w:szCs w:val="24"/>
            <w:lang w:val="en-US"/>
          </w:rPr>
          <w:t>https://doi.org/10.1017/ice.2020.19</w:t>
        </w:r>
      </w:hyperlink>
      <w:r w:rsidRPr="00821074">
        <w:rPr>
          <w:rFonts w:ascii="Arial" w:hAnsi="Arial" w:cs="Arial"/>
          <w:sz w:val="24"/>
          <w:szCs w:val="24"/>
          <w:lang w:val="en-US"/>
        </w:rPr>
        <w:t xml:space="preserve"> </w:t>
      </w:r>
    </w:p>
    <w:p w14:paraId="3C5039BD"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lastRenderedPageBreak/>
        <w:t>Myers, L. (2025) </w:t>
      </w:r>
      <w:r w:rsidRPr="00821074">
        <w:rPr>
          <w:rFonts w:ascii="Arial" w:hAnsi="Arial" w:cs="Arial"/>
          <w:i/>
          <w:iCs/>
          <w:sz w:val="24"/>
          <w:szCs w:val="24"/>
          <w:lang w:val="en-US"/>
        </w:rPr>
        <w:t>Subject Guides: Research data management: a practical guide: Restricting access to sensitive data</w:t>
      </w:r>
      <w:r w:rsidRPr="00821074">
        <w:rPr>
          <w:rFonts w:ascii="Arial" w:hAnsi="Arial" w:cs="Arial"/>
          <w:sz w:val="24"/>
          <w:szCs w:val="24"/>
          <w:lang w:val="en-US"/>
        </w:rPr>
        <w:t xml:space="preserve">. [online] subjectguides.york.ac.uk. Available at: </w:t>
      </w:r>
      <w:hyperlink r:id="rId41" w:history="1">
        <w:r w:rsidRPr="00821074">
          <w:rPr>
            <w:rStyle w:val="Hyperlink"/>
            <w:rFonts w:ascii="Arial" w:hAnsi="Arial" w:cs="Arial"/>
            <w:sz w:val="24"/>
            <w:szCs w:val="24"/>
            <w:lang w:val="en-US"/>
          </w:rPr>
          <w:t>https://subjectguides.york.ac.uk/rdm/restricting</w:t>
        </w:r>
      </w:hyperlink>
      <w:r w:rsidRPr="00821074">
        <w:rPr>
          <w:rFonts w:ascii="Arial" w:hAnsi="Arial" w:cs="Arial"/>
          <w:sz w:val="24"/>
          <w:szCs w:val="24"/>
          <w:lang w:val="en-US"/>
        </w:rPr>
        <w:t>. [Accessed 18 Oct. 2025].</w:t>
      </w:r>
    </w:p>
    <w:p w14:paraId="6CC3EDEF"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Noah, A, Moon, L. and John, A. (2024) </w:t>
      </w:r>
      <w:r w:rsidRPr="00821074">
        <w:rPr>
          <w:rFonts w:ascii="Arial" w:hAnsi="Arial" w:cs="Arial"/>
          <w:i/>
          <w:iCs/>
          <w:sz w:val="24"/>
          <w:szCs w:val="24"/>
          <w:lang w:val="en-US"/>
        </w:rPr>
        <w:t>The Consequences of Non-Compliance with Data Protection Regulations on Business Analytics</w:t>
      </w:r>
      <w:r w:rsidRPr="00821074">
        <w:rPr>
          <w:rFonts w:ascii="Arial" w:hAnsi="Arial" w:cs="Arial"/>
          <w:sz w:val="24"/>
          <w:szCs w:val="24"/>
          <w:lang w:val="en-US"/>
        </w:rPr>
        <w:t xml:space="preserve">. [online] </w:t>
      </w:r>
      <w:proofErr w:type="spellStart"/>
      <w:r w:rsidRPr="00821074">
        <w:rPr>
          <w:rFonts w:ascii="Arial" w:hAnsi="Arial" w:cs="Arial"/>
          <w:sz w:val="24"/>
          <w:szCs w:val="24"/>
          <w:lang w:val="en-US"/>
        </w:rPr>
        <w:t>Researchgate</w:t>
      </w:r>
      <w:proofErr w:type="spellEnd"/>
      <w:r w:rsidRPr="00821074">
        <w:rPr>
          <w:rFonts w:ascii="Arial" w:hAnsi="Arial" w:cs="Arial"/>
          <w:sz w:val="24"/>
          <w:szCs w:val="24"/>
          <w:lang w:val="en-US"/>
        </w:rPr>
        <w:t xml:space="preserve">. Available at: </w:t>
      </w:r>
      <w:hyperlink r:id="rId42" w:history="1">
        <w:r w:rsidRPr="00821074">
          <w:rPr>
            <w:rStyle w:val="Hyperlink"/>
            <w:rFonts w:ascii="Arial" w:hAnsi="Arial" w:cs="Arial"/>
            <w:sz w:val="24"/>
            <w:szCs w:val="24"/>
            <w:lang w:val="en-US"/>
          </w:rPr>
          <w:t>https://www.researchgate.net/publication/386409782_The_Consequences_of_Non-Compliance_with_Data_Protection_Regulations_on_Business_Analytics</w:t>
        </w:r>
      </w:hyperlink>
      <w:r w:rsidRPr="00821074">
        <w:rPr>
          <w:rFonts w:ascii="Arial" w:hAnsi="Arial" w:cs="Arial"/>
          <w:sz w:val="24"/>
          <w:szCs w:val="24"/>
          <w:lang w:val="en-US"/>
        </w:rPr>
        <w:t>. [Accessed 18 Oct. 2025].</w:t>
      </w:r>
    </w:p>
    <w:p w14:paraId="338BE7B4"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821074">
        <w:rPr>
          <w:rFonts w:ascii="Arial" w:hAnsi="Arial" w:cs="Arial"/>
          <w:sz w:val="24"/>
          <w:szCs w:val="24"/>
          <w:lang w:val="en-US"/>
        </w:rPr>
        <w:t>O’Cathain</w:t>
      </w:r>
      <w:proofErr w:type="spellEnd"/>
      <w:r w:rsidRPr="00821074">
        <w:rPr>
          <w:rFonts w:ascii="Arial" w:hAnsi="Arial" w:cs="Arial"/>
          <w:sz w:val="24"/>
          <w:szCs w:val="24"/>
          <w:lang w:val="en-US"/>
        </w:rPr>
        <w:t xml:space="preserve">, A. Murphy, E. and Nicholl, J. (2010) ‘Three techniques for integrating data in mixed methods studies’, </w:t>
      </w:r>
      <w:r w:rsidRPr="00821074">
        <w:rPr>
          <w:rFonts w:ascii="Arial" w:hAnsi="Arial" w:cs="Arial"/>
          <w:i/>
          <w:iCs/>
          <w:sz w:val="24"/>
          <w:szCs w:val="24"/>
          <w:lang w:val="en-US"/>
        </w:rPr>
        <w:t>BMJ</w:t>
      </w:r>
      <w:r w:rsidRPr="00821074">
        <w:rPr>
          <w:rFonts w:ascii="Arial" w:hAnsi="Arial" w:cs="Arial"/>
          <w:sz w:val="24"/>
          <w:szCs w:val="24"/>
          <w:lang w:val="en-US"/>
        </w:rPr>
        <w:t xml:space="preserve">, 341, c4587. Available at: </w:t>
      </w:r>
      <w:hyperlink r:id="rId43" w:history="1">
        <w:r w:rsidRPr="00821074">
          <w:rPr>
            <w:rStyle w:val="Hyperlink"/>
            <w:rFonts w:ascii="Arial" w:hAnsi="Arial" w:cs="Arial"/>
            <w:sz w:val="24"/>
            <w:szCs w:val="24"/>
            <w:lang w:val="en-US"/>
          </w:rPr>
          <w:t>https://doi.org/10.1136/bmj.c4587</w:t>
        </w:r>
      </w:hyperlink>
      <w:r w:rsidRPr="00821074">
        <w:rPr>
          <w:rFonts w:ascii="Arial" w:hAnsi="Arial" w:cs="Arial"/>
          <w:sz w:val="24"/>
          <w:szCs w:val="24"/>
          <w:lang w:val="en-US"/>
        </w:rPr>
        <w:t xml:space="preserve"> </w:t>
      </w:r>
    </w:p>
    <w:p w14:paraId="1944C43A"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w:t>
      </w:r>
      <w:proofErr w:type="spellStart"/>
      <w:r w:rsidRPr="00821074">
        <w:rPr>
          <w:rFonts w:ascii="Arial" w:hAnsi="Arial" w:cs="Arial"/>
          <w:sz w:val="24"/>
          <w:szCs w:val="24"/>
          <w:lang w:val="en-US"/>
        </w:rPr>
        <w:t>Oranga</w:t>
      </w:r>
      <w:proofErr w:type="spellEnd"/>
      <w:r w:rsidRPr="00821074">
        <w:rPr>
          <w:rFonts w:ascii="Arial" w:hAnsi="Arial" w:cs="Arial"/>
          <w:sz w:val="24"/>
          <w:szCs w:val="24"/>
          <w:lang w:val="en-US"/>
        </w:rPr>
        <w:t>, J. (2025) ‘Mixed methods research: Merits, applications and challenges’, </w:t>
      </w:r>
      <w:r w:rsidRPr="00821074">
        <w:rPr>
          <w:rFonts w:ascii="Arial" w:hAnsi="Arial" w:cs="Arial"/>
          <w:i/>
          <w:iCs/>
          <w:sz w:val="24"/>
          <w:szCs w:val="24"/>
          <w:lang w:val="en-US"/>
        </w:rPr>
        <w:t>International Journal of Social Science</w:t>
      </w:r>
      <w:r w:rsidRPr="00821074">
        <w:rPr>
          <w:rFonts w:ascii="Arial" w:hAnsi="Arial" w:cs="Arial"/>
          <w:sz w:val="24"/>
          <w:szCs w:val="24"/>
          <w:lang w:val="en-US"/>
        </w:rPr>
        <w:t xml:space="preserve">, [online] 5(2), pp.233–238. Available at: </w:t>
      </w:r>
      <w:hyperlink r:id="rId44" w:history="1">
        <w:r w:rsidRPr="00821074">
          <w:rPr>
            <w:rStyle w:val="Hyperlink"/>
            <w:rFonts w:ascii="Arial" w:hAnsi="Arial" w:cs="Arial"/>
            <w:sz w:val="24"/>
            <w:szCs w:val="24"/>
            <w:lang w:val="en-US"/>
          </w:rPr>
          <w:t>https://doi.org/10.53625/ijss.v5i2.11034</w:t>
        </w:r>
      </w:hyperlink>
      <w:r w:rsidRPr="00821074">
        <w:rPr>
          <w:rFonts w:ascii="Arial" w:hAnsi="Arial" w:cs="Arial"/>
          <w:sz w:val="24"/>
          <w:szCs w:val="24"/>
          <w:lang w:val="en-US"/>
        </w:rPr>
        <w:t>. ‌</w:t>
      </w:r>
    </w:p>
    <w:p w14:paraId="7E28A4C2"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Östlund, U. Kidd, L. </w:t>
      </w:r>
      <w:proofErr w:type="spellStart"/>
      <w:r w:rsidRPr="00821074">
        <w:rPr>
          <w:rFonts w:ascii="Arial" w:hAnsi="Arial" w:cs="Arial"/>
          <w:sz w:val="24"/>
          <w:szCs w:val="24"/>
          <w:lang w:val="en-US"/>
        </w:rPr>
        <w:t>Wengström</w:t>
      </w:r>
      <w:proofErr w:type="spellEnd"/>
      <w:r w:rsidRPr="00821074">
        <w:rPr>
          <w:rFonts w:ascii="Arial" w:hAnsi="Arial" w:cs="Arial"/>
          <w:sz w:val="24"/>
          <w:szCs w:val="24"/>
          <w:lang w:val="en-US"/>
        </w:rPr>
        <w:t>, Y. and Rowa-Dewar, N. (2020) ‘Combining Qualitative and Quantitative Research within Mixed Method Research designs: A Methodological Review’, </w:t>
      </w:r>
      <w:r w:rsidRPr="00821074">
        <w:rPr>
          <w:rFonts w:ascii="Arial" w:hAnsi="Arial" w:cs="Arial"/>
          <w:i/>
          <w:iCs/>
          <w:sz w:val="24"/>
          <w:szCs w:val="24"/>
          <w:lang w:val="en-US"/>
        </w:rPr>
        <w:t>International Journal of Nursing Studies</w:t>
      </w:r>
      <w:r w:rsidRPr="00821074">
        <w:rPr>
          <w:rFonts w:ascii="Arial" w:hAnsi="Arial" w:cs="Arial"/>
          <w:sz w:val="24"/>
          <w:szCs w:val="24"/>
          <w:lang w:val="en-US"/>
        </w:rPr>
        <w:t xml:space="preserve">, [online] 48(3), pp.369–383. </w:t>
      </w:r>
      <w:proofErr w:type="spellStart"/>
      <w:r w:rsidRPr="00821074">
        <w:rPr>
          <w:rFonts w:ascii="Arial" w:hAnsi="Arial" w:cs="Arial"/>
          <w:sz w:val="24"/>
          <w:szCs w:val="24"/>
          <w:lang w:val="en-US"/>
        </w:rPr>
        <w:t>doi</w:t>
      </w:r>
      <w:proofErr w:type="spellEnd"/>
      <w:r w:rsidRPr="00821074">
        <w:rPr>
          <w:rFonts w:ascii="Arial" w:hAnsi="Arial" w:cs="Arial"/>
          <w:sz w:val="24"/>
          <w:szCs w:val="24"/>
          <w:lang w:val="en-US"/>
        </w:rPr>
        <w:t xml:space="preserve">: </w:t>
      </w:r>
      <w:hyperlink r:id="rId45" w:history="1">
        <w:r w:rsidRPr="00821074">
          <w:rPr>
            <w:rStyle w:val="Hyperlink"/>
            <w:rFonts w:ascii="Arial" w:hAnsi="Arial" w:cs="Arial"/>
            <w:sz w:val="24"/>
            <w:szCs w:val="24"/>
            <w:lang w:val="en-US"/>
          </w:rPr>
          <w:t>https://doi.org/10.1016/j.ijnurstu.2010.10.005</w:t>
        </w:r>
      </w:hyperlink>
      <w:r w:rsidRPr="00821074">
        <w:rPr>
          <w:rFonts w:ascii="Arial" w:hAnsi="Arial" w:cs="Arial"/>
          <w:sz w:val="24"/>
          <w:szCs w:val="24"/>
          <w:lang w:val="en-US"/>
        </w:rPr>
        <w:t xml:space="preserve">. </w:t>
      </w:r>
    </w:p>
    <w:p w14:paraId="78458F73"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‌Palinkas, </w:t>
      </w:r>
      <w:r w:rsidRPr="00821074">
        <w:rPr>
          <w:rFonts w:ascii="Arial" w:hAnsi="Arial" w:cs="Arial"/>
          <w:i/>
          <w:iCs/>
          <w:sz w:val="24"/>
          <w:szCs w:val="24"/>
          <w:lang w:val="en-US"/>
        </w:rPr>
        <w:t>et al</w:t>
      </w:r>
      <w:r w:rsidRPr="00821074">
        <w:rPr>
          <w:rFonts w:ascii="Arial" w:hAnsi="Arial" w:cs="Arial"/>
          <w:sz w:val="24"/>
          <w:szCs w:val="24"/>
          <w:lang w:val="en-US"/>
        </w:rPr>
        <w:t>. (2015) ‘Purposeful Sampling for Qualitative Data Collection and Analysis in Mixed Method Implementation Research’, </w:t>
      </w:r>
      <w:r w:rsidRPr="00821074">
        <w:rPr>
          <w:rFonts w:ascii="Arial" w:hAnsi="Arial" w:cs="Arial"/>
          <w:i/>
          <w:iCs/>
          <w:sz w:val="24"/>
          <w:szCs w:val="24"/>
          <w:lang w:val="en-US"/>
        </w:rPr>
        <w:t>Administration and Policy in Mental Health and Mental Health Services Research</w:t>
      </w:r>
      <w:r w:rsidRPr="00821074">
        <w:rPr>
          <w:rFonts w:ascii="Arial" w:hAnsi="Arial" w:cs="Arial"/>
          <w:sz w:val="24"/>
          <w:szCs w:val="24"/>
          <w:lang w:val="en-US"/>
        </w:rPr>
        <w:t xml:space="preserve">, [online] 42(5), pp.533–544. Available at: </w:t>
      </w:r>
      <w:hyperlink r:id="rId46" w:history="1">
        <w:r w:rsidRPr="00821074">
          <w:rPr>
            <w:rStyle w:val="Hyperlink"/>
            <w:rFonts w:ascii="Arial" w:hAnsi="Arial" w:cs="Arial"/>
            <w:sz w:val="24"/>
            <w:szCs w:val="24"/>
            <w:lang w:val="en-US"/>
          </w:rPr>
          <w:t>https://doi.org/10.1007/s10488-013-0528-y</w:t>
        </w:r>
      </w:hyperlink>
      <w:r w:rsidRPr="00821074">
        <w:rPr>
          <w:rFonts w:ascii="Arial" w:hAnsi="Arial" w:cs="Arial"/>
          <w:sz w:val="24"/>
          <w:szCs w:val="24"/>
          <w:lang w:val="en-US"/>
        </w:rPr>
        <w:t xml:space="preserve">. </w:t>
      </w:r>
    </w:p>
    <w:p w14:paraId="1F9D1B0D" w14:textId="77777777" w:rsidR="00821074" w:rsidRPr="00821074" w:rsidRDefault="00821074" w:rsidP="00821074">
      <w:pPr>
        <w:pStyle w:val="ListParagraph"/>
        <w:numPr>
          <w:ilvl w:val="0"/>
          <w:numId w:val="6"/>
        </w:numPr>
        <w:spacing w:line="480" w:lineRule="auto"/>
        <w:rPr>
          <w:rFonts w:ascii="Arial" w:hAnsi="Arial" w:cs="Arial"/>
          <w:sz w:val="24"/>
          <w:szCs w:val="24"/>
        </w:rPr>
      </w:pPr>
      <w:r w:rsidRPr="00821074">
        <w:rPr>
          <w:rFonts w:ascii="Arial" w:hAnsi="Arial" w:cs="Arial"/>
          <w:sz w:val="24"/>
          <w:szCs w:val="24"/>
        </w:rPr>
        <w:lastRenderedPageBreak/>
        <w:t xml:space="preserve">Patton, M. Q. (2015) </w:t>
      </w:r>
      <w:r w:rsidRPr="00821074">
        <w:rPr>
          <w:rFonts w:ascii="Arial" w:hAnsi="Arial" w:cs="Arial"/>
          <w:i/>
          <w:iCs/>
          <w:sz w:val="24"/>
          <w:szCs w:val="24"/>
        </w:rPr>
        <w:t>Qualitative Research &amp; Evaluation Methods.</w:t>
      </w:r>
      <w:r w:rsidRPr="00821074">
        <w:rPr>
          <w:rFonts w:ascii="Arial" w:hAnsi="Arial" w:cs="Arial"/>
          <w:sz w:val="24"/>
          <w:szCs w:val="24"/>
        </w:rPr>
        <w:t xml:space="preserve"> (4th ed.). Sage Publications. </w:t>
      </w:r>
    </w:p>
    <w:p w14:paraId="69238754"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Rice, R.M. and McAllum, K. (2025) ‘Researcher risks: a typology for qualitative risks to researchers in communication studies’, </w:t>
      </w:r>
      <w:r w:rsidRPr="00821074">
        <w:rPr>
          <w:rFonts w:ascii="Arial" w:hAnsi="Arial" w:cs="Arial"/>
          <w:i/>
          <w:iCs/>
          <w:sz w:val="24"/>
          <w:szCs w:val="24"/>
          <w:lang w:val="en-US"/>
        </w:rPr>
        <w:t>Journal of Communication</w:t>
      </w:r>
      <w:r w:rsidRPr="00821074">
        <w:rPr>
          <w:rFonts w:ascii="Arial" w:hAnsi="Arial" w:cs="Arial"/>
          <w:sz w:val="24"/>
          <w:szCs w:val="24"/>
          <w:lang w:val="en-US"/>
        </w:rPr>
        <w:t xml:space="preserve">. [online] </w:t>
      </w:r>
      <w:proofErr w:type="spellStart"/>
      <w:r w:rsidRPr="00821074">
        <w:rPr>
          <w:rFonts w:ascii="Arial" w:hAnsi="Arial" w:cs="Arial"/>
          <w:sz w:val="24"/>
          <w:szCs w:val="24"/>
          <w:lang w:val="en-US"/>
        </w:rPr>
        <w:t>doi</w:t>
      </w:r>
      <w:proofErr w:type="spellEnd"/>
      <w:r w:rsidRPr="00821074">
        <w:rPr>
          <w:rFonts w:ascii="Arial" w:hAnsi="Arial" w:cs="Arial"/>
          <w:sz w:val="24"/>
          <w:szCs w:val="24"/>
          <w:lang w:val="en-US"/>
        </w:rPr>
        <w:t xml:space="preserve">: Available at: </w:t>
      </w:r>
      <w:hyperlink r:id="rId47" w:history="1">
        <w:r w:rsidRPr="00821074">
          <w:rPr>
            <w:rStyle w:val="Hyperlink"/>
            <w:rFonts w:ascii="Arial" w:hAnsi="Arial" w:cs="Arial"/>
            <w:sz w:val="24"/>
            <w:szCs w:val="24"/>
            <w:lang w:val="en-US"/>
          </w:rPr>
          <w:t>https://doi.org/10.1093/joc/jqaf015</w:t>
        </w:r>
      </w:hyperlink>
      <w:r w:rsidRPr="00821074">
        <w:rPr>
          <w:rFonts w:ascii="Arial" w:hAnsi="Arial" w:cs="Arial"/>
          <w:sz w:val="24"/>
          <w:szCs w:val="24"/>
          <w:lang w:val="en-US"/>
        </w:rPr>
        <w:t xml:space="preserve">. </w:t>
      </w:r>
    </w:p>
    <w:p w14:paraId="130B97E8"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Ruiz-Martín, H. and Bybee, R.W. (2022) ‘The cognitive principles of learning underlying the 5E model of instruction’, </w:t>
      </w:r>
      <w:r w:rsidRPr="00821074">
        <w:rPr>
          <w:rFonts w:ascii="Arial" w:hAnsi="Arial" w:cs="Arial"/>
          <w:i/>
          <w:iCs/>
          <w:sz w:val="24"/>
          <w:szCs w:val="24"/>
          <w:lang w:val="en-US"/>
        </w:rPr>
        <w:t>International Journal of STEM Education</w:t>
      </w:r>
      <w:r w:rsidRPr="00821074">
        <w:rPr>
          <w:rFonts w:ascii="Arial" w:hAnsi="Arial" w:cs="Arial"/>
          <w:sz w:val="24"/>
          <w:szCs w:val="24"/>
          <w:lang w:val="en-US"/>
        </w:rPr>
        <w:t xml:space="preserve">, [online] 9(1), pp.1–9. Available at: </w:t>
      </w:r>
      <w:hyperlink r:id="rId48" w:history="1">
        <w:r w:rsidRPr="00821074">
          <w:rPr>
            <w:rStyle w:val="Hyperlink"/>
            <w:rFonts w:ascii="Arial" w:hAnsi="Arial" w:cs="Arial"/>
            <w:sz w:val="24"/>
            <w:szCs w:val="24"/>
            <w:lang w:val="en-US"/>
          </w:rPr>
          <w:t>https://doi.org/10.1186/s40594-022-00337-z</w:t>
        </w:r>
      </w:hyperlink>
      <w:r w:rsidRPr="00821074">
        <w:rPr>
          <w:rFonts w:ascii="Arial" w:hAnsi="Arial" w:cs="Arial"/>
          <w:sz w:val="24"/>
          <w:szCs w:val="24"/>
          <w:lang w:val="en-US"/>
        </w:rPr>
        <w:t xml:space="preserve">. </w:t>
      </w:r>
    </w:p>
    <w:p w14:paraId="3ECF5275"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Sapkota, M. (2024) ‘Implications and Critiques of Quantitative Research: A Systematic Review’, </w:t>
      </w:r>
      <w:r w:rsidRPr="00821074">
        <w:rPr>
          <w:rFonts w:ascii="Arial" w:hAnsi="Arial" w:cs="Arial"/>
          <w:i/>
          <w:iCs/>
          <w:sz w:val="24"/>
          <w:szCs w:val="24"/>
          <w:lang w:val="en-US"/>
        </w:rPr>
        <w:t>Journal of Learning Theory and Methodology</w:t>
      </w:r>
      <w:r w:rsidRPr="00821074">
        <w:rPr>
          <w:rFonts w:ascii="Arial" w:hAnsi="Arial" w:cs="Arial"/>
          <w:sz w:val="24"/>
          <w:szCs w:val="24"/>
          <w:lang w:val="en-US"/>
        </w:rPr>
        <w:t xml:space="preserve">, [online] 5(3), pp.153–159. Available at: </w:t>
      </w:r>
      <w:hyperlink r:id="rId49" w:history="1">
        <w:r w:rsidRPr="00821074">
          <w:rPr>
            <w:rStyle w:val="Hyperlink"/>
            <w:rFonts w:ascii="Arial" w:hAnsi="Arial" w:cs="Arial"/>
            <w:sz w:val="24"/>
            <w:szCs w:val="24"/>
            <w:lang w:val="en-US"/>
          </w:rPr>
          <w:t>https://doi.org/10.17309/jltm.2024.5.3.09</w:t>
        </w:r>
      </w:hyperlink>
      <w:r w:rsidRPr="00821074">
        <w:rPr>
          <w:rFonts w:ascii="Arial" w:hAnsi="Arial" w:cs="Arial"/>
          <w:sz w:val="24"/>
          <w:szCs w:val="24"/>
          <w:lang w:val="en-US"/>
        </w:rPr>
        <w:t xml:space="preserve">. </w:t>
      </w:r>
    </w:p>
    <w:p w14:paraId="329B2EAB"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Siddig, B. and </w:t>
      </w:r>
      <w:proofErr w:type="spellStart"/>
      <w:r w:rsidRPr="00821074">
        <w:rPr>
          <w:rFonts w:ascii="Arial" w:hAnsi="Arial" w:cs="Arial"/>
          <w:sz w:val="24"/>
          <w:szCs w:val="24"/>
          <w:lang w:val="en-US"/>
        </w:rPr>
        <w:t>Alkhoudary</w:t>
      </w:r>
      <w:proofErr w:type="spellEnd"/>
      <w:r w:rsidRPr="00821074">
        <w:rPr>
          <w:rFonts w:ascii="Arial" w:hAnsi="Arial" w:cs="Arial"/>
          <w:sz w:val="24"/>
          <w:szCs w:val="24"/>
          <w:lang w:val="en-US"/>
        </w:rPr>
        <w:t xml:space="preserve">, Y. (2018) ‘English Language Teaching’, [online] 11(12). Available at: </w:t>
      </w:r>
      <w:hyperlink r:id="rId50" w:history="1">
        <w:r w:rsidRPr="00821074">
          <w:rPr>
            <w:rStyle w:val="Hyperlink"/>
            <w:rFonts w:ascii="Arial" w:hAnsi="Arial" w:cs="Arial"/>
            <w:sz w:val="24"/>
            <w:szCs w:val="24"/>
            <w:lang w:val="en-US"/>
          </w:rPr>
          <w:t>https://doi.org/10.5539/elt.v11n12p86</w:t>
        </w:r>
      </w:hyperlink>
      <w:r w:rsidRPr="00821074">
        <w:rPr>
          <w:rFonts w:ascii="Arial" w:hAnsi="Arial" w:cs="Arial"/>
          <w:sz w:val="24"/>
          <w:szCs w:val="24"/>
          <w:lang w:val="en-US"/>
        </w:rPr>
        <w:t xml:space="preserve">. </w:t>
      </w:r>
    </w:p>
    <w:p w14:paraId="065A19A3"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Sim, J. and Waterfield, J. (2019) ‘Focus Group Methodology: Some Ethical Challenges’, </w:t>
      </w:r>
      <w:r w:rsidRPr="00821074">
        <w:rPr>
          <w:rFonts w:ascii="Arial" w:hAnsi="Arial" w:cs="Arial"/>
          <w:i/>
          <w:iCs/>
          <w:sz w:val="24"/>
          <w:szCs w:val="24"/>
          <w:lang w:val="en-US"/>
        </w:rPr>
        <w:t>Quality &amp; Quantity</w:t>
      </w:r>
      <w:r w:rsidRPr="00821074">
        <w:rPr>
          <w:rFonts w:ascii="Arial" w:hAnsi="Arial" w:cs="Arial"/>
          <w:sz w:val="24"/>
          <w:szCs w:val="24"/>
          <w:lang w:val="en-US"/>
        </w:rPr>
        <w:t xml:space="preserve">, [online] 53(6), pp.3003–3022. Available at: </w:t>
      </w:r>
      <w:hyperlink r:id="rId51" w:history="1">
        <w:r w:rsidRPr="00821074">
          <w:rPr>
            <w:rStyle w:val="Hyperlink"/>
            <w:rFonts w:ascii="Arial" w:hAnsi="Arial" w:cs="Arial"/>
            <w:sz w:val="24"/>
            <w:szCs w:val="24"/>
            <w:lang w:val="en-US"/>
          </w:rPr>
          <w:t>https://link.springer.com/article/10.1007/s11135-019-00914-5</w:t>
        </w:r>
      </w:hyperlink>
      <w:r w:rsidRPr="00821074">
        <w:rPr>
          <w:rFonts w:ascii="Arial" w:hAnsi="Arial" w:cs="Arial"/>
          <w:sz w:val="24"/>
          <w:szCs w:val="24"/>
          <w:lang w:val="en-US"/>
        </w:rPr>
        <w:t xml:space="preserve">. </w:t>
      </w:r>
    </w:p>
    <w:p w14:paraId="49962894"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Social Research Association. (</w:t>
      </w:r>
      <w:proofErr w:type="spellStart"/>
      <w:r w:rsidRPr="00821074">
        <w:rPr>
          <w:rFonts w:ascii="Arial" w:hAnsi="Arial" w:cs="Arial"/>
          <w:sz w:val="24"/>
          <w:szCs w:val="24"/>
          <w:lang w:val="en-US"/>
        </w:rPr>
        <w:t>n.d</w:t>
      </w:r>
      <w:proofErr w:type="spellEnd"/>
      <w:r w:rsidRPr="00821074">
        <w:rPr>
          <w:rFonts w:ascii="Arial" w:hAnsi="Arial" w:cs="Arial"/>
          <w:sz w:val="24"/>
          <w:szCs w:val="24"/>
          <w:lang w:val="en-US"/>
        </w:rPr>
        <w:t xml:space="preserve">) </w:t>
      </w:r>
      <w:r w:rsidRPr="00821074">
        <w:rPr>
          <w:rFonts w:ascii="Arial" w:hAnsi="Arial" w:cs="Arial"/>
          <w:i/>
          <w:iCs/>
          <w:sz w:val="24"/>
          <w:szCs w:val="24"/>
          <w:lang w:val="en-US"/>
        </w:rPr>
        <w:t>A Code of Practice for the Safety of Social Researchers Introduction to the Code</w:t>
      </w:r>
      <w:r w:rsidRPr="00821074">
        <w:rPr>
          <w:rFonts w:ascii="Arial" w:hAnsi="Arial" w:cs="Arial"/>
          <w:sz w:val="24"/>
          <w:szCs w:val="24"/>
          <w:lang w:val="en-US"/>
        </w:rPr>
        <w:t xml:space="preserve">. Available at: </w:t>
      </w:r>
      <w:hyperlink r:id="rId52" w:history="1">
        <w:r w:rsidRPr="00821074">
          <w:rPr>
            <w:rStyle w:val="Hyperlink"/>
            <w:rFonts w:ascii="Arial" w:hAnsi="Arial" w:cs="Arial"/>
            <w:sz w:val="24"/>
            <w:szCs w:val="24"/>
            <w:lang w:val="en-US"/>
          </w:rPr>
          <w:t>https://the-sra.org.uk/common/Uploaded%20files/SRA-safety-code-of-practice.pdf</w:t>
        </w:r>
      </w:hyperlink>
      <w:r w:rsidRPr="00821074">
        <w:rPr>
          <w:rFonts w:ascii="Arial" w:hAnsi="Arial" w:cs="Arial"/>
          <w:sz w:val="24"/>
          <w:szCs w:val="24"/>
          <w:lang w:val="en-US"/>
        </w:rPr>
        <w:t>. [Accessed 18 Oct. 2025].</w:t>
      </w:r>
    </w:p>
    <w:p w14:paraId="209F8F9B" w14:textId="77777777" w:rsidR="00821074" w:rsidRPr="00821074" w:rsidRDefault="00821074" w:rsidP="00821074">
      <w:pPr>
        <w:pStyle w:val="ListParagraph"/>
        <w:numPr>
          <w:ilvl w:val="0"/>
          <w:numId w:val="6"/>
        </w:numPr>
        <w:spacing w:after="0" w:line="480" w:lineRule="auto"/>
        <w:rPr>
          <w:rFonts w:ascii="Arial" w:hAnsi="Arial" w:cs="Arial"/>
          <w:sz w:val="24"/>
          <w:szCs w:val="24"/>
        </w:rPr>
      </w:pPr>
      <w:r w:rsidRPr="00821074">
        <w:rPr>
          <w:rFonts w:ascii="Arial" w:hAnsi="Arial" w:cs="Arial"/>
          <w:sz w:val="24"/>
          <w:szCs w:val="24"/>
        </w:rPr>
        <w:t>Tracy, S. J. (2010) ‘Qualitative quality: Eight “big</w:t>
      </w:r>
      <w:r w:rsidRPr="00821074">
        <w:rPr>
          <w:rFonts w:ascii="Arial" w:hAnsi="Arial" w:cs="Arial"/>
          <w:sz w:val="24"/>
          <w:szCs w:val="24"/>
        </w:rPr>
        <w:noBreakHyphen/>
        <w:t xml:space="preserve">tent” criteria for excellent qualitative research’, </w:t>
      </w:r>
      <w:r w:rsidRPr="00821074">
        <w:rPr>
          <w:rFonts w:ascii="Arial" w:hAnsi="Arial" w:cs="Arial"/>
          <w:i/>
          <w:iCs/>
          <w:sz w:val="24"/>
          <w:szCs w:val="24"/>
        </w:rPr>
        <w:t>Qualitative Inquiry</w:t>
      </w:r>
      <w:r w:rsidRPr="00821074">
        <w:rPr>
          <w:rFonts w:ascii="Arial" w:hAnsi="Arial" w:cs="Arial"/>
          <w:sz w:val="24"/>
          <w:szCs w:val="24"/>
        </w:rPr>
        <w:t xml:space="preserve">, 16(10), 837–851. Available at: </w:t>
      </w:r>
      <w:hyperlink r:id="rId53" w:history="1">
        <w:r w:rsidRPr="00821074">
          <w:rPr>
            <w:rStyle w:val="Hyperlink"/>
            <w:rFonts w:ascii="Arial" w:hAnsi="Arial" w:cs="Arial"/>
            <w:sz w:val="24"/>
            <w:szCs w:val="24"/>
          </w:rPr>
          <w:t>https://doi.org/10.1177/1077800410383121</w:t>
        </w:r>
      </w:hyperlink>
      <w:r w:rsidRPr="00821074">
        <w:rPr>
          <w:rFonts w:ascii="Arial" w:hAnsi="Arial" w:cs="Arial"/>
          <w:sz w:val="24"/>
          <w:szCs w:val="24"/>
        </w:rPr>
        <w:t xml:space="preserve"> </w:t>
      </w:r>
    </w:p>
    <w:p w14:paraId="2454FEFC" w14:textId="77777777" w:rsidR="00821074" w:rsidRPr="00821074" w:rsidRDefault="00821074" w:rsidP="00821074">
      <w:pPr>
        <w:pStyle w:val="ListParagraph"/>
        <w:numPr>
          <w:ilvl w:val="0"/>
          <w:numId w:val="6"/>
        </w:numPr>
        <w:spacing w:line="480" w:lineRule="auto"/>
        <w:rPr>
          <w:rFonts w:ascii="Arial" w:hAnsi="Arial" w:cs="Arial"/>
          <w:sz w:val="24"/>
          <w:szCs w:val="24"/>
        </w:rPr>
      </w:pPr>
      <w:r w:rsidRPr="00821074">
        <w:rPr>
          <w:rFonts w:ascii="Arial" w:hAnsi="Arial" w:cs="Arial"/>
          <w:sz w:val="24"/>
          <w:szCs w:val="24"/>
        </w:rPr>
        <w:lastRenderedPageBreak/>
        <w:t xml:space="preserve">Trawick Smith, J. (2012). Teacher-child play interactions to achieve learning outcomes: Risks and opportunities. In R. C. Pianta, W. S. Barnett, L. M. Justice, &amp; S. M. Sheridan (Eds.), Handbook of early childhood education. New York: Guilford Press. </w:t>
      </w:r>
    </w:p>
    <w:p w14:paraId="6BC6BC92" w14:textId="77777777" w:rsidR="00821074" w:rsidRPr="00821074" w:rsidRDefault="00821074" w:rsidP="00821074">
      <w:pPr>
        <w:pStyle w:val="ListParagraph"/>
        <w:numPr>
          <w:ilvl w:val="0"/>
          <w:numId w:val="6"/>
        </w:numPr>
        <w:spacing w:line="480" w:lineRule="auto"/>
        <w:rPr>
          <w:rFonts w:ascii="Arial" w:hAnsi="Arial" w:cs="Arial"/>
          <w:sz w:val="24"/>
          <w:szCs w:val="24"/>
        </w:rPr>
      </w:pPr>
      <w:r w:rsidRPr="00821074">
        <w:rPr>
          <w:rFonts w:ascii="Arial" w:hAnsi="Arial" w:cs="Arial"/>
          <w:sz w:val="24"/>
          <w:szCs w:val="24"/>
          <w:lang w:val="en-US"/>
        </w:rPr>
        <w:t>‌</w:t>
      </w:r>
      <w:r w:rsidRPr="00821074">
        <w:rPr>
          <w:rFonts w:ascii="Arial" w:hAnsi="Arial" w:cs="Arial"/>
          <w:sz w:val="24"/>
          <w:szCs w:val="24"/>
        </w:rPr>
        <w:t xml:space="preserve">Unal, M. and Saglam, M. (2018) ‘Examination of the Effect of the GEMS Program on Problem Solving and Science Process Skills of 6 Years Old Children’, </w:t>
      </w:r>
      <w:r w:rsidRPr="00821074">
        <w:rPr>
          <w:rFonts w:ascii="Arial" w:hAnsi="Arial" w:cs="Arial"/>
          <w:i/>
          <w:iCs/>
          <w:sz w:val="24"/>
          <w:szCs w:val="24"/>
        </w:rPr>
        <w:t>European Journal of Educational Research</w:t>
      </w:r>
      <w:r w:rsidRPr="00821074">
        <w:rPr>
          <w:rFonts w:ascii="Arial" w:hAnsi="Arial" w:cs="Arial"/>
          <w:sz w:val="24"/>
          <w:szCs w:val="24"/>
        </w:rPr>
        <w:t xml:space="preserve">, 7(3), 567-581. Available at: </w:t>
      </w:r>
      <w:hyperlink r:id="rId54" w:history="1">
        <w:r w:rsidRPr="00821074">
          <w:rPr>
            <w:rStyle w:val="Hyperlink"/>
            <w:rFonts w:ascii="Arial" w:hAnsi="Arial" w:cs="Arial"/>
            <w:sz w:val="24"/>
            <w:szCs w:val="24"/>
          </w:rPr>
          <w:t>https://doi.org/10.12973/eu-jer.7.3.567</w:t>
        </w:r>
      </w:hyperlink>
      <w:r w:rsidRPr="00821074">
        <w:rPr>
          <w:rFonts w:ascii="Arial" w:hAnsi="Arial" w:cs="Arial"/>
          <w:sz w:val="24"/>
          <w:szCs w:val="24"/>
        </w:rPr>
        <w:t xml:space="preserve"> </w:t>
      </w:r>
    </w:p>
    <w:p w14:paraId="423D21A1"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University of Liverpool. (</w:t>
      </w:r>
      <w:proofErr w:type="spellStart"/>
      <w:r w:rsidRPr="00821074">
        <w:rPr>
          <w:rFonts w:ascii="Arial" w:hAnsi="Arial" w:cs="Arial"/>
          <w:sz w:val="24"/>
          <w:szCs w:val="24"/>
          <w:lang w:val="en-US"/>
        </w:rPr>
        <w:t>n.d</w:t>
      </w:r>
      <w:proofErr w:type="spellEnd"/>
      <w:r w:rsidRPr="00821074">
        <w:rPr>
          <w:rFonts w:ascii="Arial" w:hAnsi="Arial" w:cs="Arial"/>
          <w:sz w:val="24"/>
          <w:szCs w:val="24"/>
          <w:lang w:val="en-US"/>
        </w:rPr>
        <w:t xml:space="preserve">) </w:t>
      </w:r>
      <w:r w:rsidRPr="00821074">
        <w:rPr>
          <w:rFonts w:ascii="Arial" w:hAnsi="Arial" w:cs="Arial"/>
          <w:i/>
          <w:iCs/>
          <w:sz w:val="24"/>
          <w:szCs w:val="24"/>
          <w:lang w:val="en-US"/>
        </w:rPr>
        <w:t>Guidance Paper 2: Obtaining Consent in Research involving Children - Understanding the Legal and Ethical Framework</w:t>
      </w:r>
      <w:r w:rsidRPr="00821074">
        <w:rPr>
          <w:rFonts w:ascii="Arial" w:hAnsi="Arial" w:cs="Arial"/>
          <w:sz w:val="24"/>
          <w:szCs w:val="24"/>
          <w:lang w:val="en-US"/>
        </w:rPr>
        <w:t xml:space="preserve">.  Available at: </w:t>
      </w:r>
      <w:hyperlink r:id="rId55" w:history="1">
        <w:r w:rsidRPr="00821074">
          <w:rPr>
            <w:rStyle w:val="Hyperlink"/>
            <w:rFonts w:ascii="Arial" w:hAnsi="Arial" w:cs="Arial"/>
            <w:sz w:val="24"/>
            <w:szCs w:val="24"/>
            <w:lang w:val="en-US"/>
          </w:rPr>
          <w:t>https://eprints.ncrm.ac.uk/id/eprint/4917/1/Obtaining%20Consent%20in%20Research%20involving%20Children%20%E2%80%93%20Understanding%20the%20Legal%20and%20Ethical%20Framework.pdf</w:t>
        </w:r>
      </w:hyperlink>
      <w:r w:rsidRPr="00821074">
        <w:rPr>
          <w:rFonts w:ascii="Arial" w:hAnsi="Arial" w:cs="Arial"/>
          <w:sz w:val="24"/>
          <w:szCs w:val="24"/>
          <w:lang w:val="en-US"/>
        </w:rPr>
        <w:t>. (Accessed 19 OCT 2025).</w:t>
      </w:r>
    </w:p>
    <w:p w14:paraId="3E3FE93E"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rPr>
        <w:t xml:space="preserve">University of Wales Trinity Saint David (2022) </w:t>
      </w:r>
      <w:r w:rsidRPr="00821074">
        <w:rPr>
          <w:rFonts w:ascii="Arial" w:hAnsi="Arial" w:cs="Arial"/>
          <w:i/>
          <w:iCs/>
          <w:sz w:val="24"/>
          <w:szCs w:val="24"/>
          <w:lang w:val="en-US"/>
        </w:rPr>
        <w:t>UWTSD Research Data Management Plan.</w:t>
      </w:r>
      <w:r w:rsidRPr="00821074">
        <w:rPr>
          <w:rFonts w:ascii="Arial" w:hAnsi="Arial" w:cs="Arial"/>
          <w:sz w:val="24"/>
          <w:szCs w:val="24"/>
          <w:lang w:val="en-US"/>
        </w:rPr>
        <w:t xml:space="preserve"> Available at: </w:t>
      </w:r>
      <w:hyperlink r:id="rId56" w:history="1">
        <w:r w:rsidRPr="00821074">
          <w:rPr>
            <w:rStyle w:val="Hyperlink"/>
            <w:rFonts w:ascii="Arial" w:hAnsi="Arial" w:cs="Arial"/>
            <w:sz w:val="24"/>
            <w:szCs w:val="24"/>
            <w:lang w:val="en-US"/>
          </w:rPr>
          <w:t>https://digitalservices.uwtsd.ac.uk/wp-content/uploads/2025/05/uwtsd-research-data-management-plan.pdf</w:t>
        </w:r>
      </w:hyperlink>
      <w:r w:rsidRPr="00821074">
        <w:rPr>
          <w:rFonts w:ascii="Arial" w:hAnsi="Arial" w:cs="Arial"/>
          <w:sz w:val="24"/>
          <w:szCs w:val="24"/>
          <w:lang w:val="en-US"/>
        </w:rPr>
        <w:t xml:space="preserve"> [Accessed 18 Oct. 2025].</w:t>
      </w:r>
    </w:p>
    <w:p w14:paraId="3243E4BA" w14:textId="77777777" w:rsidR="00364BA1" w:rsidRPr="00364BA1" w:rsidRDefault="00364BA1" w:rsidP="00821074">
      <w:pPr>
        <w:spacing w:line="480" w:lineRule="auto"/>
        <w:rPr>
          <w:rFonts w:ascii="Arial" w:hAnsi="Arial" w:cs="Arial"/>
          <w:b/>
          <w:bCs/>
          <w:sz w:val="24"/>
          <w:szCs w:val="24"/>
          <w:lang w:val="en-US"/>
        </w:rPr>
      </w:pPr>
      <w:r w:rsidRPr="00364BA1">
        <w:rPr>
          <w:rFonts w:ascii="Arial" w:hAnsi="Arial" w:cs="Arial"/>
          <w:b/>
          <w:bCs/>
          <w:sz w:val="24"/>
          <w:szCs w:val="24"/>
          <w:lang w:val="en-US"/>
        </w:rPr>
        <w:t>‌</w:t>
      </w:r>
    </w:p>
    <w:p w14:paraId="1BC85F4D" w14:textId="3F80BC6B" w:rsidR="00AD2A5D" w:rsidRPr="00E161DF" w:rsidRDefault="00AD2A5D" w:rsidP="00821074">
      <w:pPr>
        <w:spacing w:line="480" w:lineRule="auto"/>
        <w:rPr>
          <w:rFonts w:ascii="Arial" w:hAnsi="Arial" w:cs="Arial"/>
          <w:b/>
          <w:bCs/>
          <w:sz w:val="24"/>
          <w:szCs w:val="24"/>
          <w:lang w:val="en-US"/>
        </w:rPr>
      </w:pPr>
    </w:p>
    <w:sectPr w:rsidR="00AD2A5D" w:rsidRPr="00E161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CF4C9" w14:textId="77777777" w:rsidR="00191097" w:rsidRDefault="00191097" w:rsidP="00B725C5">
      <w:pPr>
        <w:spacing w:after="0" w:line="240" w:lineRule="auto"/>
      </w:pPr>
      <w:r>
        <w:separator/>
      </w:r>
    </w:p>
  </w:endnote>
  <w:endnote w:type="continuationSeparator" w:id="0">
    <w:p w14:paraId="1537395D" w14:textId="77777777" w:rsidR="00191097" w:rsidRDefault="00191097" w:rsidP="00B72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C6B69" w14:textId="77777777" w:rsidR="00191097" w:rsidRDefault="00191097" w:rsidP="00B725C5">
      <w:pPr>
        <w:spacing w:after="0" w:line="240" w:lineRule="auto"/>
      </w:pPr>
      <w:r>
        <w:separator/>
      </w:r>
    </w:p>
  </w:footnote>
  <w:footnote w:type="continuationSeparator" w:id="0">
    <w:p w14:paraId="7141834E" w14:textId="77777777" w:rsidR="00191097" w:rsidRDefault="00191097" w:rsidP="00B725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633B9"/>
    <w:multiLevelType w:val="hybridMultilevel"/>
    <w:tmpl w:val="888CD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851360"/>
    <w:multiLevelType w:val="hybridMultilevel"/>
    <w:tmpl w:val="036A73F8"/>
    <w:lvl w:ilvl="0" w:tplc="65D631F8">
      <w:start w:val="1"/>
      <w:numFmt w:val="bullet"/>
      <w:lvlText w:val="•"/>
      <w:lvlJc w:val="left"/>
      <w:pPr>
        <w:tabs>
          <w:tab w:val="num" w:pos="720"/>
        </w:tabs>
        <w:ind w:left="720" w:hanging="360"/>
      </w:pPr>
      <w:rPr>
        <w:rFonts w:ascii="Arial" w:hAnsi="Arial" w:hint="default"/>
      </w:rPr>
    </w:lvl>
    <w:lvl w:ilvl="1" w:tplc="7AD82120">
      <w:numFmt w:val="bullet"/>
      <w:lvlText w:val="•"/>
      <w:lvlJc w:val="left"/>
      <w:pPr>
        <w:tabs>
          <w:tab w:val="num" w:pos="1440"/>
        </w:tabs>
        <w:ind w:left="1440" w:hanging="360"/>
      </w:pPr>
      <w:rPr>
        <w:rFonts w:ascii="Arial" w:hAnsi="Arial" w:hint="default"/>
      </w:rPr>
    </w:lvl>
    <w:lvl w:ilvl="2" w:tplc="5546B782" w:tentative="1">
      <w:start w:val="1"/>
      <w:numFmt w:val="bullet"/>
      <w:lvlText w:val="•"/>
      <w:lvlJc w:val="left"/>
      <w:pPr>
        <w:tabs>
          <w:tab w:val="num" w:pos="2160"/>
        </w:tabs>
        <w:ind w:left="2160" w:hanging="360"/>
      </w:pPr>
      <w:rPr>
        <w:rFonts w:ascii="Arial" w:hAnsi="Arial" w:hint="default"/>
      </w:rPr>
    </w:lvl>
    <w:lvl w:ilvl="3" w:tplc="9F6224DE" w:tentative="1">
      <w:start w:val="1"/>
      <w:numFmt w:val="bullet"/>
      <w:lvlText w:val="•"/>
      <w:lvlJc w:val="left"/>
      <w:pPr>
        <w:tabs>
          <w:tab w:val="num" w:pos="2880"/>
        </w:tabs>
        <w:ind w:left="2880" w:hanging="360"/>
      </w:pPr>
      <w:rPr>
        <w:rFonts w:ascii="Arial" w:hAnsi="Arial" w:hint="default"/>
      </w:rPr>
    </w:lvl>
    <w:lvl w:ilvl="4" w:tplc="E21CD81E" w:tentative="1">
      <w:start w:val="1"/>
      <w:numFmt w:val="bullet"/>
      <w:lvlText w:val="•"/>
      <w:lvlJc w:val="left"/>
      <w:pPr>
        <w:tabs>
          <w:tab w:val="num" w:pos="3600"/>
        </w:tabs>
        <w:ind w:left="3600" w:hanging="360"/>
      </w:pPr>
      <w:rPr>
        <w:rFonts w:ascii="Arial" w:hAnsi="Arial" w:hint="default"/>
      </w:rPr>
    </w:lvl>
    <w:lvl w:ilvl="5" w:tplc="7E725806" w:tentative="1">
      <w:start w:val="1"/>
      <w:numFmt w:val="bullet"/>
      <w:lvlText w:val="•"/>
      <w:lvlJc w:val="left"/>
      <w:pPr>
        <w:tabs>
          <w:tab w:val="num" w:pos="4320"/>
        </w:tabs>
        <w:ind w:left="4320" w:hanging="360"/>
      </w:pPr>
      <w:rPr>
        <w:rFonts w:ascii="Arial" w:hAnsi="Arial" w:hint="default"/>
      </w:rPr>
    </w:lvl>
    <w:lvl w:ilvl="6" w:tplc="62FA7F4A" w:tentative="1">
      <w:start w:val="1"/>
      <w:numFmt w:val="bullet"/>
      <w:lvlText w:val="•"/>
      <w:lvlJc w:val="left"/>
      <w:pPr>
        <w:tabs>
          <w:tab w:val="num" w:pos="5040"/>
        </w:tabs>
        <w:ind w:left="5040" w:hanging="360"/>
      </w:pPr>
      <w:rPr>
        <w:rFonts w:ascii="Arial" w:hAnsi="Arial" w:hint="default"/>
      </w:rPr>
    </w:lvl>
    <w:lvl w:ilvl="7" w:tplc="BE2664AE" w:tentative="1">
      <w:start w:val="1"/>
      <w:numFmt w:val="bullet"/>
      <w:lvlText w:val="•"/>
      <w:lvlJc w:val="left"/>
      <w:pPr>
        <w:tabs>
          <w:tab w:val="num" w:pos="5760"/>
        </w:tabs>
        <w:ind w:left="5760" w:hanging="360"/>
      </w:pPr>
      <w:rPr>
        <w:rFonts w:ascii="Arial" w:hAnsi="Arial" w:hint="default"/>
      </w:rPr>
    </w:lvl>
    <w:lvl w:ilvl="8" w:tplc="D58622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2353425"/>
    <w:multiLevelType w:val="hybridMultilevel"/>
    <w:tmpl w:val="2544F48E"/>
    <w:lvl w:ilvl="0" w:tplc="E77E942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90667"/>
    <w:multiLevelType w:val="hybridMultilevel"/>
    <w:tmpl w:val="829C1D00"/>
    <w:lvl w:ilvl="0" w:tplc="07BAB90C">
      <w:start w:val="1"/>
      <w:numFmt w:val="bullet"/>
      <w:lvlText w:val="•"/>
      <w:lvlJc w:val="left"/>
      <w:pPr>
        <w:tabs>
          <w:tab w:val="num" w:pos="720"/>
        </w:tabs>
        <w:ind w:left="720" w:hanging="360"/>
      </w:pPr>
      <w:rPr>
        <w:rFonts w:ascii="Arial" w:hAnsi="Arial" w:hint="default"/>
      </w:rPr>
    </w:lvl>
    <w:lvl w:ilvl="1" w:tplc="947012A4">
      <w:start w:val="1"/>
      <w:numFmt w:val="bullet"/>
      <w:lvlText w:val="•"/>
      <w:lvlJc w:val="left"/>
      <w:pPr>
        <w:tabs>
          <w:tab w:val="num" w:pos="1440"/>
        </w:tabs>
        <w:ind w:left="1440" w:hanging="360"/>
      </w:pPr>
      <w:rPr>
        <w:rFonts w:ascii="Arial" w:hAnsi="Arial" w:hint="default"/>
      </w:rPr>
    </w:lvl>
    <w:lvl w:ilvl="2" w:tplc="79C0291A" w:tentative="1">
      <w:start w:val="1"/>
      <w:numFmt w:val="bullet"/>
      <w:lvlText w:val="•"/>
      <w:lvlJc w:val="left"/>
      <w:pPr>
        <w:tabs>
          <w:tab w:val="num" w:pos="2160"/>
        </w:tabs>
        <w:ind w:left="2160" w:hanging="360"/>
      </w:pPr>
      <w:rPr>
        <w:rFonts w:ascii="Arial" w:hAnsi="Arial" w:hint="default"/>
      </w:rPr>
    </w:lvl>
    <w:lvl w:ilvl="3" w:tplc="52CE1642" w:tentative="1">
      <w:start w:val="1"/>
      <w:numFmt w:val="bullet"/>
      <w:lvlText w:val="•"/>
      <w:lvlJc w:val="left"/>
      <w:pPr>
        <w:tabs>
          <w:tab w:val="num" w:pos="2880"/>
        </w:tabs>
        <w:ind w:left="2880" w:hanging="360"/>
      </w:pPr>
      <w:rPr>
        <w:rFonts w:ascii="Arial" w:hAnsi="Arial" w:hint="default"/>
      </w:rPr>
    </w:lvl>
    <w:lvl w:ilvl="4" w:tplc="472831F4" w:tentative="1">
      <w:start w:val="1"/>
      <w:numFmt w:val="bullet"/>
      <w:lvlText w:val="•"/>
      <w:lvlJc w:val="left"/>
      <w:pPr>
        <w:tabs>
          <w:tab w:val="num" w:pos="3600"/>
        </w:tabs>
        <w:ind w:left="3600" w:hanging="360"/>
      </w:pPr>
      <w:rPr>
        <w:rFonts w:ascii="Arial" w:hAnsi="Arial" w:hint="default"/>
      </w:rPr>
    </w:lvl>
    <w:lvl w:ilvl="5" w:tplc="C44E67E2" w:tentative="1">
      <w:start w:val="1"/>
      <w:numFmt w:val="bullet"/>
      <w:lvlText w:val="•"/>
      <w:lvlJc w:val="left"/>
      <w:pPr>
        <w:tabs>
          <w:tab w:val="num" w:pos="4320"/>
        </w:tabs>
        <w:ind w:left="4320" w:hanging="360"/>
      </w:pPr>
      <w:rPr>
        <w:rFonts w:ascii="Arial" w:hAnsi="Arial" w:hint="default"/>
      </w:rPr>
    </w:lvl>
    <w:lvl w:ilvl="6" w:tplc="BF2A1E76" w:tentative="1">
      <w:start w:val="1"/>
      <w:numFmt w:val="bullet"/>
      <w:lvlText w:val="•"/>
      <w:lvlJc w:val="left"/>
      <w:pPr>
        <w:tabs>
          <w:tab w:val="num" w:pos="5040"/>
        </w:tabs>
        <w:ind w:left="5040" w:hanging="360"/>
      </w:pPr>
      <w:rPr>
        <w:rFonts w:ascii="Arial" w:hAnsi="Arial" w:hint="default"/>
      </w:rPr>
    </w:lvl>
    <w:lvl w:ilvl="7" w:tplc="1DFCB3FC" w:tentative="1">
      <w:start w:val="1"/>
      <w:numFmt w:val="bullet"/>
      <w:lvlText w:val="•"/>
      <w:lvlJc w:val="left"/>
      <w:pPr>
        <w:tabs>
          <w:tab w:val="num" w:pos="5760"/>
        </w:tabs>
        <w:ind w:left="5760" w:hanging="360"/>
      </w:pPr>
      <w:rPr>
        <w:rFonts w:ascii="Arial" w:hAnsi="Arial" w:hint="default"/>
      </w:rPr>
    </w:lvl>
    <w:lvl w:ilvl="8" w:tplc="666EE95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99C55B5"/>
    <w:multiLevelType w:val="hybridMultilevel"/>
    <w:tmpl w:val="9F24A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C650023"/>
    <w:multiLevelType w:val="multilevel"/>
    <w:tmpl w:val="CC5A5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3162693">
    <w:abstractNumId w:val="2"/>
  </w:num>
  <w:num w:numId="2" w16cid:durableId="879165944">
    <w:abstractNumId w:val="3"/>
  </w:num>
  <w:num w:numId="3" w16cid:durableId="351803301">
    <w:abstractNumId w:val="1"/>
  </w:num>
  <w:num w:numId="4" w16cid:durableId="2058354795">
    <w:abstractNumId w:val="0"/>
  </w:num>
  <w:num w:numId="5" w16cid:durableId="5445348">
    <w:abstractNumId w:val="5"/>
  </w:num>
  <w:num w:numId="6" w16cid:durableId="12996477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D83"/>
    <w:rsid w:val="00004A6B"/>
    <w:rsid w:val="00014434"/>
    <w:rsid w:val="00027972"/>
    <w:rsid w:val="00030949"/>
    <w:rsid w:val="00036A9B"/>
    <w:rsid w:val="000658EC"/>
    <w:rsid w:val="00077F03"/>
    <w:rsid w:val="000A3768"/>
    <w:rsid w:val="000B169E"/>
    <w:rsid w:val="000B7F09"/>
    <w:rsid w:val="000E0B2F"/>
    <w:rsid w:val="001008C6"/>
    <w:rsid w:val="00107377"/>
    <w:rsid w:val="00123D4B"/>
    <w:rsid w:val="001317C6"/>
    <w:rsid w:val="00136BCF"/>
    <w:rsid w:val="00155A6C"/>
    <w:rsid w:val="00156C52"/>
    <w:rsid w:val="00156F0B"/>
    <w:rsid w:val="00164378"/>
    <w:rsid w:val="001748CA"/>
    <w:rsid w:val="00191097"/>
    <w:rsid w:val="00192F78"/>
    <w:rsid w:val="001A22F0"/>
    <w:rsid w:val="001A514B"/>
    <w:rsid w:val="001D6BE6"/>
    <w:rsid w:val="001E274F"/>
    <w:rsid w:val="001E5709"/>
    <w:rsid w:val="001E5F4C"/>
    <w:rsid w:val="002014D3"/>
    <w:rsid w:val="00204108"/>
    <w:rsid w:val="00210E57"/>
    <w:rsid w:val="0021642F"/>
    <w:rsid w:val="00261957"/>
    <w:rsid w:val="0026654B"/>
    <w:rsid w:val="00266CC8"/>
    <w:rsid w:val="00272B32"/>
    <w:rsid w:val="002868B2"/>
    <w:rsid w:val="00305DCF"/>
    <w:rsid w:val="00325C3C"/>
    <w:rsid w:val="00337064"/>
    <w:rsid w:val="00364BA1"/>
    <w:rsid w:val="00372FBA"/>
    <w:rsid w:val="00385103"/>
    <w:rsid w:val="003A56A3"/>
    <w:rsid w:val="003C013F"/>
    <w:rsid w:val="003F5B60"/>
    <w:rsid w:val="003F608B"/>
    <w:rsid w:val="004064AF"/>
    <w:rsid w:val="004075E4"/>
    <w:rsid w:val="004464A1"/>
    <w:rsid w:val="00455B81"/>
    <w:rsid w:val="00457EE7"/>
    <w:rsid w:val="0046175F"/>
    <w:rsid w:val="00467C48"/>
    <w:rsid w:val="00474C14"/>
    <w:rsid w:val="0047733E"/>
    <w:rsid w:val="004B40A7"/>
    <w:rsid w:val="004D7C8B"/>
    <w:rsid w:val="00502BD0"/>
    <w:rsid w:val="00532265"/>
    <w:rsid w:val="00550894"/>
    <w:rsid w:val="00550973"/>
    <w:rsid w:val="00550FCB"/>
    <w:rsid w:val="00557B4B"/>
    <w:rsid w:val="00581C88"/>
    <w:rsid w:val="00587AF1"/>
    <w:rsid w:val="005A0427"/>
    <w:rsid w:val="005A3755"/>
    <w:rsid w:val="005B4AC9"/>
    <w:rsid w:val="005C4446"/>
    <w:rsid w:val="005F5D50"/>
    <w:rsid w:val="006037EE"/>
    <w:rsid w:val="006047D1"/>
    <w:rsid w:val="00620EFB"/>
    <w:rsid w:val="00651590"/>
    <w:rsid w:val="006D5B0B"/>
    <w:rsid w:val="006E5505"/>
    <w:rsid w:val="00703171"/>
    <w:rsid w:val="0071572B"/>
    <w:rsid w:val="0072395F"/>
    <w:rsid w:val="00726936"/>
    <w:rsid w:val="00753A58"/>
    <w:rsid w:val="007541E5"/>
    <w:rsid w:val="0077719D"/>
    <w:rsid w:val="007C7ADA"/>
    <w:rsid w:val="007E0864"/>
    <w:rsid w:val="007E164C"/>
    <w:rsid w:val="007F57D1"/>
    <w:rsid w:val="00806D4A"/>
    <w:rsid w:val="00807731"/>
    <w:rsid w:val="00821074"/>
    <w:rsid w:val="00851BB2"/>
    <w:rsid w:val="00881F9E"/>
    <w:rsid w:val="00904841"/>
    <w:rsid w:val="00916997"/>
    <w:rsid w:val="0092481F"/>
    <w:rsid w:val="00953600"/>
    <w:rsid w:val="00974FDD"/>
    <w:rsid w:val="00976F77"/>
    <w:rsid w:val="00982FF7"/>
    <w:rsid w:val="00986B31"/>
    <w:rsid w:val="009A072F"/>
    <w:rsid w:val="009A2140"/>
    <w:rsid w:val="009A2563"/>
    <w:rsid w:val="009A4B8E"/>
    <w:rsid w:val="009D580C"/>
    <w:rsid w:val="009D5919"/>
    <w:rsid w:val="00A0333B"/>
    <w:rsid w:val="00A0775B"/>
    <w:rsid w:val="00A14EB4"/>
    <w:rsid w:val="00A2160E"/>
    <w:rsid w:val="00A43C64"/>
    <w:rsid w:val="00A50D83"/>
    <w:rsid w:val="00A5218B"/>
    <w:rsid w:val="00A71480"/>
    <w:rsid w:val="00A71506"/>
    <w:rsid w:val="00A8392B"/>
    <w:rsid w:val="00A920A4"/>
    <w:rsid w:val="00AA7A8E"/>
    <w:rsid w:val="00AB6F6B"/>
    <w:rsid w:val="00AC7317"/>
    <w:rsid w:val="00AD2A5D"/>
    <w:rsid w:val="00AE31E8"/>
    <w:rsid w:val="00AF4BC2"/>
    <w:rsid w:val="00B013D9"/>
    <w:rsid w:val="00B03A4C"/>
    <w:rsid w:val="00B331ED"/>
    <w:rsid w:val="00B356E9"/>
    <w:rsid w:val="00B560BC"/>
    <w:rsid w:val="00B561C1"/>
    <w:rsid w:val="00B57B58"/>
    <w:rsid w:val="00B66D41"/>
    <w:rsid w:val="00B725C5"/>
    <w:rsid w:val="00B8148E"/>
    <w:rsid w:val="00BB6623"/>
    <w:rsid w:val="00BC68FA"/>
    <w:rsid w:val="00BD23A0"/>
    <w:rsid w:val="00BE7DF4"/>
    <w:rsid w:val="00C24176"/>
    <w:rsid w:val="00C30034"/>
    <w:rsid w:val="00C320F5"/>
    <w:rsid w:val="00C86385"/>
    <w:rsid w:val="00C92EAE"/>
    <w:rsid w:val="00CA29DA"/>
    <w:rsid w:val="00CA604A"/>
    <w:rsid w:val="00CA6C4B"/>
    <w:rsid w:val="00CE14E8"/>
    <w:rsid w:val="00D00858"/>
    <w:rsid w:val="00D10FC5"/>
    <w:rsid w:val="00D13E5A"/>
    <w:rsid w:val="00D14F18"/>
    <w:rsid w:val="00D15D0E"/>
    <w:rsid w:val="00D574DC"/>
    <w:rsid w:val="00D6106D"/>
    <w:rsid w:val="00D62D93"/>
    <w:rsid w:val="00D63CE3"/>
    <w:rsid w:val="00D7013B"/>
    <w:rsid w:val="00D7794F"/>
    <w:rsid w:val="00D83B9E"/>
    <w:rsid w:val="00D93561"/>
    <w:rsid w:val="00D97158"/>
    <w:rsid w:val="00DB3C12"/>
    <w:rsid w:val="00DC1B85"/>
    <w:rsid w:val="00DD7A77"/>
    <w:rsid w:val="00DE1669"/>
    <w:rsid w:val="00DE69E3"/>
    <w:rsid w:val="00E161DF"/>
    <w:rsid w:val="00E574DC"/>
    <w:rsid w:val="00E65DED"/>
    <w:rsid w:val="00E902CF"/>
    <w:rsid w:val="00EA3310"/>
    <w:rsid w:val="00EB130B"/>
    <w:rsid w:val="00EB6639"/>
    <w:rsid w:val="00ED5C31"/>
    <w:rsid w:val="00EF2905"/>
    <w:rsid w:val="00F0214C"/>
    <w:rsid w:val="00F321F8"/>
    <w:rsid w:val="00F345BE"/>
    <w:rsid w:val="00F45ABA"/>
    <w:rsid w:val="00F6771C"/>
    <w:rsid w:val="00F83D95"/>
    <w:rsid w:val="00F937F3"/>
    <w:rsid w:val="00FA19DF"/>
    <w:rsid w:val="00FC56DF"/>
    <w:rsid w:val="00FD250E"/>
    <w:rsid w:val="00FF64D0"/>
    <w:rsid w:val="68C7F2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EF55F0"/>
  <w15:chartTrackingRefBased/>
  <w15:docId w15:val="{D5A37913-3E05-4B1F-A172-311900BE5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C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0D8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A50D83"/>
    <w:pPr>
      <w:ind w:left="720"/>
      <w:contextualSpacing/>
    </w:pPr>
  </w:style>
  <w:style w:type="paragraph" w:styleId="Header">
    <w:name w:val="header"/>
    <w:basedOn w:val="Normal"/>
    <w:link w:val="HeaderChar"/>
    <w:uiPriority w:val="99"/>
    <w:unhideWhenUsed/>
    <w:rsid w:val="00B725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5C5"/>
  </w:style>
  <w:style w:type="paragraph" w:styleId="Footer">
    <w:name w:val="footer"/>
    <w:basedOn w:val="Normal"/>
    <w:link w:val="FooterChar"/>
    <w:uiPriority w:val="99"/>
    <w:unhideWhenUsed/>
    <w:rsid w:val="00B725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5C5"/>
  </w:style>
  <w:style w:type="character" w:styleId="Hyperlink">
    <w:name w:val="Hyperlink"/>
    <w:basedOn w:val="DefaultParagraphFont"/>
    <w:uiPriority w:val="99"/>
    <w:unhideWhenUsed/>
    <w:rsid w:val="00B725C5"/>
    <w:rPr>
      <w:color w:val="0563C1" w:themeColor="hyperlink"/>
      <w:u w:val="single"/>
    </w:rPr>
  </w:style>
  <w:style w:type="character" w:styleId="UnresolvedMention">
    <w:name w:val="Unresolved Mention"/>
    <w:basedOn w:val="DefaultParagraphFont"/>
    <w:uiPriority w:val="99"/>
    <w:semiHidden/>
    <w:unhideWhenUsed/>
    <w:rsid w:val="00B725C5"/>
    <w:rPr>
      <w:color w:val="605E5C"/>
      <w:shd w:val="clear" w:color="auto" w:fill="E1DFDD"/>
    </w:rPr>
  </w:style>
  <w:style w:type="paragraph" w:styleId="NoSpacing">
    <w:name w:val="No Spacing"/>
    <w:uiPriority w:val="1"/>
    <w:qFormat/>
    <w:rsid w:val="009A2140"/>
    <w:pPr>
      <w:spacing w:after="0" w:line="240" w:lineRule="auto"/>
    </w:pPr>
  </w:style>
  <w:style w:type="character" w:styleId="FollowedHyperlink">
    <w:name w:val="FollowedHyperlink"/>
    <w:basedOn w:val="DefaultParagraphFont"/>
    <w:uiPriority w:val="99"/>
    <w:semiHidden/>
    <w:unhideWhenUsed/>
    <w:rsid w:val="00620E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547120">
      <w:bodyDiv w:val="1"/>
      <w:marLeft w:val="0"/>
      <w:marRight w:val="0"/>
      <w:marTop w:val="0"/>
      <w:marBottom w:val="0"/>
      <w:divBdr>
        <w:top w:val="none" w:sz="0" w:space="0" w:color="auto"/>
        <w:left w:val="none" w:sz="0" w:space="0" w:color="auto"/>
        <w:bottom w:val="none" w:sz="0" w:space="0" w:color="auto"/>
        <w:right w:val="none" w:sz="0" w:space="0" w:color="auto"/>
      </w:divBdr>
      <w:divsChild>
        <w:div w:id="37248848">
          <w:marLeft w:val="360"/>
          <w:marRight w:val="0"/>
          <w:marTop w:val="200"/>
          <w:marBottom w:val="0"/>
          <w:divBdr>
            <w:top w:val="none" w:sz="0" w:space="0" w:color="auto"/>
            <w:left w:val="none" w:sz="0" w:space="0" w:color="auto"/>
            <w:bottom w:val="none" w:sz="0" w:space="0" w:color="auto"/>
            <w:right w:val="none" w:sz="0" w:space="0" w:color="auto"/>
          </w:divBdr>
        </w:div>
        <w:div w:id="1294214934">
          <w:marLeft w:val="360"/>
          <w:marRight w:val="0"/>
          <w:marTop w:val="200"/>
          <w:marBottom w:val="0"/>
          <w:divBdr>
            <w:top w:val="none" w:sz="0" w:space="0" w:color="auto"/>
            <w:left w:val="none" w:sz="0" w:space="0" w:color="auto"/>
            <w:bottom w:val="none" w:sz="0" w:space="0" w:color="auto"/>
            <w:right w:val="none" w:sz="0" w:space="0" w:color="auto"/>
          </w:divBdr>
        </w:div>
        <w:div w:id="237250993">
          <w:marLeft w:val="360"/>
          <w:marRight w:val="0"/>
          <w:marTop w:val="200"/>
          <w:marBottom w:val="0"/>
          <w:divBdr>
            <w:top w:val="none" w:sz="0" w:space="0" w:color="auto"/>
            <w:left w:val="none" w:sz="0" w:space="0" w:color="auto"/>
            <w:bottom w:val="none" w:sz="0" w:space="0" w:color="auto"/>
            <w:right w:val="none" w:sz="0" w:space="0" w:color="auto"/>
          </w:divBdr>
        </w:div>
        <w:div w:id="1106462795">
          <w:marLeft w:val="1080"/>
          <w:marRight w:val="0"/>
          <w:marTop w:val="100"/>
          <w:marBottom w:val="0"/>
          <w:divBdr>
            <w:top w:val="none" w:sz="0" w:space="0" w:color="auto"/>
            <w:left w:val="none" w:sz="0" w:space="0" w:color="auto"/>
            <w:bottom w:val="none" w:sz="0" w:space="0" w:color="auto"/>
            <w:right w:val="none" w:sz="0" w:space="0" w:color="auto"/>
          </w:divBdr>
        </w:div>
        <w:div w:id="2127507846">
          <w:marLeft w:val="1080"/>
          <w:marRight w:val="0"/>
          <w:marTop w:val="100"/>
          <w:marBottom w:val="0"/>
          <w:divBdr>
            <w:top w:val="none" w:sz="0" w:space="0" w:color="auto"/>
            <w:left w:val="none" w:sz="0" w:space="0" w:color="auto"/>
            <w:bottom w:val="none" w:sz="0" w:space="0" w:color="auto"/>
            <w:right w:val="none" w:sz="0" w:space="0" w:color="auto"/>
          </w:divBdr>
        </w:div>
        <w:div w:id="859053315">
          <w:marLeft w:val="1080"/>
          <w:marRight w:val="0"/>
          <w:marTop w:val="100"/>
          <w:marBottom w:val="0"/>
          <w:divBdr>
            <w:top w:val="none" w:sz="0" w:space="0" w:color="auto"/>
            <w:left w:val="none" w:sz="0" w:space="0" w:color="auto"/>
            <w:bottom w:val="none" w:sz="0" w:space="0" w:color="auto"/>
            <w:right w:val="none" w:sz="0" w:space="0" w:color="auto"/>
          </w:divBdr>
        </w:div>
        <w:div w:id="1191260831">
          <w:marLeft w:val="1080"/>
          <w:marRight w:val="0"/>
          <w:marTop w:val="100"/>
          <w:marBottom w:val="0"/>
          <w:divBdr>
            <w:top w:val="none" w:sz="0" w:space="0" w:color="auto"/>
            <w:left w:val="none" w:sz="0" w:space="0" w:color="auto"/>
            <w:bottom w:val="none" w:sz="0" w:space="0" w:color="auto"/>
            <w:right w:val="none" w:sz="0" w:space="0" w:color="auto"/>
          </w:divBdr>
        </w:div>
      </w:divsChild>
    </w:div>
    <w:div w:id="636104795">
      <w:bodyDiv w:val="1"/>
      <w:marLeft w:val="0"/>
      <w:marRight w:val="0"/>
      <w:marTop w:val="0"/>
      <w:marBottom w:val="0"/>
      <w:divBdr>
        <w:top w:val="none" w:sz="0" w:space="0" w:color="auto"/>
        <w:left w:val="none" w:sz="0" w:space="0" w:color="auto"/>
        <w:bottom w:val="none" w:sz="0" w:space="0" w:color="auto"/>
        <w:right w:val="none" w:sz="0" w:space="0" w:color="auto"/>
      </w:divBdr>
    </w:div>
    <w:div w:id="708071264">
      <w:bodyDiv w:val="1"/>
      <w:marLeft w:val="0"/>
      <w:marRight w:val="0"/>
      <w:marTop w:val="0"/>
      <w:marBottom w:val="0"/>
      <w:divBdr>
        <w:top w:val="none" w:sz="0" w:space="0" w:color="auto"/>
        <w:left w:val="none" w:sz="0" w:space="0" w:color="auto"/>
        <w:bottom w:val="none" w:sz="0" w:space="0" w:color="auto"/>
        <w:right w:val="none" w:sz="0" w:space="0" w:color="auto"/>
      </w:divBdr>
    </w:div>
    <w:div w:id="759059497">
      <w:bodyDiv w:val="1"/>
      <w:marLeft w:val="0"/>
      <w:marRight w:val="0"/>
      <w:marTop w:val="0"/>
      <w:marBottom w:val="0"/>
      <w:divBdr>
        <w:top w:val="none" w:sz="0" w:space="0" w:color="auto"/>
        <w:left w:val="none" w:sz="0" w:space="0" w:color="auto"/>
        <w:bottom w:val="none" w:sz="0" w:space="0" w:color="auto"/>
        <w:right w:val="none" w:sz="0" w:space="0" w:color="auto"/>
      </w:divBdr>
      <w:divsChild>
        <w:div w:id="277179544">
          <w:marLeft w:val="1080"/>
          <w:marRight w:val="0"/>
          <w:marTop w:val="100"/>
          <w:marBottom w:val="0"/>
          <w:divBdr>
            <w:top w:val="none" w:sz="0" w:space="0" w:color="auto"/>
            <w:left w:val="none" w:sz="0" w:space="0" w:color="auto"/>
            <w:bottom w:val="none" w:sz="0" w:space="0" w:color="auto"/>
            <w:right w:val="none" w:sz="0" w:space="0" w:color="auto"/>
          </w:divBdr>
        </w:div>
        <w:div w:id="378557776">
          <w:marLeft w:val="1080"/>
          <w:marRight w:val="0"/>
          <w:marTop w:val="100"/>
          <w:marBottom w:val="0"/>
          <w:divBdr>
            <w:top w:val="none" w:sz="0" w:space="0" w:color="auto"/>
            <w:left w:val="none" w:sz="0" w:space="0" w:color="auto"/>
            <w:bottom w:val="none" w:sz="0" w:space="0" w:color="auto"/>
            <w:right w:val="none" w:sz="0" w:space="0" w:color="auto"/>
          </w:divBdr>
        </w:div>
        <w:div w:id="947851113">
          <w:marLeft w:val="1080"/>
          <w:marRight w:val="0"/>
          <w:marTop w:val="100"/>
          <w:marBottom w:val="0"/>
          <w:divBdr>
            <w:top w:val="none" w:sz="0" w:space="0" w:color="auto"/>
            <w:left w:val="none" w:sz="0" w:space="0" w:color="auto"/>
            <w:bottom w:val="none" w:sz="0" w:space="0" w:color="auto"/>
            <w:right w:val="none" w:sz="0" w:space="0" w:color="auto"/>
          </w:divBdr>
        </w:div>
      </w:divsChild>
    </w:div>
    <w:div w:id="1202782829">
      <w:bodyDiv w:val="1"/>
      <w:marLeft w:val="0"/>
      <w:marRight w:val="0"/>
      <w:marTop w:val="0"/>
      <w:marBottom w:val="0"/>
      <w:divBdr>
        <w:top w:val="none" w:sz="0" w:space="0" w:color="auto"/>
        <w:left w:val="none" w:sz="0" w:space="0" w:color="auto"/>
        <w:bottom w:val="none" w:sz="0" w:space="0" w:color="auto"/>
        <w:right w:val="none" w:sz="0" w:space="0" w:color="auto"/>
      </w:divBdr>
    </w:div>
    <w:div w:id="1947731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103/jrms.jrms_610_23" TargetMode="External"/><Relationship Id="rId18" Type="http://schemas.openxmlformats.org/officeDocument/2006/relationships/hyperlink" Target="https://doi.org/10.1002/rev3.70079" TargetMode="External"/><Relationship Id="rId26" Type="http://schemas.openxmlformats.org/officeDocument/2006/relationships/hyperlink" Target="https://eric.ed.gov/?id=EJ1025221" TargetMode="External"/><Relationship Id="rId39" Type="http://schemas.openxmlformats.org/officeDocument/2006/relationships/hyperlink" Target="https://doi.org/10.1186/1471-2288-14-1" TargetMode="External"/><Relationship Id="rId21" Type="http://schemas.openxmlformats.org/officeDocument/2006/relationships/hyperlink" Target="https://scholar.google.com/scholar_lookup?title=The%20BSCS%205E%20instructional%20model%3A%20creating%20teachable%20moments&amp;publication_year=2015&amp;author=Bybee%2CRW" TargetMode="External"/><Relationship Id="rId34" Type="http://schemas.openxmlformats.org/officeDocument/2006/relationships/hyperlink" Target="https://ico.org.uk/for-organisations/uk-gdpr-guidance-and-resources/security/encryption/encryption-and-data-storage/" TargetMode="External"/><Relationship Id="rId42" Type="http://schemas.openxmlformats.org/officeDocument/2006/relationships/hyperlink" Target="https://www.researchgate.net/publication/386409782_The_Consequences_of_Non-Compliance_with_Data_Protection_Regulations_on_Business_Analytics" TargetMode="External"/><Relationship Id="rId47" Type="http://schemas.openxmlformats.org/officeDocument/2006/relationships/hyperlink" Target="https://doi.org/10.1093/joc/jqaf015" TargetMode="External"/><Relationship Id="rId50" Type="http://schemas.openxmlformats.org/officeDocument/2006/relationships/hyperlink" Target="https://doi.org/10.5539/elt.v11n12p86" TargetMode="External"/><Relationship Id="rId55" Type="http://schemas.openxmlformats.org/officeDocument/2006/relationships/hyperlink" Target="https://eprints.ncrm.ac.uk/id/eprint/4917/1/Obtaining%20Consent%20in%20Research%20involving%20Children%20%E2%80%93%20Understanding%20the%20Legal%20and%20Ethical%20Framework.pdf"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p2g.ukf.sk/wp-content/uploads/EECERA-Ethical-Code.pdf" TargetMode="External"/><Relationship Id="rId29" Type="http://schemas.openxmlformats.org/officeDocument/2006/relationships/hyperlink" Target="https://doi.org/10.1177/174701610900500304" TargetMode="External"/><Relationship Id="rId11" Type="http://schemas.openxmlformats.org/officeDocument/2006/relationships/hyperlink" Target="https://eprints.usq.edu.au/27878/1/Albion_Ch19_AV.pdf" TargetMode="External"/><Relationship Id="rId24" Type="http://schemas.openxmlformats.org/officeDocument/2006/relationships/hyperlink" Target="https://doi.org/10.1188/14.onf.545-547" TargetMode="External"/><Relationship Id="rId32" Type="http://schemas.openxmlformats.org/officeDocument/2006/relationships/hyperlink" Target="https://doi.org/10.1136/eb-2013-101494" TargetMode="External"/><Relationship Id="rId37" Type="http://schemas.openxmlformats.org/officeDocument/2006/relationships/hyperlink" Target="http://www.nasponline.org/publications/booksproducts/BP5Samples/549_BPV71_33.Pdf" TargetMode="External"/><Relationship Id="rId40" Type="http://schemas.openxmlformats.org/officeDocument/2006/relationships/hyperlink" Target="https://doi.org/10.1017/ice.2020.19" TargetMode="External"/><Relationship Id="rId45" Type="http://schemas.openxmlformats.org/officeDocument/2006/relationships/hyperlink" Target="https://doi.org/10.1016/j.ijnurstu.2010.10.005" TargetMode="External"/><Relationship Id="rId53" Type="http://schemas.openxmlformats.org/officeDocument/2006/relationships/hyperlink" Target="https://doi.org/10.1177/1077800410383121" TargetMode="External"/><Relationship Id="rId58" Type="http://schemas.openxmlformats.org/officeDocument/2006/relationships/theme" Target="theme/theme1.xml"/><Relationship Id="rId5" Type="http://schemas.openxmlformats.org/officeDocument/2006/relationships/styles" Target="styles.xml"/><Relationship Id="rId19" Type="http://schemas.openxmlformats.org/officeDocument/2006/relationships/hyperlink" Target="https://www.nature.com/articles/nrn347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237079108_Detecting_Halo_Effects_in_Performance-Based_Examinations" TargetMode="External"/><Relationship Id="rId22" Type="http://schemas.openxmlformats.org/officeDocument/2006/relationships/hyperlink" Target="https://doi.org/10.1007/978-94-017-9505-0_1" TargetMode="External"/><Relationship Id="rId27" Type="http://schemas.openxmlformats.org/officeDocument/2006/relationships/hyperlink" Target="https://assets.publishing.service.gov.uk/media/68c024cb8c6d992f23edd79c/Early_years_foundation_stage_statutory_framework_-_for_group_and_school-based_providers.pdf.pdf" TargetMode="External"/><Relationship Id="rId30" Type="http://schemas.openxmlformats.org/officeDocument/2006/relationships/hyperlink" Target="https://doi.org/10.37291/2717638x.20212395" TargetMode="External"/><Relationship Id="rId35" Type="http://schemas.openxmlformats.org/officeDocument/2006/relationships/hyperlink" Target="https://doi.org/10.20944/preprints202106.0491.v1" TargetMode="External"/><Relationship Id="rId43" Type="http://schemas.openxmlformats.org/officeDocument/2006/relationships/hyperlink" Target="https://doi.org/10.1136/bmj.c4587" TargetMode="External"/><Relationship Id="rId48" Type="http://schemas.openxmlformats.org/officeDocument/2006/relationships/hyperlink" Target="https://doi.org/10.1186/s40594-022-00337-z" TargetMode="External"/><Relationship Id="rId56" Type="http://schemas.openxmlformats.org/officeDocument/2006/relationships/hyperlink" Target="https://digitalservices.uwtsd.ac.uk/wp-content/uploads/2025/05/uwtsd-research-data-management-plan.pdf" TargetMode="External"/><Relationship Id="rId8" Type="http://schemas.openxmlformats.org/officeDocument/2006/relationships/footnotes" Target="footnotes.xml"/><Relationship Id="rId51" Type="http://schemas.openxmlformats.org/officeDocument/2006/relationships/hyperlink" Target="https://link.springer.com/article/10.1007/s11135-019-00914-5" TargetMode="External"/><Relationship Id="rId3" Type="http://schemas.openxmlformats.org/officeDocument/2006/relationships/customXml" Target="../customXml/item3.xml"/><Relationship Id="rId12" Type="http://schemas.openxmlformats.org/officeDocument/2006/relationships/hyperlink" Target="https://doi.org/10.4135/9781848607927.n37" TargetMode="External"/><Relationship Id="rId17" Type="http://schemas.openxmlformats.org/officeDocument/2006/relationships/hyperlink" Target="https://doi.org/10.1080/1350293x.2013.789195" TargetMode="External"/><Relationship Id="rId25" Type="http://schemas.openxmlformats.org/officeDocument/2006/relationships/hyperlink" Target="https://doi.org/10.3390/healthcare9070871" TargetMode="External"/><Relationship Id="rId33" Type="http://schemas.openxmlformats.org/officeDocument/2006/relationships/hyperlink" Target="https://www.hra-decisiontools.org.uk/consent/content-sheet-involved.html" TargetMode="External"/><Relationship Id="rId38" Type="http://schemas.openxmlformats.org/officeDocument/2006/relationships/hyperlink" Target="https://doi.org/10.18148/srm/2013.v7i2.5678" TargetMode="External"/><Relationship Id="rId46" Type="http://schemas.openxmlformats.org/officeDocument/2006/relationships/hyperlink" Target="https://doi.org/10.1007/s10488-013-0528-y" TargetMode="External"/><Relationship Id="rId20" Type="http://schemas.openxmlformats.org/officeDocument/2006/relationships/hyperlink" Target="https://www.proquest.com/openview/75bbe8b13bf3f54ebd755333ffd8621e/1?pq-origsite=gscholar&amp;cbl=34845" TargetMode="External"/><Relationship Id="rId41" Type="http://schemas.openxmlformats.org/officeDocument/2006/relationships/hyperlink" Target="https://subjectguides.york.ac.uk/rdm/restricting" TargetMode="External"/><Relationship Id="rId54" Type="http://schemas.openxmlformats.org/officeDocument/2006/relationships/hyperlink" Target="https://doi.org/10.12973/eu-jer.7.3.567"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era.ac.uk/publication/ethical-guidelines-for-educational-research-2018" TargetMode="External"/><Relationship Id="rId23" Type="http://schemas.openxmlformats.org/officeDocument/2006/relationships/hyperlink" Target="https://doi.org/10.37291/2717638x.202123159" TargetMode="External"/><Relationship Id="rId28" Type="http://schemas.openxmlformats.org/officeDocument/2006/relationships/hyperlink" Target="https://doi.org/10.1007/s10648-023-09755-z" TargetMode="External"/><Relationship Id="rId36" Type="http://schemas.openxmlformats.org/officeDocument/2006/relationships/hyperlink" Target="https://doi.org/10.1371/journal.pone.0126671" TargetMode="External"/><Relationship Id="rId49" Type="http://schemas.openxmlformats.org/officeDocument/2006/relationships/hyperlink" Target="https://doi.org/10.17309/jltm.2024.5.3.09" TargetMode="External"/><Relationship Id="rId57" Type="http://schemas.openxmlformats.org/officeDocument/2006/relationships/fontTable" Target="fontTable.xml"/><Relationship Id="rId10" Type="http://schemas.openxmlformats.org/officeDocument/2006/relationships/hyperlink" Target="https://doi.org/10.1007/978-94-017-9505-0_11" TargetMode="External"/><Relationship Id="rId31" Type="http://schemas.openxmlformats.org/officeDocument/2006/relationships/hyperlink" Target="https://doi.org/10.1093/poq/nfn011" TargetMode="External"/><Relationship Id="rId44" Type="http://schemas.openxmlformats.org/officeDocument/2006/relationships/hyperlink" Target="https://doi.org/10.53625/ijss.v5i2.11034" TargetMode="External"/><Relationship Id="rId52" Type="http://schemas.openxmlformats.org/officeDocument/2006/relationships/hyperlink" Target="https://the-sra.org.uk/common/Uploaded%20files/SRA-safety-code-of-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3DB1505FEEE641A61927BA466D1135" ma:contentTypeVersion="6" ma:contentTypeDescription="Create a new document." ma:contentTypeScope="" ma:versionID="f17d7c23693e070eb5f8e600d500c769">
  <xsd:schema xmlns:xsd="http://www.w3.org/2001/XMLSchema" xmlns:xs="http://www.w3.org/2001/XMLSchema" xmlns:p="http://schemas.microsoft.com/office/2006/metadata/properties" xmlns:ns2="71b475c3-9480-4cce-a5f9-04c41ec972e5" xmlns:ns3="bbecdc60-909f-42e3-89ec-3c875aa6b53b" targetNamespace="http://schemas.microsoft.com/office/2006/metadata/properties" ma:root="true" ma:fieldsID="36c86db3066e7cbf644c9838763aad06" ns2:_="" ns3:_="">
    <xsd:import namespace="71b475c3-9480-4cce-a5f9-04c41ec972e5"/>
    <xsd:import namespace="bbecdc60-909f-42e3-89ec-3c875aa6b53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b475c3-9480-4cce-a5f9-04c41ec972e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becdc60-909f-42e3-89ec-3c875aa6b53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000942-E044-48AF-884F-D514D3F0B74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B9CE253-F49F-47C8-8493-360659D95718}">
  <ds:schemaRefs>
    <ds:schemaRef ds:uri="http://schemas.microsoft.com/sharepoint/v3/contenttype/forms"/>
  </ds:schemaRefs>
</ds:datastoreItem>
</file>

<file path=customXml/itemProps3.xml><?xml version="1.0" encoding="utf-8"?>
<ds:datastoreItem xmlns:ds="http://schemas.openxmlformats.org/officeDocument/2006/customXml" ds:itemID="{6A34BE57-4DBB-4301-9E24-9B46B4705F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b475c3-9480-4cce-a5f9-04c41ec972e5"/>
    <ds:schemaRef ds:uri="bbecdc60-909f-42e3-89ec-3c875aa6b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6511</Words>
  <Characters>37119</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Sharmin Jamil</cp:lastModifiedBy>
  <cp:revision>2</cp:revision>
  <dcterms:created xsi:type="dcterms:W3CDTF">2025-10-24T20:25:00Z</dcterms:created>
  <dcterms:modified xsi:type="dcterms:W3CDTF">2025-10-24T20:25:00Z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f2da3065006fe3813f9ffa453be6c42e9e174f03651a8be39f4ce8548e999255</vt:lpwstr>
  </property>
  <property fmtid="{D5CDD505-2E9C-101B-9397-08002B2CF9AE}" pid="3" name="ContentTypeId">
    <vt:lpwstr>0x010100BC3DB1505FEEE641A61927BA466D1135</vt:lpwstr>
  </property>
</Properties>
</file>