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ayout w:type="fixed"/>
        <w:tblLook w:val="06A0" w:firstRow="1" w:lastRow="0" w:firstColumn="1" w:lastColumn="0" w:noHBand="1" w:noVBand="1"/>
      </w:tblPr>
      <w:tblGrid>
        <w:gridCol w:w="4680"/>
        <w:gridCol w:w="4680"/>
      </w:tblGrid>
      <w:tr w:rsidR="3ED611DE" w14:paraId="3EAB4243" w14:textId="77777777" w:rsidTr="3ED611DE">
        <w:tc>
          <w:tcPr>
            <w:tcW w:w="4680" w:type="dxa"/>
            <w:vMerge w:val="restart"/>
            <w:shd w:val="clear" w:color="auto" w:fill="8EAADB" w:themeFill="accent1" w:themeFillTint="99"/>
          </w:tcPr>
          <w:p w14:paraId="19F25FFA" w14:textId="1E73AA6C" w:rsidR="3ED611DE" w:rsidRDefault="3ED611DE" w:rsidP="3ED611DE">
            <w:pPr>
              <w:spacing w:before="240" w:line="259" w:lineRule="auto"/>
              <w:rPr>
                <w:rFonts w:ascii="Calibri Light" w:eastAsia="Calibri Light" w:hAnsi="Calibri Light" w:cs="Calibri Light"/>
                <w:color w:val="2F5496" w:themeColor="accent1" w:themeShade="BF"/>
                <w:sz w:val="32"/>
                <w:szCs w:val="32"/>
              </w:rPr>
            </w:pPr>
          </w:p>
        </w:tc>
        <w:tc>
          <w:tcPr>
            <w:tcW w:w="4680" w:type="dxa"/>
            <w:shd w:val="clear" w:color="auto" w:fill="323E4F" w:themeFill="text2" w:themeFillShade="BF"/>
          </w:tcPr>
          <w:p w14:paraId="5586AB76" w14:textId="4B883A70" w:rsidR="3ED611DE" w:rsidRDefault="3ED611DE" w:rsidP="3ED611DE">
            <w:pPr>
              <w:spacing w:line="257" w:lineRule="auto"/>
              <w:jc w:val="center"/>
              <w:rPr>
                <w:rFonts w:ascii="Calibri" w:eastAsia="Calibri" w:hAnsi="Calibri" w:cs="Calibri"/>
                <w:color w:val="FFFFFF" w:themeColor="background1"/>
              </w:rPr>
            </w:pPr>
          </w:p>
          <w:p w14:paraId="2AD934DA" w14:textId="55931F0A" w:rsidR="3ED611DE" w:rsidRDefault="3ED611DE" w:rsidP="3ED611DE">
            <w:pPr>
              <w:spacing w:line="257" w:lineRule="auto"/>
              <w:jc w:val="center"/>
              <w:rPr>
                <w:rFonts w:ascii="Calibri" w:eastAsia="Calibri" w:hAnsi="Calibri" w:cs="Calibri"/>
                <w:color w:val="FFFFFF" w:themeColor="background1"/>
              </w:rPr>
            </w:pPr>
          </w:p>
          <w:p w14:paraId="63DACC28" w14:textId="791698D3" w:rsidR="3ED611DE" w:rsidRDefault="3ED611DE" w:rsidP="3ED611DE">
            <w:pPr>
              <w:spacing w:line="257" w:lineRule="auto"/>
              <w:jc w:val="center"/>
              <w:rPr>
                <w:rFonts w:ascii="Calibri" w:eastAsia="Calibri" w:hAnsi="Calibri" w:cs="Calibri"/>
                <w:color w:val="FFFFFF" w:themeColor="background1"/>
              </w:rPr>
            </w:pPr>
          </w:p>
          <w:p w14:paraId="51C017B5" w14:textId="2EC4116D" w:rsidR="3ED611DE" w:rsidRDefault="3ED611DE" w:rsidP="3ED611DE">
            <w:pPr>
              <w:spacing w:line="257" w:lineRule="auto"/>
              <w:jc w:val="center"/>
              <w:rPr>
                <w:rFonts w:ascii="Calibri" w:eastAsia="Calibri" w:hAnsi="Calibri" w:cs="Calibri"/>
                <w:color w:val="FFFFFF" w:themeColor="background1"/>
              </w:rPr>
            </w:pPr>
          </w:p>
          <w:p w14:paraId="5A530844" w14:textId="33BE403D" w:rsidR="3ED611DE" w:rsidRDefault="3ED611DE" w:rsidP="3ED611DE">
            <w:pPr>
              <w:spacing w:line="257" w:lineRule="auto"/>
              <w:jc w:val="center"/>
              <w:rPr>
                <w:rFonts w:ascii="Calibri" w:eastAsia="Calibri" w:hAnsi="Calibri" w:cs="Calibri"/>
                <w:color w:val="FFFFFF" w:themeColor="background1"/>
                <w:sz w:val="36"/>
                <w:szCs w:val="36"/>
                <w:lang w:val="en-US"/>
              </w:rPr>
            </w:pPr>
            <w:r w:rsidRPr="3ED611DE">
              <w:rPr>
                <w:rFonts w:ascii="Calibri" w:eastAsia="Calibri" w:hAnsi="Calibri" w:cs="Calibri"/>
                <w:color w:val="FFFFFF" w:themeColor="background1"/>
                <w:sz w:val="36"/>
                <w:szCs w:val="36"/>
                <w:lang w:val="en-US"/>
              </w:rPr>
              <w:t>A research proposal</w:t>
            </w:r>
          </w:p>
          <w:p w14:paraId="657381A3" w14:textId="77AF9126" w:rsidR="3ED611DE" w:rsidRDefault="3ED611DE" w:rsidP="3ED611DE">
            <w:pPr>
              <w:spacing w:line="257" w:lineRule="auto"/>
              <w:jc w:val="center"/>
              <w:rPr>
                <w:rFonts w:ascii="Calibri" w:eastAsia="Calibri" w:hAnsi="Calibri" w:cs="Calibri"/>
                <w:color w:val="FFFFFF" w:themeColor="background1"/>
                <w:sz w:val="36"/>
                <w:szCs w:val="36"/>
                <w:lang w:val="en-US"/>
              </w:rPr>
            </w:pPr>
            <w:r w:rsidRPr="3ED611DE">
              <w:rPr>
                <w:rFonts w:ascii="Calibri" w:eastAsia="Calibri" w:hAnsi="Calibri" w:cs="Calibri"/>
                <w:color w:val="FFFFFF" w:themeColor="background1"/>
                <w:sz w:val="36"/>
                <w:szCs w:val="36"/>
                <w:lang w:val="en-US"/>
              </w:rPr>
              <w:t xml:space="preserve"> </w:t>
            </w:r>
          </w:p>
          <w:p w14:paraId="753E6AEA" w14:textId="37229C97" w:rsidR="75C81614" w:rsidRDefault="75C81614" w:rsidP="3ED611DE">
            <w:pPr>
              <w:spacing w:line="360" w:lineRule="auto"/>
              <w:jc w:val="center"/>
              <w:rPr>
                <w:color w:val="FFFFFF" w:themeColor="background1"/>
                <w:sz w:val="24"/>
                <w:szCs w:val="24"/>
              </w:rPr>
            </w:pPr>
            <w:r w:rsidRPr="3ED611DE">
              <w:rPr>
                <w:color w:val="FFFFFF" w:themeColor="background1"/>
                <w:sz w:val="24"/>
                <w:szCs w:val="24"/>
              </w:rPr>
              <w:t>“Barriers faced by recent entrepreneurial women in Wales”</w:t>
            </w:r>
          </w:p>
          <w:p w14:paraId="37CE170C" w14:textId="0110A298" w:rsidR="3ED611DE" w:rsidRDefault="3ED611DE" w:rsidP="3ED611DE">
            <w:pPr>
              <w:spacing w:line="257" w:lineRule="auto"/>
              <w:jc w:val="center"/>
              <w:rPr>
                <w:rFonts w:ascii="Calibri" w:eastAsia="Calibri" w:hAnsi="Calibri" w:cs="Calibri"/>
                <w:color w:val="FFFFFF" w:themeColor="background1"/>
              </w:rPr>
            </w:pPr>
          </w:p>
          <w:p w14:paraId="79694F55" w14:textId="02B73A99" w:rsidR="3ED611DE" w:rsidRDefault="3ED611DE" w:rsidP="3ED611DE">
            <w:pPr>
              <w:spacing w:line="259" w:lineRule="auto"/>
              <w:rPr>
                <w:rFonts w:ascii="Calibri" w:eastAsia="Calibri" w:hAnsi="Calibri" w:cs="Calibri"/>
                <w:color w:val="000000" w:themeColor="text1"/>
              </w:rPr>
            </w:pPr>
          </w:p>
          <w:p w14:paraId="5A6C95D9" w14:textId="3FB29150" w:rsidR="3ED611DE" w:rsidRDefault="3ED611DE" w:rsidP="3ED611DE">
            <w:pPr>
              <w:spacing w:line="259" w:lineRule="auto"/>
              <w:rPr>
                <w:rFonts w:ascii="Calibri" w:eastAsia="Calibri" w:hAnsi="Calibri" w:cs="Calibri"/>
                <w:color w:val="000000" w:themeColor="text1"/>
              </w:rPr>
            </w:pPr>
          </w:p>
          <w:p w14:paraId="617C83CA" w14:textId="277B849D" w:rsidR="3ED611DE" w:rsidRDefault="3ED611DE" w:rsidP="3ED611DE">
            <w:pPr>
              <w:spacing w:line="259" w:lineRule="auto"/>
              <w:rPr>
                <w:rFonts w:ascii="Calibri" w:eastAsia="Calibri" w:hAnsi="Calibri" w:cs="Calibri"/>
                <w:color w:val="000000" w:themeColor="text1"/>
              </w:rPr>
            </w:pPr>
          </w:p>
          <w:p w14:paraId="4D8E73B3" w14:textId="3E3EE997" w:rsidR="3ED611DE" w:rsidRDefault="3ED611DE" w:rsidP="3ED611DE">
            <w:pPr>
              <w:spacing w:line="259" w:lineRule="auto"/>
              <w:rPr>
                <w:rFonts w:ascii="Calibri" w:eastAsia="Calibri" w:hAnsi="Calibri" w:cs="Calibri"/>
                <w:color w:val="000000" w:themeColor="text1"/>
              </w:rPr>
            </w:pPr>
          </w:p>
          <w:p w14:paraId="7DA46C2C" w14:textId="0E9213BC" w:rsidR="3ED611DE" w:rsidRDefault="3ED611DE" w:rsidP="3ED611DE">
            <w:pPr>
              <w:spacing w:line="259" w:lineRule="auto"/>
              <w:rPr>
                <w:rFonts w:ascii="Calibri" w:eastAsia="Calibri" w:hAnsi="Calibri" w:cs="Calibri"/>
                <w:color w:val="000000" w:themeColor="text1"/>
              </w:rPr>
            </w:pPr>
          </w:p>
          <w:p w14:paraId="092F0B23" w14:textId="59C002C6" w:rsidR="3ED611DE" w:rsidRDefault="3ED611DE" w:rsidP="3ED611DE">
            <w:pPr>
              <w:spacing w:line="259" w:lineRule="auto"/>
              <w:rPr>
                <w:rFonts w:ascii="Calibri" w:eastAsia="Calibri" w:hAnsi="Calibri" w:cs="Calibri"/>
                <w:color w:val="000000" w:themeColor="text1"/>
              </w:rPr>
            </w:pPr>
          </w:p>
        </w:tc>
      </w:tr>
      <w:tr w:rsidR="3ED611DE" w14:paraId="49E02A5F" w14:textId="77777777" w:rsidTr="3ED611DE">
        <w:tc>
          <w:tcPr>
            <w:tcW w:w="4680" w:type="dxa"/>
            <w:vMerge/>
            <w:vAlign w:val="center"/>
          </w:tcPr>
          <w:p w14:paraId="597C3B8C" w14:textId="77777777" w:rsidR="001966EF" w:rsidRDefault="001966EF"/>
        </w:tc>
        <w:tc>
          <w:tcPr>
            <w:tcW w:w="4680" w:type="dxa"/>
          </w:tcPr>
          <w:p w14:paraId="6FEEDBF0" w14:textId="17976822" w:rsidR="3ED611DE" w:rsidRDefault="3ED611DE" w:rsidP="3ED611DE">
            <w:pPr>
              <w:pStyle w:val="Title"/>
              <w:jc w:val="center"/>
              <w:rPr>
                <w:rFonts w:ascii="Calibri Light" w:eastAsia="Calibri Light" w:hAnsi="Calibri Light" w:cs="Calibri Light"/>
                <w:color w:val="2F5496" w:themeColor="accent1" w:themeShade="BF"/>
                <w:sz w:val="36"/>
                <w:szCs w:val="36"/>
              </w:rPr>
            </w:pPr>
            <w:r w:rsidRPr="3ED611DE">
              <w:rPr>
                <w:rFonts w:ascii="Calibri Light" w:eastAsia="Calibri Light" w:hAnsi="Calibri Light" w:cs="Calibri Light"/>
                <w:color w:val="2F5496" w:themeColor="accent1" w:themeShade="BF"/>
                <w:sz w:val="36"/>
                <w:szCs w:val="36"/>
              </w:rPr>
              <w:t>Business Inquiry &amp; Research</w:t>
            </w:r>
          </w:p>
          <w:p w14:paraId="21329590" w14:textId="55D2B8D2" w:rsidR="3ED611DE" w:rsidRDefault="3ED611DE" w:rsidP="3ED611DE">
            <w:pPr>
              <w:spacing w:line="259" w:lineRule="auto"/>
              <w:rPr>
                <w:rFonts w:ascii="Calibri" w:eastAsia="Calibri" w:hAnsi="Calibri" w:cs="Calibri"/>
                <w:color w:val="2F5496" w:themeColor="accent1" w:themeShade="BF"/>
              </w:rPr>
            </w:pPr>
          </w:p>
        </w:tc>
      </w:tr>
      <w:tr w:rsidR="3ED611DE" w14:paraId="02C210EC" w14:textId="77777777" w:rsidTr="3ED611DE">
        <w:trPr>
          <w:trHeight w:val="765"/>
        </w:trPr>
        <w:tc>
          <w:tcPr>
            <w:tcW w:w="4680" w:type="dxa"/>
            <w:vMerge/>
            <w:vAlign w:val="center"/>
          </w:tcPr>
          <w:p w14:paraId="1E05D2B3" w14:textId="77777777" w:rsidR="001966EF" w:rsidRDefault="001966EF"/>
        </w:tc>
        <w:tc>
          <w:tcPr>
            <w:tcW w:w="4680" w:type="dxa"/>
          </w:tcPr>
          <w:p w14:paraId="324847CF" w14:textId="0D34A084" w:rsidR="3ED611DE" w:rsidRDefault="3ED611DE" w:rsidP="3ED611DE">
            <w:pPr>
              <w:spacing w:line="259" w:lineRule="auto"/>
              <w:rPr>
                <w:rFonts w:ascii="Calibri" w:eastAsia="Calibri" w:hAnsi="Calibri" w:cs="Calibri"/>
                <w:color w:val="000000" w:themeColor="text1"/>
              </w:rPr>
            </w:pPr>
          </w:p>
          <w:p w14:paraId="02A7FD13" w14:textId="6FFE70F4" w:rsidR="3ED611DE" w:rsidRDefault="3ED611DE" w:rsidP="3ED611DE">
            <w:pPr>
              <w:spacing w:line="259" w:lineRule="auto"/>
              <w:rPr>
                <w:rFonts w:ascii="Calibri" w:eastAsia="Calibri" w:hAnsi="Calibri" w:cs="Calibri"/>
                <w:color w:val="2F5496" w:themeColor="accent1" w:themeShade="BF"/>
              </w:rPr>
            </w:pPr>
            <w:r w:rsidRPr="3ED611DE">
              <w:rPr>
                <w:rFonts w:ascii="Calibri" w:eastAsia="Calibri" w:hAnsi="Calibri" w:cs="Calibri"/>
                <w:color w:val="2F5496" w:themeColor="accent1" w:themeShade="BF"/>
                <w:lang w:val="en-US"/>
              </w:rPr>
              <w:t>Christine Joy 2009194</w:t>
            </w:r>
          </w:p>
        </w:tc>
      </w:tr>
      <w:tr w:rsidR="3ED611DE" w14:paraId="7EF3406B" w14:textId="77777777" w:rsidTr="3ED611DE">
        <w:trPr>
          <w:trHeight w:val="300"/>
        </w:trPr>
        <w:tc>
          <w:tcPr>
            <w:tcW w:w="4680" w:type="dxa"/>
            <w:vMerge/>
            <w:vAlign w:val="center"/>
          </w:tcPr>
          <w:p w14:paraId="33C79EC1" w14:textId="77777777" w:rsidR="001966EF" w:rsidRDefault="001966EF"/>
        </w:tc>
        <w:tc>
          <w:tcPr>
            <w:tcW w:w="4680" w:type="dxa"/>
            <w:shd w:val="clear" w:color="auto" w:fill="2F5496" w:themeFill="accent1" w:themeFillShade="BF"/>
          </w:tcPr>
          <w:p w14:paraId="48D57ADA" w14:textId="46AE86B6" w:rsidR="3ED611DE" w:rsidRDefault="3ED611DE" w:rsidP="3ED611DE">
            <w:pPr>
              <w:spacing w:line="259" w:lineRule="auto"/>
            </w:pPr>
            <w:r w:rsidRPr="3ED611DE">
              <w:rPr>
                <w:rFonts w:ascii="Calibri" w:eastAsia="Calibri" w:hAnsi="Calibri" w:cs="Calibri"/>
                <w:color w:val="FFFFFF" w:themeColor="background1"/>
                <w:lang w:val="en-US"/>
              </w:rPr>
              <w:t>BMSP5007</w:t>
            </w:r>
            <w:r>
              <w:t xml:space="preserve"> </w:t>
            </w:r>
          </w:p>
        </w:tc>
      </w:tr>
    </w:tbl>
    <w:p w14:paraId="2C078E63" w14:textId="69FA1338" w:rsidR="001966EF" w:rsidRDefault="001966EF" w:rsidP="452B275C">
      <w:pPr>
        <w:pStyle w:val="Title"/>
      </w:pPr>
    </w:p>
    <w:p w14:paraId="028C11F2" w14:textId="06B7C356" w:rsidR="452B275C" w:rsidRDefault="452B275C" w:rsidP="452B275C"/>
    <w:p w14:paraId="5014E2BE" w14:textId="55322E55" w:rsidR="37B87E75" w:rsidRDefault="37B87E75" w:rsidP="37B87E75"/>
    <w:p w14:paraId="322AC338" w14:textId="1535C719" w:rsidR="37B87E75" w:rsidRDefault="37B87E75">
      <w:r>
        <w:br w:type="page"/>
      </w:r>
    </w:p>
    <w:p w14:paraId="197F5058" w14:textId="704AEE2E" w:rsidR="37B87E75" w:rsidRDefault="37B87E75" w:rsidP="37B87E75"/>
    <w:p w14:paraId="07ECC2DB" w14:textId="140CB0FD" w:rsidR="37B87E75" w:rsidRDefault="7B54B8BC" w:rsidP="37B87E75">
      <w:pPr>
        <w:pStyle w:val="Heading1"/>
        <w:rPr>
          <w:rFonts w:ascii="Calibri Light" w:hAnsi="Calibri Light"/>
        </w:rPr>
      </w:pPr>
      <w:bookmarkStart w:id="0" w:name="_Toc104396283"/>
      <w:r>
        <w:t>Contents</w:t>
      </w:r>
      <w:bookmarkEnd w:id="0"/>
    </w:p>
    <w:p w14:paraId="1A1E5BFA" w14:textId="0BA60FDA" w:rsidR="37B87E75" w:rsidRDefault="37B87E75" w:rsidP="37B87E75"/>
    <w:sdt>
      <w:sdtPr>
        <w:id w:val="1376760794"/>
        <w:docPartObj>
          <w:docPartGallery w:val="Table of Contents"/>
          <w:docPartUnique/>
        </w:docPartObj>
      </w:sdtPr>
      <w:sdtEndPr/>
      <w:sdtContent>
        <w:p w14:paraId="3E27FC72" w14:textId="57ED249A" w:rsidR="001E6AC3" w:rsidRDefault="3ED611DE">
          <w:pPr>
            <w:pStyle w:val="TOC1"/>
            <w:tabs>
              <w:tab w:val="right" w:leader="dot" w:pos="9350"/>
            </w:tabs>
            <w:rPr>
              <w:rFonts w:eastAsiaTheme="minorEastAsia"/>
              <w:noProof/>
              <w:lang w:eastAsia="en-GB"/>
            </w:rPr>
          </w:pPr>
          <w:r>
            <w:fldChar w:fldCharType="begin"/>
          </w:r>
          <w:r>
            <w:instrText>TOC \o \z \u \h</w:instrText>
          </w:r>
          <w:r>
            <w:fldChar w:fldCharType="separate"/>
          </w:r>
          <w:hyperlink w:anchor="_Toc104396283" w:history="1">
            <w:r w:rsidR="001E6AC3" w:rsidRPr="00CF69FE">
              <w:rPr>
                <w:rStyle w:val="Hyperlink"/>
                <w:noProof/>
              </w:rPr>
              <w:t>Contents</w:t>
            </w:r>
            <w:r w:rsidR="001E6AC3">
              <w:rPr>
                <w:noProof/>
                <w:webHidden/>
              </w:rPr>
              <w:tab/>
            </w:r>
            <w:r w:rsidR="001E6AC3">
              <w:rPr>
                <w:noProof/>
                <w:webHidden/>
              </w:rPr>
              <w:fldChar w:fldCharType="begin"/>
            </w:r>
            <w:r w:rsidR="001E6AC3">
              <w:rPr>
                <w:noProof/>
                <w:webHidden/>
              </w:rPr>
              <w:instrText xml:space="preserve"> PAGEREF _Toc104396283 \h </w:instrText>
            </w:r>
            <w:r w:rsidR="001E6AC3">
              <w:rPr>
                <w:noProof/>
                <w:webHidden/>
              </w:rPr>
            </w:r>
            <w:r w:rsidR="001E6AC3">
              <w:rPr>
                <w:noProof/>
                <w:webHidden/>
              </w:rPr>
              <w:fldChar w:fldCharType="separate"/>
            </w:r>
            <w:r w:rsidR="001E6AC3">
              <w:rPr>
                <w:noProof/>
                <w:webHidden/>
              </w:rPr>
              <w:t>2</w:t>
            </w:r>
            <w:r w:rsidR="001E6AC3">
              <w:rPr>
                <w:noProof/>
                <w:webHidden/>
              </w:rPr>
              <w:fldChar w:fldCharType="end"/>
            </w:r>
          </w:hyperlink>
        </w:p>
        <w:p w14:paraId="1F0C7AA8" w14:textId="3A946735" w:rsidR="001E6AC3" w:rsidRDefault="001E6AC3">
          <w:pPr>
            <w:pStyle w:val="TOC1"/>
            <w:tabs>
              <w:tab w:val="right" w:leader="dot" w:pos="9350"/>
            </w:tabs>
            <w:rPr>
              <w:rFonts w:eastAsiaTheme="minorEastAsia"/>
              <w:noProof/>
              <w:lang w:eastAsia="en-GB"/>
            </w:rPr>
          </w:pPr>
          <w:hyperlink w:anchor="_Toc104396284" w:history="1">
            <w:r w:rsidRPr="00CF69FE">
              <w:rPr>
                <w:rStyle w:val="Hyperlink"/>
                <w:noProof/>
              </w:rPr>
              <w:t>Introduction</w:t>
            </w:r>
            <w:r>
              <w:rPr>
                <w:noProof/>
                <w:webHidden/>
              </w:rPr>
              <w:tab/>
            </w:r>
            <w:r>
              <w:rPr>
                <w:noProof/>
                <w:webHidden/>
              </w:rPr>
              <w:fldChar w:fldCharType="begin"/>
            </w:r>
            <w:r>
              <w:rPr>
                <w:noProof/>
                <w:webHidden/>
              </w:rPr>
              <w:instrText xml:space="preserve"> PAGEREF _Toc104396284 \h </w:instrText>
            </w:r>
            <w:r>
              <w:rPr>
                <w:noProof/>
                <w:webHidden/>
              </w:rPr>
            </w:r>
            <w:r>
              <w:rPr>
                <w:noProof/>
                <w:webHidden/>
              </w:rPr>
              <w:fldChar w:fldCharType="separate"/>
            </w:r>
            <w:r>
              <w:rPr>
                <w:noProof/>
                <w:webHidden/>
              </w:rPr>
              <w:t>3</w:t>
            </w:r>
            <w:r>
              <w:rPr>
                <w:noProof/>
                <w:webHidden/>
              </w:rPr>
              <w:fldChar w:fldCharType="end"/>
            </w:r>
          </w:hyperlink>
        </w:p>
        <w:p w14:paraId="3CCA3F52" w14:textId="5B758143" w:rsidR="001E6AC3" w:rsidRDefault="001E6AC3">
          <w:pPr>
            <w:pStyle w:val="TOC1"/>
            <w:tabs>
              <w:tab w:val="right" w:leader="dot" w:pos="9350"/>
            </w:tabs>
            <w:rPr>
              <w:rFonts w:eastAsiaTheme="minorEastAsia"/>
              <w:noProof/>
              <w:lang w:eastAsia="en-GB"/>
            </w:rPr>
          </w:pPr>
          <w:hyperlink w:anchor="_Toc104396285" w:history="1">
            <w:r w:rsidRPr="00CF69FE">
              <w:rPr>
                <w:rStyle w:val="Hyperlink"/>
                <w:noProof/>
              </w:rPr>
              <w:t>Literature review</w:t>
            </w:r>
            <w:r>
              <w:rPr>
                <w:noProof/>
                <w:webHidden/>
              </w:rPr>
              <w:tab/>
            </w:r>
            <w:r>
              <w:rPr>
                <w:noProof/>
                <w:webHidden/>
              </w:rPr>
              <w:fldChar w:fldCharType="begin"/>
            </w:r>
            <w:r>
              <w:rPr>
                <w:noProof/>
                <w:webHidden/>
              </w:rPr>
              <w:instrText xml:space="preserve"> PAGEREF _Toc104396285 \h </w:instrText>
            </w:r>
            <w:r>
              <w:rPr>
                <w:noProof/>
                <w:webHidden/>
              </w:rPr>
            </w:r>
            <w:r>
              <w:rPr>
                <w:noProof/>
                <w:webHidden/>
              </w:rPr>
              <w:fldChar w:fldCharType="separate"/>
            </w:r>
            <w:r>
              <w:rPr>
                <w:noProof/>
                <w:webHidden/>
              </w:rPr>
              <w:t>5</w:t>
            </w:r>
            <w:r>
              <w:rPr>
                <w:noProof/>
                <w:webHidden/>
              </w:rPr>
              <w:fldChar w:fldCharType="end"/>
            </w:r>
          </w:hyperlink>
        </w:p>
        <w:p w14:paraId="35EC00C9" w14:textId="70775F5C" w:rsidR="001E6AC3" w:rsidRDefault="001E6AC3">
          <w:pPr>
            <w:pStyle w:val="TOC1"/>
            <w:tabs>
              <w:tab w:val="right" w:leader="dot" w:pos="9350"/>
            </w:tabs>
            <w:rPr>
              <w:rFonts w:eastAsiaTheme="minorEastAsia"/>
              <w:noProof/>
              <w:lang w:eastAsia="en-GB"/>
            </w:rPr>
          </w:pPr>
          <w:hyperlink w:anchor="_Toc104396286" w:history="1">
            <w:r w:rsidRPr="00CF69FE">
              <w:rPr>
                <w:rStyle w:val="Hyperlink"/>
                <w:noProof/>
              </w:rPr>
              <w:t>Methodological Approach</w:t>
            </w:r>
            <w:r>
              <w:rPr>
                <w:noProof/>
                <w:webHidden/>
              </w:rPr>
              <w:tab/>
            </w:r>
            <w:r>
              <w:rPr>
                <w:noProof/>
                <w:webHidden/>
              </w:rPr>
              <w:fldChar w:fldCharType="begin"/>
            </w:r>
            <w:r>
              <w:rPr>
                <w:noProof/>
                <w:webHidden/>
              </w:rPr>
              <w:instrText xml:space="preserve"> PAGEREF _Toc104396286 \h </w:instrText>
            </w:r>
            <w:r>
              <w:rPr>
                <w:noProof/>
                <w:webHidden/>
              </w:rPr>
            </w:r>
            <w:r>
              <w:rPr>
                <w:noProof/>
                <w:webHidden/>
              </w:rPr>
              <w:fldChar w:fldCharType="separate"/>
            </w:r>
            <w:r>
              <w:rPr>
                <w:noProof/>
                <w:webHidden/>
              </w:rPr>
              <w:t>7</w:t>
            </w:r>
            <w:r>
              <w:rPr>
                <w:noProof/>
                <w:webHidden/>
              </w:rPr>
              <w:fldChar w:fldCharType="end"/>
            </w:r>
          </w:hyperlink>
        </w:p>
        <w:p w14:paraId="39E6EA40" w14:textId="79F4E209" w:rsidR="001E6AC3" w:rsidRDefault="001E6AC3">
          <w:pPr>
            <w:pStyle w:val="TOC1"/>
            <w:tabs>
              <w:tab w:val="right" w:leader="dot" w:pos="9350"/>
            </w:tabs>
            <w:rPr>
              <w:rFonts w:eastAsiaTheme="minorEastAsia"/>
              <w:noProof/>
              <w:lang w:eastAsia="en-GB"/>
            </w:rPr>
          </w:pPr>
          <w:hyperlink w:anchor="_Toc104396287" w:history="1">
            <w:r w:rsidRPr="00CF69FE">
              <w:rPr>
                <w:rStyle w:val="Hyperlink"/>
                <w:noProof/>
              </w:rPr>
              <w:t>Proposed Data collection Procedure</w:t>
            </w:r>
            <w:r>
              <w:rPr>
                <w:noProof/>
                <w:webHidden/>
              </w:rPr>
              <w:tab/>
            </w:r>
            <w:r>
              <w:rPr>
                <w:noProof/>
                <w:webHidden/>
              </w:rPr>
              <w:fldChar w:fldCharType="begin"/>
            </w:r>
            <w:r>
              <w:rPr>
                <w:noProof/>
                <w:webHidden/>
              </w:rPr>
              <w:instrText xml:space="preserve"> PAGEREF _Toc104396287 \h </w:instrText>
            </w:r>
            <w:r>
              <w:rPr>
                <w:noProof/>
                <w:webHidden/>
              </w:rPr>
            </w:r>
            <w:r>
              <w:rPr>
                <w:noProof/>
                <w:webHidden/>
              </w:rPr>
              <w:fldChar w:fldCharType="separate"/>
            </w:r>
            <w:r>
              <w:rPr>
                <w:noProof/>
                <w:webHidden/>
              </w:rPr>
              <w:t>9</w:t>
            </w:r>
            <w:r>
              <w:rPr>
                <w:noProof/>
                <w:webHidden/>
              </w:rPr>
              <w:fldChar w:fldCharType="end"/>
            </w:r>
          </w:hyperlink>
        </w:p>
        <w:p w14:paraId="6AB55ACF" w14:textId="6A89E7B3" w:rsidR="001E6AC3" w:rsidRDefault="001E6AC3">
          <w:pPr>
            <w:pStyle w:val="TOC1"/>
            <w:tabs>
              <w:tab w:val="right" w:leader="dot" w:pos="9350"/>
            </w:tabs>
            <w:rPr>
              <w:rFonts w:eastAsiaTheme="minorEastAsia"/>
              <w:noProof/>
              <w:lang w:eastAsia="en-GB"/>
            </w:rPr>
          </w:pPr>
          <w:hyperlink w:anchor="_Toc104396288" w:history="1">
            <w:r w:rsidRPr="00CF69FE">
              <w:rPr>
                <w:rStyle w:val="Hyperlink"/>
                <w:noProof/>
              </w:rPr>
              <w:t>Planned Data Analysis and Presentation</w:t>
            </w:r>
            <w:r>
              <w:rPr>
                <w:noProof/>
                <w:webHidden/>
              </w:rPr>
              <w:tab/>
            </w:r>
            <w:r>
              <w:rPr>
                <w:noProof/>
                <w:webHidden/>
              </w:rPr>
              <w:fldChar w:fldCharType="begin"/>
            </w:r>
            <w:r>
              <w:rPr>
                <w:noProof/>
                <w:webHidden/>
              </w:rPr>
              <w:instrText xml:space="preserve"> PAGEREF _Toc104396288 \h </w:instrText>
            </w:r>
            <w:r>
              <w:rPr>
                <w:noProof/>
                <w:webHidden/>
              </w:rPr>
            </w:r>
            <w:r>
              <w:rPr>
                <w:noProof/>
                <w:webHidden/>
              </w:rPr>
              <w:fldChar w:fldCharType="separate"/>
            </w:r>
            <w:r>
              <w:rPr>
                <w:noProof/>
                <w:webHidden/>
              </w:rPr>
              <w:t>11</w:t>
            </w:r>
            <w:r>
              <w:rPr>
                <w:noProof/>
                <w:webHidden/>
              </w:rPr>
              <w:fldChar w:fldCharType="end"/>
            </w:r>
          </w:hyperlink>
        </w:p>
        <w:p w14:paraId="4A69B4EE" w14:textId="7D0A14D0" w:rsidR="001E6AC3" w:rsidRDefault="001E6AC3">
          <w:pPr>
            <w:pStyle w:val="TOC1"/>
            <w:tabs>
              <w:tab w:val="right" w:leader="dot" w:pos="9350"/>
            </w:tabs>
            <w:rPr>
              <w:rFonts w:eastAsiaTheme="minorEastAsia"/>
              <w:noProof/>
              <w:lang w:eastAsia="en-GB"/>
            </w:rPr>
          </w:pPr>
          <w:hyperlink w:anchor="_Toc104396289" w:history="1">
            <w:r w:rsidRPr="00CF69FE">
              <w:rPr>
                <w:rStyle w:val="Hyperlink"/>
                <w:noProof/>
              </w:rPr>
              <w:t>Research Planning</w:t>
            </w:r>
            <w:r>
              <w:rPr>
                <w:noProof/>
                <w:webHidden/>
              </w:rPr>
              <w:tab/>
            </w:r>
            <w:r>
              <w:rPr>
                <w:noProof/>
                <w:webHidden/>
              </w:rPr>
              <w:fldChar w:fldCharType="begin"/>
            </w:r>
            <w:r>
              <w:rPr>
                <w:noProof/>
                <w:webHidden/>
              </w:rPr>
              <w:instrText xml:space="preserve"> PAGEREF _Toc104396289 \h </w:instrText>
            </w:r>
            <w:r>
              <w:rPr>
                <w:noProof/>
                <w:webHidden/>
              </w:rPr>
            </w:r>
            <w:r>
              <w:rPr>
                <w:noProof/>
                <w:webHidden/>
              </w:rPr>
              <w:fldChar w:fldCharType="separate"/>
            </w:r>
            <w:r>
              <w:rPr>
                <w:noProof/>
                <w:webHidden/>
              </w:rPr>
              <w:t>12</w:t>
            </w:r>
            <w:r>
              <w:rPr>
                <w:noProof/>
                <w:webHidden/>
              </w:rPr>
              <w:fldChar w:fldCharType="end"/>
            </w:r>
          </w:hyperlink>
        </w:p>
        <w:p w14:paraId="544EE05B" w14:textId="1F1043C5" w:rsidR="001E6AC3" w:rsidRDefault="001E6AC3">
          <w:pPr>
            <w:pStyle w:val="TOC2"/>
            <w:tabs>
              <w:tab w:val="right" w:leader="dot" w:pos="9350"/>
            </w:tabs>
            <w:rPr>
              <w:rFonts w:eastAsiaTheme="minorEastAsia"/>
              <w:noProof/>
              <w:lang w:eastAsia="en-GB"/>
            </w:rPr>
          </w:pPr>
          <w:hyperlink w:anchor="_Toc104396290" w:history="1">
            <w:r w:rsidRPr="00CF69FE">
              <w:rPr>
                <w:rStyle w:val="Hyperlink"/>
                <w:noProof/>
              </w:rPr>
              <w:t>Limitations</w:t>
            </w:r>
            <w:r>
              <w:rPr>
                <w:noProof/>
                <w:webHidden/>
              </w:rPr>
              <w:tab/>
            </w:r>
            <w:r>
              <w:rPr>
                <w:noProof/>
                <w:webHidden/>
              </w:rPr>
              <w:fldChar w:fldCharType="begin"/>
            </w:r>
            <w:r>
              <w:rPr>
                <w:noProof/>
                <w:webHidden/>
              </w:rPr>
              <w:instrText xml:space="preserve"> PAGEREF _Toc104396290 \h </w:instrText>
            </w:r>
            <w:r>
              <w:rPr>
                <w:noProof/>
                <w:webHidden/>
              </w:rPr>
            </w:r>
            <w:r>
              <w:rPr>
                <w:noProof/>
                <w:webHidden/>
              </w:rPr>
              <w:fldChar w:fldCharType="separate"/>
            </w:r>
            <w:r>
              <w:rPr>
                <w:noProof/>
                <w:webHidden/>
              </w:rPr>
              <w:t>12</w:t>
            </w:r>
            <w:r>
              <w:rPr>
                <w:noProof/>
                <w:webHidden/>
              </w:rPr>
              <w:fldChar w:fldCharType="end"/>
            </w:r>
          </w:hyperlink>
        </w:p>
        <w:p w14:paraId="7101F15A" w14:textId="3B971D14" w:rsidR="001E6AC3" w:rsidRDefault="001E6AC3">
          <w:pPr>
            <w:pStyle w:val="TOC1"/>
            <w:tabs>
              <w:tab w:val="right" w:leader="dot" w:pos="9350"/>
            </w:tabs>
            <w:rPr>
              <w:rFonts w:eastAsiaTheme="minorEastAsia"/>
              <w:noProof/>
              <w:lang w:eastAsia="en-GB"/>
            </w:rPr>
          </w:pPr>
          <w:hyperlink w:anchor="_Toc104396291" w:history="1">
            <w:r w:rsidRPr="00CF69FE">
              <w:rPr>
                <w:rStyle w:val="Hyperlink"/>
                <w:noProof/>
              </w:rPr>
              <w:t>Ethical Considerations</w:t>
            </w:r>
            <w:r>
              <w:rPr>
                <w:noProof/>
                <w:webHidden/>
              </w:rPr>
              <w:tab/>
            </w:r>
            <w:r>
              <w:rPr>
                <w:noProof/>
                <w:webHidden/>
              </w:rPr>
              <w:fldChar w:fldCharType="begin"/>
            </w:r>
            <w:r>
              <w:rPr>
                <w:noProof/>
                <w:webHidden/>
              </w:rPr>
              <w:instrText xml:space="preserve"> PAGEREF _Toc104396291 \h </w:instrText>
            </w:r>
            <w:r>
              <w:rPr>
                <w:noProof/>
                <w:webHidden/>
              </w:rPr>
            </w:r>
            <w:r>
              <w:rPr>
                <w:noProof/>
                <w:webHidden/>
              </w:rPr>
              <w:fldChar w:fldCharType="separate"/>
            </w:r>
            <w:r>
              <w:rPr>
                <w:noProof/>
                <w:webHidden/>
              </w:rPr>
              <w:t>15</w:t>
            </w:r>
            <w:r>
              <w:rPr>
                <w:noProof/>
                <w:webHidden/>
              </w:rPr>
              <w:fldChar w:fldCharType="end"/>
            </w:r>
          </w:hyperlink>
        </w:p>
        <w:p w14:paraId="7294F1EB" w14:textId="3D11FA75" w:rsidR="001E6AC3" w:rsidRDefault="001E6AC3">
          <w:pPr>
            <w:pStyle w:val="TOC1"/>
            <w:tabs>
              <w:tab w:val="right" w:leader="dot" w:pos="9350"/>
            </w:tabs>
            <w:rPr>
              <w:rFonts w:eastAsiaTheme="minorEastAsia"/>
              <w:noProof/>
              <w:lang w:eastAsia="en-GB"/>
            </w:rPr>
          </w:pPr>
          <w:hyperlink w:anchor="_Toc104396292" w:history="1">
            <w:r w:rsidRPr="00CF69FE">
              <w:rPr>
                <w:rStyle w:val="Hyperlink"/>
                <w:noProof/>
              </w:rPr>
              <w:t>Budget Resource</w:t>
            </w:r>
            <w:r>
              <w:rPr>
                <w:noProof/>
                <w:webHidden/>
              </w:rPr>
              <w:tab/>
            </w:r>
            <w:r>
              <w:rPr>
                <w:noProof/>
                <w:webHidden/>
              </w:rPr>
              <w:fldChar w:fldCharType="begin"/>
            </w:r>
            <w:r>
              <w:rPr>
                <w:noProof/>
                <w:webHidden/>
              </w:rPr>
              <w:instrText xml:space="preserve"> PAGEREF _Toc104396292 \h </w:instrText>
            </w:r>
            <w:r>
              <w:rPr>
                <w:noProof/>
                <w:webHidden/>
              </w:rPr>
            </w:r>
            <w:r>
              <w:rPr>
                <w:noProof/>
                <w:webHidden/>
              </w:rPr>
              <w:fldChar w:fldCharType="separate"/>
            </w:r>
            <w:r>
              <w:rPr>
                <w:noProof/>
                <w:webHidden/>
              </w:rPr>
              <w:t>17</w:t>
            </w:r>
            <w:r>
              <w:rPr>
                <w:noProof/>
                <w:webHidden/>
              </w:rPr>
              <w:fldChar w:fldCharType="end"/>
            </w:r>
          </w:hyperlink>
        </w:p>
        <w:p w14:paraId="5711B7AF" w14:textId="760BECA2" w:rsidR="001E6AC3" w:rsidRDefault="001E6AC3">
          <w:pPr>
            <w:pStyle w:val="TOC1"/>
            <w:tabs>
              <w:tab w:val="right" w:leader="dot" w:pos="9350"/>
            </w:tabs>
            <w:rPr>
              <w:rFonts w:eastAsiaTheme="minorEastAsia"/>
              <w:noProof/>
              <w:lang w:eastAsia="en-GB"/>
            </w:rPr>
          </w:pPr>
          <w:hyperlink w:anchor="_Toc104396293" w:history="1">
            <w:r w:rsidRPr="00CF69FE">
              <w:rPr>
                <w:rStyle w:val="Hyperlink"/>
                <w:noProof/>
              </w:rPr>
              <w:t>Time Management</w:t>
            </w:r>
            <w:r>
              <w:rPr>
                <w:noProof/>
                <w:webHidden/>
              </w:rPr>
              <w:tab/>
            </w:r>
            <w:r>
              <w:rPr>
                <w:noProof/>
                <w:webHidden/>
              </w:rPr>
              <w:fldChar w:fldCharType="begin"/>
            </w:r>
            <w:r>
              <w:rPr>
                <w:noProof/>
                <w:webHidden/>
              </w:rPr>
              <w:instrText xml:space="preserve"> PAGEREF _Toc104396293 \h </w:instrText>
            </w:r>
            <w:r>
              <w:rPr>
                <w:noProof/>
                <w:webHidden/>
              </w:rPr>
            </w:r>
            <w:r>
              <w:rPr>
                <w:noProof/>
                <w:webHidden/>
              </w:rPr>
              <w:fldChar w:fldCharType="separate"/>
            </w:r>
            <w:r>
              <w:rPr>
                <w:noProof/>
                <w:webHidden/>
              </w:rPr>
              <w:t>18</w:t>
            </w:r>
            <w:r>
              <w:rPr>
                <w:noProof/>
                <w:webHidden/>
              </w:rPr>
              <w:fldChar w:fldCharType="end"/>
            </w:r>
          </w:hyperlink>
        </w:p>
        <w:p w14:paraId="5DC0A364" w14:textId="19A195F6" w:rsidR="001E6AC3" w:rsidRDefault="001E6AC3">
          <w:pPr>
            <w:pStyle w:val="TOC1"/>
            <w:tabs>
              <w:tab w:val="right" w:leader="dot" w:pos="9350"/>
            </w:tabs>
            <w:rPr>
              <w:rFonts w:eastAsiaTheme="minorEastAsia"/>
              <w:noProof/>
              <w:lang w:eastAsia="en-GB"/>
            </w:rPr>
          </w:pPr>
          <w:hyperlink w:anchor="_Toc104396294" w:history="1">
            <w:r w:rsidRPr="00CF69FE">
              <w:rPr>
                <w:rStyle w:val="Hyperlink"/>
                <w:noProof/>
              </w:rPr>
              <w:t>References</w:t>
            </w:r>
            <w:r>
              <w:rPr>
                <w:noProof/>
                <w:webHidden/>
              </w:rPr>
              <w:tab/>
            </w:r>
            <w:r>
              <w:rPr>
                <w:noProof/>
                <w:webHidden/>
              </w:rPr>
              <w:fldChar w:fldCharType="begin"/>
            </w:r>
            <w:r>
              <w:rPr>
                <w:noProof/>
                <w:webHidden/>
              </w:rPr>
              <w:instrText xml:space="preserve"> PAGEREF _Toc104396294 \h </w:instrText>
            </w:r>
            <w:r>
              <w:rPr>
                <w:noProof/>
                <w:webHidden/>
              </w:rPr>
            </w:r>
            <w:r>
              <w:rPr>
                <w:noProof/>
                <w:webHidden/>
              </w:rPr>
              <w:fldChar w:fldCharType="separate"/>
            </w:r>
            <w:r>
              <w:rPr>
                <w:noProof/>
                <w:webHidden/>
              </w:rPr>
              <w:t>19</w:t>
            </w:r>
            <w:r>
              <w:rPr>
                <w:noProof/>
                <w:webHidden/>
              </w:rPr>
              <w:fldChar w:fldCharType="end"/>
            </w:r>
          </w:hyperlink>
        </w:p>
        <w:p w14:paraId="55B1AE1A" w14:textId="424925F8" w:rsidR="3ED611DE" w:rsidRDefault="3ED611DE" w:rsidP="3ED611DE">
          <w:pPr>
            <w:pStyle w:val="TOC1"/>
            <w:tabs>
              <w:tab w:val="right" w:leader="dot" w:pos="9360"/>
            </w:tabs>
            <w:rPr>
              <w:rStyle w:val="Hyperlink"/>
            </w:rPr>
          </w:pPr>
          <w:r>
            <w:fldChar w:fldCharType="end"/>
          </w:r>
        </w:p>
      </w:sdtContent>
    </w:sdt>
    <w:p w14:paraId="58E2EB56" w14:textId="109CCEE9" w:rsidR="3ED611DE" w:rsidRDefault="3ED611DE" w:rsidP="3ED611DE"/>
    <w:p w14:paraId="2628A3DF" w14:textId="3DE8D95C" w:rsidR="37B87E75" w:rsidRDefault="37B87E75">
      <w:r>
        <w:br w:type="page"/>
      </w:r>
    </w:p>
    <w:p w14:paraId="490A3B27" w14:textId="1BCA679C" w:rsidR="37B87E75" w:rsidRDefault="37B87E75" w:rsidP="37B87E75"/>
    <w:p w14:paraId="768C4E81" w14:textId="427ED785" w:rsidR="37B87E75" w:rsidRDefault="7B54B8BC" w:rsidP="3ED611DE">
      <w:pPr>
        <w:pStyle w:val="Heading1"/>
      </w:pPr>
      <w:bookmarkStart w:id="1" w:name="_Toc104396284"/>
      <w:r>
        <w:t>Introduction</w:t>
      </w:r>
      <w:bookmarkEnd w:id="1"/>
    </w:p>
    <w:p w14:paraId="2473C717" w14:textId="56219EC6" w:rsidR="452B275C" w:rsidRDefault="452B275C" w:rsidP="452B275C"/>
    <w:p w14:paraId="14A981C5" w14:textId="28320E52" w:rsidR="452B275C" w:rsidRDefault="37141DC9" w:rsidP="452B275C">
      <w:pPr>
        <w:spacing w:line="360" w:lineRule="auto"/>
        <w:jc w:val="both"/>
        <w:rPr>
          <w:color w:val="767171" w:themeColor="background2" w:themeShade="80"/>
          <w:sz w:val="24"/>
          <w:szCs w:val="24"/>
        </w:rPr>
      </w:pPr>
      <w:r w:rsidRPr="3ED611DE">
        <w:rPr>
          <w:color w:val="767171" w:themeColor="background2" w:themeShade="80"/>
          <w:sz w:val="24"/>
          <w:szCs w:val="24"/>
        </w:rPr>
        <w:t xml:space="preserve">A Welsh Government (2019) report, details how women are underrepresented within business in Wales, not achieving their full economic potential due to gender gaps within entrepreneurship. As a result, the Welsh economy overlooks potential contributions entrepreneurship provides; job creation, innovation and increased gross domestic product. </w:t>
      </w:r>
    </w:p>
    <w:p w14:paraId="4CC60A07" w14:textId="378262B8" w:rsidR="452B275C" w:rsidRDefault="452B275C" w:rsidP="452B275C">
      <w:pPr>
        <w:spacing w:line="360" w:lineRule="auto"/>
        <w:jc w:val="both"/>
        <w:rPr>
          <w:color w:val="767171" w:themeColor="background2" w:themeShade="80"/>
          <w:sz w:val="24"/>
          <w:szCs w:val="24"/>
        </w:rPr>
      </w:pPr>
    </w:p>
    <w:p w14:paraId="265B2EB2" w14:textId="1E7C67BD" w:rsidR="452B275C" w:rsidRDefault="37141DC9" w:rsidP="02EBB6AB">
      <w:pPr>
        <w:spacing w:line="360" w:lineRule="auto"/>
        <w:jc w:val="center"/>
        <w:rPr>
          <w:color w:val="767171" w:themeColor="background2" w:themeShade="80"/>
          <w:sz w:val="24"/>
          <w:szCs w:val="24"/>
        </w:rPr>
      </w:pPr>
      <w:r w:rsidRPr="3ED611DE">
        <w:rPr>
          <w:color w:val="767171" w:themeColor="background2" w:themeShade="80"/>
          <w:sz w:val="24"/>
          <w:szCs w:val="24"/>
        </w:rPr>
        <w:t xml:space="preserve"> “</w:t>
      </w:r>
      <w:r w:rsidRPr="3ED611DE">
        <w:rPr>
          <w:i/>
          <w:iCs/>
          <w:color w:val="767171" w:themeColor="background2" w:themeShade="80"/>
          <w:sz w:val="24"/>
          <w:szCs w:val="24"/>
        </w:rPr>
        <w:t>The owner or manager of a business enterprise who, by risk and initiative, attempts to make profits</w:t>
      </w:r>
      <w:r w:rsidRPr="3ED611DE">
        <w:rPr>
          <w:color w:val="767171" w:themeColor="background2" w:themeShade="80"/>
          <w:sz w:val="24"/>
          <w:szCs w:val="24"/>
        </w:rPr>
        <w:t>”. (Collins, 2022)</w:t>
      </w:r>
    </w:p>
    <w:p w14:paraId="2B49768E" w14:textId="05ABB6D9" w:rsidR="452B275C" w:rsidRDefault="452B275C" w:rsidP="452B275C">
      <w:pPr>
        <w:spacing w:line="360" w:lineRule="auto"/>
        <w:jc w:val="both"/>
        <w:rPr>
          <w:color w:val="767171" w:themeColor="background2" w:themeShade="80"/>
          <w:sz w:val="24"/>
          <w:szCs w:val="24"/>
        </w:rPr>
      </w:pPr>
    </w:p>
    <w:p w14:paraId="77C35C9E" w14:textId="51DD8E1F" w:rsidR="37B87E75" w:rsidRDefault="37141DC9" w:rsidP="02EBB6AB">
      <w:pPr>
        <w:spacing w:line="360" w:lineRule="auto"/>
        <w:jc w:val="both"/>
        <w:rPr>
          <w:color w:val="767171" w:themeColor="background2" w:themeShade="80"/>
          <w:sz w:val="24"/>
          <w:szCs w:val="24"/>
        </w:rPr>
      </w:pPr>
      <w:r w:rsidRPr="3ED611DE">
        <w:rPr>
          <w:color w:val="767171" w:themeColor="background2" w:themeShade="80"/>
          <w:sz w:val="24"/>
          <w:szCs w:val="24"/>
        </w:rPr>
        <w:t xml:space="preserve">Entrepreneurship is widely regarded as a solid foundation for women's economic independence, and gender-focused approaches supporting female entrepreneurs is critical to achieving a prosperous and secure Wales (Tomos &amp; </w:t>
      </w:r>
      <w:proofErr w:type="spellStart"/>
      <w:r w:rsidRPr="3ED611DE">
        <w:rPr>
          <w:color w:val="767171" w:themeColor="background2" w:themeShade="80"/>
          <w:sz w:val="24"/>
          <w:szCs w:val="24"/>
        </w:rPr>
        <w:t>Thurairaj</w:t>
      </w:r>
      <w:proofErr w:type="spellEnd"/>
      <w:r w:rsidRPr="3ED611DE">
        <w:rPr>
          <w:color w:val="767171" w:themeColor="background2" w:themeShade="80"/>
          <w:sz w:val="24"/>
          <w:szCs w:val="24"/>
        </w:rPr>
        <w:t>, 2019; Welsh Government, 2019). The Welsh Government seeks to promote environments that foster inclusive entrepreneurial growth, creating opportunities and equality, these objectives are reflected in greater detail in the</w:t>
      </w:r>
      <w:r w:rsidRPr="3ED611DE">
        <w:rPr>
          <w:i/>
          <w:iCs/>
          <w:color w:val="767171" w:themeColor="background2" w:themeShade="80"/>
          <w:sz w:val="24"/>
          <w:szCs w:val="24"/>
        </w:rPr>
        <w:t xml:space="preserve"> Welsh Government National Strategy Prosperity for All</w:t>
      </w:r>
      <w:r w:rsidRPr="3ED611DE">
        <w:rPr>
          <w:color w:val="767171" w:themeColor="background2" w:themeShade="80"/>
          <w:sz w:val="24"/>
          <w:szCs w:val="24"/>
        </w:rPr>
        <w:t xml:space="preserve"> (Welsh Government, 2017a), Welsh Government well-being goals (Welsh Government, 2017b) and the Welsh Governments Economic Action Plan (Business Wales, 2022).</w:t>
      </w:r>
    </w:p>
    <w:p w14:paraId="0F712146" w14:textId="760D6EA7" w:rsidR="37B87E75" w:rsidRDefault="37B87E75" w:rsidP="02EBB6AB">
      <w:pPr>
        <w:spacing w:line="360" w:lineRule="auto"/>
        <w:jc w:val="both"/>
        <w:rPr>
          <w:color w:val="767171" w:themeColor="background2" w:themeShade="80"/>
          <w:sz w:val="24"/>
          <w:szCs w:val="24"/>
        </w:rPr>
      </w:pPr>
    </w:p>
    <w:p w14:paraId="7913CA0B" w14:textId="27EE3BD3" w:rsidR="37B87E75" w:rsidRDefault="02EBB6AB" w:rsidP="02EBB6AB">
      <w:pPr>
        <w:spacing w:line="360" w:lineRule="auto"/>
        <w:jc w:val="both"/>
        <w:rPr>
          <w:color w:val="767171" w:themeColor="background2" w:themeShade="80"/>
          <w:sz w:val="24"/>
          <w:szCs w:val="24"/>
        </w:rPr>
      </w:pPr>
      <w:r w:rsidRPr="02EBB6AB">
        <w:rPr>
          <w:color w:val="767171" w:themeColor="background2" w:themeShade="80"/>
          <w:sz w:val="24"/>
          <w:szCs w:val="24"/>
        </w:rPr>
        <w:t>The key aims of this study:</w:t>
      </w:r>
    </w:p>
    <w:p w14:paraId="7109681E" w14:textId="1ADF26C9" w:rsidR="37B87E75" w:rsidRDefault="02EBB6AB" w:rsidP="02EBB6AB">
      <w:pPr>
        <w:pStyle w:val="ListParagraph"/>
        <w:numPr>
          <w:ilvl w:val="0"/>
          <w:numId w:val="4"/>
        </w:numPr>
        <w:spacing w:line="360" w:lineRule="auto"/>
        <w:jc w:val="both"/>
        <w:rPr>
          <w:color w:val="767171" w:themeColor="background2" w:themeShade="80"/>
          <w:sz w:val="24"/>
          <w:szCs w:val="24"/>
        </w:rPr>
      </w:pPr>
      <w:r w:rsidRPr="02EBB6AB">
        <w:rPr>
          <w:color w:val="767171" w:themeColor="background2" w:themeShade="80"/>
          <w:sz w:val="24"/>
          <w:szCs w:val="24"/>
        </w:rPr>
        <w:t>Explore attitudes towards financial risk</w:t>
      </w:r>
    </w:p>
    <w:p w14:paraId="776A88BD" w14:textId="23CE68F5" w:rsidR="37B87E75" w:rsidRDefault="02EBB6AB" w:rsidP="02EBB6AB">
      <w:pPr>
        <w:pStyle w:val="ListParagraph"/>
        <w:numPr>
          <w:ilvl w:val="0"/>
          <w:numId w:val="4"/>
        </w:numPr>
        <w:spacing w:line="360" w:lineRule="auto"/>
        <w:jc w:val="both"/>
        <w:rPr>
          <w:color w:val="767171" w:themeColor="background2" w:themeShade="80"/>
          <w:sz w:val="24"/>
          <w:szCs w:val="24"/>
        </w:rPr>
      </w:pPr>
      <w:r w:rsidRPr="02EBB6AB">
        <w:rPr>
          <w:color w:val="767171" w:themeColor="background2" w:themeShade="80"/>
          <w:sz w:val="24"/>
          <w:szCs w:val="24"/>
        </w:rPr>
        <w:t>Explore feelings towards self-believe</w:t>
      </w:r>
    </w:p>
    <w:p w14:paraId="1908A0BF" w14:textId="200A58A7" w:rsidR="37B87E75" w:rsidRDefault="02EBB6AB" w:rsidP="02EBB6AB">
      <w:pPr>
        <w:pStyle w:val="ListParagraph"/>
        <w:numPr>
          <w:ilvl w:val="0"/>
          <w:numId w:val="4"/>
        </w:numPr>
        <w:spacing w:line="360" w:lineRule="auto"/>
        <w:jc w:val="both"/>
        <w:rPr>
          <w:color w:val="767171" w:themeColor="background2" w:themeShade="80"/>
          <w:sz w:val="24"/>
          <w:szCs w:val="24"/>
        </w:rPr>
      </w:pPr>
      <w:r w:rsidRPr="02EBB6AB">
        <w:rPr>
          <w:color w:val="767171" w:themeColor="background2" w:themeShade="80"/>
          <w:sz w:val="24"/>
          <w:szCs w:val="24"/>
        </w:rPr>
        <w:t>Explore values placed upon role models and mentorship</w:t>
      </w:r>
    </w:p>
    <w:p w14:paraId="69FAA8CA" w14:textId="24D6D5B3" w:rsidR="37B87E75" w:rsidRDefault="37B87E75" w:rsidP="02EBB6AB">
      <w:pPr>
        <w:spacing w:line="360" w:lineRule="auto"/>
        <w:jc w:val="both"/>
        <w:rPr>
          <w:color w:val="767171" w:themeColor="background2" w:themeShade="80"/>
          <w:sz w:val="24"/>
          <w:szCs w:val="24"/>
        </w:rPr>
      </w:pPr>
    </w:p>
    <w:p w14:paraId="1DFEE18A" w14:textId="245CA7FF" w:rsidR="37B87E75" w:rsidRDefault="75C81614" w:rsidP="02EBB6AB">
      <w:pPr>
        <w:spacing w:line="360" w:lineRule="auto"/>
        <w:jc w:val="both"/>
        <w:rPr>
          <w:color w:val="767171" w:themeColor="background2" w:themeShade="80"/>
          <w:sz w:val="24"/>
          <w:szCs w:val="24"/>
        </w:rPr>
      </w:pPr>
      <w:r w:rsidRPr="3ED611DE">
        <w:rPr>
          <w:color w:val="767171" w:themeColor="background2" w:themeShade="80"/>
          <w:sz w:val="24"/>
          <w:szCs w:val="24"/>
        </w:rPr>
        <w:lastRenderedPageBreak/>
        <w:t>The research seeks to improve understanding of barriers faced by budding entrepreneurs, investigating whether females and males experience the support available for entrepreneurship differently. The area of study is of particular interest to the researcher, a female small business owner experienced in challenges within governance, funding and seeking specific mentorship during business start-up. The researcher is keen to gain knowledge to assist in encouraging more females to enter entrepreneurship.</w:t>
      </w:r>
    </w:p>
    <w:p w14:paraId="2F7E5385" w14:textId="36EB03DC" w:rsidR="37B87E75" w:rsidRDefault="37B87E75" w:rsidP="02EBB6AB">
      <w:pPr>
        <w:spacing w:line="360" w:lineRule="auto"/>
        <w:jc w:val="both"/>
        <w:rPr>
          <w:color w:val="767171" w:themeColor="background2" w:themeShade="80"/>
          <w:sz w:val="24"/>
          <w:szCs w:val="24"/>
        </w:rPr>
      </w:pPr>
    </w:p>
    <w:p w14:paraId="1F53BED9" w14:textId="0B5AD81C" w:rsidR="37B87E75" w:rsidRDefault="37B87E75" w:rsidP="02EBB6AB">
      <w:pPr>
        <w:spacing w:line="360" w:lineRule="auto"/>
        <w:jc w:val="both"/>
        <w:rPr>
          <w:color w:val="767171" w:themeColor="background2" w:themeShade="80"/>
          <w:sz w:val="24"/>
          <w:szCs w:val="24"/>
        </w:rPr>
      </w:pPr>
    </w:p>
    <w:p w14:paraId="2C3FB197" w14:textId="21B194CF" w:rsidR="37B87E75" w:rsidRDefault="37B87E75" w:rsidP="02EBB6AB">
      <w:pPr>
        <w:rPr>
          <w:color w:val="000000" w:themeColor="text1"/>
        </w:rPr>
      </w:pPr>
      <w:r>
        <w:br w:type="page"/>
      </w:r>
    </w:p>
    <w:p w14:paraId="04CE3307" w14:textId="4C565544" w:rsidR="37B87E75" w:rsidRDefault="37B87E75" w:rsidP="37B87E75"/>
    <w:p w14:paraId="46C2C9C6" w14:textId="0AEDF870" w:rsidR="37B87E75" w:rsidRDefault="7B54B8BC" w:rsidP="3ED611DE">
      <w:pPr>
        <w:pStyle w:val="Heading1"/>
      </w:pPr>
      <w:bookmarkStart w:id="2" w:name="_Toc104396285"/>
      <w:r>
        <w:t>Literature review</w:t>
      </w:r>
      <w:bookmarkEnd w:id="2"/>
      <w:r>
        <w:t xml:space="preserve"> </w:t>
      </w:r>
    </w:p>
    <w:p w14:paraId="5B7453F4" w14:textId="269A3023" w:rsidR="452B275C" w:rsidRDefault="452B275C" w:rsidP="452B275C"/>
    <w:p w14:paraId="5B9544DD" w14:textId="39469A0E" w:rsidR="02EBB6AB" w:rsidRDefault="75C81614" w:rsidP="02EBB6AB">
      <w:pPr>
        <w:spacing w:line="360" w:lineRule="auto"/>
        <w:jc w:val="both"/>
        <w:rPr>
          <w:color w:val="767171" w:themeColor="background2" w:themeShade="80"/>
          <w:sz w:val="24"/>
          <w:szCs w:val="24"/>
        </w:rPr>
      </w:pPr>
      <w:r w:rsidRPr="3ED611DE">
        <w:rPr>
          <w:color w:val="767171" w:themeColor="background2" w:themeShade="80"/>
          <w:sz w:val="24"/>
          <w:szCs w:val="24"/>
        </w:rPr>
        <w:t>The study used secondary data sources to identify three distinctive perceived barriers which entrepreneurs may face. The aim of the study is to test these phenomena through identifying and characterising themes relating to entrepreneurial equality and intent. The basis of the review will elaborate and assume findings which could suggest potential support networks important to entrepreneurship.</w:t>
      </w:r>
    </w:p>
    <w:p w14:paraId="03ED6FEA" w14:textId="070C58F1" w:rsidR="02EBB6AB" w:rsidRDefault="02EBB6AB" w:rsidP="02EBB6AB">
      <w:pPr>
        <w:spacing w:line="360" w:lineRule="auto"/>
        <w:jc w:val="both"/>
        <w:rPr>
          <w:color w:val="767171" w:themeColor="background2" w:themeShade="80"/>
          <w:sz w:val="24"/>
          <w:szCs w:val="24"/>
        </w:rPr>
      </w:pPr>
    </w:p>
    <w:p w14:paraId="01A85467" w14:textId="37229C97" w:rsidR="02EBB6AB" w:rsidRDefault="02EBB6AB" w:rsidP="02EBB6AB">
      <w:pPr>
        <w:spacing w:line="360" w:lineRule="auto"/>
        <w:jc w:val="center"/>
        <w:rPr>
          <w:color w:val="767171" w:themeColor="background2" w:themeShade="80"/>
          <w:sz w:val="24"/>
          <w:szCs w:val="24"/>
        </w:rPr>
      </w:pPr>
      <w:r w:rsidRPr="02EBB6AB">
        <w:rPr>
          <w:color w:val="767171" w:themeColor="background2" w:themeShade="80"/>
          <w:sz w:val="24"/>
          <w:szCs w:val="24"/>
        </w:rPr>
        <w:t>“Barriers faced by recent entrepreneurial women in Wales”</w:t>
      </w:r>
    </w:p>
    <w:p w14:paraId="0CC9ADC8" w14:textId="2AA38F40" w:rsidR="02EBB6AB" w:rsidRDefault="02EBB6AB" w:rsidP="02EBB6AB">
      <w:pPr>
        <w:spacing w:line="360" w:lineRule="auto"/>
        <w:jc w:val="both"/>
        <w:rPr>
          <w:color w:val="767171" w:themeColor="background2" w:themeShade="80"/>
          <w:sz w:val="24"/>
          <w:szCs w:val="24"/>
        </w:rPr>
      </w:pPr>
    </w:p>
    <w:p w14:paraId="0C2B71A8" w14:textId="53C51F14" w:rsidR="02EBB6AB" w:rsidRDefault="75C81614" w:rsidP="02EBB6AB">
      <w:pPr>
        <w:spacing w:line="360" w:lineRule="auto"/>
        <w:jc w:val="both"/>
        <w:rPr>
          <w:color w:val="767171" w:themeColor="background2" w:themeShade="80"/>
          <w:sz w:val="24"/>
          <w:szCs w:val="24"/>
        </w:rPr>
      </w:pPr>
      <w:r w:rsidRPr="3ED611DE">
        <w:rPr>
          <w:color w:val="767171" w:themeColor="background2" w:themeShade="80"/>
          <w:sz w:val="24"/>
          <w:szCs w:val="24"/>
        </w:rPr>
        <w:t xml:space="preserve">The researcher used secondary data which enabled research relating to phenomena associated with entrepreneurship barriers, </w:t>
      </w:r>
      <w:r w:rsidR="00BA07FA" w:rsidRPr="3ED611DE">
        <w:rPr>
          <w:color w:val="767171" w:themeColor="background2" w:themeShade="80"/>
          <w:sz w:val="24"/>
          <w:szCs w:val="24"/>
        </w:rPr>
        <w:t>equality,</w:t>
      </w:r>
      <w:r w:rsidRPr="3ED611DE">
        <w:rPr>
          <w:color w:val="767171" w:themeColor="background2" w:themeShade="80"/>
          <w:sz w:val="24"/>
          <w:szCs w:val="24"/>
        </w:rPr>
        <w:t xml:space="preserve"> and intent. The information was collected through government documents, data which was originally collected for other research purposes, reports, academic literature, organisational websites, press releases and other publicly available sources.</w:t>
      </w:r>
    </w:p>
    <w:p w14:paraId="57D0C266" w14:textId="24DCDB00" w:rsidR="02EBB6AB" w:rsidRDefault="02EBB6AB" w:rsidP="02EBB6AB">
      <w:pPr>
        <w:spacing w:line="360" w:lineRule="auto"/>
        <w:jc w:val="both"/>
        <w:rPr>
          <w:color w:val="767171" w:themeColor="background2" w:themeShade="80"/>
          <w:sz w:val="24"/>
          <w:szCs w:val="24"/>
        </w:rPr>
      </w:pPr>
    </w:p>
    <w:p w14:paraId="5B07F6F5" w14:textId="288F4477" w:rsidR="02EBB6AB" w:rsidRDefault="75C81614" w:rsidP="02EBB6AB">
      <w:pPr>
        <w:spacing w:line="360" w:lineRule="auto"/>
        <w:jc w:val="both"/>
        <w:rPr>
          <w:color w:val="767171" w:themeColor="background2" w:themeShade="80"/>
          <w:sz w:val="24"/>
          <w:szCs w:val="24"/>
        </w:rPr>
      </w:pPr>
      <w:r w:rsidRPr="3ED611DE">
        <w:rPr>
          <w:color w:val="767171" w:themeColor="background2" w:themeShade="80"/>
          <w:sz w:val="24"/>
          <w:szCs w:val="24"/>
        </w:rPr>
        <w:t>Rose (2019a, p.47) Identified barriers relating to the application for funding, stating that twice as many women than men viewed applying for start-up funding to be a deterring factor to entrepreneurship, with 81% of women, less likely to apply. Haycock (2018) supports these claims and expands by stating in addition to the application rates, women who do apply ask for much less funding than men, however, are more successful with their applications.</w:t>
      </w:r>
    </w:p>
    <w:p w14:paraId="0E1B6666" w14:textId="73847D2E" w:rsidR="02EBB6AB" w:rsidRDefault="02EBB6AB" w:rsidP="02EBB6AB">
      <w:pPr>
        <w:spacing w:line="360" w:lineRule="auto"/>
        <w:jc w:val="both"/>
        <w:rPr>
          <w:color w:val="767171" w:themeColor="background2" w:themeShade="80"/>
          <w:sz w:val="24"/>
          <w:szCs w:val="24"/>
        </w:rPr>
      </w:pPr>
    </w:p>
    <w:p w14:paraId="63E3A24B" w14:textId="6341169E" w:rsidR="02EBB6AB" w:rsidRDefault="75C81614" w:rsidP="02EBB6AB">
      <w:pPr>
        <w:spacing w:line="360" w:lineRule="auto"/>
        <w:jc w:val="both"/>
        <w:rPr>
          <w:color w:val="767171" w:themeColor="background2" w:themeShade="80"/>
          <w:sz w:val="24"/>
          <w:szCs w:val="24"/>
        </w:rPr>
      </w:pPr>
      <w:r w:rsidRPr="3ED611DE">
        <w:rPr>
          <w:color w:val="767171" w:themeColor="background2" w:themeShade="80"/>
          <w:sz w:val="24"/>
          <w:szCs w:val="24"/>
        </w:rPr>
        <w:t xml:space="preserve">NatWest group (2022) report, forecast value creation of approximately £250bn to the UK economy, if women set up business at the same ratio as men. Despite the upward trend towards embarking into entrepreneurship in Wales, benchmarking shows a proportional difference </w:t>
      </w:r>
      <w:r w:rsidRPr="3ED611DE">
        <w:rPr>
          <w:color w:val="767171" w:themeColor="background2" w:themeShade="80"/>
          <w:sz w:val="24"/>
          <w:szCs w:val="24"/>
        </w:rPr>
        <w:lastRenderedPageBreak/>
        <w:t xml:space="preserve">between males and females, 11.9% to 5.6% respectively. Bonner et al., (2021a, pp. 7 &amp; 9) indicates male early-stage entrepreneurship is double that of females. Rose (2019b, p. 10) states, only 39% of women feel confident in their abilities to venture into business, compared to 55% of men, however, concluding that this is perceived ability gap, rather than an actual skill set gap. Bonner et al (2021 b, pp. 11) research found 54.9% of Welsh women perceived the fear of failure as a deterrent in setting up business, this prevalence was despite them knowing someone who had started a business within the last two years. </w:t>
      </w:r>
    </w:p>
    <w:p w14:paraId="23DB1C1D" w14:textId="452A47A9" w:rsidR="02EBB6AB" w:rsidRDefault="02EBB6AB" w:rsidP="02EBB6AB">
      <w:pPr>
        <w:spacing w:line="360" w:lineRule="auto"/>
        <w:jc w:val="both"/>
        <w:rPr>
          <w:color w:val="767171" w:themeColor="background2" w:themeShade="80"/>
          <w:sz w:val="24"/>
          <w:szCs w:val="24"/>
        </w:rPr>
      </w:pPr>
    </w:p>
    <w:p w14:paraId="7B6E66EA" w14:textId="385C00E8" w:rsidR="02EBB6AB" w:rsidRDefault="75C81614" w:rsidP="3ED611DE">
      <w:pPr>
        <w:spacing w:line="360" w:lineRule="auto"/>
        <w:jc w:val="both"/>
        <w:rPr>
          <w:rFonts w:ascii="Arial" w:eastAsia="Arial" w:hAnsi="Arial" w:cs="Arial"/>
          <w:color w:val="222222"/>
          <w:sz w:val="19"/>
          <w:szCs w:val="19"/>
        </w:rPr>
      </w:pPr>
      <w:r w:rsidRPr="3ED611DE">
        <w:rPr>
          <w:color w:val="767171" w:themeColor="background2" w:themeShade="80"/>
          <w:sz w:val="24"/>
          <w:szCs w:val="24"/>
        </w:rPr>
        <w:t xml:space="preserve">Self-efficacy is the strength of an individual's belief in their ability to successfully perform the roles and tasks of an entrepreneur (Zhao, Seibert &amp; Hills 2005, p. 1265; </w:t>
      </w:r>
      <w:r w:rsidRPr="3ED611DE">
        <w:rPr>
          <w:rFonts w:eastAsiaTheme="minorEastAsia"/>
          <w:color w:val="767171" w:themeColor="background2" w:themeShade="80"/>
          <w:sz w:val="24"/>
          <w:szCs w:val="24"/>
        </w:rPr>
        <w:t xml:space="preserve">Drnovšek, Wincent, &amp; Cardon 2010; Tsai, Chang &amp; Peng 2016, p. 165-185). According to research, role models can lead to change, women are empowered by other successful women and within business settings can provide inspiration to encourage more female entrepreneurs (Kent, 2007; Guillén, 2013; Laukhuf &amp; Malone, 2015, pp. 70-86; Cukier et al., 2022, pp. 83-111; Future Care Capital, 2022: </w:t>
      </w:r>
      <w:proofErr w:type="spellStart"/>
      <w:r w:rsidRPr="3ED611DE">
        <w:rPr>
          <w:rFonts w:eastAsiaTheme="minorEastAsia"/>
          <w:color w:val="767171" w:themeColor="background2" w:themeShade="80"/>
          <w:sz w:val="24"/>
          <w:szCs w:val="24"/>
        </w:rPr>
        <w:t>Guenaga</w:t>
      </w:r>
      <w:proofErr w:type="spellEnd"/>
      <w:r w:rsidRPr="3ED611DE">
        <w:rPr>
          <w:rFonts w:eastAsiaTheme="minorEastAsia"/>
          <w:color w:val="767171" w:themeColor="background2" w:themeShade="80"/>
          <w:sz w:val="24"/>
          <w:szCs w:val="24"/>
        </w:rPr>
        <w:t xml:space="preserve"> et al., 2022, p. 1420).</w:t>
      </w:r>
    </w:p>
    <w:p w14:paraId="71FF54A9" w14:textId="67D8B327" w:rsidR="02EBB6AB" w:rsidRDefault="02EBB6AB" w:rsidP="02EBB6AB">
      <w:pPr>
        <w:jc w:val="both"/>
        <w:rPr>
          <w:rFonts w:ascii="Arial" w:eastAsia="Arial" w:hAnsi="Arial" w:cs="Arial"/>
          <w:color w:val="222222"/>
          <w:sz w:val="19"/>
          <w:szCs w:val="19"/>
        </w:rPr>
      </w:pPr>
    </w:p>
    <w:p w14:paraId="50EA5BAA" w14:textId="40FE9FA2" w:rsidR="37B87E75" w:rsidRDefault="37B87E75">
      <w:r>
        <w:br w:type="page"/>
      </w:r>
    </w:p>
    <w:p w14:paraId="1E148CDD" w14:textId="20AABBE0" w:rsidR="37B87E75" w:rsidRDefault="37B87E75" w:rsidP="37B87E75"/>
    <w:p w14:paraId="08462810" w14:textId="1ACEABCE" w:rsidR="452B275C" w:rsidRDefault="7B54B8BC" w:rsidP="3ED611DE">
      <w:pPr>
        <w:pStyle w:val="Heading1"/>
      </w:pPr>
      <w:bookmarkStart w:id="3" w:name="_Toc104396286"/>
      <w:r>
        <w:t>Methodological Approach</w:t>
      </w:r>
      <w:bookmarkEnd w:id="3"/>
    </w:p>
    <w:p w14:paraId="38C9CF78" w14:textId="3C74EBF9" w:rsidR="3ED611DE" w:rsidRDefault="3ED611DE" w:rsidP="3ED611DE"/>
    <w:p w14:paraId="066C9A2F" w14:textId="7ECB0660" w:rsidR="452B275C" w:rsidRDefault="75C81614" w:rsidP="02EBB6AB">
      <w:pPr>
        <w:spacing w:line="360" w:lineRule="auto"/>
        <w:jc w:val="both"/>
        <w:rPr>
          <w:color w:val="767171" w:themeColor="background2" w:themeShade="80"/>
          <w:sz w:val="24"/>
          <w:szCs w:val="24"/>
        </w:rPr>
      </w:pPr>
      <w:r w:rsidRPr="3ED611DE">
        <w:rPr>
          <w:color w:val="767171" w:themeColor="background2" w:themeShade="80"/>
          <w:sz w:val="24"/>
          <w:szCs w:val="24"/>
        </w:rPr>
        <w:t>This research will use a mixed method approach to assist with the goal of identifying the differences and complementarities within the scope of the research (Palinkas, 2019, pp. 423-442). Antwi &amp; Hamza (2015, pp. 217-225) state, the mixed method approach provides an exciting way to conduct business research. Mixed method studies are based on the pragmatist epistemology, which combines both quantitative and qualitative research methods and other paradigm approaches, allowing for researchers to address external and internal factors via two different approaches within a single study (</w:t>
      </w:r>
      <w:proofErr w:type="spellStart"/>
      <w:r w:rsidRPr="3ED611DE">
        <w:rPr>
          <w:rFonts w:eastAsiaTheme="minorEastAsia"/>
          <w:color w:val="767171" w:themeColor="background2" w:themeShade="80"/>
          <w:sz w:val="24"/>
          <w:szCs w:val="24"/>
        </w:rPr>
        <w:t>Baškarada</w:t>
      </w:r>
      <w:proofErr w:type="spellEnd"/>
      <w:r w:rsidRPr="3ED611DE">
        <w:rPr>
          <w:rFonts w:eastAsiaTheme="minorEastAsia"/>
          <w:color w:val="767171" w:themeColor="background2" w:themeShade="80"/>
          <w:sz w:val="24"/>
          <w:szCs w:val="24"/>
        </w:rPr>
        <w:t xml:space="preserve"> &amp; </w:t>
      </w:r>
      <w:proofErr w:type="spellStart"/>
      <w:r w:rsidRPr="3ED611DE">
        <w:rPr>
          <w:rFonts w:eastAsiaTheme="minorEastAsia"/>
          <w:color w:val="767171" w:themeColor="background2" w:themeShade="80"/>
          <w:sz w:val="24"/>
          <w:szCs w:val="24"/>
        </w:rPr>
        <w:t>Koronios</w:t>
      </w:r>
      <w:proofErr w:type="spellEnd"/>
      <w:r w:rsidRPr="3ED611DE">
        <w:rPr>
          <w:rFonts w:eastAsiaTheme="minorEastAsia"/>
          <w:color w:val="767171" w:themeColor="background2" w:themeShade="80"/>
          <w:sz w:val="24"/>
          <w:szCs w:val="24"/>
        </w:rPr>
        <w:t>, 2018)</w:t>
      </w:r>
      <w:r w:rsidRPr="3ED611DE">
        <w:rPr>
          <w:rFonts w:ascii="Arial" w:eastAsia="Arial" w:hAnsi="Arial" w:cs="Arial"/>
          <w:color w:val="222222"/>
          <w:sz w:val="19"/>
          <w:szCs w:val="19"/>
        </w:rPr>
        <w:t xml:space="preserve">. </w:t>
      </w:r>
    </w:p>
    <w:p w14:paraId="2FF7EC4B" w14:textId="3FA6B217" w:rsidR="452B275C" w:rsidRDefault="452B275C" w:rsidP="02EBB6AB">
      <w:pPr>
        <w:spacing w:line="360" w:lineRule="auto"/>
        <w:jc w:val="both"/>
        <w:rPr>
          <w:rFonts w:ascii="Arial" w:eastAsia="Arial" w:hAnsi="Arial" w:cs="Arial"/>
          <w:color w:val="222222"/>
          <w:sz w:val="19"/>
          <w:szCs w:val="19"/>
        </w:rPr>
      </w:pPr>
    </w:p>
    <w:p w14:paraId="3F17723D" w14:textId="5F7F1A34" w:rsidR="452B275C" w:rsidRDefault="75C81614" w:rsidP="3ED611DE">
      <w:pPr>
        <w:spacing w:line="360" w:lineRule="auto"/>
        <w:jc w:val="both"/>
        <w:rPr>
          <w:rFonts w:eastAsiaTheme="minorEastAsia"/>
          <w:color w:val="767171" w:themeColor="background2" w:themeShade="80"/>
          <w:sz w:val="24"/>
          <w:szCs w:val="24"/>
        </w:rPr>
      </w:pPr>
      <w:r w:rsidRPr="3ED611DE">
        <w:rPr>
          <w:rFonts w:eastAsiaTheme="minorEastAsia"/>
          <w:color w:val="767171" w:themeColor="background2" w:themeShade="80"/>
          <w:sz w:val="24"/>
          <w:szCs w:val="24"/>
        </w:rPr>
        <w:t>Qualitative research uses an interpretivist epistemology which allows the research to interpret meanings and feelings which people attach to experiences. Through inductive thematic analysis this research method lends itself well to investigating novel, understudied, or difficult-to-measure entrepreneurship phenomena such as crowdfunding (Short et al., 2017, pp. 149-160), sector-based entrepreneurship (De Massis et al., 2018, pp. 3-23), the sharing economy (</w:t>
      </w:r>
      <w:proofErr w:type="spellStart"/>
      <w:r w:rsidRPr="3ED611DE">
        <w:rPr>
          <w:rFonts w:eastAsiaTheme="minorEastAsia"/>
          <w:color w:val="767171" w:themeColor="background2" w:themeShade="80"/>
          <w:sz w:val="24"/>
          <w:szCs w:val="24"/>
        </w:rPr>
        <w:t>Benjaafar</w:t>
      </w:r>
      <w:proofErr w:type="spellEnd"/>
      <w:r w:rsidRPr="3ED611DE">
        <w:rPr>
          <w:rFonts w:eastAsiaTheme="minorEastAsia"/>
          <w:color w:val="767171" w:themeColor="background2" w:themeShade="80"/>
          <w:sz w:val="24"/>
          <w:szCs w:val="24"/>
        </w:rPr>
        <w:t xml:space="preserve"> et al., 2019, pp 477-493), lean start-up (Shepherd &amp; Gruber, 2021, pp. 967-988) and digital entrepreneurship (Nambisan, Wright &amp; Feldman, 2019). </w:t>
      </w:r>
    </w:p>
    <w:p w14:paraId="7C8F32FB" w14:textId="48E28C06" w:rsidR="452B275C" w:rsidRDefault="452B275C" w:rsidP="02EBB6AB">
      <w:pPr>
        <w:spacing w:line="360" w:lineRule="auto"/>
        <w:jc w:val="both"/>
        <w:rPr>
          <w:rFonts w:eastAsiaTheme="minorEastAsia"/>
          <w:color w:val="767171" w:themeColor="background2" w:themeShade="80"/>
          <w:sz w:val="24"/>
          <w:szCs w:val="24"/>
        </w:rPr>
      </w:pPr>
    </w:p>
    <w:p w14:paraId="7B4F9742" w14:textId="18AFED8F" w:rsidR="452B275C" w:rsidRDefault="75C81614" w:rsidP="3ED611DE">
      <w:pPr>
        <w:spacing w:line="360" w:lineRule="auto"/>
        <w:jc w:val="both"/>
        <w:rPr>
          <w:rFonts w:eastAsiaTheme="minorEastAsia"/>
          <w:color w:val="767171" w:themeColor="background2" w:themeShade="80"/>
          <w:sz w:val="24"/>
          <w:szCs w:val="24"/>
        </w:rPr>
      </w:pPr>
      <w:r w:rsidRPr="3ED611DE">
        <w:rPr>
          <w:rFonts w:eastAsiaTheme="minorEastAsia"/>
          <w:color w:val="767171" w:themeColor="background2" w:themeShade="80"/>
          <w:sz w:val="24"/>
          <w:szCs w:val="24"/>
        </w:rPr>
        <w:t>This phenomenological method will be used within the study to explore a small group of purposive sampling of participants (8-12) who fit the characteristics within the research paradigm, starting their journey of entrepreneurship within the last two years and be Welsh business owners. This method will concentrate on the participants' experiences while attempting to avoid any presumptions the researcher may have, although this method has greater potential of individual bias due to relying greater on experience and judgement of the researcher (Daniel, 2019, pp. 118-129).</w:t>
      </w:r>
    </w:p>
    <w:p w14:paraId="4CFC180D" w14:textId="5C77BD71" w:rsidR="452B275C" w:rsidRDefault="452B275C" w:rsidP="02EBB6AB">
      <w:r>
        <w:br w:type="page"/>
      </w:r>
    </w:p>
    <w:p w14:paraId="676679D4" w14:textId="7A3E12B6" w:rsidR="452B275C" w:rsidRDefault="452B275C" w:rsidP="02EBB6AB">
      <w:pPr>
        <w:spacing w:line="360" w:lineRule="auto"/>
        <w:jc w:val="both"/>
        <w:rPr>
          <w:rFonts w:eastAsiaTheme="minorEastAsia"/>
          <w:color w:val="767171" w:themeColor="background2" w:themeShade="80"/>
          <w:sz w:val="24"/>
          <w:szCs w:val="24"/>
        </w:rPr>
      </w:pPr>
    </w:p>
    <w:p w14:paraId="0A6743DB" w14:textId="151ADC2C" w:rsidR="452B275C" w:rsidRDefault="75C81614" w:rsidP="3ED611DE">
      <w:pPr>
        <w:spacing w:line="360" w:lineRule="auto"/>
        <w:jc w:val="both"/>
        <w:rPr>
          <w:rFonts w:eastAsiaTheme="minorEastAsia"/>
          <w:color w:val="767171" w:themeColor="background2" w:themeShade="80"/>
          <w:sz w:val="24"/>
          <w:szCs w:val="24"/>
        </w:rPr>
      </w:pPr>
      <w:r w:rsidRPr="3ED611DE">
        <w:rPr>
          <w:rFonts w:eastAsiaTheme="minorEastAsia"/>
          <w:color w:val="767171" w:themeColor="background2" w:themeShade="80"/>
          <w:sz w:val="24"/>
          <w:szCs w:val="24"/>
        </w:rPr>
        <w:t xml:space="preserve">In addition to qualitative methodology, this study will use questionnaires examining the research phenomena. Quantitative research uses a positivist epistemological stance which provides the ability to collect large volumes of data quickly and efficiently, its deductive analysis approach provides an overview of the target demographic, identifying difference or similarity. </w:t>
      </w:r>
    </w:p>
    <w:p w14:paraId="282D4F6A" w14:textId="0EBD9010" w:rsidR="452B275C" w:rsidRDefault="452B275C" w:rsidP="02EBB6AB">
      <w:pPr>
        <w:spacing w:line="360" w:lineRule="auto"/>
        <w:jc w:val="both"/>
        <w:rPr>
          <w:color w:val="767171" w:themeColor="background2" w:themeShade="80"/>
          <w:sz w:val="24"/>
          <w:szCs w:val="24"/>
        </w:rPr>
      </w:pPr>
    </w:p>
    <w:p w14:paraId="7B2960EB" w14:textId="117D88F1" w:rsidR="452B275C" w:rsidRDefault="75C81614" w:rsidP="02EBB6AB">
      <w:pPr>
        <w:spacing w:line="360" w:lineRule="auto"/>
        <w:jc w:val="both"/>
        <w:rPr>
          <w:rFonts w:ascii="Calibri" w:eastAsia="Calibri" w:hAnsi="Calibri" w:cs="Calibri"/>
          <w:color w:val="767171" w:themeColor="background2" w:themeShade="80"/>
          <w:sz w:val="24"/>
          <w:szCs w:val="24"/>
        </w:rPr>
      </w:pPr>
      <w:r w:rsidRPr="3ED611DE">
        <w:rPr>
          <w:color w:val="767171" w:themeColor="background2" w:themeShade="80"/>
          <w:sz w:val="24"/>
          <w:szCs w:val="24"/>
        </w:rPr>
        <w:t>The mixed method approach has grown within social science disciplines as it enables researchers to collect, analyse and interpret data and findings to explore different types of phenomena or ontological assumptions within the same study (Molina-</w:t>
      </w:r>
      <w:proofErr w:type="spellStart"/>
      <w:r w:rsidRPr="3ED611DE">
        <w:rPr>
          <w:color w:val="767171" w:themeColor="background2" w:themeShade="80"/>
          <w:sz w:val="24"/>
          <w:szCs w:val="24"/>
        </w:rPr>
        <w:t>Azorin</w:t>
      </w:r>
      <w:proofErr w:type="spellEnd"/>
      <w:r w:rsidRPr="3ED611DE">
        <w:rPr>
          <w:color w:val="767171" w:themeColor="background2" w:themeShade="80"/>
          <w:sz w:val="24"/>
          <w:szCs w:val="24"/>
        </w:rPr>
        <w:t xml:space="preserve">, 2012, pp. 33-56). </w:t>
      </w:r>
      <w:r w:rsidRPr="3ED611DE">
        <w:rPr>
          <w:rFonts w:ascii="Calibri" w:eastAsia="Calibri" w:hAnsi="Calibri" w:cs="Calibri"/>
          <w:color w:val="767171" w:themeColor="background2" w:themeShade="80"/>
          <w:sz w:val="24"/>
          <w:szCs w:val="24"/>
        </w:rPr>
        <w:t xml:space="preserve">Researchers who advocate mixed research argue that it is critical to use both exploratory and confirmatory methods in one's research. </w:t>
      </w:r>
      <w:r w:rsidRPr="3ED611DE">
        <w:rPr>
          <w:color w:val="767171" w:themeColor="background2" w:themeShade="80"/>
          <w:sz w:val="24"/>
          <w:szCs w:val="24"/>
        </w:rPr>
        <w:t xml:space="preserve">Reyad et al., (2020, pp. 248-256) sees value within mixed method research approaches on human behaviours, considering the use of only quantitative </w:t>
      </w:r>
      <w:r w:rsidRPr="3ED611DE">
        <w:rPr>
          <w:i/>
          <w:iCs/>
          <w:color w:val="767171" w:themeColor="background2" w:themeShade="80"/>
          <w:sz w:val="24"/>
          <w:szCs w:val="24"/>
        </w:rPr>
        <w:t>or</w:t>
      </w:r>
      <w:r w:rsidRPr="3ED611DE">
        <w:rPr>
          <w:color w:val="767171" w:themeColor="background2" w:themeShade="80"/>
          <w:sz w:val="24"/>
          <w:szCs w:val="24"/>
        </w:rPr>
        <w:t xml:space="preserve"> qualitative research to be limiting and insufficient to address many research paradigms. </w:t>
      </w:r>
    </w:p>
    <w:p w14:paraId="3C794D6B" w14:textId="3E6824B4" w:rsidR="452B275C" w:rsidRDefault="452B275C" w:rsidP="02EBB6AB">
      <w:pPr>
        <w:spacing w:line="360" w:lineRule="auto"/>
        <w:jc w:val="both"/>
        <w:rPr>
          <w:color w:val="767171" w:themeColor="background2" w:themeShade="80"/>
          <w:sz w:val="24"/>
          <w:szCs w:val="24"/>
        </w:rPr>
      </w:pPr>
    </w:p>
    <w:p w14:paraId="064DBB91" w14:textId="6FB84002" w:rsidR="452B275C" w:rsidRDefault="75C81614" w:rsidP="3ED611DE">
      <w:pPr>
        <w:spacing w:line="360" w:lineRule="auto"/>
        <w:jc w:val="both"/>
        <w:rPr>
          <w:rFonts w:ascii="Calibri" w:eastAsia="Calibri" w:hAnsi="Calibri" w:cs="Calibri"/>
          <w:color w:val="4472C4" w:themeColor="accent1"/>
          <w:sz w:val="24"/>
          <w:szCs w:val="24"/>
        </w:rPr>
      </w:pPr>
      <w:proofErr w:type="spellStart"/>
      <w:r w:rsidRPr="3ED611DE">
        <w:rPr>
          <w:color w:val="767171" w:themeColor="background2" w:themeShade="80"/>
          <w:sz w:val="24"/>
          <w:szCs w:val="24"/>
        </w:rPr>
        <w:t>Mirhosseini</w:t>
      </w:r>
      <w:proofErr w:type="spellEnd"/>
      <w:r w:rsidRPr="3ED611DE">
        <w:rPr>
          <w:color w:val="767171" w:themeColor="background2" w:themeShade="80"/>
          <w:sz w:val="24"/>
          <w:szCs w:val="24"/>
        </w:rPr>
        <w:t xml:space="preserve"> (2018, PP. 468-478) argues against the use of mixed method research due to the potential philosophical problems that may arise due to combining two techniques, such as the differential epistemological positions, methodological </w:t>
      </w:r>
      <w:r w:rsidR="00BA07FA" w:rsidRPr="3ED611DE">
        <w:rPr>
          <w:color w:val="767171" w:themeColor="background2" w:themeShade="80"/>
          <w:sz w:val="24"/>
          <w:szCs w:val="24"/>
        </w:rPr>
        <w:t>perspectives,</w:t>
      </w:r>
      <w:r w:rsidRPr="3ED611DE">
        <w:rPr>
          <w:color w:val="767171" w:themeColor="background2" w:themeShade="80"/>
          <w:sz w:val="24"/>
          <w:szCs w:val="24"/>
        </w:rPr>
        <w:t xml:space="preserve"> and research procedures. Baker (2020, PP. 251-260) </w:t>
      </w:r>
      <w:r w:rsidRPr="3ED611DE">
        <w:rPr>
          <w:rFonts w:eastAsiaTheme="minorEastAsia"/>
          <w:color w:val="767171" w:themeColor="background2" w:themeShade="80"/>
          <w:sz w:val="24"/>
          <w:szCs w:val="24"/>
        </w:rPr>
        <w:t xml:space="preserve">argues that when conducting mixed methods research, ethical considerations surrounding epistemology and impact should be considered. </w:t>
      </w:r>
      <w:r w:rsidRPr="3ED611DE">
        <w:rPr>
          <w:rFonts w:ascii="Calibri" w:eastAsia="Calibri" w:hAnsi="Calibri" w:cs="Calibri"/>
          <w:color w:val="767171" w:themeColor="background2" w:themeShade="80"/>
          <w:sz w:val="24"/>
          <w:szCs w:val="24"/>
        </w:rPr>
        <w:t xml:space="preserve">Although it is critical not to influence or bias what you are observing, it is also essential to understand the insiders' meanings and perspectives (Zhang, Foo &amp; </w:t>
      </w:r>
      <w:proofErr w:type="spellStart"/>
      <w:r w:rsidRPr="3ED611DE">
        <w:rPr>
          <w:rFonts w:ascii="Calibri" w:eastAsia="Calibri" w:hAnsi="Calibri" w:cs="Calibri"/>
          <w:color w:val="767171" w:themeColor="background2" w:themeShade="80"/>
          <w:sz w:val="24"/>
          <w:szCs w:val="24"/>
        </w:rPr>
        <w:t>Vassolo</w:t>
      </w:r>
      <w:proofErr w:type="spellEnd"/>
      <w:r w:rsidRPr="3ED611DE">
        <w:rPr>
          <w:rFonts w:ascii="Calibri" w:eastAsia="Calibri" w:hAnsi="Calibri" w:cs="Calibri"/>
          <w:color w:val="767171" w:themeColor="background2" w:themeShade="80"/>
          <w:sz w:val="24"/>
          <w:szCs w:val="24"/>
        </w:rPr>
        <w:t>, 2021).</w:t>
      </w:r>
    </w:p>
    <w:p w14:paraId="52BAB056" w14:textId="4161332E" w:rsidR="37B87E75" w:rsidRDefault="37B87E75" w:rsidP="37B87E75"/>
    <w:p w14:paraId="03927FE2" w14:textId="4E2204EF" w:rsidR="37B87E75" w:rsidRDefault="37B87E75">
      <w:r>
        <w:br w:type="page"/>
      </w:r>
    </w:p>
    <w:p w14:paraId="2A7A78BB" w14:textId="619933CC" w:rsidR="37B87E75" w:rsidRDefault="37B87E75" w:rsidP="37B87E75"/>
    <w:p w14:paraId="6B0140E8" w14:textId="333AF362" w:rsidR="37B87E75" w:rsidRDefault="7B54B8BC" w:rsidP="3ED611DE">
      <w:pPr>
        <w:pStyle w:val="Heading1"/>
      </w:pPr>
      <w:bookmarkStart w:id="4" w:name="_Toc104396287"/>
      <w:r>
        <w:t>Proposed Data collection Procedure</w:t>
      </w:r>
      <w:bookmarkEnd w:id="4"/>
    </w:p>
    <w:p w14:paraId="7D3049B0" w14:textId="62627882" w:rsidR="02EBB6AB" w:rsidRDefault="02EBB6AB" w:rsidP="02EBB6AB"/>
    <w:p w14:paraId="1D0AEBD0" w14:textId="106602E2" w:rsidR="452B275C" w:rsidRDefault="75C81614" w:rsidP="3ED611DE">
      <w:pPr>
        <w:spacing w:line="360" w:lineRule="auto"/>
        <w:jc w:val="both"/>
        <w:rPr>
          <w:color w:val="767171" w:themeColor="background2" w:themeShade="80"/>
          <w:sz w:val="24"/>
          <w:szCs w:val="24"/>
        </w:rPr>
      </w:pPr>
      <w:r w:rsidRPr="3ED611DE">
        <w:rPr>
          <w:color w:val="767171" w:themeColor="background2" w:themeShade="80"/>
          <w:sz w:val="24"/>
          <w:szCs w:val="24"/>
        </w:rPr>
        <w:t xml:space="preserve">The researcher will meet with their academic supervisor on a regular basis as they work through the research project. Academic supervision is important to research, ensuring university standards are met, in addition to the researcher having a mentor, and as contribution to positive academic experiences (Beaudin et al., 2016, pp 32-38; Robnett et al., 2018, pp. 1-14). For both the qualitative and quantitative mixed methods of research, purposive sampling methods will be used to identify and select information-rich cases related to gender-based entrepreneur knowledge. Non-probability sampling requires researcher judgement when selecting participants, because this sample is based on a non-random criterion, risk of sampling bias increases due to some members of the population being more likely to be excluded than others. </w:t>
      </w:r>
    </w:p>
    <w:p w14:paraId="36A21E0E" w14:textId="38219230" w:rsidR="452B275C" w:rsidRDefault="452B275C" w:rsidP="3ED611DE">
      <w:pPr>
        <w:spacing w:line="360" w:lineRule="auto"/>
        <w:jc w:val="both"/>
        <w:rPr>
          <w:color w:val="767171" w:themeColor="background2" w:themeShade="80"/>
          <w:sz w:val="24"/>
          <w:szCs w:val="24"/>
        </w:rPr>
      </w:pPr>
    </w:p>
    <w:p w14:paraId="02726388" w14:textId="59B7FE34" w:rsidR="452B275C" w:rsidRDefault="5797DB41" w:rsidP="3ED611DE">
      <w:pPr>
        <w:spacing w:line="360" w:lineRule="auto"/>
        <w:jc w:val="both"/>
        <w:rPr>
          <w:color w:val="767171" w:themeColor="background2" w:themeShade="80"/>
          <w:sz w:val="24"/>
          <w:szCs w:val="24"/>
        </w:rPr>
      </w:pPr>
      <w:r w:rsidRPr="3ED611DE">
        <w:rPr>
          <w:color w:val="767171" w:themeColor="background2" w:themeShade="80"/>
          <w:sz w:val="24"/>
          <w:szCs w:val="24"/>
        </w:rPr>
        <w:t xml:space="preserve">Small to medium new business owners in Wales will make up the participant sample, providing information on key aspects and viewpoints connected to the study phenomena. </w:t>
      </w:r>
      <w:r w:rsidR="75C81614" w:rsidRPr="3ED611DE">
        <w:rPr>
          <w:color w:val="767171" w:themeColor="background2" w:themeShade="80"/>
          <w:sz w:val="24"/>
          <w:szCs w:val="24"/>
        </w:rPr>
        <w:t xml:space="preserve">The number of participants required will be 8-12 for the qualitative sample and 50-75 for the quantitative sample. </w:t>
      </w:r>
      <w:r w:rsidRPr="3ED611DE">
        <w:rPr>
          <w:color w:val="767171" w:themeColor="background2" w:themeShade="80"/>
          <w:sz w:val="24"/>
          <w:szCs w:val="24"/>
        </w:rPr>
        <w:t xml:space="preserve">Semi-structured research questions designed to examine relationships between variables will be utilised, allowing for any necessary probing of themes as they emerge during interview, and ensuring understanding. </w:t>
      </w:r>
      <w:r w:rsidRPr="3ED611DE">
        <w:rPr>
          <w:i/>
          <w:iCs/>
          <w:color w:val="767171" w:themeColor="background2" w:themeShade="80"/>
          <w:sz w:val="24"/>
          <w:szCs w:val="24"/>
        </w:rPr>
        <w:t>Microsoft</w:t>
      </w:r>
      <w:r w:rsidR="75C81614" w:rsidRPr="3ED611DE">
        <w:rPr>
          <w:i/>
          <w:iCs/>
          <w:color w:val="767171" w:themeColor="background2" w:themeShade="80"/>
          <w:sz w:val="24"/>
          <w:szCs w:val="24"/>
        </w:rPr>
        <w:t xml:space="preserve"> ™</w:t>
      </w:r>
      <w:r w:rsidRPr="3ED611DE">
        <w:rPr>
          <w:color w:val="767171" w:themeColor="background2" w:themeShade="80"/>
          <w:sz w:val="24"/>
          <w:szCs w:val="24"/>
        </w:rPr>
        <w:t xml:space="preserve"> forms will be used to design a questionnaire regarding the quant</w:t>
      </w:r>
      <w:r w:rsidR="3ED611DE" w:rsidRPr="3ED611DE">
        <w:rPr>
          <w:color w:val="767171" w:themeColor="background2" w:themeShade="80"/>
          <w:sz w:val="24"/>
          <w:szCs w:val="24"/>
        </w:rPr>
        <w:t xml:space="preserve">itative research, this will enable collection of data for a positivism analysis. </w:t>
      </w:r>
    </w:p>
    <w:p w14:paraId="7F6694D5" w14:textId="3139DAC3" w:rsidR="452B275C" w:rsidRDefault="452B275C" w:rsidP="3ED611DE">
      <w:pPr>
        <w:spacing w:line="360" w:lineRule="auto"/>
        <w:rPr>
          <w:color w:val="767171" w:themeColor="background2" w:themeShade="80"/>
          <w:sz w:val="24"/>
          <w:szCs w:val="24"/>
        </w:rPr>
      </w:pPr>
    </w:p>
    <w:p w14:paraId="3E77789A" w14:textId="0F68F2C3" w:rsidR="452B275C" w:rsidRDefault="75C81614" w:rsidP="3ED611DE">
      <w:pPr>
        <w:spacing w:line="360" w:lineRule="auto"/>
        <w:jc w:val="both"/>
        <w:rPr>
          <w:color w:val="767171" w:themeColor="background2" w:themeShade="80"/>
          <w:sz w:val="24"/>
          <w:szCs w:val="24"/>
        </w:rPr>
      </w:pPr>
      <w:r w:rsidRPr="3ED611DE">
        <w:rPr>
          <w:color w:val="767171" w:themeColor="background2" w:themeShade="80"/>
          <w:sz w:val="24"/>
          <w:szCs w:val="24"/>
        </w:rPr>
        <w:t xml:space="preserve">Online interviews will be conducted due to logistical factors, </w:t>
      </w:r>
      <w:r w:rsidR="00BA07FA" w:rsidRPr="3ED611DE">
        <w:rPr>
          <w:color w:val="767171" w:themeColor="background2" w:themeShade="80"/>
          <w:sz w:val="24"/>
          <w:szCs w:val="24"/>
        </w:rPr>
        <w:t>costs,</w:t>
      </w:r>
      <w:r w:rsidRPr="3ED611DE">
        <w:rPr>
          <w:color w:val="767171" w:themeColor="background2" w:themeShade="80"/>
          <w:sz w:val="24"/>
          <w:szCs w:val="24"/>
        </w:rPr>
        <w:t xml:space="preserve"> and additional benefit that recordings provide to the researcher. The research parameters will include a maintained interview setting via </w:t>
      </w:r>
      <w:r w:rsidRPr="3ED611DE">
        <w:rPr>
          <w:i/>
          <w:iCs/>
          <w:color w:val="767171" w:themeColor="background2" w:themeShade="80"/>
          <w:sz w:val="24"/>
          <w:szCs w:val="24"/>
        </w:rPr>
        <w:t>Microsoft™ Teams</w:t>
      </w:r>
      <w:r w:rsidRPr="3ED611DE">
        <w:rPr>
          <w:color w:val="767171" w:themeColor="background2" w:themeShade="80"/>
          <w:sz w:val="24"/>
          <w:szCs w:val="24"/>
        </w:rPr>
        <w:t xml:space="preserve">, as well as the distribution of consent forms prior to interview, outlining key factors such as; informed consent, data privacy, anonymity, and confidentiality.  Recordings of the interviews and transcriptions will be made and stored on a passworded file within the university’s computer system. Ethical compliance will be obtained prior to research and adhered to throughout the study. To provide assurance an ethics form will </w:t>
      </w:r>
      <w:r w:rsidRPr="3ED611DE">
        <w:rPr>
          <w:color w:val="767171" w:themeColor="background2" w:themeShade="80"/>
          <w:sz w:val="24"/>
          <w:szCs w:val="24"/>
        </w:rPr>
        <w:lastRenderedPageBreak/>
        <w:t xml:space="preserve">be provided to respondents prior to interview, detailing associated confidentiality, data collection, </w:t>
      </w:r>
      <w:r w:rsidR="00BA07FA" w:rsidRPr="3ED611DE">
        <w:rPr>
          <w:color w:val="767171" w:themeColor="background2" w:themeShade="80"/>
          <w:sz w:val="24"/>
          <w:szCs w:val="24"/>
        </w:rPr>
        <w:t>storage,</w:t>
      </w:r>
      <w:r w:rsidRPr="3ED611DE">
        <w:rPr>
          <w:color w:val="767171" w:themeColor="background2" w:themeShade="80"/>
          <w:sz w:val="24"/>
          <w:szCs w:val="24"/>
        </w:rPr>
        <w:t xml:space="preserve"> and disposal safeguards.</w:t>
      </w:r>
    </w:p>
    <w:p w14:paraId="3EED1E06" w14:textId="0C6957CE" w:rsidR="37B87E75" w:rsidRDefault="37B87E75" w:rsidP="37B87E75"/>
    <w:p w14:paraId="1835F5DD" w14:textId="22B941A0" w:rsidR="37B87E75" w:rsidRDefault="37B87E75">
      <w:r>
        <w:br w:type="page"/>
      </w:r>
    </w:p>
    <w:p w14:paraId="43554761" w14:textId="1FA2973A" w:rsidR="37B87E75" w:rsidRDefault="37B87E75" w:rsidP="37B87E75"/>
    <w:p w14:paraId="02D78CBD" w14:textId="44E12815" w:rsidR="37B87E75" w:rsidRDefault="7B54B8BC" w:rsidP="37B87E75">
      <w:pPr>
        <w:pStyle w:val="Heading1"/>
        <w:rPr>
          <w:rFonts w:ascii="Calibri Light" w:hAnsi="Calibri Light"/>
        </w:rPr>
      </w:pPr>
      <w:bookmarkStart w:id="5" w:name="_Toc104396288"/>
      <w:r>
        <w:t>Planned Data Analysis and Presentation</w:t>
      </w:r>
      <w:bookmarkEnd w:id="5"/>
    </w:p>
    <w:p w14:paraId="1E4C4D72" w14:textId="5DE96229" w:rsidR="3ED611DE" w:rsidRDefault="3ED611DE" w:rsidP="3ED611DE"/>
    <w:p w14:paraId="0A57C8D6" w14:textId="741C7875" w:rsidR="37B87E75" w:rsidRDefault="3ED611DE" w:rsidP="00BA07FA">
      <w:pPr>
        <w:spacing w:line="360" w:lineRule="auto"/>
        <w:jc w:val="both"/>
      </w:pPr>
      <w:r w:rsidRPr="3ED611DE">
        <w:rPr>
          <w:color w:val="767171" w:themeColor="background2" w:themeShade="80"/>
          <w:sz w:val="24"/>
          <w:szCs w:val="24"/>
        </w:rPr>
        <w:t>The interviews will be transcribed into a</w:t>
      </w:r>
      <w:r w:rsidRPr="3ED611DE">
        <w:rPr>
          <w:i/>
          <w:iCs/>
          <w:color w:val="767171" w:themeColor="background2" w:themeShade="80"/>
          <w:sz w:val="24"/>
          <w:szCs w:val="24"/>
        </w:rPr>
        <w:t xml:space="preserve"> Microsoft</w:t>
      </w:r>
      <w:r w:rsidR="75C81614" w:rsidRPr="3ED611DE">
        <w:rPr>
          <w:i/>
          <w:iCs/>
          <w:color w:val="767171" w:themeColor="background2" w:themeShade="80"/>
          <w:sz w:val="24"/>
          <w:szCs w:val="24"/>
        </w:rPr>
        <w:t xml:space="preserve"> ™ </w:t>
      </w:r>
      <w:r w:rsidRPr="3ED611DE">
        <w:rPr>
          <w:i/>
          <w:iCs/>
          <w:color w:val="767171" w:themeColor="background2" w:themeShade="80"/>
          <w:sz w:val="24"/>
          <w:szCs w:val="24"/>
        </w:rPr>
        <w:t>Word</w:t>
      </w:r>
      <w:r w:rsidRPr="3ED611DE">
        <w:rPr>
          <w:color w:val="767171" w:themeColor="background2" w:themeShade="80"/>
          <w:sz w:val="24"/>
          <w:szCs w:val="24"/>
        </w:rPr>
        <w:t xml:space="preserve"> document, and the survey results will be exported to a </w:t>
      </w:r>
      <w:r w:rsidRPr="3ED611DE">
        <w:rPr>
          <w:i/>
          <w:iCs/>
          <w:color w:val="767171" w:themeColor="background2" w:themeShade="80"/>
          <w:sz w:val="24"/>
          <w:szCs w:val="24"/>
        </w:rPr>
        <w:t>Microsoft™ Excel</w:t>
      </w:r>
      <w:r w:rsidRPr="3ED611DE">
        <w:rPr>
          <w:color w:val="767171" w:themeColor="background2" w:themeShade="80"/>
          <w:sz w:val="24"/>
          <w:szCs w:val="24"/>
        </w:rPr>
        <w:t xml:space="preserve"> spreadsheet. Participants' experiences will be scrutinised using thematic analysis approaches uncovering common themes in the qualitative study. The quantitative research will involve assigning numerical values to the data, importing it into</w:t>
      </w:r>
      <w:r w:rsidRPr="3ED611DE">
        <w:rPr>
          <w:rFonts w:ascii="Calibri" w:eastAsia="Calibri" w:hAnsi="Calibri" w:cs="Calibri"/>
          <w:i/>
          <w:iCs/>
          <w:color w:val="767171" w:themeColor="background2" w:themeShade="80"/>
          <w:sz w:val="24"/>
          <w:szCs w:val="24"/>
        </w:rPr>
        <w:t xml:space="preserve"> IBM® SPSS®</w:t>
      </w:r>
      <w:r w:rsidRPr="3ED611DE">
        <w:rPr>
          <w:color w:val="767171" w:themeColor="background2" w:themeShade="80"/>
          <w:sz w:val="24"/>
          <w:szCs w:val="24"/>
        </w:rPr>
        <w:t>, and analysing it using statistics and graphs to gain meaning from the numbers.</w:t>
      </w:r>
    </w:p>
    <w:p w14:paraId="2E519A49" w14:textId="0D9C26AF" w:rsidR="00BA07FA" w:rsidRDefault="00BA07FA">
      <w:r>
        <w:br w:type="page"/>
      </w:r>
    </w:p>
    <w:p w14:paraId="3A84C0D2" w14:textId="77777777" w:rsidR="37B87E75" w:rsidRDefault="37B87E75" w:rsidP="37B87E75"/>
    <w:p w14:paraId="0ABF55CD" w14:textId="2D27EE1A" w:rsidR="37B87E75" w:rsidRDefault="7B54B8BC" w:rsidP="3ED611DE">
      <w:pPr>
        <w:pStyle w:val="Heading1"/>
      </w:pPr>
      <w:bookmarkStart w:id="6" w:name="_Toc104396289"/>
      <w:r>
        <w:t>Research Planning</w:t>
      </w:r>
      <w:bookmarkEnd w:id="6"/>
      <w:r>
        <w:t xml:space="preserve"> </w:t>
      </w:r>
    </w:p>
    <w:p w14:paraId="431D7595" w14:textId="584E3162" w:rsidR="37B87E75" w:rsidRDefault="37B87E75" w:rsidP="3ED611DE"/>
    <w:p w14:paraId="0B9DA917" w14:textId="04DD9191" w:rsidR="37B87E75" w:rsidRDefault="3ED611DE" w:rsidP="3ED611DE">
      <w:pPr>
        <w:pStyle w:val="Heading2"/>
      </w:pPr>
      <w:bookmarkStart w:id="7" w:name="_Toc104396290"/>
      <w:r>
        <w:t>Limitations</w:t>
      </w:r>
      <w:bookmarkEnd w:id="7"/>
    </w:p>
    <w:p w14:paraId="0FE0F0FB" w14:textId="47A34D47" w:rsidR="37B87E75" w:rsidRDefault="37B87E75" w:rsidP="3ED611DE"/>
    <w:p w14:paraId="776BCEE0" w14:textId="351F3FCA" w:rsidR="37B87E75" w:rsidRDefault="3ED611DE" w:rsidP="3ED611DE">
      <w:pPr>
        <w:spacing w:line="360" w:lineRule="auto"/>
        <w:jc w:val="both"/>
        <w:rPr>
          <w:color w:val="767171" w:themeColor="background2" w:themeShade="80"/>
          <w:sz w:val="24"/>
          <w:szCs w:val="24"/>
        </w:rPr>
      </w:pPr>
      <w:r w:rsidRPr="3ED611DE">
        <w:rPr>
          <w:color w:val="767171" w:themeColor="background2" w:themeShade="80"/>
          <w:sz w:val="24"/>
          <w:szCs w:val="24"/>
        </w:rPr>
        <w:t>A study's defects or weaknesses are its limitations. Due to constraints in research design, technique, and materials, study limitations may emerge. Although limitations address a study's possible flaws, mentioning and assessing the potential risks they may cause to research during the proposal helps expose any issues, enabling the researcher to apply a control framework, and mitigate against risk.</w:t>
      </w:r>
    </w:p>
    <w:p w14:paraId="67328A69" w14:textId="50FEC2D4" w:rsidR="37B87E75" w:rsidRDefault="37B87E75" w:rsidP="3ED611DE">
      <w:pPr>
        <w:spacing w:line="360" w:lineRule="auto"/>
        <w:jc w:val="both"/>
        <w:rPr>
          <w:color w:val="767171" w:themeColor="background2" w:themeShade="80"/>
          <w:sz w:val="24"/>
          <w:szCs w:val="24"/>
        </w:rPr>
      </w:pPr>
    </w:p>
    <w:p w14:paraId="338B59E5" w14:textId="5D4F0068" w:rsidR="37B87E75" w:rsidRDefault="3ED611DE" w:rsidP="00BA07FA">
      <w:pPr>
        <w:spacing w:line="360" w:lineRule="auto"/>
        <w:jc w:val="both"/>
      </w:pPr>
      <w:r w:rsidRPr="3ED611DE">
        <w:rPr>
          <w:color w:val="767171" w:themeColor="background2" w:themeShade="80"/>
          <w:sz w:val="24"/>
          <w:szCs w:val="24"/>
        </w:rPr>
        <w:t>Using the risk matrix (Fig –1</w:t>
      </w:r>
      <w:r w:rsidR="00BA07FA">
        <w:rPr>
          <w:color w:val="767171" w:themeColor="background2" w:themeShade="80"/>
          <w:sz w:val="24"/>
          <w:szCs w:val="24"/>
        </w:rPr>
        <w:t>, page 13</w:t>
      </w:r>
      <w:r w:rsidRPr="3ED611DE">
        <w:rPr>
          <w:color w:val="767171" w:themeColor="background2" w:themeShade="80"/>
          <w:sz w:val="24"/>
          <w:szCs w:val="24"/>
        </w:rPr>
        <w:t xml:space="preserve">) the researcher collated a list of possible limitations they may face during the study; these were assessed by awarding a value to their likelihood and their consequence, with an overall risk score being awarded. The researcher flagged these into a </w:t>
      </w:r>
      <w:proofErr w:type="spellStart"/>
      <w:r w:rsidRPr="3ED611DE">
        <w:rPr>
          <w:i/>
          <w:iCs/>
          <w:color w:val="767171" w:themeColor="background2" w:themeShade="80"/>
          <w:sz w:val="24"/>
          <w:szCs w:val="24"/>
        </w:rPr>
        <w:t>ragy</w:t>
      </w:r>
      <w:proofErr w:type="spellEnd"/>
      <w:r w:rsidRPr="3ED611DE">
        <w:rPr>
          <w:color w:val="767171" w:themeColor="background2" w:themeShade="80"/>
          <w:sz w:val="24"/>
          <w:szCs w:val="24"/>
        </w:rPr>
        <w:t xml:space="preserve"> format (red, amber, green, yellow) and a proposed recommended actions provided should they occur (Fig-2</w:t>
      </w:r>
      <w:r w:rsidR="00BA07FA">
        <w:rPr>
          <w:color w:val="767171" w:themeColor="background2" w:themeShade="80"/>
          <w:sz w:val="24"/>
          <w:szCs w:val="24"/>
        </w:rPr>
        <w:t>, page 14</w:t>
      </w:r>
      <w:r w:rsidRPr="3ED611DE">
        <w:rPr>
          <w:color w:val="767171" w:themeColor="background2" w:themeShade="80"/>
          <w:sz w:val="24"/>
          <w:szCs w:val="24"/>
        </w:rPr>
        <w:t>)</w:t>
      </w:r>
      <w:r w:rsidR="00BA07FA">
        <w:rPr>
          <w:color w:val="767171" w:themeColor="background2" w:themeShade="80"/>
          <w:sz w:val="24"/>
          <w:szCs w:val="24"/>
        </w:rPr>
        <w:t>.</w:t>
      </w:r>
    </w:p>
    <w:p w14:paraId="5DCF1BBF" w14:textId="28D732B8" w:rsidR="37B87E75" w:rsidRDefault="3ED611DE" w:rsidP="3ED611DE">
      <w:pPr>
        <w:jc w:val="center"/>
      </w:pPr>
      <w:r>
        <w:rPr>
          <w:noProof/>
        </w:rPr>
        <w:lastRenderedPageBreak/>
        <w:drawing>
          <wp:inline distT="0" distB="0" distL="0" distR="0" wp14:anchorId="036B79FE" wp14:editId="0D0CE0B6">
            <wp:extent cx="4514850" cy="4229100"/>
            <wp:effectExtent l="76200" t="76200" r="114300" b="114300"/>
            <wp:docPr id="1127672868" name="Picture 11276728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l="1250"/>
                    <a:stretch>
                      <a:fillRect/>
                    </a:stretch>
                  </pic:blipFill>
                  <pic:spPr>
                    <a:xfrm>
                      <a:off x="0" y="0"/>
                      <a:ext cx="4514850" cy="4229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7D5FA2" w14:textId="4B97016A" w:rsidR="37B87E75" w:rsidRDefault="3ED611DE" w:rsidP="3ED611DE">
      <w:pPr>
        <w:jc w:val="center"/>
        <w:rPr>
          <w:color w:val="767171" w:themeColor="background2" w:themeShade="80"/>
          <w:sz w:val="16"/>
          <w:szCs w:val="16"/>
        </w:rPr>
      </w:pPr>
      <w:r w:rsidRPr="3ED611DE">
        <w:rPr>
          <w:color w:val="767171" w:themeColor="background2" w:themeShade="80"/>
          <w:sz w:val="16"/>
          <w:szCs w:val="16"/>
        </w:rPr>
        <w:t>Figure 1 – Graph displaying a Risk Matrix (Kubra Kaya, 2018)</w:t>
      </w:r>
    </w:p>
    <w:p w14:paraId="1C5BA2BD" w14:textId="17E43818" w:rsidR="37B87E75" w:rsidRDefault="37B87E75" w:rsidP="3ED611DE">
      <w:pPr>
        <w:jc w:val="center"/>
        <w:rPr>
          <w:color w:val="767171" w:themeColor="background2" w:themeShade="80"/>
          <w:sz w:val="16"/>
          <w:szCs w:val="16"/>
        </w:rPr>
      </w:pPr>
    </w:p>
    <w:p w14:paraId="4F53DED0" w14:textId="54D92B4C" w:rsidR="37B87E75" w:rsidRDefault="37B87E75" w:rsidP="3ED611DE">
      <w:r>
        <w:br w:type="page"/>
      </w:r>
    </w:p>
    <w:p w14:paraId="284A516B" w14:textId="77394089" w:rsidR="37B87E75" w:rsidRDefault="37B87E75" w:rsidP="3ED611DE"/>
    <w:p w14:paraId="690F9864" w14:textId="599DE837" w:rsidR="37B87E75" w:rsidRDefault="37B87E75" w:rsidP="3ED611DE"/>
    <w:p w14:paraId="34CCD7D8" w14:textId="144C0C24" w:rsidR="37B87E75" w:rsidRDefault="3ED611DE" w:rsidP="3ED611DE">
      <w:pPr>
        <w:jc w:val="center"/>
      </w:pPr>
      <w:r>
        <w:rPr>
          <w:noProof/>
        </w:rPr>
        <w:drawing>
          <wp:inline distT="0" distB="0" distL="0" distR="0" wp14:anchorId="4C5DFD15" wp14:editId="31F4095E">
            <wp:extent cx="5975416" cy="5240938"/>
            <wp:effectExtent l="76200" t="76200" r="120650" b="112395"/>
            <wp:docPr id="68497060" name="Picture 68497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a:stretch>
                      <a:fillRect/>
                    </a:stretch>
                  </pic:blipFill>
                  <pic:spPr>
                    <a:xfrm>
                      <a:off x="0" y="0"/>
                      <a:ext cx="5975416" cy="52409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CCA590" w14:textId="7F3C110F" w:rsidR="37B87E75" w:rsidRDefault="3ED611DE" w:rsidP="3ED611DE">
      <w:pPr>
        <w:jc w:val="center"/>
        <w:rPr>
          <w:color w:val="767171" w:themeColor="background2" w:themeShade="80"/>
          <w:sz w:val="16"/>
          <w:szCs w:val="16"/>
        </w:rPr>
      </w:pPr>
      <w:r w:rsidRPr="3ED611DE">
        <w:rPr>
          <w:color w:val="767171" w:themeColor="background2" w:themeShade="80"/>
          <w:sz w:val="16"/>
          <w:szCs w:val="16"/>
        </w:rPr>
        <w:t>Figure 2 – Table displaying limitations to the study with risk score and control (Joy, 2022)</w:t>
      </w:r>
    </w:p>
    <w:p w14:paraId="1759B076" w14:textId="09A517FB" w:rsidR="37B87E75" w:rsidRDefault="3ED611DE" w:rsidP="3ED611DE">
      <w:pPr>
        <w:spacing w:line="360" w:lineRule="auto"/>
        <w:jc w:val="center"/>
        <w:rPr>
          <w:rFonts w:eastAsiaTheme="minorEastAsia"/>
          <w:color w:val="767171" w:themeColor="background2" w:themeShade="80"/>
          <w:sz w:val="24"/>
          <w:szCs w:val="24"/>
        </w:rPr>
      </w:pPr>
      <w:r w:rsidRPr="3ED611DE">
        <w:rPr>
          <w:color w:val="767171" w:themeColor="background2" w:themeShade="80"/>
          <w:sz w:val="16"/>
          <w:szCs w:val="16"/>
        </w:rPr>
        <w:t xml:space="preserve">Discussed within the table are government policies </w:t>
      </w:r>
      <w:r w:rsidRPr="3ED611DE">
        <w:rPr>
          <w:rFonts w:eastAsiaTheme="minorEastAsia"/>
          <w:color w:val="767171" w:themeColor="background2" w:themeShade="80"/>
          <w:sz w:val="16"/>
          <w:szCs w:val="16"/>
        </w:rPr>
        <w:t>(Welsh Government, 2022a) (Welsh Government, 2022b)</w:t>
      </w:r>
    </w:p>
    <w:p w14:paraId="6C6CBC9D" w14:textId="7D85BE3B" w:rsidR="37B87E75" w:rsidRDefault="37B87E75">
      <w:r>
        <w:br w:type="page"/>
      </w:r>
    </w:p>
    <w:p w14:paraId="78C8997F" w14:textId="2475802F" w:rsidR="37B87E75" w:rsidRDefault="37B87E75" w:rsidP="37B87E75"/>
    <w:p w14:paraId="59AAA71D" w14:textId="4FC99999" w:rsidR="37B87E75" w:rsidRDefault="7B54B8BC" w:rsidP="3ED611DE">
      <w:pPr>
        <w:pStyle w:val="Heading1"/>
      </w:pPr>
      <w:bookmarkStart w:id="8" w:name="_Toc104396291"/>
      <w:r>
        <w:t>Ethical Considerations</w:t>
      </w:r>
      <w:bookmarkEnd w:id="8"/>
      <w:r>
        <w:t xml:space="preserve"> </w:t>
      </w:r>
    </w:p>
    <w:p w14:paraId="28D0CD34" w14:textId="069D3F95" w:rsidR="3ED611DE" w:rsidRDefault="3ED611DE" w:rsidP="3ED611DE"/>
    <w:p w14:paraId="78584C2F" w14:textId="5B462602" w:rsidR="3ED611DE" w:rsidRDefault="3ED611DE" w:rsidP="3ED611DE"/>
    <w:p w14:paraId="3EB5D909" w14:textId="77777777" w:rsidR="00BE3CC1" w:rsidRDefault="3ED611DE" w:rsidP="00BA07FA">
      <w:pPr>
        <w:spacing w:line="360" w:lineRule="auto"/>
        <w:jc w:val="both"/>
        <w:rPr>
          <w:rFonts w:eastAsiaTheme="minorEastAsia"/>
          <w:color w:val="767171" w:themeColor="background2" w:themeShade="80"/>
          <w:sz w:val="24"/>
          <w:szCs w:val="24"/>
        </w:rPr>
      </w:pPr>
      <w:r w:rsidRPr="3ED611DE">
        <w:rPr>
          <w:rFonts w:eastAsiaTheme="minorEastAsia"/>
          <w:color w:val="767171" w:themeColor="background2" w:themeShade="80"/>
          <w:sz w:val="24"/>
          <w:szCs w:val="24"/>
        </w:rPr>
        <w:t xml:space="preserve">Ethics can be defined as a method, </w:t>
      </w:r>
      <w:r w:rsidR="00BA07FA" w:rsidRPr="3ED611DE">
        <w:rPr>
          <w:rFonts w:eastAsiaTheme="minorEastAsia"/>
          <w:color w:val="767171" w:themeColor="background2" w:themeShade="80"/>
          <w:sz w:val="24"/>
          <w:szCs w:val="24"/>
        </w:rPr>
        <w:t>procedure,</w:t>
      </w:r>
      <w:r w:rsidRPr="3ED611DE">
        <w:rPr>
          <w:rFonts w:eastAsiaTheme="minorEastAsia"/>
          <w:color w:val="767171" w:themeColor="background2" w:themeShade="80"/>
          <w:sz w:val="24"/>
          <w:szCs w:val="24"/>
        </w:rPr>
        <w:t xml:space="preserve"> or perspective for deciding how to act and for analysing complex problems or issues (Rendtorff, 2020, pp. 783-797). </w:t>
      </w:r>
      <w:r w:rsidR="003F5FDA">
        <w:rPr>
          <w:rFonts w:eastAsiaTheme="minorEastAsia"/>
          <w:color w:val="767171" w:themeColor="background2" w:themeShade="80"/>
          <w:sz w:val="24"/>
          <w:szCs w:val="24"/>
        </w:rPr>
        <w:t>The terminology used within the study regarding a</w:t>
      </w:r>
      <w:r w:rsidR="003F5FDA" w:rsidRPr="003F5FDA">
        <w:rPr>
          <w:rFonts w:eastAsiaTheme="minorEastAsia"/>
          <w:color w:val="767171" w:themeColor="background2" w:themeShade="80"/>
          <w:sz w:val="24"/>
          <w:szCs w:val="24"/>
        </w:rPr>
        <w:t xml:space="preserve">cademic researchers </w:t>
      </w:r>
      <w:r w:rsidR="003F5FDA" w:rsidRPr="003F5FDA">
        <w:rPr>
          <w:rFonts w:eastAsiaTheme="minorEastAsia"/>
          <w:color w:val="767171" w:themeColor="background2" w:themeShade="80"/>
          <w:sz w:val="24"/>
          <w:szCs w:val="24"/>
        </w:rPr>
        <w:t xml:space="preserve">will be defined as </w:t>
      </w:r>
      <w:r w:rsidR="003F5FDA" w:rsidRPr="003F5FDA">
        <w:rPr>
          <w:rFonts w:eastAsiaTheme="minorEastAsia"/>
          <w:color w:val="767171" w:themeColor="background2" w:themeShade="80"/>
          <w:sz w:val="24"/>
          <w:szCs w:val="24"/>
        </w:rPr>
        <w:t>experts and participants as subjects</w:t>
      </w:r>
      <w:r w:rsidR="003F5FDA" w:rsidRPr="003F5FDA">
        <w:rPr>
          <w:rFonts w:eastAsiaTheme="minorEastAsia"/>
          <w:color w:val="767171" w:themeColor="background2" w:themeShade="80"/>
          <w:sz w:val="24"/>
          <w:szCs w:val="24"/>
        </w:rPr>
        <w:t xml:space="preserve">, </w:t>
      </w:r>
      <w:r w:rsidR="003F5FDA" w:rsidRPr="003F5FDA">
        <w:rPr>
          <w:rFonts w:eastAsiaTheme="minorEastAsia"/>
          <w:color w:val="767171" w:themeColor="background2" w:themeShade="80"/>
          <w:sz w:val="24"/>
          <w:szCs w:val="24"/>
        </w:rPr>
        <w:t>is addressed by standard ethics norms</w:t>
      </w:r>
      <w:r w:rsidR="003F5FDA" w:rsidRPr="003F5FDA">
        <w:rPr>
          <w:rFonts w:eastAsiaTheme="minorEastAsia"/>
          <w:color w:val="767171" w:themeColor="background2" w:themeShade="80"/>
          <w:sz w:val="24"/>
          <w:szCs w:val="24"/>
        </w:rPr>
        <w:t xml:space="preserve"> (</w:t>
      </w:r>
      <w:proofErr w:type="spellStart"/>
      <w:r w:rsidR="003F5FDA" w:rsidRPr="003F5FDA">
        <w:rPr>
          <w:rFonts w:eastAsiaTheme="minorEastAsia"/>
          <w:color w:val="767171" w:themeColor="background2" w:themeShade="80"/>
          <w:sz w:val="24"/>
          <w:szCs w:val="24"/>
        </w:rPr>
        <w:t>Iphofen</w:t>
      </w:r>
      <w:proofErr w:type="spellEnd"/>
      <w:r w:rsidR="003F5FDA" w:rsidRPr="003F5FDA">
        <w:rPr>
          <w:rFonts w:eastAsiaTheme="minorEastAsia"/>
          <w:color w:val="767171" w:themeColor="background2" w:themeShade="80"/>
          <w:sz w:val="24"/>
          <w:szCs w:val="24"/>
        </w:rPr>
        <w:t xml:space="preserve"> &amp; </w:t>
      </w:r>
      <w:proofErr w:type="spellStart"/>
      <w:r w:rsidR="003F5FDA" w:rsidRPr="003F5FDA">
        <w:rPr>
          <w:rFonts w:eastAsiaTheme="minorEastAsia"/>
          <w:color w:val="767171" w:themeColor="background2" w:themeShade="80"/>
          <w:sz w:val="24"/>
          <w:szCs w:val="24"/>
        </w:rPr>
        <w:t>Tolich</w:t>
      </w:r>
      <w:proofErr w:type="spellEnd"/>
      <w:r w:rsidR="003F5FDA" w:rsidRPr="003F5FDA">
        <w:rPr>
          <w:rFonts w:eastAsiaTheme="minorEastAsia"/>
          <w:color w:val="767171" w:themeColor="background2" w:themeShade="80"/>
          <w:sz w:val="24"/>
          <w:szCs w:val="24"/>
        </w:rPr>
        <w:t>, 2018, pp. 356)</w:t>
      </w:r>
      <w:r w:rsidR="003F5FDA">
        <w:rPr>
          <w:rFonts w:eastAsiaTheme="minorEastAsia"/>
          <w:color w:val="767171" w:themeColor="background2" w:themeShade="80"/>
          <w:sz w:val="24"/>
          <w:szCs w:val="24"/>
        </w:rPr>
        <w:t>.</w:t>
      </w:r>
      <w:r w:rsidR="00BE3CC1">
        <w:rPr>
          <w:rFonts w:eastAsiaTheme="minorEastAsia"/>
          <w:color w:val="767171" w:themeColor="background2" w:themeShade="80"/>
          <w:sz w:val="24"/>
          <w:szCs w:val="24"/>
        </w:rPr>
        <w:t xml:space="preserve"> </w:t>
      </w:r>
      <w:r w:rsidR="00BE3CC1" w:rsidRPr="00BE3CC1">
        <w:rPr>
          <w:rFonts w:eastAsiaTheme="minorEastAsia"/>
          <w:color w:val="767171" w:themeColor="background2" w:themeShade="80"/>
          <w:sz w:val="24"/>
          <w:szCs w:val="24"/>
        </w:rPr>
        <w:t>White (2020, pp. 16-33) State how governance standards have increased surrounding social science to the point where the chance of harm to individuals engaging in research have diminished.</w:t>
      </w:r>
    </w:p>
    <w:p w14:paraId="6D554809" w14:textId="77777777" w:rsidR="00BE3CC1" w:rsidRDefault="00BE3CC1" w:rsidP="00BA07FA">
      <w:pPr>
        <w:spacing w:line="360" w:lineRule="auto"/>
        <w:jc w:val="both"/>
        <w:rPr>
          <w:rFonts w:eastAsiaTheme="minorEastAsia"/>
          <w:color w:val="767171" w:themeColor="background2" w:themeShade="80"/>
          <w:sz w:val="24"/>
          <w:szCs w:val="24"/>
        </w:rPr>
      </w:pPr>
    </w:p>
    <w:p w14:paraId="5ED47775" w14:textId="6153F7C6" w:rsidR="003F5FDA" w:rsidRDefault="00655B99" w:rsidP="00BA07FA">
      <w:pPr>
        <w:spacing w:line="360" w:lineRule="auto"/>
        <w:jc w:val="both"/>
        <w:rPr>
          <w:color w:val="767171" w:themeColor="background2" w:themeShade="80"/>
          <w:sz w:val="24"/>
          <w:szCs w:val="24"/>
        </w:rPr>
      </w:pPr>
      <w:r w:rsidRPr="3ED611DE">
        <w:rPr>
          <w:color w:val="767171" w:themeColor="background2" w:themeShade="80"/>
          <w:sz w:val="24"/>
          <w:szCs w:val="24"/>
        </w:rPr>
        <w:t>There are several reasons why it is critical the researcher should adhere to ethical standards and promote values that are essential within research, such as collaboration and coordination among different people from various disciplines and backgrounds, they promote trust, accountability, mutual respect, and fairness, in addition to aiding the researcher to achieve the studies goals, advancing knowledge, and to avoiding error, in line with the university's ethical standards.</w:t>
      </w:r>
    </w:p>
    <w:p w14:paraId="6937404A" w14:textId="07AA366C" w:rsidR="00BA07FA" w:rsidRDefault="00BA07FA" w:rsidP="00BA07FA">
      <w:pPr>
        <w:spacing w:line="360" w:lineRule="auto"/>
        <w:jc w:val="both"/>
        <w:rPr>
          <w:color w:val="767171" w:themeColor="background2" w:themeShade="80"/>
          <w:sz w:val="24"/>
          <w:szCs w:val="24"/>
        </w:rPr>
      </w:pPr>
    </w:p>
    <w:p w14:paraId="0C1E31A1" w14:textId="3AC0B999" w:rsidR="3ED611DE" w:rsidRDefault="3ED611DE" w:rsidP="3ED611DE">
      <w:pPr>
        <w:spacing w:line="360" w:lineRule="auto"/>
        <w:jc w:val="both"/>
        <w:rPr>
          <w:color w:val="767171" w:themeColor="background2" w:themeShade="80"/>
          <w:sz w:val="24"/>
          <w:szCs w:val="24"/>
        </w:rPr>
      </w:pPr>
      <w:r w:rsidRPr="00BA07FA">
        <w:rPr>
          <w:color w:val="767171" w:themeColor="background2" w:themeShade="80"/>
          <w:sz w:val="24"/>
          <w:szCs w:val="24"/>
        </w:rPr>
        <w:t xml:space="preserve">To mitigate harm to </w:t>
      </w:r>
      <w:r w:rsidR="002610E0">
        <w:rPr>
          <w:color w:val="767171" w:themeColor="background2" w:themeShade="80"/>
          <w:sz w:val="24"/>
          <w:szCs w:val="24"/>
        </w:rPr>
        <w:t>respondents the researcher and university p</w:t>
      </w:r>
      <w:r w:rsidRPr="3ED611DE">
        <w:rPr>
          <w:color w:val="767171" w:themeColor="background2" w:themeShade="80"/>
          <w:sz w:val="24"/>
          <w:szCs w:val="24"/>
        </w:rPr>
        <w:t xml:space="preserve">rior to conducting the research, an ethics form </w:t>
      </w:r>
      <w:r w:rsidR="002610E0">
        <w:rPr>
          <w:color w:val="767171" w:themeColor="background2" w:themeShade="80"/>
          <w:sz w:val="24"/>
          <w:szCs w:val="24"/>
        </w:rPr>
        <w:t xml:space="preserve">will be </w:t>
      </w:r>
      <w:r w:rsidRPr="3ED611DE">
        <w:rPr>
          <w:color w:val="767171" w:themeColor="background2" w:themeShade="80"/>
          <w:sz w:val="24"/>
          <w:szCs w:val="24"/>
        </w:rPr>
        <w:t xml:space="preserve">completed to ensure </w:t>
      </w:r>
      <w:r w:rsidR="002610E0">
        <w:rPr>
          <w:color w:val="767171" w:themeColor="background2" w:themeShade="80"/>
          <w:sz w:val="24"/>
          <w:szCs w:val="24"/>
        </w:rPr>
        <w:t>compliance</w:t>
      </w:r>
      <w:r w:rsidRPr="3ED611DE">
        <w:rPr>
          <w:color w:val="767171" w:themeColor="background2" w:themeShade="80"/>
          <w:sz w:val="24"/>
          <w:szCs w:val="24"/>
        </w:rPr>
        <w:t xml:space="preserve"> to the University of Wales Trinity Saint David's policies </w:t>
      </w:r>
      <w:r w:rsidR="002610E0">
        <w:rPr>
          <w:color w:val="767171" w:themeColor="background2" w:themeShade="80"/>
          <w:sz w:val="24"/>
          <w:szCs w:val="24"/>
        </w:rPr>
        <w:t xml:space="preserve">to seek </w:t>
      </w:r>
      <w:r w:rsidRPr="3ED611DE">
        <w:rPr>
          <w:color w:val="767171" w:themeColor="background2" w:themeShade="80"/>
          <w:sz w:val="24"/>
          <w:szCs w:val="24"/>
        </w:rPr>
        <w:t>to reduce the risk of harm to the university and individuals involved (University of Wales Trinity Saint David, 2022).</w:t>
      </w:r>
    </w:p>
    <w:p w14:paraId="22364F78" w14:textId="1893758E" w:rsidR="002610E0" w:rsidRDefault="002610E0" w:rsidP="3ED611DE">
      <w:pPr>
        <w:spacing w:line="360" w:lineRule="auto"/>
        <w:jc w:val="both"/>
        <w:rPr>
          <w:color w:val="767171" w:themeColor="background2" w:themeShade="80"/>
          <w:sz w:val="24"/>
          <w:szCs w:val="24"/>
        </w:rPr>
      </w:pPr>
    </w:p>
    <w:p w14:paraId="4476B946" w14:textId="5941E896" w:rsidR="3ED611DE" w:rsidRDefault="002610E0" w:rsidP="3ED611DE">
      <w:pPr>
        <w:spacing w:line="360" w:lineRule="auto"/>
        <w:jc w:val="both"/>
        <w:rPr>
          <w:color w:val="767171" w:themeColor="background2" w:themeShade="80"/>
          <w:sz w:val="24"/>
          <w:szCs w:val="24"/>
        </w:rPr>
      </w:pPr>
      <w:r>
        <w:rPr>
          <w:color w:val="767171" w:themeColor="background2" w:themeShade="80"/>
          <w:sz w:val="24"/>
          <w:szCs w:val="24"/>
        </w:rPr>
        <w:t xml:space="preserve">To </w:t>
      </w:r>
      <w:r w:rsidR="3ED611DE" w:rsidRPr="3ED611DE">
        <w:rPr>
          <w:rFonts w:ascii="Calibri" w:eastAsia="Calibri" w:hAnsi="Calibri" w:cs="Calibri"/>
          <w:color w:val="767171" w:themeColor="background2" w:themeShade="80"/>
          <w:sz w:val="24"/>
          <w:szCs w:val="24"/>
        </w:rPr>
        <w:t>maintain and support good research ethics, the</w:t>
      </w:r>
      <w:r>
        <w:rPr>
          <w:rFonts w:ascii="Calibri" w:eastAsia="Calibri" w:hAnsi="Calibri" w:cs="Calibri"/>
          <w:color w:val="767171" w:themeColor="background2" w:themeShade="80"/>
          <w:sz w:val="24"/>
          <w:szCs w:val="24"/>
        </w:rPr>
        <w:t xml:space="preserve"> researcher will </w:t>
      </w:r>
      <w:r w:rsidRPr="3ED611DE">
        <w:rPr>
          <w:rFonts w:ascii="Calibri" w:eastAsia="Calibri" w:hAnsi="Calibri" w:cs="Calibri"/>
          <w:color w:val="767171" w:themeColor="background2" w:themeShade="80"/>
          <w:sz w:val="24"/>
          <w:szCs w:val="24"/>
        </w:rPr>
        <w:t>adhere</w:t>
      </w:r>
      <w:r>
        <w:rPr>
          <w:rFonts w:ascii="Calibri" w:eastAsia="Calibri" w:hAnsi="Calibri" w:cs="Calibri"/>
          <w:color w:val="767171" w:themeColor="background2" w:themeShade="80"/>
          <w:sz w:val="24"/>
          <w:szCs w:val="24"/>
        </w:rPr>
        <w:t xml:space="preserve"> to </w:t>
      </w:r>
      <w:r w:rsidR="3ED611DE" w:rsidRPr="3ED611DE">
        <w:rPr>
          <w:rFonts w:ascii="Calibri" w:eastAsia="Calibri" w:hAnsi="Calibri" w:cs="Calibri"/>
          <w:color w:val="767171" w:themeColor="background2" w:themeShade="80"/>
          <w:sz w:val="24"/>
          <w:szCs w:val="24"/>
        </w:rPr>
        <w:t>parameters of the research setting</w:t>
      </w:r>
      <w:r>
        <w:rPr>
          <w:rFonts w:ascii="Calibri" w:eastAsia="Calibri" w:hAnsi="Calibri" w:cs="Calibri"/>
          <w:color w:val="767171" w:themeColor="background2" w:themeShade="80"/>
          <w:sz w:val="24"/>
          <w:szCs w:val="24"/>
        </w:rPr>
        <w:t xml:space="preserve">, </w:t>
      </w:r>
      <w:r w:rsidR="3ED611DE" w:rsidRPr="3ED611DE">
        <w:rPr>
          <w:rFonts w:ascii="Calibri" w:eastAsia="Calibri" w:hAnsi="Calibri" w:cs="Calibri"/>
          <w:color w:val="767171" w:themeColor="background2" w:themeShade="80"/>
          <w:sz w:val="24"/>
          <w:szCs w:val="24"/>
        </w:rPr>
        <w:t>included a maintained interview setting</w:t>
      </w:r>
      <w:r>
        <w:rPr>
          <w:rFonts w:ascii="Calibri" w:eastAsia="Calibri" w:hAnsi="Calibri" w:cs="Calibri"/>
          <w:color w:val="767171" w:themeColor="background2" w:themeShade="80"/>
          <w:sz w:val="24"/>
          <w:szCs w:val="24"/>
        </w:rPr>
        <w:t>.</w:t>
      </w:r>
      <w:r w:rsidRPr="003F5FDA">
        <w:rPr>
          <w:rFonts w:ascii="Calibri" w:eastAsia="Calibri" w:hAnsi="Calibri" w:cs="Calibri"/>
          <w:color w:val="767171" w:themeColor="background2" w:themeShade="80"/>
          <w:sz w:val="24"/>
          <w:szCs w:val="24"/>
        </w:rPr>
        <w:t xml:space="preserve"> </w:t>
      </w:r>
      <w:r w:rsidR="3ED611DE" w:rsidRPr="003F5FDA">
        <w:rPr>
          <w:color w:val="767171" w:themeColor="background2" w:themeShade="80"/>
          <w:sz w:val="24"/>
          <w:szCs w:val="24"/>
        </w:rPr>
        <w:t xml:space="preserve">Husband (2020, p. 206) highlights ethical risk during interview settings, </w:t>
      </w:r>
      <w:r w:rsidRPr="003F5FDA">
        <w:rPr>
          <w:color w:val="767171" w:themeColor="background2" w:themeShade="80"/>
          <w:sz w:val="24"/>
          <w:szCs w:val="24"/>
        </w:rPr>
        <w:t xml:space="preserve">brought about by </w:t>
      </w:r>
      <w:r w:rsidR="3ED611DE" w:rsidRPr="003F5FDA">
        <w:rPr>
          <w:color w:val="767171" w:themeColor="background2" w:themeShade="80"/>
          <w:sz w:val="24"/>
          <w:szCs w:val="24"/>
        </w:rPr>
        <w:t>a shift within the balance of power</w:t>
      </w:r>
      <w:r w:rsidRPr="003F5FDA">
        <w:rPr>
          <w:color w:val="767171" w:themeColor="background2" w:themeShade="80"/>
          <w:sz w:val="24"/>
          <w:szCs w:val="24"/>
        </w:rPr>
        <w:t>,</w:t>
      </w:r>
      <w:r w:rsidR="3ED611DE" w:rsidRPr="003F5FDA">
        <w:rPr>
          <w:color w:val="767171" w:themeColor="background2" w:themeShade="80"/>
          <w:sz w:val="24"/>
          <w:szCs w:val="24"/>
        </w:rPr>
        <w:t xml:space="preserve"> which could alter respondent's natural viewpoint or responses, this is also seen within leading survey questions (Nayak &amp; Narayan, 2019, pp. 6-7)</w:t>
      </w:r>
      <w:r w:rsidR="003F5FDA">
        <w:rPr>
          <w:color w:val="767171" w:themeColor="background2" w:themeShade="80"/>
          <w:sz w:val="24"/>
          <w:szCs w:val="24"/>
        </w:rPr>
        <w:t>.</w:t>
      </w:r>
    </w:p>
    <w:p w14:paraId="5084A76B" w14:textId="0C17A76A" w:rsidR="00655B99" w:rsidRDefault="00655B99" w:rsidP="3ED611DE">
      <w:pPr>
        <w:spacing w:line="360" w:lineRule="auto"/>
        <w:jc w:val="both"/>
        <w:rPr>
          <w:color w:val="767171" w:themeColor="background2" w:themeShade="80"/>
          <w:sz w:val="24"/>
          <w:szCs w:val="24"/>
        </w:rPr>
      </w:pPr>
    </w:p>
    <w:p w14:paraId="7B72656F" w14:textId="53C74C17" w:rsidR="3ED611DE" w:rsidRDefault="00655B99" w:rsidP="00BE3CC1">
      <w:pPr>
        <w:spacing w:line="360" w:lineRule="auto"/>
        <w:jc w:val="both"/>
        <w:rPr>
          <w:rFonts w:ascii="Arial" w:eastAsia="Arial" w:hAnsi="Arial" w:cs="Arial"/>
          <w:color w:val="222222"/>
          <w:sz w:val="19"/>
          <w:szCs w:val="19"/>
        </w:rPr>
      </w:pPr>
      <w:r w:rsidRPr="00655B99">
        <w:rPr>
          <w:rFonts w:eastAsiaTheme="minorEastAsia"/>
          <w:color w:val="767171" w:themeColor="background2" w:themeShade="80"/>
          <w:sz w:val="24"/>
          <w:szCs w:val="24"/>
        </w:rPr>
        <w:t>The mixed method approach will utilise q</w:t>
      </w:r>
      <w:r w:rsidRPr="00655B99">
        <w:rPr>
          <w:rFonts w:eastAsiaTheme="minorEastAsia"/>
          <w:color w:val="767171" w:themeColor="background2" w:themeShade="80"/>
          <w:sz w:val="24"/>
          <w:szCs w:val="24"/>
        </w:rPr>
        <w:t>ualitative</w:t>
      </w:r>
      <w:r w:rsidRPr="00655B99">
        <w:rPr>
          <w:rFonts w:eastAsiaTheme="minorEastAsia"/>
          <w:color w:val="767171" w:themeColor="background2" w:themeShade="80"/>
          <w:sz w:val="24"/>
          <w:szCs w:val="24"/>
        </w:rPr>
        <w:t xml:space="preserve"> research, which</w:t>
      </w:r>
      <w:r w:rsidRPr="00655B99">
        <w:rPr>
          <w:rFonts w:eastAsiaTheme="minorEastAsia"/>
          <w:color w:val="767171" w:themeColor="background2" w:themeShade="80"/>
          <w:sz w:val="24"/>
          <w:szCs w:val="24"/>
        </w:rPr>
        <w:t xml:space="preserve"> investigate phenomena</w:t>
      </w:r>
      <w:r w:rsidRPr="00655B99">
        <w:rPr>
          <w:rFonts w:eastAsiaTheme="minorEastAsia"/>
          <w:color w:val="767171" w:themeColor="background2" w:themeShade="80"/>
          <w:sz w:val="24"/>
          <w:szCs w:val="24"/>
        </w:rPr>
        <w:t xml:space="preserve"> within</w:t>
      </w:r>
      <w:r w:rsidRPr="00655B99">
        <w:rPr>
          <w:rFonts w:eastAsiaTheme="minorEastAsia"/>
          <w:color w:val="767171" w:themeColor="background2" w:themeShade="80"/>
          <w:sz w:val="24"/>
          <w:szCs w:val="24"/>
        </w:rPr>
        <w:t xml:space="preserve"> their natural environments, </w:t>
      </w:r>
      <w:r w:rsidRPr="00655B99">
        <w:rPr>
          <w:rFonts w:eastAsiaTheme="minorEastAsia"/>
          <w:color w:val="767171" w:themeColor="background2" w:themeShade="80"/>
          <w:sz w:val="24"/>
          <w:szCs w:val="24"/>
        </w:rPr>
        <w:t xml:space="preserve">seeking </w:t>
      </w:r>
      <w:r w:rsidRPr="00655B99">
        <w:rPr>
          <w:rFonts w:eastAsiaTheme="minorEastAsia"/>
          <w:color w:val="767171" w:themeColor="background2" w:themeShade="80"/>
          <w:sz w:val="24"/>
          <w:szCs w:val="24"/>
        </w:rPr>
        <w:t>to understand or interpret them in terms of the meaning's individuals assign to them</w:t>
      </w:r>
      <w:r w:rsidRPr="00655B99">
        <w:rPr>
          <w:rFonts w:eastAsiaTheme="minorEastAsia"/>
          <w:color w:val="767171" w:themeColor="background2" w:themeShade="80"/>
          <w:sz w:val="24"/>
          <w:szCs w:val="24"/>
        </w:rPr>
        <w:t xml:space="preserve">. Emmerich (2018, </w:t>
      </w:r>
      <w:r w:rsidR="00BE3CC1">
        <w:rPr>
          <w:rFonts w:eastAsiaTheme="minorEastAsia"/>
          <w:color w:val="767171" w:themeColor="background2" w:themeShade="80"/>
          <w:sz w:val="24"/>
          <w:szCs w:val="24"/>
        </w:rPr>
        <w:t>pp</w:t>
      </w:r>
      <w:r w:rsidRPr="00655B99">
        <w:rPr>
          <w:rFonts w:eastAsiaTheme="minorEastAsia"/>
          <w:color w:val="767171" w:themeColor="background2" w:themeShade="80"/>
          <w:sz w:val="24"/>
          <w:szCs w:val="24"/>
        </w:rPr>
        <w:t>. 167) states</w:t>
      </w:r>
      <w:r w:rsidRPr="00655B99">
        <w:rPr>
          <w:rFonts w:eastAsiaTheme="minorEastAsia"/>
          <w:color w:val="767171" w:themeColor="background2" w:themeShade="80"/>
          <w:sz w:val="24"/>
          <w:szCs w:val="24"/>
        </w:rPr>
        <w:t xml:space="preserve"> this can be hindered through on-line interview settings which the researcher has little control.</w:t>
      </w:r>
      <w:r w:rsidR="00BE3CC1">
        <w:rPr>
          <w:rFonts w:eastAsiaTheme="minorEastAsia"/>
          <w:color w:val="767171" w:themeColor="background2" w:themeShade="80"/>
          <w:sz w:val="24"/>
          <w:szCs w:val="24"/>
        </w:rPr>
        <w:t xml:space="preserve"> However, the researcher will respect and protect human rights and wellbeing within the design and undertaking of the study (Panter &amp; Sterba, 2011, pp. 246).</w:t>
      </w:r>
    </w:p>
    <w:p w14:paraId="1CD60B01" w14:textId="70DAB662" w:rsidR="3ED611DE" w:rsidRDefault="3ED611DE" w:rsidP="3ED611DE">
      <w:pPr>
        <w:rPr>
          <w:rFonts w:ascii="Arial" w:eastAsia="Arial" w:hAnsi="Arial" w:cs="Arial"/>
          <w:color w:val="222222"/>
          <w:sz w:val="19"/>
          <w:szCs w:val="19"/>
        </w:rPr>
      </w:pPr>
    </w:p>
    <w:p w14:paraId="4CB12F05" w14:textId="4ECE8BE1" w:rsidR="3ED611DE" w:rsidRDefault="3ED611DE" w:rsidP="3ED611DE">
      <w:pPr>
        <w:rPr>
          <w:rFonts w:ascii="Arial" w:eastAsia="Arial" w:hAnsi="Arial" w:cs="Arial"/>
          <w:color w:val="222222"/>
          <w:sz w:val="19"/>
          <w:szCs w:val="19"/>
        </w:rPr>
      </w:pPr>
    </w:p>
    <w:p w14:paraId="0D94F549" w14:textId="7D837593" w:rsidR="3ED611DE" w:rsidRDefault="3ED611DE" w:rsidP="3ED611DE">
      <w:pPr>
        <w:rPr>
          <w:rFonts w:ascii="Arial" w:eastAsia="Arial" w:hAnsi="Arial" w:cs="Arial"/>
          <w:color w:val="222222"/>
          <w:sz w:val="19"/>
          <w:szCs w:val="19"/>
        </w:rPr>
      </w:pPr>
    </w:p>
    <w:p w14:paraId="0B8C1D89" w14:textId="3B4DE228" w:rsidR="3ED611DE" w:rsidRDefault="3ED611DE" w:rsidP="3ED611DE">
      <w:pPr>
        <w:rPr>
          <w:rFonts w:ascii="Arial" w:eastAsia="Arial" w:hAnsi="Arial" w:cs="Arial"/>
          <w:color w:val="222222"/>
          <w:sz w:val="19"/>
          <w:szCs w:val="19"/>
        </w:rPr>
      </w:pPr>
    </w:p>
    <w:p w14:paraId="4990342D" w14:textId="5CE79C8B" w:rsidR="3ED611DE" w:rsidRDefault="3ED611DE" w:rsidP="3ED611DE">
      <w:pPr>
        <w:rPr>
          <w:highlight w:val="yellow"/>
        </w:rPr>
      </w:pPr>
    </w:p>
    <w:p w14:paraId="4F95DCE4" w14:textId="1B3FF0FD" w:rsidR="3ED611DE" w:rsidRDefault="3ED611DE" w:rsidP="3ED611DE">
      <w:pPr>
        <w:spacing w:line="360" w:lineRule="auto"/>
        <w:jc w:val="both"/>
        <w:rPr>
          <w:color w:val="767171" w:themeColor="background2" w:themeShade="80"/>
          <w:sz w:val="24"/>
          <w:szCs w:val="24"/>
        </w:rPr>
      </w:pPr>
    </w:p>
    <w:p w14:paraId="0E57DF91" w14:textId="43D0E58B" w:rsidR="3ED611DE" w:rsidRDefault="3ED611DE" w:rsidP="3ED611DE">
      <w:pPr>
        <w:rPr>
          <w:rFonts w:ascii="Arial" w:eastAsia="Arial" w:hAnsi="Arial" w:cs="Arial"/>
          <w:color w:val="222222"/>
          <w:sz w:val="19"/>
          <w:szCs w:val="19"/>
        </w:rPr>
      </w:pPr>
    </w:p>
    <w:p w14:paraId="3B34E229" w14:textId="429FB321" w:rsidR="37B87E75" w:rsidRDefault="37B87E75" w:rsidP="37B87E75"/>
    <w:p w14:paraId="76EA4D1C" w14:textId="69E16355" w:rsidR="37B87E75" w:rsidRDefault="37B87E75">
      <w:r>
        <w:br w:type="page"/>
      </w:r>
    </w:p>
    <w:p w14:paraId="3F86D0D0" w14:textId="12A6381A" w:rsidR="37B87E75" w:rsidRDefault="37B87E75" w:rsidP="37B87E75"/>
    <w:p w14:paraId="2E936CA3" w14:textId="6930B909" w:rsidR="37B87E75" w:rsidRDefault="7B54B8BC" w:rsidP="3ED611DE">
      <w:pPr>
        <w:pStyle w:val="Heading1"/>
      </w:pPr>
      <w:bookmarkStart w:id="9" w:name="_Toc104396292"/>
      <w:r>
        <w:t>Budget Resource</w:t>
      </w:r>
      <w:bookmarkEnd w:id="9"/>
      <w:r>
        <w:t xml:space="preserve"> </w:t>
      </w:r>
    </w:p>
    <w:p w14:paraId="46432721" w14:textId="6CF13B53" w:rsidR="37B87E75" w:rsidRDefault="37B87E75" w:rsidP="3ED611DE"/>
    <w:p w14:paraId="5EE997A8" w14:textId="379E6663" w:rsidR="37B87E75" w:rsidRDefault="00DE3AE0" w:rsidP="00DE3AE0">
      <w:pPr>
        <w:spacing w:line="360" w:lineRule="auto"/>
        <w:jc w:val="both"/>
      </w:pPr>
      <w:r>
        <w:rPr>
          <w:color w:val="767171" w:themeColor="background2" w:themeShade="80"/>
          <w:sz w:val="24"/>
          <w:szCs w:val="24"/>
        </w:rPr>
        <w:t xml:space="preserve">The research will be conducted through on-line means using an array of </w:t>
      </w:r>
      <w:r w:rsidRPr="3ED611DE">
        <w:rPr>
          <w:i/>
          <w:iCs/>
          <w:color w:val="767171" w:themeColor="background2" w:themeShade="80"/>
          <w:sz w:val="24"/>
          <w:szCs w:val="24"/>
        </w:rPr>
        <w:t>Microsoft ™</w:t>
      </w:r>
      <w:r w:rsidRPr="3ED611DE">
        <w:rPr>
          <w:color w:val="767171" w:themeColor="background2" w:themeShade="80"/>
          <w:sz w:val="24"/>
          <w:szCs w:val="24"/>
        </w:rPr>
        <w:t xml:space="preserve"> </w:t>
      </w:r>
      <w:r>
        <w:rPr>
          <w:color w:val="767171" w:themeColor="background2" w:themeShade="80"/>
          <w:sz w:val="24"/>
          <w:szCs w:val="24"/>
        </w:rPr>
        <w:t xml:space="preserve">products, such as teams, forms and excel, these are provided to the researcher through the university. </w:t>
      </w:r>
      <w:r w:rsidRPr="3ED611DE">
        <w:rPr>
          <w:rFonts w:ascii="Calibri" w:eastAsia="Calibri" w:hAnsi="Calibri" w:cs="Calibri"/>
          <w:i/>
          <w:iCs/>
          <w:color w:val="767171" w:themeColor="background2" w:themeShade="80"/>
          <w:sz w:val="24"/>
          <w:szCs w:val="24"/>
        </w:rPr>
        <w:t>SPSS®</w:t>
      </w:r>
      <w:r>
        <w:rPr>
          <w:color w:val="767171" w:themeColor="background2" w:themeShade="80"/>
          <w:sz w:val="24"/>
          <w:szCs w:val="24"/>
        </w:rPr>
        <w:t xml:space="preserve"> software will be used to undertake the analysis</w:t>
      </w:r>
      <w:r w:rsidR="00D7488F">
        <w:rPr>
          <w:color w:val="767171" w:themeColor="background2" w:themeShade="80"/>
          <w:sz w:val="24"/>
          <w:szCs w:val="24"/>
        </w:rPr>
        <w:t xml:space="preserve"> which is free to use. There will be minimal requirement to print any documentation due to the conducted research being on-line.</w:t>
      </w:r>
      <w:r w:rsidR="001E6AC3" w:rsidRPr="001E6AC3">
        <w:t xml:space="preserve"> </w:t>
      </w:r>
      <w:r w:rsidR="001E6AC3" w:rsidRPr="001E6AC3">
        <w:rPr>
          <w:color w:val="767171" w:themeColor="background2" w:themeShade="80"/>
          <w:sz w:val="24"/>
          <w:szCs w:val="24"/>
        </w:rPr>
        <w:t>Everyone who takes part in the study invests time and money, however it is intended that the participants will volunteer</w:t>
      </w:r>
      <w:r w:rsidR="001E6AC3">
        <w:rPr>
          <w:color w:val="767171" w:themeColor="background2" w:themeShade="80"/>
          <w:sz w:val="24"/>
          <w:szCs w:val="24"/>
        </w:rPr>
        <w:t xml:space="preserve"> their</w:t>
      </w:r>
      <w:r w:rsidR="001E6AC3" w:rsidRPr="001E6AC3">
        <w:rPr>
          <w:color w:val="767171" w:themeColor="background2" w:themeShade="80"/>
          <w:sz w:val="24"/>
          <w:szCs w:val="24"/>
        </w:rPr>
        <w:t xml:space="preserve"> valuable time.</w:t>
      </w:r>
    </w:p>
    <w:p w14:paraId="4F3DA8E4" w14:textId="7766CA10" w:rsidR="37B87E75" w:rsidRDefault="37B87E75" w:rsidP="37B87E75">
      <w:pPr>
        <w:pStyle w:val="Heading1"/>
      </w:pPr>
    </w:p>
    <w:p w14:paraId="2D6C68DF" w14:textId="3DEF82C6" w:rsidR="37B87E75" w:rsidRDefault="7B54B8BC" w:rsidP="3ED611DE">
      <w:pPr>
        <w:pStyle w:val="Heading1"/>
      </w:pPr>
      <w:bookmarkStart w:id="10" w:name="_Toc104396293"/>
      <w:r>
        <w:t>Time Management</w:t>
      </w:r>
      <w:bookmarkEnd w:id="10"/>
      <w:r>
        <w:t xml:space="preserve"> </w:t>
      </w:r>
    </w:p>
    <w:p w14:paraId="2709009D" w14:textId="44EC4024" w:rsidR="37B87E75" w:rsidRDefault="37B87E75"/>
    <w:p w14:paraId="36656C56" w14:textId="407614FF" w:rsidR="00B274AD" w:rsidRDefault="00B274AD" w:rsidP="00B274AD">
      <w:pPr>
        <w:spacing w:line="360" w:lineRule="auto"/>
        <w:jc w:val="both"/>
        <w:rPr>
          <w:color w:val="767171" w:themeColor="background2" w:themeShade="80"/>
          <w:sz w:val="24"/>
          <w:szCs w:val="24"/>
        </w:rPr>
      </w:pPr>
      <w:r>
        <w:rPr>
          <w:color w:val="767171" w:themeColor="background2" w:themeShade="80"/>
          <w:sz w:val="24"/>
          <w:szCs w:val="24"/>
        </w:rPr>
        <w:t>The timeframe for the research will be from June 2022- May 2023</w:t>
      </w:r>
      <w:r w:rsidR="00AC3170">
        <w:rPr>
          <w:color w:val="767171" w:themeColor="background2" w:themeShade="80"/>
          <w:sz w:val="24"/>
          <w:szCs w:val="24"/>
        </w:rPr>
        <w:t xml:space="preserve">, </w:t>
      </w:r>
      <w:r w:rsidR="00AC3170" w:rsidRPr="3ED611DE">
        <w:rPr>
          <w:color w:val="767171" w:themeColor="background2" w:themeShade="80"/>
          <w:sz w:val="24"/>
          <w:szCs w:val="24"/>
        </w:rPr>
        <w:t>(Fig –</w:t>
      </w:r>
      <w:r w:rsidR="00AC3170">
        <w:rPr>
          <w:color w:val="767171" w:themeColor="background2" w:themeShade="80"/>
          <w:sz w:val="24"/>
          <w:szCs w:val="24"/>
        </w:rPr>
        <w:t xml:space="preserve"> 3</w:t>
      </w:r>
      <w:r w:rsidR="00AC3170">
        <w:rPr>
          <w:color w:val="767171" w:themeColor="background2" w:themeShade="80"/>
          <w:sz w:val="24"/>
          <w:szCs w:val="24"/>
        </w:rPr>
        <w:t>, page 1</w:t>
      </w:r>
      <w:r w:rsidR="00AC3170">
        <w:rPr>
          <w:color w:val="767171" w:themeColor="background2" w:themeShade="80"/>
          <w:sz w:val="24"/>
          <w:szCs w:val="24"/>
        </w:rPr>
        <w:t>8</w:t>
      </w:r>
      <w:r w:rsidR="00AC3170" w:rsidRPr="3ED611DE">
        <w:rPr>
          <w:color w:val="767171" w:themeColor="background2" w:themeShade="80"/>
          <w:sz w:val="24"/>
          <w:szCs w:val="24"/>
        </w:rPr>
        <w:t>)</w:t>
      </w:r>
    </w:p>
    <w:p w14:paraId="7A09EE56" w14:textId="0B357D5F" w:rsidR="00B274AD" w:rsidRDefault="00B274AD" w:rsidP="00B274AD">
      <w:pPr>
        <w:spacing w:line="360" w:lineRule="auto"/>
        <w:jc w:val="both"/>
        <w:rPr>
          <w:color w:val="767171" w:themeColor="background2" w:themeShade="80"/>
          <w:sz w:val="24"/>
          <w:szCs w:val="24"/>
        </w:rPr>
      </w:pPr>
      <w:r>
        <w:rPr>
          <w:color w:val="767171" w:themeColor="background2" w:themeShade="80"/>
          <w:sz w:val="24"/>
          <w:szCs w:val="24"/>
        </w:rPr>
        <w:t>Each stage of the research is identified by blue</w:t>
      </w:r>
      <w:r w:rsidR="00AC3170">
        <w:rPr>
          <w:color w:val="767171" w:themeColor="background2" w:themeShade="80"/>
          <w:sz w:val="24"/>
          <w:szCs w:val="24"/>
        </w:rPr>
        <w:t xml:space="preserve"> and the doing of the work by green.</w:t>
      </w:r>
    </w:p>
    <w:p w14:paraId="34D83E0D" w14:textId="2DAE3BB5" w:rsidR="00B274AD" w:rsidRPr="00B274AD" w:rsidRDefault="00B274AD" w:rsidP="00B274AD">
      <w:pPr>
        <w:spacing w:line="360" w:lineRule="auto"/>
        <w:jc w:val="both"/>
        <w:rPr>
          <w:color w:val="767171" w:themeColor="background2" w:themeShade="80"/>
          <w:sz w:val="24"/>
          <w:szCs w:val="24"/>
        </w:rPr>
      </w:pPr>
      <w:r>
        <w:rPr>
          <w:color w:val="767171" w:themeColor="background2" w:themeShade="80"/>
          <w:sz w:val="24"/>
          <w:szCs w:val="24"/>
        </w:rPr>
        <w:t>Milestones are identified by yellow</w:t>
      </w:r>
      <w:r w:rsidR="00AC3170">
        <w:rPr>
          <w:color w:val="767171" w:themeColor="background2" w:themeShade="80"/>
          <w:sz w:val="24"/>
          <w:szCs w:val="24"/>
        </w:rPr>
        <w:t xml:space="preserve">, which </w:t>
      </w:r>
      <w:r>
        <w:rPr>
          <w:color w:val="767171" w:themeColor="background2" w:themeShade="80"/>
          <w:sz w:val="24"/>
          <w:szCs w:val="24"/>
        </w:rPr>
        <w:t>entail due dates, academic supervisor check ins and review of risk</w:t>
      </w:r>
      <w:r w:rsidR="00AC3170">
        <w:rPr>
          <w:color w:val="767171" w:themeColor="background2" w:themeShade="80"/>
          <w:sz w:val="24"/>
          <w:szCs w:val="24"/>
        </w:rPr>
        <w:t>s.</w:t>
      </w:r>
    </w:p>
    <w:p w14:paraId="3E298AFC" w14:textId="7D31E96F" w:rsidR="001771BD" w:rsidRDefault="001771BD"/>
    <w:p w14:paraId="7ED53C6F" w14:textId="557C6AEE" w:rsidR="00B274AD" w:rsidRDefault="00B274AD"/>
    <w:p w14:paraId="211F0900" w14:textId="7B9AB8C1" w:rsidR="00B274AD" w:rsidRDefault="00B274AD">
      <w:r w:rsidRPr="00B274AD">
        <w:rPr>
          <w:bdr w:val="single" w:sz="4" w:space="0" w:color="auto"/>
        </w:rPr>
        <w:lastRenderedPageBreak/>
        <w:drawing>
          <wp:inline distT="0" distB="0" distL="0" distR="0" wp14:anchorId="79AEBE8B" wp14:editId="0A1D6EB7">
            <wp:extent cx="5943600" cy="6816725"/>
            <wp:effectExtent l="0" t="0" r="0" b="3175"/>
            <wp:docPr id="3" name="Picture 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waterfall chart&#10;&#10;Description automatically generated"/>
                    <pic:cNvPicPr/>
                  </pic:nvPicPr>
                  <pic:blipFill>
                    <a:blip r:embed="rId10"/>
                    <a:stretch>
                      <a:fillRect/>
                    </a:stretch>
                  </pic:blipFill>
                  <pic:spPr>
                    <a:xfrm>
                      <a:off x="0" y="0"/>
                      <a:ext cx="5943600" cy="6816725"/>
                    </a:xfrm>
                    <a:prstGeom prst="rect">
                      <a:avLst/>
                    </a:prstGeom>
                  </pic:spPr>
                </pic:pic>
              </a:graphicData>
            </a:graphic>
          </wp:inline>
        </w:drawing>
      </w:r>
    </w:p>
    <w:p w14:paraId="4CD838BE" w14:textId="59A0F5B2" w:rsidR="00AC3170" w:rsidRDefault="00AC3170" w:rsidP="00AC3170">
      <w:pPr>
        <w:jc w:val="center"/>
        <w:rPr>
          <w:color w:val="767171" w:themeColor="background2" w:themeShade="80"/>
          <w:sz w:val="16"/>
          <w:szCs w:val="16"/>
        </w:rPr>
      </w:pPr>
      <w:r w:rsidRPr="3ED611DE">
        <w:rPr>
          <w:color w:val="767171" w:themeColor="background2" w:themeShade="80"/>
          <w:sz w:val="16"/>
          <w:szCs w:val="16"/>
        </w:rPr>
        <w:t xml:space="preserve">Figure </w:t>
      </w:r>
      <w:r>
        <w:rPr>
          <w:color w:val="767171" w:themeColor="background2" w:themeShade="80"/>
          <w:sz w:val="16"/>
          <w:szCs w:val="16"/>
        </w:rPr>
        <w:t xml:space="preserve">3 </w:t>
      </w:r>
      <w:r w:rsidRPr="3ED611DE">
        <w:rPr>
          <w:color w:val="767171" w:themeColor="background2" w:themeShade="80"/>
          <w:sz w:val="16"/>
          <w:szCs w:val="16"/>
        </w:rPr>
        <w:t>–</w:t>
      </w:r>
      <w:r w:rsidRPr="3ED611DE">
        <w:rPr>
          <w:color w:val="767171" w:themeColor="background2" w:themeShade="80"/>
          <w:sz w:val="16"/>
          <w:szCs w:val="16"/>
        </w:rPr>
        <w:t xml:space="preserve"> </w:t>
      </w:r>
      <w:r>
        <w:rPr>
          <w:color w:val="767171" w:themeColor="background2" w:themeShade="80"/>
          <w:sz w:val="16"/>
          <w:szCs w:val="16"/>
        </w:rPr>
        <w:t>Gantt chart displaying timescales and milestones</w:t>
      </w:r>
      <w:r w:rsidRPr="3ED611DE">
        <w:rPr>
          <w:color w:val="767171" w:themeColor="background2" w:themeShade="80"/>
          <w:sz w:val="16"/>
          <w:szCs w:val="16"/>
        </w:rPr>
        <w:t xml:space="preserve"> (Joy, 2022)</w:t>
      </w:r>
    </w:p>
    <w:p w14:paraId="5EEF53A0" w14:textId="10340731" w:rsidR="00CB49D5" w:rsidRDefault="00CB49D5"/>
    <w:p w14:paraId="6319A5CA" w14:textId="37048EEF" w:rsidR="001771BD" w:rsidRDefault="001771BD">
      <w:r>
        <w:br w:type="page"/>
      </w:r>
    </w:p>
    <w:p w14:paraId="4B07FCD3" w14:textId="2268B2BE" w:rsidR="37B87E75" w:rsidRDefault="7B54B8BC" w:rsidP="37B87E75">
      <w:pPr>
        <w:pStyle w:val="Heading1"/>
        <w:rPr>
          <w:rFonts w:ascii="Calibri Light" w:hAnsi="Calibri Light"/>
        </w:rPr>
      </w:pPr>
      <w:bookmarkStart w:id="11" w:name="_Toc104396294"/>
      <w:r>
        <w:lastRenderedPageBreak/>
        <w:t>References</w:t>
      </w:r>
      <w:bookmarkEnd w:id="11"/>
    </w:p>
    <w:p w14:paraId="0A56AC2E" w14:textId="5B64FB1F" w:rsidR="02EBB6AB" w:rsidRDefault="02EBB6AB" w:rsidP="02EBB6AB"/>
    <w:p w14:paraId="25B86619" w14:textId="4BBE301E" w:rsidR="02EBB6AB" w:rsidRDefault="02EBB6AB" w:rsidP="02EBB6AB">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Antwi, S. K., &amp; Hamza, K. (2015). Qualitative and quantitative research paradigms in business research: A philosophical reflection. </w:t>
      </w:r>
      <w:r w:rsidRPr="02EBB6AB">
        <w:rPr>
          <w:rFonts w:eastAsiaTheme="minorEastAsia"/>
          <w:i/>
          <w:iCs/>
          <w:color w:val="222222"/>
          <w:sz w:val="24"/>
          <w:szCs w:val="24"/>
        </w:rPr>
        <w:t>European journal of business and management</w:t>
      </w:r>
      <w:r w:rsidRPr="02EBB6AB">
        <w:rPr>
          <w:rFonts w:eastAsiaTheme="minorEastAsia"/>
          <w:color w:val="222222"/>
          <w:sz w:val="24"/>
          <w:szCs w:val="24"/>
        </w:rPr>
        <w:t xml:space="preserve">, </w:t>
      </w:r>
      <w:r w:rsidRPr="02EBB6AB">
        <w:rPr>
          <w:rFonts w:eastAsiaTheme="minorEastAsia"/>
          <w:i/>
          <w:iCs/>
          <w:color w:val="222222"/>
          <w:sz w:val="24"/>
          <w:szCs w:val="24"/>
        </w:rPr>
        <w:t>7</w:t>
      </w:r>
      <w:r w:rsidRPr="02EBB6AB">
        <w:rPr>
          <w:rFonts w:eastAsiaTheme="minorEastAsia"/>
          <w:color w:val="222222"/>
          <w:sz w:val="24"/>
          <w:szCs w:val="24"/>
        </w:rPr>
        <w:t>(3), 217-225.</w:t>
      </w:r>
    </w:p>
    <w:p w14:paraId="22EBC828" w14:textId="58A60F64" w:rsidR="02EBB6AB" w:rsidRDefault="02EBB6AB" w:rsidP="02EBB6AB">
      <w:pPr>
        <w:spacing w:line="480" w:lineRule="auto"/>
        <w:ind w:left="720" w:hanging="720"/>
        <w:rPr>
          <w:rFonts w:eastAsiaTheme="minorEastAsia"/>
          <w:color w:val="222222"/>
          <w:sz w:val="24"/>
          <w:szCs w:val="24"/>
        </w:rPr>
      </w:pPr>
    </w:p>
    <w:p w14:paraId="57D0044A" w14:textId="09BBB0F4" w:rsidR="02EBB6AB" w:rsidRDefault="02EBB6AB" w:rsidP="02EBB6AB">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Baker, A. A. (2020). To Whose Benefit? At What </w:t>
      </w:r>
      <w:proofErr w:type="gramStart"/>
      <w:r w:rsidRPr="02EBB6AB">
        <w:rPr>
          <w:rFonts w:eastAsiaTheme="minorEastAsia"/>
          <w:color w:val="222222"/>
          <w:sz w:val="24"/>
          <w:szCs w:val="24"/>
        </w:rPr>
        <w:t>Cost?:</w:t>
      </w:r>
      <w:proofErr w:type="gramEnd"/>
      <w:r w:rsidRPr="02EBB6AB">
        <w:rPr>
          <w:rFonts w:eastAsiaTheme="minorEastAsia"/>
          <w:color w:val="222222"/>
          <w:sz w:val="24"/>
          <w:szCs w:val="24"/>
        </w:rPr>
        <w:t xml:space="preserve"> Consideration for Ethical Issues in Social Science Research. In </w:t>
      </w:r>
      <w:r w:rsidRPr="02EBB6AB">
        <w:rPr>
          <w:rFonts w:eastAsiaTheme="minorEastAsia"/>
          <w:i/>
          <w:iCs/>
          <w:color w:val="222222"/>
          <w:sz w:val="24"/>
          <w:szCs w:val="24"/>
        </w:rPr>
        <w:t>Applied Social Science Approaches to Mixed Methods Research</w:t>
      </w:r>
      <w:r w:rsidRPr="02EBB6AB">
        <w:rPr>
          <w:rFonts w:eastAsiaTheme="minorEastAsia"/>
          <w:color w:val="222222"/>
          <w:sz w:val="24"/>
          <w:szCs w:val="24"/>
        </w:rPr>
        <w:t xml:space="preserve"> (pp. 251-260). IGI Global.</w:t>
      </w:r>
    </w:p>
    <w:p w14:paraId="641203C3" w14:textId="39718C61" w:rsidR="02EBB6AB" w:rsidRDefault="02EBB6AB" w:rsidP="02EBB6AB">
      <w:pPr>
        <w:spacing w:line="480" w:lineRule="auto"/>
        <w:ind w:left="720" w:hanging="720"/>
        <w:rPr>
          <w:rFonts w:eastAsiaTheme="minorEastAsia"/>
          <w:color w:val="222222"/>
          <w:sz w:val="24"/>
          <w:szCs w:val="24"/>
        </w:rPr>
      </w:pPr>
    </w:p>
    <w:p w14:paraId="132F1407" w14:textId="27D2E440" w:rsidR="02EBB6AB" w:rsidRDefault="02EBB6AB" w:rsidP="02EBB6AB">
      <w:pPr>
        <w:spacing w:line="480" w:lineRule="auto"/>
        <w:ind w:left="720" w:hanging="720"/>
        <w:rPr>
          <w:rFonts w:eastAsiaTheme="minorEastAsia"/>
          <w:color w:val="222222"/>
          <w:sz w:val="24"/>
          <w:szCs w:val="24"/>
        </w:rPr>
      </w:pPr>
      <w:proofErr w:type="spellStart"/>
      <w:r w:rsidRPr="02EBB6AB">
        <w:rPr>
          <w:rFonts w:eastAsiaTheme="minorEastAsia"/>
          <w:color w:val="222222"/>
          <w:sz w:val="24"/>
          <w:szCs w:val="24"/>
        </w:rPr>
        <w:t>Baškarada</w:t>
      </w:r>
      <w:proofErr w:type="spellEnd"/>
      <w:r w:rsidRPr="02EBB6AB">
        <w:rPr>
          <w:rFonts w:eastAsiaTheme="minorEastAsia"/>
          <w:color w:val="222222"/>
          <w:sz w:val="24"/>
          <w:szCs w:val="24"/>
        </w:rPr>
        <w:t xml:space="preserve">, S., &amp; </w:t>
      </w:r>
      <w:proofErr w:type="spellStart"/>
      <w:r w:rsidRPr="02EBB6AB">
        <w:rPr>
          <w:rFonts w:eastAsiaTheme="minorEastAsia"/>
          <w:color w:val="222222"/>
          <w:sz w:val="24"/>
          <w:szCs w:val="24"/>
        </w:rPr>
        <w:t>Koronios</w:t>
      </w:r>
      <w:proofErr w:type="spellEnd"/>
      <w:r w:rsidRPr="02EBB6AB">
        <w:rPr>
          <w:rFonts w:eastAsiaTheme="minorEastAsia"/>
          <w:color w:val="222222"/>
          <w:sz w:val="24"/>
          <w:szCs w:val="24"/>
        </w:rPr>
        <w:t xml:space="preserve">, A. (2018). A philosophical discussion of qualitative, quantitative, and mixed methods research in social science. </w:t>
      </w:r>
      <w:r w:rsidRPr="02EBB6AB">
        <w:rPr>
          <w:rFonts w:eastAsiaTheme="minorEastAsia"/>
          <w:i/>
          <w:iCs/>
          <w:color w:val="222222"/>
          <w:sz w:val="24"/>
          <w:szCs w:val="24"/>
        </w:rPr>
        <w:t>Qualitative Research Journal</w:t>
      </w:r>
      <w:r w:rsidRPr="02EBB6AB">
        <w:rPr>
          <w:rFonts w:eastAsiaTheme="minorEastAsia"/>
          <w:color w:val="222222"/>
          <w:sz w:val="24"/>
          <w:szCs w:val="24"/>
        </w:rPr>
        <w:t>.</w:t>
      </w:r>
    </w:p>
    <w:p w14:paraId="3D70BA0D" w14:textId="07D7C92D" w:rsidR="02EBB6AB" w:rsidRDefault="02EBB6AB" w:rsidP="02EBB6AB">
      <w:pPr>
        <w:spacing w:line="480" w:lineRule="auto"/>
        <w:ind w:left="720" w:hanging="720"/>
        <w:rPr>
          <w:rFonts w:eastAsiaTheme="minorEastAsia"/>
          <w:color w:val="222222"/>
          <w:sz w:val="24"/>
          <w:szCs w:val="24"/>
        </w:rPr>
      </w:pPr>
    </w:p>
    <w:p w14:paraId="570EB4A9" w14:textId="23816171" w:rsidR="02EBB6AB" w:rsidRDefault="02EBB6AB" w:rsidP="02EBB6AB">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Beaudin, A., Emami, E., Palumbo, M., &amp; Tran, S. D. (2016). Quality of supervision: postgraduate dental research trainees’ perspectives. </w:t>
      </w:r>
      <w:r w:rsidRPr="02EBB6AB">
        <w:rPr>
          <w:rFonts w:eastAsiaTheme="minorEastAsia"/>
          <w:i/>
          <w:iCs/>
          <w:color w:val="222222"/>
          <w:sz w:val="24"/>
          <w:szCs w:val="24"/>
        </w:rPr>
        <w:t>European Journal of Dental Education</w:t>
      </w:r>
      <w:r w:rsidRPr="02EBB6AB">
        <w:rPr>
          <w:rFonts w:eastAsiaTheme="minorEastAsia"/>
          <w:color w:val="222222"/>
          <w:sz w:val="24"/>
          <w:szCs w:val="24"/>
        </w:rPr>
        <w:t xml:space="preserve">, </w:t>
      </w:r>
      <w:r w:rsidRPr="02EBB6AB">
        <w:rPr>
          <w:rFonts w:eastAsiaTheme="minorEastAsia"/>
          <w:i/>
          <w:iCs/>
          <w:color w:val="222222"/>
          <w:sz w:val="24"/>
          <w:szCs w:val="24"/>
        </w:rPr>
        <w:t>20</w:t>
      </w:r>
      <w:r w:rsidRPr="02EBB6AB">
        <w:rPr>
          <w:rFonts w:eastAsiaTheme="minorEastAsia"/>
          <w:color w:val="222222"/>
          <w:sz w:val="24"/>
          <w:szCs w:val="24"/>
        </w:rPr>
        <w:t>(1), 32-38.</w:t>
      </w:r>
    </w:p>
    <w:p w14:paraId="5918E0F6" w14:textId="485BE668" w:rsidR="02EBB6AB" w:rsidRDefault="02EBB6AB" w:rsidP="02EBB6AB">
      <w:pPr>
        <w:spacing w:line="480" w:lineRule="auto"/>
        <w:ind w:left="720" w:hanging="720"/>
        <w:rPr>
          <w:rFonts w:eastAsiaTheme="minorEastAsia"/>
          <w:color w:val="222222"/>
          <w:sz w:val="24"/>
          <w:szCs w:val="24"/>
        </w:rPr>
      </w:pPr>
    </w:p>
    <w:p w14:paraId="561924E2" w14:textId="4CF804C9" w:rsidR="02EBB6AB" w:rsidRDefault="02EBB6AB" w:rsidP="02EBB6AB">
      <w:pPr>
        <w:spacing w:line="480" w:lineRule="auto"/>
        <w:ind w:left="720" w:hanging="720"/>
        <w:rPr>
          <w:rFonts w:eastAsiaTheme="minorEastAsia"/>
          <w:color w:val="222222"/>
          <w:sz w:val="24"/>
          <w:szCs w:val="24"/>
        </w:rPr>
      </w:pPr>
      <w:proofErr w:type="spellStart"/>
      <w:r w:rsidRPr="02EBB6AB">
        <w:rPr>
          <w:rFonts w:eastAsiaTheme="minorEastAsia"/>
          <w:color w:val="222222"/>
          <w:sz w:val="24"/>
          <w:szCs w:val="24"/>
        </w:rPr>
        <w:t>Benjaafar</w:t>
      </w:r>
      <w:proofErr w:type="spellEnd"/>
      <w:r w:rsidRPr="02EBB6AB">
        <w:rPr>
          <w:rFonts w:eastAsiaTheme="minorEastAsia"/>
          <w:color w:val="222222"/>
          <w:sz w:val="24"/>
          <w:szCs w:val="24"/>
        </w:rPr>
        <w:t xml:space="preserve">, S., Kong, G., Li, X., &amp; </w:t>
      </w:r>
      <w:proofErr w:type="spellStart"/>
      <w:r w:rsidRPr="02EBB6AB">
        <w:rPr>
          <w:rFonts w:eastAsiaTheme="minorEastAsia"/>
          <w:color w:val="222222"/>
          <w:sz w:val="24"/>
          <w:szCs w:val="24"/>
        </w:rPr>
        <w:t>Courcoubetis</w:t>
      </w:r>
      <w:proofErr w:type="spellEnd"/>
      <w:r w:rsidRPr="02EBB6AB">
        <w:rPr>
          <w:rFonts w:eastAsiaTheme="minorEastAsia"/>
          <w:color w:val="222222"/>
          <w:sz w:val="24"/>
          <w:szCs w:val="24"/>
        </w:rPr>
        <w:t xml:space="preserve">, C. (2019). Peer-to-peer product sharing: Implications for ownership, usage, and social welfare in the sharing economy. </w:t>
      </w:r>
      <w:r w:rsidRPr="02EBB6AB">
        <w:rPr>
          <w:rFonts w:eastAsiaTheme="minorEastAsia"/>
          <w:i/>
          <w:iCs/>
          <w:color w:val="222222"/>
          <w:sz w:val="24"/>
          <w:szCs w:val="24"/>
        </w:rPr>
        <w:t>Management Science</w:t>
      </w:r>
      <w:r w:rsidRPr="02EBB6AB">
        <w:rPr>
          <w:rFonts w:eastAsiaTheme="minorEastAsia"/>
          <w:color w:val="222222"/>
          <w:sz w:val="24"/>
          <w:szCs w:val="24"/>
        </w:rPr>
        <w:t xml:space="preserve">, </w:t>
      </w:r>
      <w:r w:rsidRPr="02EBB6AB">
        <w:rPr>
          <w:rFonts w:eastAsiaTheme="minorEastAsia"/>
          <w:i/>
          <w:iCs/>
          <w:color w:val="222222"/>
          <w:sz w:val="24"/>
          <w:szCs w:val="24"/>
        </w:rPr>
        <w:t>65</w:t>
      </w:r>
      <w:r w:rsidRPr="02EBB6AB">
        <w:rPr>
          <w:rFonts w:eastAsiaTheme="minorEastAsia"/>
          <w:color w:val="222222"/>
          <w:sz w:val="24"/>
          <w:szCs w:val="24"/>
        </w:rPr>
        <w:t>(2), 477-493.</w:t>
      </w:r>
    </w:p>
    <w:p w14:paraId="395D7F31" w14:textId="03105A9F" w:rsidR="02EBB6AB" w:rsidRDefault="02EBB6AB" w:rsidP="02EBB6AB">
      <w:pPr>
        <w:spacing w:line="480" w:lineRule="auto"/>
        <w:ind w:left="720" w:hanging="720"/>
        <w:rPr>
          <w:rFonts w:eastAsiaTheme="minorEastAsia"/>
          <w:sz w:val="24"/>
          <w:szCs w:val="24"/>
        </w:rPr>
      </w:pPr>
    </w:p>
    <w:p w14:paraId="33B1F21D" w14:textId="5E124FCA" w:rsidR="02EBB6AB" w:rsidRDefault="02EBB6AB" w:rsidP="02EBB6AB">
      <w:pPr>
        <w:spacing w:line="480" w:lineRule="auto"/>
        <w:ind w:left="720" w:hanging="720"/>
        <w:rPr>
          <w:rFonts w:eastAsiaTheme="minorEastAsia"/>
          <w:color w:val="222222"/>
          <w:sz w:val="24"/>
          <w:szCs w:val="24"/>
        </w:rPr>
      </w:pPr>
      <w:r w:rsidRPr="02EBB6AB">
        <w:rPr>
          <w:rFonts w:eastAsiaTheme="minorEastAsia"/>
          <w:sz w:val="24"/>
          <w:szCs w:val="24"/>
        </w:rPr>
        <w:t xml:space="preserve">Bonner, K., Hart, M., Prashar, N., &amp; Ri, A. (2021, PP 7 &amp; 9). </w:t>
      </w:r>
      <w:r w:rsidRPr="02EBB6AB">
        <w:rPr>
          <w:rFonts w:eastAsiaTheme="minorEastAsia"/>
          <w:i/>
          <w:iCs/>
          <w:sz w:val="24"/>
          <w:szCs w:val="24"/>
        </w:rPr>
        <w:t>GEM UK: Wales Report 2020</w:t>
      </w:r>
      <w:r w:rsidRPr="02EBB6AB">
        <w:rPr>
          <w:rFonts w:eastAsiaTheme="minorEastAsia"/>
          <w:sz w:val="24"/>
          <w:szCs w:val="24"/>
        </w:rPr>
        <w:t xml:space="preserve">. </w:t>
      </w:r>
      <w:proofErr w:type="spellStart"/>
      <w:r w:rsidRPr="02EBB6AB">
        <w:rPr>
          <w:rFonts w:eastAsiaTheme="minorEastAsia"/>
          <w:sz w:val="24"/>
          <w:szCs w:val="24"/>
        </w:rPr>
        <w:t>Gov.Wales</w:t>
      </w:r>
      <w:proofErr w:type="spellEnd"/>
      <w:r w:rsidRPr="02EBB6AB">
        <w:rPr>
          <w:rFonts w:eastAsiaTheme="minorEastAsia"/>
          <w:sz w:val="24"/>
          <w:szCs w:val="24"/>
        </w:rPr>
        <w:t xml:space="preserve">. Retrieved May 23, 2022, from </w:t>
      </w:r>
      <w:hyperlink r:id="rId11">
        <w:r w:rsidRPr="02EBB6AB">
          <w:rPr>
            <w:rStyle w:val="Hyperlink"/>
            <w:rFonts w:eastAsiaTheme="minorEastAsia"/>
            <w:sz w:val="24"/>
            <w:szCs w:val="24"/>
          </w:rPr>
          <w:t>https://gov.wales/sites/default/files/publications/2021-11/global-entrepreneurship-monitor-gem-uk-wales-report-2020.pdf</w:t>
        </w:r>
      </w:hyperlink>
    </w:p>
    <w:p w14:paraId="1DAFCC49" w14:textId="5F1DD692" w:rsidR="02EBB6AB" w:rsidRDefault="02EBB6AB" w:rsidP="02EBB6AB">
      <w:pPr>
        <w:spacing w:line="480" w:lineRule="auto"/>
        <w:ind w:left="720" w:hanging="720"/>
        <w:rPr>
          <w:rFonts w:eastAsiaTheme="minorEastAsia"/>
          <w:sz w:val="24"/>
          <w:szCs w:val="24"/>
        </w:rPr>
      </w:pPr>
    </w:p>
    <w:p w14:paraId="3A6672B8" w14:textId="21FCAB08" w:rsidR="02EBB6AB" w:rsidRDefault="02EBB6AB" w:rsidP="02EBB6AB">
      <w:pPr>
        <w:spacing w:line="480" w:lineRule="auto"/>
        <w:ind w:left="720" w:hanging="720"/>
        <w:rPr>
          <w:rFonts w:eastAsiaTheme="minorEastAsia"/>
        </w:rPr>
      </w:pPr>
      <w:r w:rsidRPr="02EBB6AB">
        <w:rPr>
          <w:rFonts w:eastAsiaTheme="minorEastAsia"/>
          <w:sz w:val="24"/>
          <w:szCs w:val="24"/>
        </w:rPr>
        <w:t xml:space="preserve">Business Wales. (2022). </w:t>
      </w:r>
      <w:r w:rsidRPr="02EBB6AB">
        <w:rPr>
          <w:rFonts w:eastAsiaTheme="minorEastAsia"/>
          <w:i/>
          <w:iCs/>
          <w:sz w:val="24"/>
          <w:szCs w:val="24"/>
        </w:rPr>
        <w:t>Economic Action Plan</w:t>
      </w:r>
      <w:r w:rsidRPr="02EBB6AB">
        <w:rPr>
          <w:rFonts w:eastAsiaTheme="minorEastAsia"/>
          <w:sz w:val="24"/>
          <w:szCs w:val="24"/>
        </w:rPr>
        <w:t xml:space="preserve">. Retrieved May 23, 2022, from </w:t>
      </w:r>
      <w:hyperlink r:id="rId12">
        <w:r w:rsidRPr="02EBB6AB">
          <w:rPr>
            <w:rStyle w:val="Hyperlink"/>
            <w:rFonts w:eastAsiaTheme="minorEastAsia"/>
            <w:sz w:val="24"/>
            <w:szCs w:val="24"/>
          </w:rPr>
          <w:t>https://businesswales.gov.wales/economic-action-plan</w:t>
        </w:r>
      </w:hyperlink>
    </w:p>
    <w:p w14:paraId="254099BA" w14:textId="3BBD987A" w:rsidR="02EBB6AB" w:rsidRDefault="02EBB6AB" w:rsidP="02EBB6AB">
      <w:pPr>
        <w:spacing w:line="480" w:lineRule="auto"/>
        <w:ind w:left="720" w:hanging="720"/>
        <w:rPr>
          <w:rFonts w:eastAsiaTheme="minorEastAsia"/>
          <w:sz w:val="24"/>
          <w:szCs w:val="24"/>
        </w:rPr>
      </w:pPr>
    </w:p>
    <w:p w14:paraId="417048CB" w14:textId="6D6304D5" w:rsidR="452B275C" w:rsidRDefault="452B275C" w:rsidP="02EBB6AB">
      <w:pPr>
        <w:spacing w:line="480" w:lineRule="auto"/>
        <w:ind w:left="720" w:hanging="720"/>
        <w:rPr>
          <w:rFonts w:eastAsiaTheme="minorEastAsia"/>
        </w:rPr>
      </w:pPr>
      <w:r w:rsidRPr="02EBB6AB">
        <w:rPr>
          <w:rFonts w:eastAsiaTheme="minorEastAsia"/>
          <w:sz w:val="24"/>
          <w:szCs w:val="24"/>
        </w:rPr>
        <w:t xml:space="preserve">Collins. (2022). </w:t>
      </w:r>
      <w:r w:rsidRPr="02EBB6AB">
        <w:rPr>
          <w:rFonts w:eastAsiaTheme="minorEastAsia"/>
          <w:i/>
          <w:iCs/>
          <w:sz w:val="24"/>
          <w:szCs w:val="24"/>
        </w:rPr>
        <w:t>entrepreneur</w:t>
      </w:r>
      <w:r w:rsidRPr="02EBB6AB">
        <w:rPr>
          <w:rFonts w:eastAsiaTheme="minorEastAsia"/>
          <w:sz w:val="24"/>
          <w:szCs w:val="24"/>
        </w:rPr>
        <w:t xml:space="preserve">. Collins Dictionary. Retrieved May 23, 2022, from </w:t>
      </w:r>
      <w:hyperlink r:id="rId13">
        <w:r w:rsidRPr="02EBB6AB">
          <w:rPr>
            <w:rStyle w:val="Hyperlink"/>
            <w:rFonts w:eastAsiaTheme="minorEastAsia"/>
            <w:sz w:val="24"/>
            <w:szCs w:val="24"/>
          </w:rPr>
          <w:t>https://www.collinsdictionary.com/dictionary/english/entrepreneur</w:t>
        </w:r>
      </w:hyperlink>
    </w:p>
    <w:p w14:paraId="5D8BF3AE" w14:textId="1C5EB4A0" w:rsidR="02EBB6AB" w:rsidRDefault="02EBB6AB" w:rsidP="02EBB6AB">
      <w:pPr>
        <w:spacing w:line="480" w:lineRule="auto"/>
        <w:ind w:left="720" w:hanging="720"/>
        <w:rPr>
          <w:rFonts w:eastAsiaTheme="minorEastAsia"/>
          <w:sz w:val="24"/>
          <w:szCs w:val="24"/>
        </w:rPr>
      </w:pPr>
    </w:p>
    <w:p w14:paraId="331CD17C" w14:textId="076676BC" w:rsidR="02EBB6AB" w:rsidRDefault="02EBB6AB" w:rsidP="02EBB6AB">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Cukier, W., Saunders, V., Stewart, S., &amp; Wright, E. (2022). Social Entrepreneurship and Addressing SDGs Through Women’s Empowerment: A Case Study of She-EO. In </w:t>
      </w:r>
      <w:r w:rsidRPr="02EBB6AB">
        <w:rPr>
          <w:rFonts w:eastAsiaTheme="minorEastAsia"/>
          <w:i/>
          <w:iCs/>
          <w:color w:val="222222"/>
          <w:sz w:val="24"/>
          <w:szCs w:val="24"/>
        </w:rPr>
        <w:t>WORLD SCIENTIFIC ENCYCLOPEDIA OF BUSINESS SUSTAINABILITY, ETHICS AND ENTREPRENEURSHIP</w:t>
      </w:r>
      <w:r w:rsidRPr="02EBB6AB">
        <w:rPr>
          <w:rFonts w:eastAsiaTheme="minorEastAsia"/>
          <w:color w:val="222222"/>
          <w:sz w:val="24"/>
          <w:szCs w:val="24"/>
        </w:rPr>
        <w:t xml:space="preserve"> (pp. 83-111).</w:t>
      </w:r>
    </w:p>
    <w:p w14:paraId="29837240" w14:textId="5D37BACE" w:rsidR="02EBB6AB" w:rsidRDefault="02EBB6AB" w:rsidP="02EBB6AB">
      <w:pPr>
        <w:spacing w:line="480" w:lineRule="auto"/>
        <w:ind w:left="720" w:hanging="720"/>
        <w:rPr>
          <w:rFonts w:eastAsiaTheme="minorEastAsia"/>
          <w:color w:val="222222"/>
          <w:sz w:val="24"/>
          <w:szCs w:val="24"/>
        </w:rPr>
      </w:pPr>
    </w:p>
    <w:p w14:paraId="137E0286" w14:textId="3934F4A5" w:rsidR="02EBB6AB" w:rsidRDefault="02EBB6AB" w:rsidP="02EBB6AB">
      <w:pPr>
        <w:spacing w:line="480" w:lineRule="auto"/>
        <w:ind w:left="720" w:hanging="720"/>
        <w:rPr>
          <w:rFonts w:ascii="Arial" w:eastAsia="Arial" w:hAnsi="Arial" w:cs="Arial"/>
          <w:color w:val="222222"/>
          <w:sz w:val="19"/>
          <w:szCs w:val="19"/>
        </w:rPr>
      </w:pPr>
      <w:r w:rsidRPr="02EBB6AB">
        <w:rPr>
          <w:rFonts w:eastAsiaTheme="minorEastAsia"/>
          <w:color w:val="222222"/>
          <w:sz w:val="24"/>
          <w:szCs w:val="24"/>
        </w:rPr>
        <w:t xml:space="preserve">Daniel, B. K. (2019). Using the TACT framework to learn the principles of rigour in qualitative research. </w:t>
      </w:r>
      <w:r w:rsidRPr="02EBB6AB">
        <w:rPr>
          <w:rFonts w:eastAsiaTheme="minorEastAsia"/>
          <w:i/>
          <w:iCs/>
          <w:color w:val="222222"/>
          <w:sz w:val="24"/>
          <w:szCs w:val="24"/>
        </w:rPr>
        <w:t>Electronic Journal of Business Research Methods</w:t>
      </w:r>
      <w:r w:rsidRPr="02EBB6AB">
        <w:rPr>
          <w:rFonts w:eastAsiaTheme="minorEastAsia"/>
          <w:color w:val="222222"/>
          <w:sz w:val="24"/>
          <w:szCs w:val="24"/>
        </w:rPr>
        <w:t xml:space="preserve">, </w:t>
      </w:r>
      <w:r w:rsidRPr="02EBB6AB">
        <w:rPr>
          <w:rFonts w:eastAsiaTheme="minorEastAsia"/>
          <w:i/>
          <w:iCs/>
          <w:color w:val="222222"/>
          <w:sz w:val="24"/>
          <w:szCs w:val="24"/>
        </w:rPr>
        <w:t>17</w:t>
      </w:r>
      <w:r w:rsidRPr="02EBB6AB">
        <w:rPr>
          <w:rFonts w:eastAsiaTheme="minorEastAsia"/>
          <w:color w:val="222222"/>
          <w:sz w:val="24"/>
          <w:szCs w:val="24"/>
        </w:rPr>
        <w:t>(3), pp118-129.</w:t>
      </w:r>
    </w:p>
    <w:p w14:paraId="04414763" w14:textId="1969DBC2" w:rsidR="02EBB6AB" w:rsidRDefault="02EBB6AB" w:rsidP="02EBB6AB">
      <w:pPr>
        <w:spacing w:line="480" w:lineRule="auto"/>
        <w:ind w:left="720" w:hanging="720"/>
        <w:rPr>
          <w:rFonts w:eastAsiaTheme="minorEastAsia"/>
          <w:color w:val="222222"/>
          <w:sz w:val="24"/>
          <w:szCs w:val="24"/>
        </w:rPr>
      </w:pPr>
    </w:p>
    <w:p w14:paraId="7DC8AD0B" w14:textId="471459A0" w:rsidR="02EBB6AB" w:rsidRDefault="02EBB6AB" w:rsidP="02EBB6AB">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De Massis, A., Kotlar, J., Wright, M., &amp; </w:t>
      </w:r>
      <w:proofErr w:type="spellStart"/>
      <w:r w:rsidRPr="02EBB6AB">
        <w:rPr>
          <w:rFonts w:eastAsiaTheme="minorEastAsia"/>
          <w:color w:val="222222"/>
          <w:sz w:val="24"/>
          <w:szCs w:val="24"/>
        </w:rPr>
        <w:t>Kellermanns</w:t>
      </w:r>
      <w:proofErr w:type="spellEnd"/>
      <w:r w:rsidRPr="02EBB6AB">
        <w:rPr>
          <w:rFonts w:eastAsiaTheme="minorEastAsia"/>
          <w:color w:val="222222"/>
          <w:sz w:val="24"/>
          <w:szCs w:val="24"/>
        </w:rPr>
        <w:t xml:space="preserve">, F. W. (2018). Sector-based entrepreneurial capabilities and the promise of sector studies in entrepreneurship. </w:t>
      </w:r>
      <w:r w:rsidRPr="02EBB6AB">
        <w:rPr>
          <w:rFonts w:eastAsiaTheme="minorEastAsia"/>
          <w:i/>
          <w:iCs/>
          <w:color w:val="222222"/>
          <w:sz w:val="24"/>
          <w:szCs w:val="24"/>
        </w:rPr>
        <w:t>Entrepreneurship Theory and Practice</w:t>
      </w:r>
      <w:r w:rsidRPr="02EBB6AB">
        <w:rPr>
          <w:rFonts w:eastAsiaTheme="minorEastAsia"/>
          <w:color w:val="222222"/>
          <w:sz w:val="24"/>
          <w:szCs w:val="24"/>
        </w:rPr>
        <w:t xml:space="preserve">, </w:t>
      </w:r>
      <w:r w:rsidRPr="02EBB6AB">
        <w:rPr>
          <w:rFonts w:eastAsiaTheme="minorEastAsia"/>
          <w:i/>
          <w:iCs/>
          <w:color w:val="222222"/>
          <w:sz w:val="24"/>
          <w:szCs w:val="24"/>
        </w:rPr>
        <w:t>42</w:t>
      </w:r>
      <w:r w:rsidRPr="02EBB6AB">
        <w:rPr>
          <w:rFonts w:eastAsiaTheme="minorEastAsia"/>
          <w:color w:val="222222"/>
          <w:sz w:val="24"/>
          <w:szCs w:val="24"/>
        </w:rPr>
        <w:t>(1), 3-23.</w:t>
      </w:r>
    </w:p>
    <w:p w14:paraId="72BF2B82" w14:textId="2AF51902" w:rsidR="00655B99" w:rsidRDefault="00655B99" w:rsidP="02EBB6AB">
      <w:pPr>
        <w:spacing w:line="480" w:lineRule="auto"/>
        <w:ind w:left="720" w:hanging="720"/>
        <w:rPr>
          <w:rFonts w:eastAsiaTheme="minorEastAsia"/>
          <w:color w:val="222222"/>
          <w:sz w:val="24"/>
          <w:szCs w:val="24"/>
        </w:rPr>
      </w:pPr>
    </w:p>
    <w:p w14:paraId="460974E4" w14:textId="77777777" w:rsidR="00655B99" w:rsidRDefault="00655B99" w:rsidP="02EBB6AB">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Emmerich, N. (2018). </w:t>
      </w:r>
      <w:r w:rsidRPr="3ED611DE">
        <w:rPr>
          <w:rFonts w:eastAsiaTheme="minorEastAsia"/>
          <w:i/>
          <w:iCs/>
          <w:color w:val="222222"/>
          <w:sz w:val="24"/>
          <w:szCs w:val="24"/>
        </w:rPr>
        <w:t>Virtue ethics in the conduct and governance of social science research</w:t>
      </w:r>
      <w:r w:rsidRPr="3ED611DE">
        <w:rPr>
          <w:rFonts w:eastAsiaTheme="minorEastAsia"/>
          <w:color w:val="222222"/>
          <w:sz w:val="24"/>
          <w:szCs w:val="24"/>
        </w:rPr>
        <w:t>. Emerald Group Publishing. 167.</w:t>
      </w:r>
    </w:p>
    <w:p w14:paraId="79675F5A" w14:textId="77777777" w:rsidR="00655B99" w:rsidRDefault="00655B99" w:rsidP="02EBB6AB">
      <w:pPr>
        <w:spacing w:line="480" w:lineRule="auto"/>
        <w:ind w:left="720" w:hanging="720"/>
        <w:rPr>
          <w:rFonts w:eastAsiaTheme="minorEastAsia"/>
          <w:color w:val="222222"/>
          <w:sz w:val="24"/>
          <w:szCs w:val="24"/>
        </w:rPr>
      </w:pPr>
    </w:p>
    <w:p w14:paraId="37910CA6" w14:textId="73D62571" w:rsidR="02EBB6AB" w:rsidRDefault="02EBB6AB" w:rsidP="02EBB6AB">
      <w:pPr>
        <w:spacing w:line="480" w:lineRule="auto"/>
        <w:ind w:left="720" w:hanging="720"/>
        <w:rPr>
          <w:rFonts w:eastAsiaTheme="minorEastAsia"/>
          <w:color w:val="222222"/>
          <w:sz w:val="24"/>
          <w:szCs w:val="24"/>
        </w:rPr>
      </w:pPr>
      <w:r w:rsidRPr="02EBB6AB">
        <w:rPr>
          <w:rFonts w:eastAsiaTheme="minorEastAsia"/>
          <w:sz w:val="24"/>
          <w:szCs w:val="24"/>
        </w:rPr>
        <w:t xml:space="preserve">Future Care Capital. (2022). </w:t>
      </w:r>
      <w:r w:rsidRPr="02EBB6AB">
        <w:rPr>
          <w:rFonts w:eastAsiaTheme="minorEastAsia"/>
          <w:i/>
          <w:iCs/>
          <w:sz w:val="24"/>
          <w:szCs w:val="24"/>
        </w:rPr>
        <w:t>Fundamental change needed to attract more women entrepreneurs</w:t>
      </w:r>
      <w:r w:rsidRPr="02EBB6AB">
        <w:rPr>
          <w:rFonts w:eastAsiaTheme="minorEastAsia"/>
          <w:sz w:val="24"/>
          <w:szCs w:val="24"/>
        </w:rPr>
        <w:t xml:space="preserve">. Retrieved May 24, 2022, from </w:t>
      </w:r>
      <w:hyperlink r:id="rId14">
        <w:r w:rsidRPr="02EBB6AB">
          <w:rPr>
            <w:rStyle w:val="Hyperlink"/>
            <w:rFonts w:eastAsiaTheme="minorEastAsia"/>
            <w:sz w:val="24"/>
            <w:szCs w:val="24"/>
          </w:rPr>
          <w:t>https://futurecarecapital.org.uk/latest/fundamental-change-is-needed-if-we-are-to-attract-more-women-entrepreneurs/</w:t>
        </w:r>
      </w:hyperlink>
    </w:p>
    <w:p w14:paraId="1782EDA3" w14:textId="090BB910" w:rsidR="02EBB6AB" w:rsidRDefault="02EBB6AB" w:rsidP="02EBB6AB">
      <w:pPr>
        <w:spacing w:line="480" w:lineRule="auto"/>
        <w:ind w:left="720" w:hanging="720"/>
        <w:rPr>
          <w:rFonts w:eastAsiaTheme="minorEastAsia"/>
          <w:color w:val="222222"/>
          <w:sz w:val="24"/>
          <w:szCs w:val="24"/>
        </w:rPr>
      </w:pPr>
    </w:p>
    <w:p w14:paraId="0C9B8F32" w14:textId="6B2A5BFA" w:rsidR="02EBB6AB" w:rsidRDefault="02EBB6AB" w:rsidP="02EBB6AB">
      <w:pPr>
        <w:spacing w:line="480" w:lineRule="auto"/>
        <w:ind w:left="720" w:hanging="720"/>
        <w:rPr>
          <w:rFonts w:eastAsiaTheme="minorEastAsia"/>
        </w:rPr>
      </w:pPr>
      <w:proofErr w:type="spellStart"/>
      <w:r w:rsidRPr="02EBB6AB">
        <w:rPr>
          <w:rFonts w:eastAsiaTheme="minorEastAsia"/>
          <w:color w:val="222222"/>
          <w:sz w:val="24"/>
          <w:szCs w:val="24"/>
        </w:rPr>
        <w:t>Guenaga</w:t>
      </w:r>
      <w:proofErr w:type="spellEnd"/>
      <w:r w:rsidRPr="02EBB6AB">
        <w:rPr>
          <w:rFonts w:eastAsiaTheme="minorEastAsia"/>
          <w:color w:val="222222"/>
          <w:sz w:val="24"/>
          <w:szCs w:val="24"/>
        </w:rPr>
        <w:t xml:space="preserve">, M., </w:t>
      </w:r>
      <w:proofErr w:type="spellStart"/>
      <w:r w:rsidRPr="02EBB6AB">
        <w:rPr>
          <w:rFonts w:eastAsiaTheme="minorEastAsia"/>
          <w:color w:val="222222"/>
          <w:sz w:val="24"/>
          <w:szCs w:val="24"/>
        </w:rPr>
        <w:t>Eguíluz</w:t>
      </w:r>
      <w:proofErr w:type="spellEnd"/>
      <w:r w:rsidRPr="02EBB6AB">
        <w:rPr>
          <w:rFonts w:eastAsiaTheme="minorEastAsia"/>
          <w:color w:val="222222"/>
          <w:sz w:val="24"/>
          <w:szCs w:val="24"/>
        </w:rPr>
        <w:t xml:space="preserve">, A., </w:t>
      </w:r>
      <w:proofErr w:type="spellStart"/>
      <w:r w:rsidRPr="02EBB6AB">
        <w:rPr>
          <w:rFonts w:eastAsiaTheme="minorEastAsia"/>
          <w:color w:val="222222"/>
          <w:sz w:val="24"/>
          <w:szCs w:val="24"/>
        </w:rPr>
        <w:t>Garaizar</w:t>
      </w:r>
      <w:proofErr w:type="spellEnd"/>
      <w:r w:rsidRPr="02EBB6AB">
        <w:rPr>
          <w:rFonts w:eastAsiaTheme="minorEastAsia"/>
          <w:color w:val="222222"/>
          <w:sz w:val="24"/>
          <w:szCs w:val="24"/>
        </w:rPr>
        <w:t xml:space="preserve">, P., &amp; </w:t>
      </w:r>
      <w:proofErr w:type="spellStart"/>
      <w:r w:rsidRPr="02EBB6AB">
        <w:rPr>
          <w:rFonts w:eastAsiaTheme="minorEastAsia"/>
          <w:color w:val="222222"/>
          <w:sz w:val="24"/>
          <w:szCs w:val="24"/>
        </w:rPr>
        <w:t>Mimenza</w:t>
      </w:r>
      <w:proofErr w:type="spellEnd"/>
      <w:r w:rsidRPr="02EBB6AB">
        <w:rPr>
          <w:rFonts w:eastAsiaTheme="minorEastAsia"/>
          <w:color w:val="222222"/>
          <w:sz w:val="24"/>
          <w:szCs w:val="24"/>
        </w:rPr>
        <w:t xml:space="preserve">, A. (2022). The Impact of Female Role Models Leading a Group Mentoring Program to Promote STEM Vocations among Young Girls. </w:t>
      </w:r>
      <w:r w:rsidRPr="02EBB6AB">
        <w:rPr>
          <w:rFonts w:eastAsiaTheme="minorEastAsia"/>
          <w:i/>
          <w:iCs/>
          <w:color w:val="222222"/>
          <w:sz w:val="24"/>
          <w:szCs w:val="24"/>
        </w:rPr>
        <w:t>Sustainability</w:t>
      </w:r>
      <w:r w:rsidRPr="02EBB6AB">
        <w:rPr>
          <w:rFonts w:eastAsiaTheme="minorEastAsia"/>
          <w:color w:val="222222"/>
          <w:sz w:val="24"/>
          <w:szCs w:val="24"/>
        </w:rPr>
        <w:t xml:space="preserve">, </w:t>
      </w:r>
      <w:r w:rsidRPr="02EBB6AB">
        <w:rPr>
          <w:rFonts w:eastAsiaTheme="minorEastAsia"/>
          <w:i/>
          <w:iCs/>
          <w:color w:val="222222"/>
          <w:sz w:val="24"/>
          <w:szCs w:val="24"/>
        </w:rPr>
        <w:t>14</w:t>
      </w:r>
      <w:r w:rsidRPr="02EBB6AB">
        <w:rPr>
          <w:rFonts w:eastAsiaTheme="minorEastAsia"/>
          <w:color w:val="222222"/>
          <w:sz w:val="24"/>
          <w:szCs w:val="24"/>
        </w:rPr>
        <w:t>(3), 1420.</w:t>
      </w:r>
    </w:p>
    <w:p w14:paraId="0816C2AD" w14:textId="57211C8C" w:rsidR="02EBB6AB" w:rsidRDefault="02EBB6AB" w:rsidP="02EBB6AB">
      <w:pPr>
        <w:spacing w:line="480" w:lineRule="auto"/>
        <w:ind w:left="720" w:hanging="720"/>
        <w:rPr>
          <w:rFonts w:eastAsiaTheme="minorEastAsia"/>
          <w:color w:val="222222"/>
          <w:sz w:val="24"/>
          <w:szCs w:val="24"/>
        </w:rPr>
      </w:pPr>
    </w:p>
    <w:p w14:paraId="5C16C66F" w14:textId="426FB453" w:rsidR="02EBB6AB" w:rsidRDefault="02EBB6AB" w:rsidP="02EBB6AB">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Guillén, M. F. (Ed.). (2013). </w:t>
      </w:r>
      <w:r w:rsidRPr="02EBB6AB">
        <w:rPr>
          <w:rFonts w:eastAsiaTheme="minorEastAsia"/>
          <w:i/>
          <w:iCs/>
          <w:color w:val="222222"/>
          <w:sz w:val="24"/>
          <w:szCs w:val="24"/>
        </w:rPr>
        <w:t>Women entrepreneurs: Inspiring stories from emerging economies and developing countries</w:t>
      </w:r>
      <w:r w:rsidRPr="02EBB6AB">
        <w:rPr>
          <w:rFonts w:eastAsiaTheme="minorEastAsia"/>
          <w:color w:val="222222"/>
          <w:sz w:val="24"/>
          <w:szCs w:val="24"/>
        </w:rPr>
        <w:t>. Routledge.</w:t>
      </w:r>
    </w:p>
    <w:p w14:paraId="6163DDEE" w14:textId="52ABFD70" w:rsidR="02EBB6AB" w:rsidRDefault="02EBB6AB" w:rsidP="02EBB6AB">
      <w:pPr>
        <w:spacing w:line="480" w:lineRule="auto"/>
        <w:ind w:left="720" w:hanging="720"/>
        <w:rPr>
          <w:rFonts w:eastAsiaTheme="minorEastAsia"/>
          <w:sz w:val="24"/>
          <w:szCs w:val="24"/>
        </w:rPr>
      </w:pPr>
    </w:p>
    <w:p w14:paraId="3DE69679" w14:textId="6079A70C" w:rsidR="02EBB6AB" w:rsidRDefault="75C81614" w:rsidP="3ED611DE">
      <w:pPr>
        <w:spacing w:line="480" w:lineRule="auto"/>
        <w:ind w:left="720" w:hanging="720"/>
        <w:rPr>
          <w:rStyle w:val="Hyperlink"/>
          <w:rFonts w:eastAsiaTheme="minorEastAsia"/>
          <w:sz w:val="24"/>
          <w:szCs w:val="24"/>
        </w:rPr>
      </w:pPr>
      <w:r w:rsidRPr="3ED611DE">
        <w:rPr>
          <w:rFonts w:eastAsiaTheme="minorEastAsia"/>
          <w:sz w:val="24"/>
          <w:szCs w:val="24"/>
        </w:rPr>
        <w:t xml:space="preserve">Haycock, M. (2018). </w:t>
      </w:r>
      <w:r w:rsidRPr="3ED611DE">
        <w:rPr>
          <w:rFonts w:eastAsiaTheme="minorEastAsia"/>
          <w:i/>
          <w:iCs/>
          <w:sz w:val="24"/>
          <w:szCs w:val="24"/>
        </w:rPr>
        <w:t>The Gender Funding Gap - Women more likely to receive business funding</w:t>
      </w:r>
      <w:r w:rsidRPr="3ED611DE">
        <w:rPr>
          <w:rFonts w:eastAsiaTheme="minorEastAsia"/>
          <w:sz w:val="24"/>
          <w:szCs w:val="24"/>
        </w:rPr>
        <w:t xml:space="preserve">. Funding Guru. Retrieved May 23, 2022, from </w:t>
      </w:r>
      <w:hyperlink r:id="rId15">
        <w:r w:rsidRPr="3ED611DE">
          <w:rPr>
            <w:rStyle w:val="Hyperlink"/>
            <w:rFonts w:eastAsiaTheme="minorEastAsia"/>
            <w:sz w:val="24"/>
            <w:szCs w:val="24"/>
          </w:rPr>
          <w:t>https://www.fundingguru.com/blog/the-gender-funding-gap</w:t>
        </w:r>
      </w:hyperlink>
    </w:p>
    <w:p w14:paraId="360A5D90" w14:textId="46B42DDC" w:rsidR="003F5FDA" w:rsidRDefault="003F5FDA" w:rsidP="3ED611DE">
      <w:pPr>
        <w:spacing w:line="480" w:lineRule="auto"/>
        <w:ind w:left="720" w:hanging="720"/>
        <w:rPr>
          <w:rStyle w:val="Hyperlink"/>
          <w:rFonts w:eastAsiaTheme="minorEastAsia"/>
          <w:sz w:val="24"/>
          <w:szCs w:val="24"/>
        </w:rPr>
      </w:pPr>
    </w:p>
    <w:p w14:paraId="3AA5FA37" w14:textId="0179CDF3" w:rsidR="003F5FDA" w:rsidRDefault="003F5FDA" w:rsidP="3ED611DE">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Husband, G. (2020). Ethical data collection and recognizing the impact of semi-structured interviews on research respondents. </w:t>
      </w:r>
      <w:r w:rsidRPr="3ED611DE">
        <w:rPr>
          <w:rFonts w:eastAsiaTheme="minorEastAsia"/>
          <w:i/>
          <w:iCs/>
          <w:color w:val="222222"/>
          <w:sz w:val="24"/>
          <w:szCs w:val="24"/>
        </w:rPr>
        <w:t>Education Sciences</w:t>
      </w:r>
      <w:r w:rsidRPr="3ED611DE">
        <w:rPr>
          <w:rFonts w:eastAsiaTheme="minorEastAsia"/>
          <w:color w:val="222222"/>
          <w:sz w:val="24"/>
          <w:szCs w:val="24"/>
        </w:rPr>
        <w:t xml:space="preserve">, </w:t>
      </w:r>
      <w:r w:rsidRPr="3ED611DE">
        <w:rPr>
          <w:rFonts w:eastAsiaTheme="minorEastAsia"/>
          <w:i/>
          <w:iCs/>
          <w:color w:val="222222"/>
          <w:sz w:val="24"/>
          <w:szCs w:val="24"/>
        </w:rPr>
        <w:t>10</w:t>
      </w:r>
      <w:r w:rsidRPr="3ED611DE">
        <w:rPr>
          <w:rFonts w:eastAsiaTheme="minorEastAsia"/>
          <w:color w:val="222222"/>
          <w:sz w:val="24"/>
          <w:szCs w:val="24"/>
        </w:rPr>
        <w:t>(8), 206.</w:t>
      </w:r>
    </w:p>
    <w:p w14:paraId="38DEA358" w14:textId="502D260F" w:rsidR="003F5FDA" w:rsidRDefault="003F5FDA" w:rsidP="3ED611DE">
      <w:pPr>
        <w:spacing w:line="480" w:lineRule="auto"/>
        <w:ind w:left="720" w:hanging="720"/>
        <w:rPr>
          <w:rFonts w:eastAsiaTheme="minorEastAsia"/>
          <w:color w:val="222222"/>
          <w:sz w:val="24"/>
          <w:szCs w:val="24"/>
        </w:rPr>
      </w:pPr>
    </w:p>
    <w:p w14:paraId="5C54C8B5" w14:textId="77777777" w:rsidR="003F5FDA" w:rsidRDefault="003F5FDA" w:rsidP="3ED611DE">
      <w:pPr>
        <w:spacing w:line="480" w:lineRule="auto"/>
        <w:ind w:left="720" w:hanging="720"/>
        <w:rPr>
          <w:rFonts w:eastAsiaTheme="minorEastAsia"/>
          <w:color w:val="222222"/>
          <w:sz w:val="24"/>
          <w:szCs w:val="24"/>
        </w:rPr>
      </w:pPr>
      <w:proofErr w:type="spellStart"/>
      <w:r w:rsidRPr="3ED611DE">
        <w:rPr>
          <w:rFonts w:eastAsiaTheme="minorEastAsia"/>
          <w:color w:val="222222"/>
          <w:sz w:val="24"/>
          <w:szCs w:val="24"/>
        </w:rPr>
        <w:t>Iphofen</w:t>
      </w:r>
      <w:proofErr w:type="spellEnd"/>
      <w:r w:rsidRPr="3ED611DE">
        <w:rPr>
          <w:rFonts w:eastAsiaTheme="minorEastAsia"/>
          <w:color w:val="222222"/>
          <w:sz w:val="24"/>
          <w:szCs w:val="24"/>
        </w:rPr>
        <w:t xml:space="preserve">, R., &amp; </w:t>
      </w:r>
      <w:proofErr w:type="spellStart"/>
      <w:r w:rsidRPr="3ED611DE">
        <w:rPr>
          <w:rFonts w:eastAsiaTheme="minorEastAsia"/>
          <w:color w:val="222222"/>
          <w:sz w:val="24"/>
          <w:szCs w:val="24"/>
        </w:rPr>
        <w:t>Tolich</w:t>
      </w:r>
      <w:proofErr w:type="spellEnd"/>
      <w:r w:rsidRPr="3ED611DE">
        <w:rPr>
          <w:rFonts w:eastAsiaTheme="minorEastAsia"/>
          <w:color w:val="222222"/>
          <w:sz w:val="24"/>
          <w:szCs w:val="24"/>
        </w:rPr>
        <w:t xml:space="preserve">, M. (Eds.). (2018). </w:t>
      </w:r>
      <w:r w:rsidRPr="3ED611DE">
        <w:rPr>
          <w:rFonts w:eastAsiaTheme="minorEastAsia"/>
          <w:i/>
          <w:iCs/>
          <w:color w:val="222222"/>
          <w:sz w:val="24"/>
          <w:szCs w:val="24"/>
        </w:rPr>
        <w:t>The SAGE handbook of qualitative research ethics</w:t>
      </w:r>
      <w:r w:rsidRPr="3ED611DE">
        <w:rPr>
          <w:rFonts w:eastAsiaTheme="minorEastAsia"/>
          <w:color w:val="222222"/>
          <w:sz w:val="24"/>
          <w:szCs w:val="24"/>
        </w:rPr>
        <w:t>. Sage. 356.</w:t>
      </w:r>
    </w:p>
    <w:p w14:paraId="3A392374" w14:textId="77777777" w:rsidR="003F5FDA" w:rsidRDefault="003F5FDA" w:rsidP="3ED611DE">
      <w:pPr>
        <w:spacing w:line="480" w:lineRule="auto"/>
        <w:ind w:left="720" w:hanging="720"/>
        <w:rPr>
          <w:rFonts w:eastAsiaTheme="minorEastAsia"/>
          <w:color w:val="222222"/>
          <w:sz w:val="24"/>
          <w:szCs w:val="24"/>
        </w:rPr>
      </w:pPr>
    </w:p>
    <w:p w14:paraId="054A2973" w14:textId="3BA4BED1" w:rsidR="02EBB6AB" w:rsidRDefault="75C81614" w:rsidP="3ED611DE">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Kannadhasan, M., Charan, P., Singh, P., &amp; </w:t>
      </w:r>
      <w:proofErr w:type="spellStart"/>
      <w:r w:rsidRPr="3ED611DE">
        <w:rPr>
          <w:rFonts w:eastAsiaTheme="minorEastAsia"/>
          <w:color w:val="222222"/>
          <w:sz w:val="24"/>
          <w:szCs w:val="24"/>
        </w:rPr>
        <w:t>Sivasankaran</w:t>
      </w:r>
      <w:proofErr w:type="spellEnd"/>
      <w:r w:rsidRPr="3ED611DE">
        <w:rPr>
          <w:rFonts w:eastAsiaTheme="minorEastAsia"/>
          <w:color w:val="222222"/>
          <w:sz w:val="24"/>
          <w:szCs w:val="24"/>
        </w:rPr>
        <w:t xml:space="preserve">, N. (2018). Relationships among social capital, self-efficacy, and new venture creations. </w:t>
      </w:r>
      <w:r w:rsidRPr="3ED611DE">
        <w:rPr>
          <w:rFonts w:eastAsiaTheme="minorEastAsia"/>
          <w:i/>
          <w:iCs/>
          <w:color w:val="222222"/>
          <w:sz w:val="24"/>
          <w:szCs w:val="24"/>
        </w:rPr>
        <w:t>Management Decision</w:t>
      </w:r>
      <w:r w:rsidRPr="3ED611DE">
        <w:rPr>
          <w:rFonts w:eastAsiaTheme="minorEastAsia"/>
          <w:color w:val="222222"/>
          <w:sz w:val="24"/>
          <w:szCs w:val="24"/>
        </w:rPr>
        <w:t>.</w:t>
      </w:r>
    </w:p>
    <w:p w14:paraId="2AA338B8" w14:textId="29D933AB" w:rsidR="02EBB6AB" w:rsidRDefault="02EBB6AB" w:rsidP="02EBB6AB">
      <w:pPr>
        <w:spacing w:line="480" w:lineRule="auto"/>
        <w:ind w:left="720" w:hanging="720"/>
        <w:jc w:val="both"/>
        <w:rPr>
          <w:rFonts w:eastAsiaTheme="minorEastAsia"/>
          <w:color w:val="222222"/>
          <w:sz w:val="24"/>
          <w:szCs w:val="24"/>
        </w:rPr>
      </w:pPr>
    </w:p>
    <w:p w14:paraId="3DF29D16" w14:textId="7A8533A7" w:rsidR="02EBB6AB" w:rsidRDefault="75C81614" w:rsidP="3ED611DE">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Kent, A. (2007). Under the microscope: female entrepreneurs in science, engineering, </w:t>
      </w:r>
      <w:proofErr w:type="gramStart"/>
      <w:r w:rsidRPr="3ED611DE">
        <w:rPr>
          <w:rFonts w:eastAsiaTheme="minorEastAsia"/>
          <w:color w:val="222222"/>
          <w:sz w:val="24"/>
          <w:szCs w:val="24"/>
        </w:rPr>
        <w:t>construction</w:t>
      </w:r>
      <w:proofErr w:type="gramEnd"/>
      <w:r w:rsidRPr="3ED611DE">
        <w:rPr>
          <w:rFonts w:eastAsiaTheme="minorEastAsia"/>
          <w:color w:val="222222"/>
          <w:sz w:val="24"/>
          <w:szCs w:val="24"/>
        </w:rPr>
        <w:t xml:space="preserve"> and technology.</w:t>
      </w:r>
    </w:p>
    <w:p w14:paraId="03BADAF6" w14:textId="4DCAEA52" w:rsidR="02EBB6AB" w:rsidRDefault="02EBB6AB" w:rsidP="3ED611DE">
      <w:pPr>
        <w:spacing w:line="480" w:lineRule="auto"/>
        <w:ind w:left="720" w:hanging="720"/>
        <w:rPr>
          <w:rFonts w:eastAsiaTheme="minorEastAsia"/>
          <w:color w:val="222222"/>
          <w:sz w:val="24"/>
          <w:szCs w:val="24"/>
        </w:rPr>
      </w:pPr>
    </w:p>
    <w:p w14:paraId="2F73ACE4" w14:textId="7C919A65" w:rsidR="02EBB6AB" w:rsidRDefault="3ED611DE" w:rsidP="3ED611DE">
      <w:pPr>
        <w:spacing w:line="480" w:lineRule="auto"/>
        <w:ind w:left="720" w:hanging="720"/>
        <w:rPr>
          <w:rFonts w:eastAsiaTheme="minorEastAsia"/>
          <w:color w:val="222222"/>
          <w:sz w:val="24"/>
          <w:szCs w:val="24"/>
        </w:rPr>
      </w:pPr>
      <w:r w:rsidRPr="3ED611DE">
        <w:rPr>
          <w:rFonts w:eastAsiaTheme="minorEastAsia"/>
          <w:sz w:val="24"/>
          <w:szCs w:val="24"/>
        </w:rPr>
        <w:t xml:space="preserve">Kubra Kaya, G. (2018). </w:t>
      </w:r>
      <w:r w:rsidRPr="3ED611DE">
        <w:rPr>
          <w:rFonts w:eastAsiaTheme="minorEastAsia"/>
          <w:i/>
          <w:iCs/>
          <w:sz w:val="24"/>
          <w:szCs w:val="24"/>
        </w:rPr>
        <w:t>A standard risk matrix</w:t>
      </w:r>
      <w:r w:rsidRPr="3ED611DE">
        <w:rPr>
          <w:rFonts w:eastAsiaTheme="minorEastAsia"/>
          <w:sz w:val="24"/>
          <w:szCs w:val="24"/>
        </w:rPr>
        <w:t xml:space="preserve"> [Graph]. </w:t>
      </w:r>
      <w:proofErr w:type="spellStart"/>
      <w:r w:rsidRPr="3ED611DE">
        <w:rPr>
          <w:rFonts w:eastAsiaTheme="minorEastAsia"/>
          <w:sz w:val="24"/>
          <w:szCs w:val="24"/>
        </w:rPr>
        <w:t>Researchgate</w:t>
      </w:r>
      <w:proofErr w:type="spellEnd"/>
      <w:r w:rsidRPr="3ED611DE">
        <w:rPr>
          <w:rFonts w:eastAsiaTheme="minorEastAsia"/>
          <w:sz w:val="24"/>
          <w:szCs w:val="24"/>
        </w:rPr>
        <w:t xml:space="preserve">. Retrieved May 24, 2022, from </w:t>
      </w:r>
      <w:hyperlink r:id="rId16">
        <w:r w:rsidRPr="3ED611DE">
          <w:rPr>
            <w:rStyle w:val="Hyperlink"/>
            <w:rFonts w:eastAsiaTheme="minorEastAsia"/>
            <w:sz w:val="24"/>
            <w:szCs w:val="24"/>
          </w:rPr>
          <w:t>https://www.researchgate.net/figure/A-standard-risk-matrix_fig7_323570642</w:t>
        </w:r>
      </w:hyperlink>
    </w:p>
    <w:p w14:paraId="0DF6B4BE" w14:textId="64138291" w:rsidR="02EBB6AB" w:rsidRDefault="02EBB6AB" w:rsidP="3ED611DE">
      <w:pPr>
        <w:spacing w:line="480" w:lineRule="auto"/>
        <w:ind w:left="720" w:hanging="720"/>
        <w:rPr>
          <w:rFonts w:eastAsiaTheme="minorEastAsia"/>
          <w:color w:val="222222"/>
          <w:sz w:val="24"/>
          <w:szCs w:val="24"/>
        </w:rPr>
      </w:pPr>
    </w:p>
    <w:p w14:paraId="34060CF4" w14:textId="614A43B6" w:rsidR="02EBB6AB" w:rsidRDefault="75C81614" w:rsidP="3ED611DE">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Laukhuf, R. L., &amp; Malone, T. A. (2015). Women entrepreneurs need mentors. </w:t>
      </w:r>
      <w:r w:rsidRPr="3ED611DE">
        <w:rPr>
          <w:rFonts w:eastAsiaTheme="minorEastAsia"/>
          <w:i/>
          <w:iCs/>
          <w:color w:val="222222"/>
          <w:sz w:val="24"/>
          <w:szCs w:val="24"/>
        </w:rPr>
        <w:t>International Journal of Evidence Based Coaching and Mentoring</w:t>
      </w:r>
      <w:r w:rsidRPr="3ED611DE">
        <w:rPr>
          <w:rFonts w:eastAsiaTheme="minorEastAsia"/>
          <w:color w:val="222222"/>
          <w:sz w:val="24"/>
          <w:szCs w:val="24"/>
        </w:rPr>
        <w:t xml:space="preserve">, </w:t>
      </w:r>
      <w:r w:rsidRPr="3ED611DE">
        <w:rPr>
          <w:rFonts w:eastAsiaTheme="minorEastAsia"/>
          <w:i/>
          <w:iCs/>
          <w:color w:val="222222"/>
          <w:sz w:val="24"/>
          <w:szCs w:val="24"/>
        </w:rPr>
        <w:t>13</w:t>
      </w:r>
      <w:r w:rsidRPr="3ED611DE">
        <w:rPr>
          <w:rFonts w:eastAsiaTheme="minorEastAsia"/>
          <w:color w:val="222222"/>
          <w:sz w:val="24"/>
          <w:szCs w:val="24"/>
        </w:rPr>
        <w:t>(1), 70-86.</w:t>
      </w:r>
    </w:p>
    <w:p w14:paraId="3DBC9F9F" w14:textId="4EFD20D3" w:rsidR="02EBB6AB" w:rsidRDefault="02EBB6AB" w:rsidP="02EBB6AB">
      <w:pPr>
        <w:spacing w:line="480" w:lineRule="auto"/>
        <w:ind w:left="720" w:hanging="720"/>
        <w:rPr>
          <w:rFonts w:eastAsiaTheme="minorEastAsia"/>
          <w:color w:val="222222"/>
          <w:sz w:val="24"/>
          <w:szCs w:val="24"/>
        </w:rPr>
      </w:pPr>
    </w:p>
    <w:p w14:paraId="01B44136" w14:textId="3BEB9C79" w:rsidR="02EBB6AB" w:rsidRDefault="02EBB6AB" w:rsidP="02EBB6AB">
      <w:pPr>
        <w:spacing w:line="480" w:lineRule="auto"/>
        <w:ind w:left="720" w:hanging="720"/>
        <w:rPr>
          <w:rFonts w:ascii="Arial" w:eastAsia="Arial" w:hAnsi="Arial" w:cs="Arial"/>
          <w:color w:val="222222"/>
          <w:sz w:val="19"/>
          <w:szCs w:val="19"/>
        </w:rPr>
      </w:pPr>
      <w:proofErr w:type="spellStart"/>
      <w:r w:rsidRPr="02EBB6AB">
        <w:rPr>
          <w:rFonts w:eastAsiaTheme="minorEastAsia"/>
          <w:color w:val="222222"/>
          <w:sz w:val="24"/>
          <w:szCs w:val="24"/>
        </w:rPr>
        <w:t>Mirhosseini</w:t>
      </w:r>
      <w:proofErr w:type="spellEnd"/>
      <w:r w:rsidRPr="02EBB6AB">
        <w:rPr>
          <w:rFonts w:eastAsiaTheme="minorEastAsia"/>
          <w:color w:val="222222"/>
          <w:sz w:val="24"/>
          <w:szCs w:val="24"/>
        </w:rPr>
        <w:t xml:space="preserve">, S. A. (2018). Mixed methods research in TESOL: Procedures combined or epistemology </w:t>
      </w:r>
      <w:proofErr w:type="gramStart"/>
      <w:r w:rsidRPr="02EBB6AB">
        <w:rPr>
          <w:rFonts w:eastAsiaTheme="minorEastAsia"/>
          <w:color w:val="222222"/>
          <w:sz w:val="24"/>
          <w:szCs w:val="24"/>
        </w:rPr>
        <w:t>confused?.</w:t>
      </w:r>
      <w:proofErr w:type="gramEnd"/>
      <w:r w:rsidRPr="02EBB6AB">
        <w:rPr>
          <w:rFonts w:eastAsiaTheme="minorEastAsia"/>
          <w:color w:val="222222"/>
          <w:sz w:val="24"/>
          <w:szCs w:val="24"/>
        </w:rPr>
        <w:t xml:space="preserve"> </w:t>
      </w:r>
      <w:proofErr w:type="spellStart"/>
      <w:r w:rsidRPr="02EBB6AB">
        <w:rPr>
          <w:rFonts w:eastAsiaTheme="minorEastAsia"/>
          <w:i/>
          <w:iCs/>
          <w:color w:val="222222"/>
          <w:sz w:val="24"/>
          <w:szCs w:val="24"/>
        </w:rPr>
        <w:t>Tesol</w:t>
      </w:r>
      <w:proofErr w:type="spellEnd"/>
      <w:r w:rsidRPr="02EBB6AB">
        <w:rPr>
          <w:rFonts w:eastAsiaTheme="minorEastAsia"/>
          <w:i/>
          <w:iCs/>
          <w:color w:val="222222"/>
          <w:sz w:val="24"/>
          <w:szCs w:val="24"/>
        </w:rPr>
        <w:t xml:space="preserve"> Quarterly</w:t>
      </w:r>
      <w:r w:rsidRPr="02EBB6AB">
        <w:rPr>
          <w:rFonts w:eastAsiaTheme="minorEastAsia"/>
          <w:color w:val="222222"/>
          <w:sz w:val="24"/>
          <w:szCs w:val="24"/>
        </w:rPr>
        <w:t xml:space="preserve">, </w:t>
      </w:r>
      <w:r w:rsidRPr="02EBB6AB">
        <w:rPr>
          <w:rFonts w:eastAsiaTheme="minorEastAsia"/>
          <w:i/>
          <w:iCs/>
          <w:color w:val="222222"/>
          <w:sz w:val="24"/>
          <w:szCs w:val="24"/>
        </w:rPr>
        <w:t>52</w:t>
      </w:r>
      <w:r w:rsidRPr="02EBB6AB">
        <w:rPr>
          <w:rFonts w:eastAsiaTheme="minorEastAsia"/>
          <w:color w:val="222222"/>
          <w:sz w:val="24"/>
          <w:szCs w:val="24"/>
        </w:rPr>
        <w:t>(2), 468-478.</w:t>
      </w:r>
    </w:p>
    <w:p w14:paraId="52EE0300" w14:textId="1AD95B14" w:rsidR="02EBB6AB" w:rsidRDefault="02EBB6AB" w:rsidP="02EBB6AB">
      <w:pPr>
        <w:spacing w:line="480" w:lineRule="auto"/>
        <w:ind w:left="720" w:hanging="720"/>
        <w:rPr>
          <w:rFonts w:eastAsiaTheme="minorEastAsia"/>
          <w:color w:val="222222"/>
          <w:sz w:val="24"/>
          <w:szCs w:val="24"/>
        </w:rPr>
      </w:pPr>
    </w:p>
    <w:p w14:paraId="2F73F7C4" w14:textId="06254D14" w:rsidR="02EBB6AB" w:rsidRDefault="02EBB6AB" w:rsidP="02EBB6AB">
      <w:pPr>
        <w:spacing w:line="480" w:lineRule="auto"/>
        <w:ind w:left="720" w:hanging="720"/>
        <w:rPr>
          <w:rFonts w:ascii="Arial" w:eastAsia="Arial" w:hAnsi="Arial" w:cs="Arial"/>
          <w:color w:val="222222"/>
          <w:sz w:val="19"/>
          <w:szCs w:val="19"/>
        </w:rPr>
      </w:pPr>
      <w:r w:rsidRPr="02EBB6AB">
        <w:rPr>
          <w:rFonts w:eastAsiaTheme="minorEastAsia"/>
          <w:color w:val="222222"/>
          <w:sz w:val="24"/>
          <w:szCs w:val="24"/>
        </w:rPr>
        <w:t>Molina-</w:t>
      </w:r>
      <w:proofErr w:type="spellStart"/>
      <w:r w:rsidRPr="02EBB6AB">
        <w:rPr>
          <w:rFonts w:eastAsiaTheme="minorEastAsia"/>
          <w:color w:val="222222"/>
          <w:sz w:val="24"/>
          <w:szCs w:val="24"/>
        </w:rPr>
        <w:t>Azorin</w:t>
      </w:r>
      <w:proofErr w:type="spellEnd"/>
      <w:r w:rsidRPr="02EBB6AB">
        <w:rPr>
          <w:rFonts w:eastAsiaTheme="minorEastAsia"/>
          <w:color w:val="222222"/>
          <w:sz w:val="24"/>
          <w:szCs w:val="24"/>
        </w:rPr>
        <w:t xml:space="preserve">, J. F. (2012). Mixed methods research in strategic management: Impact and applications. </w:t>
      </w:r>
      <w:r w:rsidRPr="02EBB6AB">
        <w:rPr>
          <w:rFonts w:eastAsiaTheme="minorEastAsia"/>
          <w:i/>
          <w:iCs/>
          <w:color w:val="222222"/>
          <w:sz w:val="24"/>
          <w:szCs w:val="24"/>
        </w:rPr>
        <w:t>Organizational Research Methods</w:t>
      </w:r>
      <w:r w:rsidRPr="02EBB6AB">
        <w:rPr>
          <w:rFonts w:eastAsiaTheme="minorEastAsia"/>
          <w:color w:val="222222"/>
          <w:sz w:val="24"/>
          <w:szCs w:val="24"/>
        </w:rPr>
        <w:t xml:space="preserve">, </w:t>
      </w:r>
      <w:r w:rsidRPr="02EBB6AB">
        <w:rPr>
          <w:rFonts w:eastAsiaTheme="minorEastAsia"/>
          <w:i/>
          <w:iCs/>
          <w:color w:val="222222"/>
          <w:sz w:val="24"/>
          <w:szCs w:val="24"/>
        </w:rPr>
        <w:t>15</w:t>
      </w:r>
      <w:r w:rsidRPr="02EBB6AB">
        <w:rPr>
          <w:rFonts w:eastAsiaTheme="minorEastAsia"/>
          <w:color w:val="222222"/>
          <w:sz w:val="24"/>
          <w:szCs w:val="24"/>
        </w:rPr>
        <w:t>(1), 33-56.</w:t>
      </w:r>
    </w:p>
    <w:p w14:paraId="61356AD4" w14:textId="21DC5A5A" w:rsidR="02EBB6AB" w:rsidRDefault="02EBB6AB" w:rsidP="02EBB6AB">
      <w:pPr>
        <w:spacing w:line="480" w:lineRule="auto"/>
        <w:ind w:left="720" w:hanging="720"/>
        <w:rPr>
          <w:rFonts w:eastAsiaTheme="minorEastAsia"/>
          <w:color w:val="222222"/>
          <w:sz w:val="24"/>
          <w:szCs w:val="24"/>
        </w:rPr>
      </w:pPr>
    </w:p>
    <w:p w14:paraId="598144D9" w14:textId="716EBDBE" w:rsidR="02EBB6AB" w:rsidRDefault="02EBB6AB" w:rsidP="02EBB6AB">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Nambisan, S., Wright, M., &amp; Feldman, M. (2019). The digital transformation of innovation and entrepreneurship: Progress, </w:t>
      </w:r>
      <w:proofErr w:type="gramStart"/>
      <w:r w:rsidRPr="02EBB6AB">
        <w:rPr>
          <w:rFonts w:eastAsiaTheme="minorEastAsia"/>
          <w:color w:val="222222"/>
          <w:sz w:val="24"/>
          <w:szCs w:val="24"/>
        </w:rPr>
        <w:t>challenges</w:t>
      </w:r>
      <w:proofErr w:type="gramEnd"/>
      <w:r w:rsidRPr="02EBB6AB">
        <w:rPr>
          <w:rFonts w:eastAsiaTheme="minorEastAsia"/>
          <w:color w:val="222222"/>
          <w:sz w:val="24"/>
          <w:szCs w:val="24"/>
        </w:rPr>
        <w:t xml:space="preserve"> and key themes. </w:t>
      </w:r>
      <w:r w:rsidRPr="02EBB6AB">
        <w:rPr>
          <w:rFonts w:eastAsiaTheme="minorEastAsia"/>
          <w:i/>
          <w:iCs/>
          <w:color w:val="222222"/>
          <w:sz w:val="24"/>
          <w:szCs w:val="24"/>
        </w:rPr>
        <w:t>Research Policy</w:t>
      </w:r>
      <w:r w:rsidRPr="02EBB6AB">
        <w:rPr>
          <w:rFonts w:eastAsiaTheme="minorEastAsia"/>
          <w:color w:val="222222"/>
          <w:sz w:val="24"/>
          <w:szCs w:val="24"/>
        </w:rPr>
        <w:t xml:space="preserve">, </w:t>
      </w:r>
      <w:r w:rsidRPr="02EBB6AB">
        <w:rPr>
          <w:rFonts w:eastAsiaTheme="minorEastAsia"/>
          <w:i/>
          <w:iCs/>
          <w:color w:val="222222"/>
          <w:sz w:val="24"/>
          <w:szCs w:val="24"/>
        </w:rPr>
        <w:t>48</w:t>
      </w:r>
      <w:r w:rsidRPr="02EBB6AB">
        <w:rPr>
          <w:rFonts w:eastAsiaTheme="minorEastAsia"/>
          <w:color w:val="222222"/>
          <w:sz w:val="24"/>
          <w:szCs w:val="24"/>
        </w:rPr>
        <w:t>(8), 103773.</w:t>
      </w:r>
    </w:p>
    <w:p w14:paraId="7690E1E4" w14:textId="5EDAF9B9" w:rsidR="02EBB6AB" w:rsidRDefault="02EBB6AB" w:rsidP="02EBB6AB">
      <w:pPr>
        <w:spacing w:line="480" w:lineRule="auto"/>
        <w:ind w:left="720" w:hanging="720"/>
        <w:rPr>
          <w:rFonts w:eastAsiaTheme="minorEastAsia"/>
          <w:sz w:val="24"/>
          <w:szCs w:val="24"/>
        </w:rPr>
      </w:pPr>
    </w:p>
    <w:p w14:paraId="4F953385" w14:textId="4298B504" w:rsidR="02EBB6AB" w:rsidRDefault="02EBB6AB" w:rsidP="02EBB6AB">
      <w:pPr>
        <w:spacing w:line="480" w:lineRule="auto"/>
        <w:ind w:left="720" w:hanging="720"/>
        <w:rPr>
          <w:rFonts w:eastAsiaTheme="minorEastAsia"/>
          <w:sz w:val="24"/>
          <w:szCs w:val="24"/>
        </w:rPr>
      </w:pPr>
      <w:proofErr w:type="spellStart"/>
      <w:r w:rsidRPr="02EBB6AB">
        <w:rPr>
          <w:rFonts w:eastAsiaTheme="minorEastAsia"/>
          <w:sz w:val="24"/>
          <w:szCs w:val="24"/>
        </w:rPr>
        <w:t>Natwestgroup</w:t>
      </w:r>
      <w:proofErr w:type="spellEnd"/>
      <w:r w:rsidRPr="02EBB6AB">
        <w:rPr>
          <w:rFonts w:eastAsiaTheme="minorEastAsia"/>
          <w:sz w:val="24"/>
          <w:szCs w:val="24"/>
        </w:rPr>
        <w:t xml:space="preserve">. (2022). </w:t>
      </w:r>
      <w:r w:rsidRPr="02EBB6AB">
        <w:rPr>
          <w:rFonts w:eastAsiaTheme="minorEastAsia"/>
          <w:i/>
          <w:iCs/>
          <w:sz w:val="24"/>
          <w:szCs w:val="24"/>
        </w:rPr>
        <w:t>Rose Review reports third year of progress</w:t>
      </w:r>
      <w:r w:rsidRPr="02EBB6AB">
        <w:rPr>
          <w:rFonts w:eastAsiaTheme="minorEastAsia"/>
          <w:sz w:val="24"/>
          <w:szCs w:val="24"/>
        </w:rPr>
        <w:t xml:space="preserve">. Natwestgroup.Com. Retrieved May 23, 2022, from </w:t>
      </w:r>
      <w:hyperlink r:id="rId17" w:anchor=":~:text=The%20Rose%20Review%20Progress%20Report,during%20the%20Covid%2D19%20pandemic">
        <w:r w:rsidRPr="02EBB6AB">
          <w:rPr>
            <w:rStyle w:val="Hyperlink"/>
            <w:rFonts w:eastAsiaTheme="minorEastAsia"/>
            <w:sz w:val="24"/>
            <w:szCs w:val="24"/>
          </w:rPr>
          <w:t>https://www.natwestgroup.com/news/2022/02/nwg-rose-review-reports-third-year-of-progress.html#:~:text=The%20Rose%20Review%20Progress%20Report,during%20the%20Covid%2D19%20pandemic</w:t>
        </w:r>
      </w:hyperlink>
      <w:r w:rsidRPr="02EBB6AB">
        <w:rPr>
          <w:rFonts w:eastAsiaTheme="minorEastAsia"/>
          <w:sz w:val="24"/>
          <w:szCs w:val="24"/>
        </w:rPr>
        <w:t>.</w:t>
      </w:r>
    </w:p>
    <w:p w14:paraId="77652F45" w14:textId="7FD35B94" w:rsidR="003F5FDA" w:rsidRDefault="003F5FDA" w:rsidP="02EBB6AB">
      <w:pPr>
        <w:spacing w:line="480" w:lineRule="auto"/>
        <w:ind w:left="720" w:hanging="720"/>
        <w:rPr>
          <w:rFonts w:eastAsiaTheme="minorEastAsia"/>
          <w:sz w:val="24"/>
          <w:szCs w:val="24"/>
        </w:rPr>
      </w:pPr>
    </w:p>
    <w:p w14:paraId="15A66E9B" w14:textId="77777777" w:rsidR="003F5FDA" w:rsidRDefault="003F5FDA" w:rsidP="3ED611DE">
      <w:pPr>
        <w:spacing w:line="480" w:lineRule="auto"/>
        <w:ind w:left="720" w:hanging="720"/>
        <w:rPr>
          <w:rFonts w:eastAsiaTheme="minorEastAsia"/>
          <w:color w:val="222222"/>
          <w:sz w:val="24"/>
          <w:szCs w:val="24"/>
        </w:rPr>
      </w:pPr>
      <w:r w:rsidRPr="3ED611DE">
        <w:rPr>
          <w:rFonts w:eastAsiaTheme="minorEastAsia"/>
          <w:color w:val="222222"/>
          <w:sz w:val="24"/>
          <w:szCs w:val="24"/>
        </w:rPr>
        <w:lastRenderedPageBreak/>
        <w:t xml:space="preserve">Nayak, M. S. D. P., &amp; Narayan, K. A. (2019). Strengths and weaknesses of online surveys. </w:t>
      </w:r>
      <w:r w:rsidRPr="3ED611DE">
        <w:rPr>
          <w:rFonts w:eastAsiaTheme="minorEastAsia"/>
          <w:i/>
          <w:iCs/>
          <w:color w:val="222222"/>
          <w:sz w:val="24"/>
          <w:szCs w:val="24"/>
        </w:rPr>
        <w:t>technology</w:t>
      </w:r>
      <w:r w:rsidRPr="3ED611DE">
        <w:rPr>
          <w:rFonts w:eastAsiaTheme="minorEastAsia"/>
          <w:color w:val="222222"/>
          <w:sz w:val="24"/>
          <w:szCs w:val="24"/>
        </w:rPr>
        <w:t xml:space="preserve">, </w:t>
      </w:r>
      <w:r w:rsidRPr="3ED611DE">
        <w:rPr>
          <w:rFonts w:eastAsiaTheme="minorEastAsia"/>
          <w:i/>
          <w:iCs/>
          <w:color w:val="222222"/>
          <w:sz w:val="24"/>
          <w:szCs w:val="24"/>
        </w:rPr>
        <w:t>6</w:t>
      </w:r>
      <w:r w:rsidRPr="3ED611DE">
        <w:rPr>
          <w:rFonts w:eastAsiaTheme="minorEastAsia"/>
          <w:color w:val="222222"/>
          <w:sz w:val="24"/>
          <w:szCs w:val="24"/>
        </w:rPr>
        <w:t>, 7.</w:t>
      </w:r>
    </w:p>
    <w:p w14:paraId="4119BBB9" w14:textId="77777777" w:rsidR="003F5FDA" w:rsidRDefault="003F5FDA" w:rsidP="3ED611DE">
      <w:pPr>
        <w:spacing w:line="480" w:lineRule="auto"/>
        <w:ind w:left="720" w:hanging="720"/>
        <w:rPr>
          <w:rFonts w:eastAsiaTheme="minorEastAsia"/>
          <w:color w:val="222222"/>
          <w:sz w:val="24"/>
          <w:szCs w:val="24"/>
        </w:rPr>
      </w:pPr>
    </w:p>
    <w:p w14:paraId="7FE7F866" w14:textId="77777777" w:rsidR="00BE3CC1" w:rsidRDefault="75C81614" w:rsidP="00BE3CC1">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Palinkas, L. A., Mendon, S. J., &amp; Hamilton, A. B. (2019). Innovations in mixed methods evaluations. </w:t>
      </w:r>
      <w:r w:rsidRPr="3ED611DE">
        <w:rPr>
          <w:rFonts w:eastAsiaTheme="minorEastAsia"/>
          <w:i/>
          <w:iCs/>
          <w:color w:val="222222"/>
          <w:sz w:val="24"/>
          <w:szCs w:val="24"/>
        </w:rPr>
        <w:t>Annual review of public health</w:t>
      </w:r>
      <w:r w:rsidRPr="3ED611DE">
        <w:rPr>
          <w:rFonts w:eastAsiaTheme="minorEastAsia"/>
          <w:color w:val="222222"/>
          <w:sz w:val="24"/>
          <w:szCs w:val="24"/>
        </w:rPr>
        <w:t xml:space="preserve">, </w:t>
      </w:r>
      <w:r w:rsidRPr="3ED611DE">
        <w:rPr>
          <w:rFonts w:eastAsiaTheme="minorEastAsia"/>
          <w:i/>
          <w:iCs/>
          <w:color w:val="222222"/>
          <w:sz w:val="24"/>
          <w:szCs w:val="24"/>
        </w:rPr>
        <w:t>40</w:t>
      </w:r>
      <w:r w:rsidRPr="3ED611DE">
        <w:rPr>
          <w:rFonts w:eastAsiaTheme="minorEastAsia"/>
          <w:color w:val="222222"/>
          <w:sz w:val="24"/>
          <w:szCs w:val="24"/>
        </w:rPr>
        <w:t>, 423-442.</w:t>
      </w:r>
    </w:p>
    <w:p w14:paraId="60AEB8A7" w14:textId="77777777" w:rsidR="00BE3CC1" w:rsidRDefault="00BE3CC1" w:rsidP="00BE3CC1">
      <w:pPr>
        <w:spacing w:line="480" w:lineRule="auto"/>
        <w:ind w:left="720" w:hanging="720"/>
        <w:rPr>
          <w:rFonts w:eastAsiaTheme="minorEastAsia"/>
          <w:color w:val="222222"/>
          <w:sz w:val="24"/>
          <w:szCs w:val="24"/>
        </w:rPr>
      </w:pPr>
    </w:p>
    <w:p w14:paraId="23DBF5C3" w14:textId="77777777" w:rsidR="00BE3CC1" w:rsidRDefault="00BE3CC1" w:rsidP="3ED611DE">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Panter, A. T., &amp; Sterba, S. K. (Eds.). (2011). </w:t>
      </w:r>
      <w:r w:rsidRPr="3ED611DE">
        <w:rPr>
          <w:rFonts w:eastAsiaTheme="minorEastAsia"/>
          <w:i/>
          <w:iCs/>
          <w:color w:val="222222"/>
          <w:sz w:val="24"/>
          <w:szCs w:val="24"/>
        </w:rPr>
        <w:t>Handbook of ethics in quantitative methodology</w:t>
      </w:r>
      <w:r w:rsidRPr="3ED611DE">
        <w:rPr>
          <w:rFonts w:eastAsiaTheme="minorEastAsia"/>
          <w:color w:val="222222"/>
          <w:sz w:val="24"/>
          <w:szCs w:val="24"/>
        </w:rPr>
        <w:t>. Taylor &amp; Francis. (3), 246.</w:t>
      </w:r>
    </w:p>
    <w:p w14:paraId="0C2908FC" w14:textId="77777777" w:rsidR="00BE3CC1" w:rsidRDefault="00BE3CC1" w:rsidP="3ED611DE">
      <w:pPr>
        <w:spacing w:line="480" w:lineRule="auto"/>
        <w:ind w:left="720" w:hanging="720"/>
        <w:rPr>
          <w:rFonts w:eastAsiaTheme="minorEastAsia"/>
          <w:color w:val="222222"/>
          <w:sz w:val="24"/>
          <w:szCs w:val="24"/>
        </w:rPr>
      </w:pPr>
    </w:p>
    <w:p w14:paraId="55DF19C1" w14:textId="487002D2" w:rsidR="02EBB6AB" w:rsidRDefault="3ED611DE" w:rsidP="3ED611DE">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Rendtorff, J. D. (2020). Principles of business ethics and business legitimacy. In </w:t>
      </w:r>
      <w:r w:rsidRPr="3ED611DE">
        <w:rPr>
          <w:rFonts w:eastAsiaTheme="minorEastAsia"/>
          <w:i/>
          <w:iCs/>
          <w:color w:val="222222"/>
          <w:sz w:val="24"/>
          <w:szCs w:val="24"/>
        </w:rPr>
        <w:t>Handbook of business legitimacy</w:t>
      </w:r>
      <w:r w:rsidRPr="3ED611DE">
        <w:rPr>
          <w:rFonts w:eastAsiaTheme="minorEastAsia"/>
          <w:color w:val="222222"/>
          <w:sz w:val="24"/>
          <w:szCs w:val="24"/>
        </w:rPr>
        <w:t xml:space="preserve"> (pp. 783-797). Springer, Cham.</w:t>
      </w:r>
    </w:p>
    <w:p w14:paraId="3F1C6160" w14:textId="1AF93551" w:rsidR="02EBB6AB" w:rsidRDefault="02EBB6AB" w:rsidP="3ED611DE">
      <w:pPr>
        <w:spacing w:line="480" w:lineRule="auto"/>
        <w:ind w:left="720" w:hanging="720"/>
        <w:rPr>
          <w:rFonts w:eastAsiaTheme="minorEastAsia"/>
          <w:color w:val="222222"/>
          <w:sz w:val="24"/>
          <w:szCs w:val="24"/>
        </w:rPr>
      </w:pPr>
    </w:p>
    <w:p w14:paraId="70A420AE" w14:textId="40558BED" w:rsidR="02EBB6AB" w:rsidRDefault="75C81614" w:rsidP="3ED611DE">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Reyad, S., Madbouly, A., Chinnasamy, G., Badawi, S., &amp; Hamdan, A. (2020, June). Inclusion of Mixed Method Research in Business Studies: Opportunity and Challenges. In </w:t>
      </w:r>
      <w:r w:rsidRPr="3ED611DE">
        <w:rPr>
          <w:rFonts w:eastAsiaTheme="minorEastAsia"/>
          <w:i/>
          <w:iCs/>
          <w:color w:val="222222"/>
          <w:sz w:val="24"/>
          <w:szCs w:val="24"/>
        </w:rPr>
        <w:t>Proceedings of the European Conference on Research Methods for Business &amp; Management Studies</w:t>
      </w:r>
      <w:r w:rsidRPr="3ED611DE">
        <w:rPr>
          <w:rFonts w:eastAsiaTheme="minorEastAsia"/>
          <w:color w:val="222222"/>
          <w:sz w:val="24"/>
          <w:szCs w:val="24"/>
        </w:rPr>
        <w:t xml:space="preserve"> (pp. 248-256).</w:t>
      </w:r>
    </w:p>
    <w:p w14:paraId="11DF8211" w14:textId="38E25F43" w:rsidR="02EBB6AB" w:rsidRDefault="02EBB6AB" w:rsidP="02EBB6AB">
      <w:pPr>
        <w:spacing w:line="480" w:lineRule="auto"/>
        <w:ind w:left="720" w:hanging="720"/>
        <w:rPr>
          <w:rFonts w:eastAsiaTheme="minorEastAsia"/>
          <w:color w:val="222222"/>
          <w:sz w:val="24"/>
          <w:szCs w:val="24"/>
        </w:rPr>
      </w:pPr>
    </w:p>
    <w:p w14:paraId="63F39F58" w14:textId="15B7DC89" w:rsidR="02EBB6AB" w:rsidRDefault="02EBB6AB" w:rsidP="02EBB6AB">
      <w:pPr>
        <w:spacing w:line="480" w:lineRule="auto"/>
        <w:ind w:left="720" w:hanging="720"/>
        <w:rPr>
          <w:rFonts w:eastAsiaTheme="minorEastAsia"/>
          <w:color w:val="222222"/>
          <w:sz w:val="24"/>
          <w:szCs w:val="24"/>
        </w:rPr>
      </w:pPr>
      <w:r w:rsidRPr="02EBB6AB">
        <w:rPr>
          <w:rFonts w:eastAsiaTheme="minorEastAsia"/>
          <w:color w:val="222222"/>
          <w:sz w:val="24"/>
          <w:szCs w:val="24"/>
        </w:rPr>
        <w:lastRenderedPageBreak/>
        <w:t xml:space="preserve">Robnett, R. D., Nelson, P. A., Zurbriggen, E. L., Crosby, F. J., &amp; </w:t>
      </w:r>
      <w:proofErr w:type="spellStart"/>
      <w:r w:rsidRPr="02EBB6AB">
        <w:rPr>
          <w:rFonts w:eastAsiaTheme="minorEastAsia"/>
          <w:color w:val="222222"/>
          <w:sz w:val="24"/>
          <w:szCs w:val="24"/>
        </w:rPr>
        <w:t>Chemers</w:t>
      </w:r>
      <w:proofErr w:type="spellEnd"/>
      <w:r w:rsidRPr="02EBB6AB">
        <w:rPr>
          <w:rFonts w:eastAsiaTheme="minorEastAsia"/>
          <w:color w:val="222222"/>
          <w:sz w:val="24"/>
          <w:szCs w:val="24"/>
        </w:rPr>
        <w:t xml:space="preserve">, M. M. (2018). Research mentoring and scientist identity: insights from undergraduates and their mentors. </w:t>
      </w:r>
      <w:r w:rsidRPr="02EBB6AB">
        <w:rPr>
          <w:rFonts w:eastAsiaTheme="minorEastAsia"/>
          <w:i/>
          <w:iCs/>
          <w:color w:val="222222"/>
          <w:sz w:val="24"/>
          <w:szCs w:val="24"/>
        </w:rPr>
        <w:t>International journal of STEM education</w:t>
      </w:r>
      <w:r w:rsidRPr="02EBB6AB">
        <w:rPr>
          <w:rFonts w:eastAsiaTheme="minorEastAsia"/>
          <w:color w:val="222222"/>
          <w:sz w:val="24"/>
          <w:szCs w:val="24"/>
        </w:rPr>
        <w:t xml:space="preserve">, </w:t>
      </w:r>
      <w:r w:rsidRPr="02EBB6AB">
        <w:rPr>
          <w:rFonts w:eastAsiaTheme="minorEastAsia"/>
          <w:i/>
          <w:iCs/>
          <w:color w:val="222222"/>
          <w:sz w:val="24"/>
          <w:szCs w:val="24"/>
        </w:rPr>
        <w:t>5</w:t>
      </w:r>
      <w:r w:rsidRPr="02EBB6AB">
        <w:rPr>
          <w:rFonts w:eastAsiaTheme="minorEastAsia"/>
          <w:color w:val="222222"/>
          <w:sz w:val="24"/>
          <w:szCs w:val="24"/>
        </w:rPr>
        <w:t>(1), 1-14.</w:t>
      </w:r>
    </w:p>
    <w:p w14:paraId="5DAFEC0A" w14:textId="4E2D1594" w:rsidR="02EBB6AB" w:rsidRDefault="02EBB6AB" w:rsidP="02EBB6AB">
      <w:pPr>
        <w:spacing w:line="480" w:lineRule="auto"/>
        <w:ind w:left="720" w:hanging="720"/>
        <w:rPr>
          <w:rFonts w:eastAsiaTheme="minorEastAsia"/>
          <w:color w:val="222222"/>
          <w:sz w:val="24"/>
          <w:szCs w:val="24"/>
        </w:rPr>
      </w:pPr>
    </w:p>
    <w:p w14:paraId="576571B3" w14:textId="32C3F59C" w:rsidR="02EBB6AB" w:rsidRDefault="02EBB6AB" w:rsidP="02EBB6AB">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Shepherd, D. A., &amp; Gruber, M. (2021). The lean </w:t>
      </w:r>
      <w:proofErr w:type="spellStart"/>
      <w:r w:rsidRPr="02EBB6AB">
        <w:rPr>
          <w:rFonts w:eastAsiaTheme="minorEastAsia"/>
          <w:color w:val="222222"/>
          <w:sz w:val="24"/>
          <w:szCs w:val="24"/>
        </w:rPr>
        <w:t>startup</w:t>
      </w:r>
      <w:proofErr w:type="spellEnd"/>
      <w:r w:rsidRPr="02EBB6AB">
        <w:rPr>
          <w:rFonts w:eastAsiaTheme="minorEastAsia"/>
          <w:color w:val="222222"/>
          <w:sz w:val="24"/>
          <w:szCs w:val="24"/>
        </w:rPr>
        <w:t xml:space="preserve"> framework: Closing the academic–practitioner divide. </w:t>
      </w:r>
      <w:r w:rsidRPr="02EBB6AB">
        <w:rPr>
          <w:rFonts w:eastAsiaTheme="minorEastAsia"/>
          <w:i/>
          <w:iCs/>
          <w:color w:val="222222"/>
          <w:sz w:val="24"/>
          <w:szCs w:val="24"/>
        </w:rPr>
        <w:t>Entrepreneurship Theory and Practice</w:t>
      </w:r>
      <w:r w:rsidRPr="02EBB6AB">
        <w:rPr>
          <w:rFonts w:eastAsiaTheme="minorEastAsia"/>
          <w:color w:val="222222"/>
          <w:sz w:val="24"/>
          <w:szCs w:val="24"/>
        </w:rPr>
        <w:t xml:space="preserve">, </w:t>
      </w:r>
      <w:r w:rsidRPr="02EBB6AB">
        <w:rPr>
          <w:rFonts w:eastAsiaTheme="minorEastAsia"/>
          <w:i/>
          <w:iCs/>
          <w:color w:val="222222"/>
          <w:sz w:val="24"/>
          <w:szCs w:val="24"/>
        </w:rPr>
        <w:t>45</w:t>
      </w:r>
      <w:r w:rsidRPr="02EBB6AB">
        <w:rPr>
          <w:rFonts w:eastAsiaTheme="minorEastAsia"/>
          <w:color w:val="222222"/>
          <w:sz w:val="24"/>
          <w:szCs w:val="24"/>
        </w:rPr>
        <w:t>(5), 967-998.</w:t>
      </w:r>
    </w:p>
    <w:p w14:paraId="16882455" w14:textId="320B3819" w:rsidR="02EBB6AB" w:rsidRDefault="02EBB6AB" w:rsidP="02EBB6AB">
      <w:pPr>
        <w:spacing w:line="480" w:lineRule="auto"/>
        <w:ind w:left="720" w:hanging="720"/>
        <w:rPr>
          <w:rFonts w:eastAsiaTheme="minorEastAsia"/>
          <w:color w:val="222222"/>
          <w:sz w:val="24"/>
          <w:szCs w:val="24"/>
        </w:rPr>
      </w:pPr>
    </w:p>
    <w:p w14:paraId="4DCD4CD1" w14:textId="5AC29F04" w:rsidR="02EBB6AB" w:rsidRDefault="02EBB6AB" w:rsidP="02EBB6AB">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Short, J. C., Ketchen Jr, D. J., McKenny, A. F., Allison, T. H., &amp; Ireland, R. D. (2017). Research on crowdfunding: Reviewing the (very recent) past and celebrating the present. </w:t>
      </w:r>
      <w:r w:rsidRPr="02EBB6AB">
        <w:rPr>
          <w:rFonts w:eastAsiaTheme="minorEastAsia"/>
          <w:i/>
          <w:iCs/>
          <w:color w:val="222222"/>
          <w:sz w:val="24"/>
          <w:szCs w:val="24"/>
        </w:rPr>
        <w:t>Entrepreneurship Theory and Practice</w:t>
      </w:r>
      <w:r w:rsidRPr="02EBB6AB">
        <w:rPr>
          <w:rFonts w:eastAsiaTheme="minorEastAsia"/>
          <w:color w:val="222222"/>
          <w:sz w:val="24"/>
          <w:szCs w:val="24"/>
        </w:rPr>
        <w:t xml:space="preserve">, </w:t>
      </w:r>
      <w:r w:rsidRPr="02EBB6AB">
        <w:rPr>
          <w:rFonts w:eastAsiaTheme="minorEastAsia"/>
          <w:i/>
          <w:iCs/>
          <w:color w:val="222222"/>
          <w:sz w:val="24"/>
          <w:szCs w:val="24"/>
        </w:rPr>
        <w:t>41</w:t>
      </w:r>
      <w:r w:rsidRPr="02EBB6AB">
        <w:rPr>
          <w:rFonts w:eastAsiaTheme="minorEastAsia"/>
          <w:color w:val="222222"/>
          <w:sz w:val="24"/>
          <w:szCs w:val="24"/>
        </w:rPr>
        <w:t>(2), 149-160.</w:t>
      </w:r>
    </w:p>
    <w:p w14:paraId="44AE6E58" w14:textId="694B23C3" w:rsidR="02EBB6AB" w:rsidRDefault="02EBB6AB" w:rsidP="02EBB6AB">
      <w:pPr>
        <w:spacing w:line="480" w:lineRule="auto"/>
        <w:ind w:left="720" w:hanging="720"/>
        <w:rPr>
          <w:rFonts w:eastAsiaTheme="minorEastAsia"/>
          <w:color w:val="222222"/>
          <w:sz w:val="24"/>
          <w:szCs w:val="24"/>
        </w:rPr>
      </w:pPr>
    </w:p>
    <w:p w14:paraId="4E17CBD6" w14:textId="706CA9C5" w:rsidR="02EBB6AB" w:rsidRDefault="02EBB6AB" w:rsidP="02EBB6AB">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Tiwari, P., Bhat, A. K., &amp; </w:t>
      </w:r>
      <w:proofErr w:type="spellStart"/>
      <w:r w:rsidRPr="02EBB6AB">
        <w:rPr>
          <w:rFonts w:eastAsiaTheme="minorEastAsia"/>
          <w:color w:val="222222"/>
          <w:sz w:val="24"/>
          <w:szCs w:val="24"/>
        </w:rPr>
        <w:t>Tikoria</w:t>
      </w:r>
      <w:proofErr w:type="spellEnd"/>
      <w:r w:rsidRPr="02EBB6AB">
        <w:rPr>
          <w:rFonts w:eastAsiaTheme="minorEastAsia"/>
          <w:color w:val="222222"/>
          <w:sz w:val="24"/>
          <w:szCs w:val="24"/>
        </w:rPr>
        <w:t xml:space="preserve">, J. (2017). The role of emotional intelligence and self-efficacy on social entrepreneurial attitudes and social entrepreneurial intentions. </w:t>
      </w:r>
      <w:r w:rsidRPr="02EBB6AB">
        <w:rPr>
          <w:rFonts w:eastAsiaTheme="minorEastAsia"/>
          <w:i/>
          <w:iCs/>
          <w:color w:val="222222"/>
          <w:sz w:val="24"/>
          <w:szCs w:val="24"/>
        </w:rPr>
        <w:t>Journal of Social Entrepreneurship</w:t>
      </w:r>
      <w:r w:rsidRPr="02EBB6AB">
        <w:rPr>
          <w:rFonts w:eastAsiaTheme="minorEastAsia"/>
          <w:color w:val="222222"/>
          <w:sz w:val="24"/>
          <w:szCs w:val="24"/>
        </w:rPr>
        <w:t xml:space="preserve">, </w:t>
      </w:r>
      <w:r w:rsidRPr="02EBB6AB">
        <w:rPr>
          <w:rFonts w:eastAsiaTheme="minorEastAsia"/>
          <w:i/>
          <w:iCs/>
          <w:color w:val="222222"/>
          <w:sz w:val="24"/>
          <w:szCs w:val="24"/>
        </w:rPr>
        <w:t>8</w:t>
      </w:r>
      <w:r w:rsidRPr="02EBB6AB">
        <w:rPr>
          <w:rFonts w:eastAsiaTheme="minorEastAsia"/>
          <w:color w:val="222222"/>
          <w:sz w:val="24"/>
          <w:szCs w:val="24"/>
        </w:rPr>
        <w:t>(2), 165-185.</w:t>
      </w:r>
    </w:p>
    <w:p w14:paraId="2097B2FE" w14:textId="4E1471A0" w:rsidR="02EBB6AB" w:rsidRDefault="02EBB6AB" w:rsidP="02EBB6AB">
      <w:pPr>
        <w:spacing w:line="480" w:lineRule="auto"/>
        <w:ind w:left="720" w:hanging="720"/>
        <w:jc w:val="both"/>
        <w:rPr>
          <w:rFonts w:eastAsiaTheme="minorEastAsia"/>
          <w:color w:val="222222"/>
          <w:sz w:val="24"/>
          <w:szCs w:val="24"/>
        </w:rPr>
      </w:pPr>
    </w:p>
    <w:p w14:paraId="6214ACFC" w14:textId="1DF76891" w:rsidR="02EBB6AB" w:rsidRDefault="02EBB6AB" w:rsidP="02EBB6AB">
      <w:pPr>
        <w:spacing w:line="480" w:lineRule="auto"/>
        <w:ind w:left="720" w:hanging="720"/>
        <w:jc w:val="both"/>
        <w:rPr>
          <w:rFonts w:eastAsiaTheme="minorEastAsia"/>
          <w:color w:val="222222"/>
          <w:sz w:val="24"/>
          <w:szCs w:val="24"/>
        </w:rPr>
      </w:pPr>
      <w:r w:rsidRPr="02EBB6AB">
        <w:rPr>
          <w:rFonts w:eastAsiaTheme="minorEastAsia"/>
          <w:color w:val="222222"/>
          <w:sz w:val="24"/>
          <w:szCs w:val="24"/>
        </w:rPr>
        <w:t xml:space="preserve">Tomos, F., &amp; </w:t>
      </w:r>
      <w:proofErr w:type="spellStart"/>
      <w:r w:rsidRPr="02EBB6AB">
        <w:rPr>
          <w:rFonts w:eastAsiaTheme="minorEastAsia"/>
          <w:color w:val="222222"/>
          <w:sz w:val="24"/>
          <w:szCs w:val="24"/>
        </w:rPr>
        <w:t>Thurairaj</w:t>
      </w:r>
      <w:proofErr w:type="spellEnd"/>
      <w:r w:rsidRPr="02EBB6AB">
        <w:rPr>
          <w:rFonts w:eastAsiaTheme="minorEastAsia"/>
          <w:color w:val="222222"/>
          <w:sz w:val="24"/>
          <w:szCs w:val="24"/>
        </w:rPr>
        <w:t xml:space="preserve">, S. (2019). New Emerging Technologies and ICT and Their Impact on Women Entrepreneurs' Success. In </w:t>
      </w:r>
      <w:r w:rsidRPr="02EBB6AB">
        <w:rPr>
          <w:rFonts w:eastAsiaTheme="minorEastAsia"/>
          <w:i/>
          <w:iCs/>
          <w:color w:val="222222"/>
          <w:sz w:val="24"/>
          <w:szCs w:val="24"/>
        </w:rPr>
        <w:t>Women Entrepreneurs and Strategic Decision Making in the Global Economy</w:t>
      </w:r>
      <w:r w:rsidRPr="02EBB6AB">
        <w:rPr>
          <w:rFonts w:eastAsiaTheme="minorEastAsia"/>
          <w:color w:val="222222"/>
          <w:sz w:val="24"/>
          <w:szCs w:val="24"/>
        </w:rPr>
        <w:t xml:space="preserve"> (pp. 144-166). IGI Global.</w:t>
      </w:r>
    </w:p>
    <w:p w14:paraId="4BE975BD" w14:textId="271CE56A" w:rsidR="02EBB6AB" w:rsidRDefault="02EBB6AB" w:rsidP="02EBB6AB">
      <w:pPr>
        <w:spacing w:line="480" w:lineRule="auto"/>
        <w:ind w:left="720" w:hanging="720"/>
        <w:rPr>
          <w:rFonts w:eastAsiaTheme="minorEastAsia"/>
          <w:color w:val="222222"/>
          <w:sz w:val="24"/>
          <w:szCs w:val="24"/>
        </w:rPr>
      </w:pPr>
    </w:p>
    <w:p w14:paraId="18D2A137" w14:textId="5BD82954" w:rsidR="02EBB6AB" w:rsidRDefault="02EBB6AB" w:rsidP="02EBB6AB">
      <w:pPr>
        <w:spacing w:line="480" w:lineRule="auto"/>
        <w:ind w:left="720" w:hanging="720"/>
        <w:rPr>
          <w:rFonts w:eastAsiaTheme="minorEastAsia"/>
          <w:color w:val="222222"/>
          <w:sz w:val="24"/>
          <w:szCs w:val="24"/>
        </w:rPr>
      </w:pPr>
      <w:r w:rsidRPr="02EBB6AB">
        <w:rPr>
          <w:rFonts w:eastAsiaTheme="minorEastAsia"/>
          <w:color w:val="222222"/>
          <w:sz w:val="24"/>
          <w:szCs w:val="24"/>
        </w:rPr>
        <w:lastRenderedPageBreak/>
        <w:t xml:space="preserve">Rose, A. (2019a, p.47). The Alison rose review of female entrepreneurship. </w:t>
      </w:r>
      <w:r w:rsidRPr="02EBB6AB">
        <w:rPr>
          <w:rFonts w:eastAsiaTheme="minorEastAsia"/>
          <w:i/>
          <w:iCs/>
          <w:color w:val="222222"/>
          <w:sz w:val="24"/>
          <w:szCs w:val="24"/>
        </w:rPr>
        <w:t>HM Treasury, available at: www. gov. uk/government/publications/the-alison-rose-review-of-female-entrepreneurship</w:t>
      </w:r>
      <w:r w:rsidRPr="02EBB6AB">
        <w:rPr>
          <w:rFonts w:eastAsiaTheme="minorEastAsia"/>
          <w:color w:val="222222"/>
          <w:sz w:val="24"/>
          <w:szCs w:val="24"/>
        </w:rPr>
        <w:t>.</w:t>
      </w:r>
    </w:p>
    <w:p w14:paraId="37D88F9B" w14:textId="40B674A2" w:rsidR="02EBB6AB" w:rsidRDefault="02EBB6AB" w:rsidP="02EBB6AB">
      <w:pPr>
        <w:spacing w:line="480" w:lineRule="auto"/>
        <w:ind w:left="720" w:hanging="720"/>
        <w:rPr>
          <w:rFonts w:eastAsiaTheme="minorEastAsia"/>
          <w:color w:val="222222"/>
          <w:sz w:val="24"/>
          <w:szCs w:val="24"/>
        </w:rPr>
      </w:pPr>
    </w:p>
    <w:p w14:paraId="40256709" w14:textId="39C47526" w:rsidR="02EBB6AB" w:rsidRDefault="75C81614" w:rsidP="3ED611DE">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Rose, A. (2019b, p.10). The Alison rose review of female entrepreneurship. </w:t>
      </w:r>
      <w:r w:rsidRPr="3ED611DE">
        <w:rPr>
          <w:rFonts w:eastAsiaTheme="minorEastAsia"/>
          <w:i/>
          <w:iCs/>
          <w:color w:val="222222"/>
          <w:sz w:val="24"/>
          <w:szCs w:val="24"/>
        </w:rPr>
        <w:t>HM Treasury, available at: www. gov. uk/government/publications/the-alison-rose-review-of-female-entrepreneurship</w:t>
      </w:r>
      <w:r w:rsidRPr="3ED611DE">
        <w:rPr>
          <w:rFonts w:eastAsiaTheme="minorEastAsia"/>
          <w:color w:val="222222"/>
          <w:sz w:val="24"/>
          <w:szCs w:val="24"/>
        </w:rPr>
        <w:t>.</w:t>
      </w:r>
    </w:p>
    <w:p w14:paraId="7F657272" w14:textId="23F8E664" w:rsidR="02EBB6AB" w:rsidRDefault="02EBB6AB" w:rsidP="3ED611DE">
      <w:pPr>
        <w:spacing w:line="480" w:lineRule="auto"/>
        <w:ind w:left="720" w:hanging="720"/>
        <w:rPr>
          <w:rFonts w:eastAsiaTheme="minorEastAsia"/>
          <w:color w:val="222222"/>
          <w:sz w:val="24"/>
          <w:szCs w:val="24"/>
        </w:rPr>
      </w:pPr>
    </w:p>
    <w:p w14:paraId="5AE67993" w14:textId="2AA1A935" w:rsidR="02EBB6AB" w:rsidRDefault="3ED611DE" w:rsidP="3ED611DE">
      <w:pPr>
        <w:spacing w:line="480" w:lineRule="auto"/>
        <w:ind w:left="720" w:hanging="720"/>
        <w:rPr>
          <w:rFonts w:eastAsiaTheme="minorEastAsia"/>
          <w:color w:val="222222"/>
          <w:sz w:val="24"/>
          <w:szCs w:val="24"/>
        </w:rPr>
      </w:pPr>
      <w:r w:rsidRPr="3ED611DE">
        <w:rPr>
          <w:rFonts w:ascii="Calibri" w:eastAsia="Calibri" w:hAnsi="Calibri" w:cs="Calibri"/>
          <w:color w:val="000000" w:themeColor="text1"/>
          <w:sz w:val="24"/>
          <w:szCs w:val="24"/>
        </w:rPr>
        <w:t xml:space="preserve">University of Wales Trinity Saint David. (2022 (UWTSD). </w:t>
      </w:r>
      <w:r w:rsidRPr="3ED611DE">
        <w:rPr>
          <w:rFonts w:ascii="Calibri" w:eastAsia="Calibri" w:hAnsi="Calibri" w:cs="Calibri"/>
          <w:i/>
          <w:iCs/>
          <w:color w:val="000000" w:themeColor="text1"/>
          <w:sz w:val="24"/>
          <w:szCs w:val="24"/>
        </w:rPr>
        <w:t>Research Integrity &amp; Ethics</w:t>
      </w:r>
      <w:r w:rsidRPr="3ED611DE">
        <w:rPr>
          <w:rFonts w:ascii="Calibri" w:eastAsia="Calibri" w:hAnsi="Calibri" w:cs="Calibri"/>
          <w:color w:val="000000" w:themeColor="text1"/>
          <w:sz w:val="24"/>
          <w:szCs w:val="24"/>
        </w:rPr>
        <w:t xml:space="preserve">. UWTSD. Retrieved May 25, 2022, from </w:t>
      </w:r>
      <w:hyperlink r:id="rId18">
        <w:r w:rsidRPr="3ED611DE">
          <w:rPr>
            <w:rStyle w:val="Hyperlink"/>
            <w:rFonts w:ascii="Calibri" w:eastAsia="Calibri" w:hAnsi="Calibri" w:cs="Calibri"/>
            <w:sz w:val="24"/>
            <w:szCs w:val="24"/>
          </w:rPr>
          <w:t>https://www.uwtsd.ac.uk/research/research-ethics/</w:t>
        </w:r>
      </w:hyperlink>
    </w:p>
    <w:p w14:paraId="187C6C78" w14:textId="17FF633B" w:rsidR="02EBB6AB" w:rsidRDefault="02EBB6AB" w:rsidP="3ED611DE">
      <w:pPr>
        <w:spacing w:line="480" w:lineRule="auto"/>
        <w:ind w:left="720" w:hanging="720"/>
        <w:rPr>
          <w:rFonts w:ascii="Times New Roman" w:eastAsia="Times New Roman" w:hAnsi="Times New Roman" w:cs="Times New Roman"/>
          <w:sz w:val="24"/>
          <w:szCs w:val="24"/>
        </w:rPr>
      </w:pPr>
    </w:p>
    <w:p w14:paraId="40E0111D" w14:textId="6AE7E2CE" w:rsidR="02EBB6AB" w:rsidRDefault="75C81614" w:rsidP="3ED611DE">
      <w:pPr>
        <w:spacing w:line="480" w:lineRule="auto"/>
        <w:ind w:left="720" w:hanging="720"/>
        <w:rPr>
          <w:rFonts w:eastAsiaTheme="minorEastAsia"/>
          <w:color w:val="222222"/>
          <w:sz w:val="24"/>
          <w:szCs w:val="24"/>
        </w:rPr>
      </w:pPr>
      <w:r w:rsidRPr="3ED611DE">
        <w:rPr>
          <w:rFonts w:eastAsiaTheme="minorEastAsia"/>
          <w:sz w:val="24"/>
          <w:szCs w:val="24"/>
        </w:rPr>
        <w:t xml:space="preserve">Welsh Government. (2017a). </w:t>
      </w:r>
      <w:r w:rsidRPr="3ED611DE">
        <w:rPr>
          <w:rFonts w:eastAsiaTheme="minorEastAsia"/>
          <w:i/>
          <w:iCs/>
          <w:sz w:val="24"/>
          <w:szCs w:val="24"/>
        </w:rPr>
        <w:t>Prosperity for All: The National Strategy</w:t>
      </w:r>
      <w:r w:rsidRPr="3ED611DE">
        <w:rPr>
          <w:rFonts w:eastAsiaTheme="minorEastAsia"/>
          <w:sz w:val="24"/>
          <w:szCs w:val="24"/>
        </w:rPr>
        <w:t xml:space="preserve">. </w:t>
      </w:r>
      <w:proofErr w:type="spellStart"/>
      <w:r w:rsidRPr="3ED611DE">
        <w:rPr>
          <w:rFonts w:eastAsiaTheme="minorEastAsia"/>
          <w:sz w:val="24"/>
          <w:szCs w:val="24"/>
        </w:rPr>
        <w:t>Wcva.Cymru</w:t>
      </w:r>
      <w:proofErr w:type="spellEnd"/>
      <w:r w:rsidRPr="3ED611DE">
        <w:rPr>
          <w:rFonts w:eastAsiaTheme="minorEastAsia"/>
          <w:sz w:val="24"/>
          <w:szCs w:val="24"/>
        </w:rPr>
        <w:t xml:space="preserve">. Retrieved May 23, 2022, from </w:t>
      </w:r>
      <w:hyperlink r:id="rId19">
        <w:r w:rsidRPr="3ED611DE">
          <w:rPr>
            <w:rStyle w:val="Hyperlink"/>
            <w:rFonts w:eastAsiaTheme="minorEastAsia"/>
            <w:sz w:val="24"/>
            <w:szCs w:val="24"/>
          </w:rPr>
          <w:t>https://wcva.cymru/wp-content/uploads/2020/01/Prosperity-for-all.pdf</w:t>
        </w:r>
      </w:hyperlink>
      <w:r w:rsidRPr="3ED611DE">
        <w:rPr>
          <w:rFonts w:eastAsiaTheme="minorEastAsia"/>
          <w:sz w:val="24"/>
          <w:szCs w:val="24"/>
        </w:rPr>
        <w:t xml:space="preserve"> </w:t>
      </w:r>
    </w:p>
    <w:p w14:paraId="40477EF0" w14:textId="5E0864F2" w:rsidR="02EBB6AB" w:rsidRDefault="02EBB6AB" w:rsidP="02EBB6AB">
      <w:pPr>
        <w:spacing w:line="480" w:lineRule="auto"/>
        <w:ind w:left="720" w:hanging="720"/>
        <w:rPr>
          <w:rFonts w:ascii="Times New Roman" w:eastAsia="Times New Roman" w:hAnsi="Times New Roman" w:cs="Times New Roman"/>
          <w:sz w:val="24"/>
          <w:szCs w:val="24"/>
        </w:rPr>
      </w:pPr>
    </w:p>
    <w:p w14:paraId="6193BBF1" w14:textId="5EA93F9A" w:rsidR="452B275C" w:rsidRDefault="37141DC9" w:rsidP="02EBB6AB">
      <w:pPr>
        <w:spacing w:line="480" w:lineRule="auto"/>
        <w:ind w:left="720" w:hanging="720"/>
        <w:rPr>
          <w:rFonts w:eastAsiaTheme="minorEastAsia"/>
        </w:rPr>
      </w:pPr>
      <w:r w:rsidRPr="3ED611DE">
        <w:rPr>
          <w:rFonts w:eastAsiaTheme="minorEastAsia"/>
          <w:sz w:val="24"/>
          <w:szCs w:val="24"/>
        </w:rPr>
        <w:t xml:space="preserve">Welsh Government. (2017b). </w:t>
      </w:r>
      <w:r w:rsidRPr="3ED611DE">
        <w:rPr>
          <w:rFonts w:eastAsiaTheme="minorEastAsia"/>
          <w:i/>
          <w:iCs/>
          <w:sz w:val="24"/>
          <w:szCs w:val="24"/>
        </w:rPr>
        <w:t>Well-being Objectives</w:t>
      </w:r>
      <w:r w:rsidRPr="3ED611DE">
        <w:rPr>
          <w:rFonts w:eastAsiaTheme="minorEastAsia"/>
          <w:sz w:val="24"/>
          <w:szCs w:val="24"/>
        </w:rPr>
        <w:t xml:space="preserve">. WCVA Cymru. Retrieved May 23, 2022, from </w:t>
      </w:r>
      <w:hyperlink r:id="rId20">
        <w:r w:rsidRPr="3ED611DE">
          <w:rPr>
            <w:rStyle w:val="Hyperlink"/>
            <w:rFonts w:eastAsiaTheme="minorEastAsia"/>
            <w:sz w:val="24"/>
            <w:szCs w:val="24"/>
          </w:rPr>
          <w:t>https://wcva.cymru/wp-content/uploads/2020/01/Prosperity-for-all.pdf</w:t>
        </w:r>
      </w:hyperlink>
    </w:p>
    <w:p w14:paraId="7A2E7548" w14:textId="45B6FBBF" w:rsidR="02EBB6AB" w:rsidRDefault="02EBB6AB" w:rsidP="02EBB6AB">
      <w:pPr>
        <w:spacing w:line="480" w:lineRule="auto"/>
        <w:ind w:left="720" w:hanging="720"/>
        <w:rPr>
          <w:rFonts w:eastAsiaTheme="minorEastAsia"/>
          <w:sz w:val="24"/>
          <w:szCs w:val="24"/>
        </w:rPr>
      </w:pPr>
    </w:p>
    <w:p w14:paraId="0D9C4B75" w14:textId="45692889" w:rsidR="02EBB6AB" w:rsidRDefault="75C81614" w:rsidP="3ED611DE">
      <w:pPr>
        <w:spacing w:line="480" w:lineRule="auto"/>
        <w:ind w:left="720" w:hanging="720"/>
        <w:rPr>
          <w:rFonts w:eastAsiaTheme="minorEastAsia"/>
        </w:rPr>
      </w:pPr>
      <w:r w:rsidRPr="3ED611DE">
        <w:rPr>
          <w:rFonts w:eastAsiaTheme="minorEastAsia"/>
          <w:sz w:val="24"/>
          <w:szCs w:val="24"/>
        </w:rPr>
        <w:lastRenderedPageBreak/>
        <w:t xml:space="preserve">Welsh Government. (2019). </w:t>
      </w:r>
      <w:r w:rsidRPr="3ED611DE">
        <w:rPr>
          <w:rFonts w:eastAsiaTheme="minorEastAsia"/>
          <w:i/>
          <w:iCs/>
          <w:sz w:val="24"/>
          <w:szCs w:val="24"/>
        </w:rPr>
        <w:t xml:space="preserve">Supporting Entrepreneurial Women </w:t>
      </w:r>
      <w:proofErr w:type="gramStart"/>
      <w:r w:rsidRPr="3ED611DE">
        <w:rPr>
          <w:rFonts w:eastAsiaTheme="minorEastAsia"/>
          <w:i/>
          <w:iCs/>
          <w:sz w:val="24"/>
          <w:szCs w:val="24"/>
        </w:rPr>
        <w:t>In</w:t>
      </w:r>
      <w:proofErr w:type="gramEnd"/>
      <w:r w:rsidRPr="3ED611DE">
        <w:rPr>
          <w:rFonts w:eastAsiaTheme="minorEastAsia"/>
          <w:i/>
          <w:iCs/>
          <w:sz w:val="24"/>
          <w:szCs w:val="24"/>
        </w:rPr>
        <w:t xml:space="preserve"> Wales</w:t>
      </w:r>
      <w:r w:rsidRPr="3ED611DE">
        <w:rPr>
          <w:rFonts w:eastAsiaTheme="minorEastAsia"/>
          <w:sz w:val="24"/>
          <w:szCs w:val="24"/>
        </w:rPr>
        <w:t xml:space="preserve">. </w:t>
      </w:r>
      <w:proofErr w:type="spellStart"/>
      <w:r w:rsidRPr="3ED611DE">
        <w:rPr>
          <w:rFonts w:eastAsiaTheme="minorEastAsia"/>
          <w:sz w:val="24"/>
          <w:szCs w:val="24"/>
        </w:rPr>
        <w:t>Gov.Wales</w:t>
      </w:r>
      <w:proofErr w:type="spellEnd"/>
      <w:r w:rsidRPr="3ED611DE">
        <w:rPr>
          <w:rFonts w:eastAsiaTheme="minorEastAsia"/>
          <w:sz w:val="24"/>
          <w:szCs w:val="24"/>
        </w:rPr>
        <w:t xml:space="preserve">. Retrieved May 23, 2022, from </w:t>
      </w:r>
      <w:hyperlink r:id="rId21">
        <w:r w:rsidRPr="3ED611DE">
          <w:rPr>
            <w:rStyle w:val="Hyperlink"/>
            <w:rFonts w:eastAsiaTheme="minorEastAsia"/>
            <w:sz w:val="24"/>
            <w:szCs w:val="24"/>
          </w:rPr>
          <w:t>https://gov.wales/sites/default/files/publications/2019-01/supporting-entrepreneurial-women-in-wales-an-approach-for-wales.pdf</w:t>
        </w:r>
      </w:hyperlink>
    </w:p>
    <w:p w14:paraId="06E4E60B" w14:textId="43B42E7C" w:rsidR="02EBB6AB" w:rsidRDefault="02EBB6AB" w:rsidP="3ED611DE">
      <w:pPr>
        <w:spacing w:line="480" w:lineRule="auto"/>
        <w:ind w:left="720" w:hanging="720"/>
        <w:rPr>
          <w:rFonts w:eastAsiaTheme="minorEastAsia"/>
          <w:sz w:val="24"/>
          <w:szCs w:val="24"/>
        </w:rPr>
      </w:pPr>
    </w:p>
    <w:p w14:paraId="6F33B486" w14:textId="1AAEC3F0" w:rsidR="02EBB6AB" w:rsidRDefault="3ED611DE" w:rsidP="3ED611DE">
      <w:pPr>
        <w:spacing w:line="480" w:lineRule="auto"/>
        <w:ind w:left="720" w:hanging="720"/>
        <w:rPr>
          <w:rFonts w:eastAsiaTheme="minorEastAsia"/>
          <w:color w:val="222222"/>
          <w:sz w:val="24"/>
          <w:szCs w:val="24"/>
        </w:rPr>
      </w:pPr>
      <w:r w:rsidRPr="3ED611DE">
        <w:rPr>
          <w:rFonts w:eastAsiaTheme="minorEastAsia"/>
          <w:sz w:val="24"/>
          <w:szCs w:val="24"/>
        </w:rPr>
        <w:t xml:space="preserve">Welsh Government. (2022a). </w:t>
      </w:r>
      <w:r w:rsidRPr="3ED611DE">
        <w:rPr>
          <w:rFonts w:eastAsiaTheme="minorEastAsia"/>
          <w:i/>
          <w:iCs/>
          <w:sz w:val="24"/>
          <w:szCs w:val="24"/>
        </w:rPr>
        <w:t>Welsh Language Act 1993</w:t>
      </w:r>
      <w:r w:rsidRPr="3ED611DE">
        <w:rPr>
          <w:rFonts w:eastAsiaTheme="minorEastAsia"/>
          <w:sz w:val="24"/>
          <w:szCs w:val="24"/>
        </w:rPr>
        <w:t xml:space="preserve">. Retrieved May 25, 2022, from </w:t>
      </w:r>
      <w:hyperlink r:id="rId22" w:anchor=":~:text=The%20Welsh%20Language%20Act%201993,in%20the%20conduct%20of%20public">
        <w:r w:rsidRPr="3ED611DE">
          <w:rPr>
            <w:rStyle w:val="Hyperlink"/>
            <w:rFonts w:eastAsiaTheme="minorEastAsia"/>
            <w:sz w:val="24"/>
            <w:szCs w:val="24"/>
          </w:rPr>
          <w:t>https://law.gov.wales/culture/welsh-language/welsh-language-act-1993#:~:text=The%20Welsh%20Language%20Act%201993,in%20the%20conduct%20of%20public</w:t>
        </w:r>
      </w:hyperlink>
    </w:p>
    <w:p w14:paraId="48A184EC" w14:textId="1563D66F" w:rsidR="02EBB6AB" w:rsidRDefault="02EBB6AB" w:rsidP="3ED611DE">
      <w:pPr>
        <w:spacing w:line="480" w:lineRule="auto"/>
        <w:ind w:left="720" w:hanging="720"/>
        <w:rPr>
          <w:rFonts w:eastAsiaTheme="minorEastAsia"/>
          <w:sz w:val="24"/>
          <w:szCs w:val="24"/>
        </w:rPr>
      </w:pPr>
    </w:p>
    <w:p w14:paraId="78EEAB6A" w14:textId="631C86FC" w:rsidR="02EBB6AB" w:rsidRDefault="3ED611DE" w:rsidP="3ED611DE">
      <w:pPr>
        <w:spacing w:line="480" w:lineRule="auto"/>
        <w:ind w:left="720" w:hanging="720"/>
        <w:rPr>
          <w:rStyle w:val="Hyperlink"/>
          <w:rFonts w:eastAsiaTheme="minorEastAsia"/>
          <w:sz w:val="24"/>
          <w:szCs w:val="24"/>
        </w:rPr>
      </w:pPr>
      <w:r w:rsidRPr="3ED611DE">
        <w:rPr>
          <w:rFonts w:eastAsiaTheme="minorEastAsia"/>
          <w:sz w:val="24"/>
          <w:szCs w:val="24"/>
        </w:rPr>
        <w:t xml:space="preserve">Welsh Government. (2022b). </w:t>
      </w:r>
      <w:r w:rsidRPr="3ED611DE">
        <w:rPr>
          <w:rFonts w:eastAsiaTheme="minorEastAsia"/>
          <w:i/>
          <w:iCs/>
          <w:sz w:val="24"/>
          <w:szCs w:val="24"/>
        </w:rPr>
        <w:t>Welsh Language (Wales) Measure 2011</w:t>
      </w:r>
      <w:r w:rsidRPr="3ED611DE">
        <w:rPr>
          <w:rFonts w:eastAsiaTheme="minorEastAsia"/>
          <w:sz w:val="24"/>
          <w:szCs w:val="24"/>
        </w:rPr>
        <w:t xml:space="preserve">. Retrieved May 25, 2022, from </w:t>
      </w:r>
      <w:hyperlink r:id="rId23">
        <w:r w:rsidRPr="3ED611DE">
          <w:rPr>
            <w:rStyle w:val="Hyperlink"/>
            <w:rFonts w:eastAsiaTheme="minorEastAsia"/>
            <w:sz w:val="24"/>
            <w:szCs w:val="24"/>
          </w:rPr>
          <w:t>https://law.gov.wales/culture/welsh-language/welsh-language-wales-measure-2011</w:t>
        </w:r>
      </w:hyperlink>
    </w:p>
    <w:p w14:paraId="58735281" w14:textId="5B30FA59" w:rsidR="00BE3CC1" w:rsidRDefault="00BE3CC1" w:rsidP="3ED611DE">
      <w:pPr>
        <w:spacing w:line="480" w:lineRule="auto"/>
        <w:ind w:left="720" w:hanging="720"/>
        <w:rPr>
          <w:rStyle w:val="Hyperlink"/>
          <w:rFonts w:eastAsiaTheme="minorEastAsia"/>
          <w:sz w:val="24"/>
          <w:szCs w:val="24"/>
        </w:rPr>
      </w:pPr>
    </w:p>
    <w:p w14:paraId="4D4F13A4" w14:textId="77777777" w:rsidR="00BE3CC1" w:rsidRDefault="00BE3CC1" w:rsidP="3ED611DE">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White, M. G. (2020). Why human subjects research protection is important. </w:t>
      </w:r>
      <w:r w:rsidRPr="3ED611DE">
        <w:rPr>
          <w:rFonts w:eastAsiaTheme="minorEastAsia"/>
          <w:i/>
          <w:iCs/>
          <w:color w:val="222222"/>
          <w:sz w:val="24"/>
          <w:szCs w:val="24"/>
        </w:rPr>
        <w:t>Ochsner journal</w:t>
      </w:r>
      <w:r w:rsidRPr="3ED611DE">
        <w:rPr>
          <w:rFonts w:eastAsiaTheme="minorEastAsia"/>
          <w:color w:val="222222"/>
          <w:sz w:val="24"/>
          <w:szCs w:val="24"/>
        </w:rPr>
        <w:t xml:space="preserve">, </w:t>
      </w:r>
      <w:r w:rsidRPr="3ED611DE">
        <w:rPr>
          <w:rFonts w:eastAsiaTheme="minorEastAsia"/>
          <w:i/>
          <w:iCs/>
          <w:color w:val="222222"/>
          <w:sz w:val="24"/>
          <w:szCs w:val="24"/>
        </w:rPr>
        <w:t>20</w:t>
      </w:r>
      <w:r w:rsidRPr="3ED611DE">
        <w:rPr>
          <w:rFonts w:eastAsiaTheme="minorEastAsia"/>
          <w:color w:val="222222"/>
          <w:sz w:val="24"/>
          <w:szCs w:val="24"/>
        </w:rPr>
        <w:t>(1), 16-33.</w:t>
      </w:r>
    </w:p>
    <w:p w14:paraId="48C68A1C" w14:textId="77777777" w:rsidR="00BE3CC1" w:rsidRDefault="00BE3CC1" w:rsidP="3ED611DE">
      <w:pPr>
        <w:spacing w:line="480" w:lineRule="auto"/>
        <w:ind w:left="720" w:hanging="720"/>
        <w:rPr>
          <w:rFonts w:eastAsiaTheme="minorEastAsia"/>
          <w:color w:val="222222"/>
          <w:sz w:val="24"/>
          <w:szCs w:val="24"/>
        </w:rPr>
      </w:pPr>
    </w:p>
    <w:p w14:paraId="09F2D397" w14:textId="6DB16041" w:rsidR="02EBB6AB" w:rsidRDefault="75C81614" w:rsidP="3ED611DE">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Zhang, S. X., Foo, M. D., &amp; </w:t>
      </w:r>
      <w:proofErr w:type="spellStart"/>
      <w:r w:rsidRPr="3ED611DE">
        <w:rPr>
          <w:rFonts w:eastAsiaTheme="minorEastAsia"/>
          <w:color w:val="222222"/>
          <w:sz w:val="24"/>
          <w:szCs w:val="24"/>
        </w:rPr>
        <w:t>Vassolo</w:t>
      </w:r>
      <w:proofErr w:type="spellEnd"/>
      <w:r w:rsidRPr="3ED611DE">
        <w:rPr>
          <w:rFonts w:eastAsiaTheme="minorEastAsia"/>
          <w:color w:val="222222"/>
          <w:sz w:val="24"/>
          <w:szCs w:val="24"/>
        </w:rPr>
        <w:t xml:space="preserve">, R. S. (2021). The ramifications of effectuation on biases in entrepreneurship–Evidence from a mixed-method approach. </w:t>
      </w:r>
      <w:r w:rsidRPr="3ED611DE">
        <w:rPr>
          <w:rFonts w:eastAsiaTheme="minorEastAsia"/>
          <w:i/>
          <w:iCs/>
          <w:color w:val="222222"/>
          <w:sz w:val="24"/>
          <w:szCs w:val="24"/>
        </w:rPr>
        <w:t>Journal of Business Venturing Insights</w:t>
      </w:r>
      <w:r w:rsidRPr="3ED611DE">
        <w:rPr>
          <w:rFonts w:eastAsiaTheme="minorEastAsia"/>
          <w:color w:val="222222"/>
          <w:sz w:val="24"/>
          <w:szCs w:val="24"/>
        </w:rPr>
        <w:t xml:space="preserve">, </w:t>
      </w:r>
      <w:r w:rsidRPr="3ED611DE">
        <w:rPr>
          <w:rFonts w:eastAsiaTheme="minorEastAsia"/>
          <w:i/>
          <w:iCs/>
          <w:color w:val="222222"/>
          <w:sz w:val="24"/>
          <w:szCs w:val="24"/>
        </w:rPr>
        <w:t>15</w:t>
      </w:r>
      <w:r w:rsidRPr="3ED611DE">
        <w:rPr>
          <w:rFonts w:eastAsiaTheme="minorEastAsia"/>
          <w:color w:val="222222"/>
          <w:sz w:val="24"/>
          <w:szCs w:val="24"/>
        </w:rPr>
        <w:t>, e00238.</w:t>
      </w:r>
    </w:p>
    <w:p w14:paraId="0F4FC380" w14:textId="36533055" w:rsidR="02EBB6AB" w:rsidRDefault="02EBB6AB" w:rsidP="02EBB6AB">
      <w:pPr>
        <w:spacing w:line="480" w:lineRule="auto"/>
        <w:ind w:left="720" w:hanging="720"/>
        <w:rPr>
          <w:rFonts w:eastAsiaTheme="minorEastAsia"/>
          <w:color w:val="222222"/>
          <w:sz w:val="24"/>
          <w:szCs w:val="24"/>
        </w:rPr>
      </w:pPr>
    </w:p>
    <w:p w14:paraId="7F90DF96" w14:textId="1BF29131" w:rsidR="02EBB6AB" w:rsidRDefault="75C81614" w:rsidP="3ED611DE">
      <w:pPr>
        <w:spacing w:line="480" w:lineRule="auto"/>
        <w:ind w:left="720" w:hanging="720"/>
        <w:rPr>
          <w:rFonts w:eastAsiaTheme="minorEastAsia"/>
          <w:color w:val="222222"/>
          <w:sz w:val="24"/>
          <w:szCs w:val="24"/>
        </w:rPr>
      </w:pPr>
      <w:r w:rsidRPr="3ED611DE">
        <w:rPr>
          <w:rFonts w:eastAsiaTheme="minorEastAsia"/>
          <w:color w:val="222222"/>
          <w:sz w:val="24"/>
          <w:szCs w:val="24"/>
        </w:rPr>
        <w:lastRenderedPageBreak/>
        <w:t xml:space="preserve">Zhao, H., Seibert, S. E., &amp; Hills, G. E. (2005). The mediating role of self-efficacy in the development of entrepreneurial intentions. </w:t>
      </w:r>
      <w:r w:rsidRPr="3ED611DE">
        <w:rPr>
          <w:rFonts w:eastAsiaTheme="minorEastAsia"/>
          <w:i/>
          <w:iCs/>
          <w:color w:val="222222"/>
          <w:sz w:val="24"/>
          <w:szCs w:val="24"/>
        </w:rPr>
        <w:t>Journal of applied psychology</w:t>
      </w:r>
      <w:r w:rsidRPr="3ED611DE">
        <w:rPr>
          <w:rFonts w:eastAsiaTheme="minorEastAsia"/>
          <w:color w:val="222222"/>
          <w:sz w:val="24"/>
          <w:szCs w:val="24"/>
        </w:rPr>
        <w:t xml:space="preserve">, </w:t>
      </w:r>
      <w:r w:rsidRPr="3ED611DE">
        <w:rPr>
          <w:rFonts w:eastAsiaTheme="minorEastAsia"/>
          <w:i/>
          <w:iCs/>
          <w:color w:val="222222"/>
          <w:sz w:val="24"/>
          <w:szCs w:val="24"/>
        </w:rPr>
        <w:t>90</w:t>
      </w:r>
      <w:r w:rsidRPr="3ED611DE">
        <w:rPr>
          <w:rFonts w:eastAsiaTheme="minorEastAsia"/>
          <w:color w:val="222222"/>
          <w:sz w:val="24"/>
          <w:szCs w:val="24"/>
        </w:rPr>
        <w:t>(6), 1265.</w:t>
      </w:r>
    </w:p>
    <w:sectPr w:rsidR="02EBB6AB">
      <w:headerReference w:type="default" r:id="rId24"/>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A4F860" w14:textId="77777777" w:rsidR="00CB0251" w:rsidRDefault="00CB0251">
      <w:pPr>
        <w:spacing w:after="0" w:line="240" w:lineRule="auto"/>
      </w:pPr>
      <w:r>
        <w:separator/>
      </w:r>
    </w:p>
  </w:endnote>
  <w:endnote w:type="continuationSeparator" w:id="0">
    <w:p w14:paraId="706B2CF1" w14:textId="77777777" w:rsidR="00CB0251" w:rsidRDefault="00CB0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ED611DE" w14:paraId="10B45B12" w14:textId="77777777" w:rsidTr="3ED611DE">
      <w:tc>
        <w:tcPr>
          <w:tcW w:w="3120" w:type="dxa"/>
        </w:tcPr>
        <w:p w14:paraId="6D4A0197" w14:textId="3BE46B8C" w:rsidR="3ED611DE" w:rsidRDefault="3ED611DE" w:rsidP="3ED611DE">
          <w:pPr>
            <w:pStyle w:val="Header"/>
            <w:ind w:left="-115"/>
          </w:pPr>
        </w:p>
      </w:tc>
      <w:tc>
        <w:tcPr>
          <w:tcW w:w="3120" w:type="dxa"/>
        </w:tcPr>
        <w:p w14:paraId="0DA54BCA" w14:textId="516598E7" w:rsidR="3ED611DE" w:rsidRDefault="3ED611DE" w:rsidP="3ED611DE">
          <w:pPr>
            <w:pStyle w:val="Header"/>
            <w:jc w:val="center"/>
          </w:pPr>
          <w:r>
            <w:fldChar w:fldCharType="begin"/>
          </w:r>
          <w:r>
            <w:instrText>PAGE</w:instrText>
          </w:r>
          <w:r w:rsidR="00CB0251">
            <w:fldChar w:fldCharType="separate"/>
          </w:r>
          <w:r w:rsidR="00CB439E">
            <w:rPr>
              <w:noProof/>
            </w:rPr>
            <w:t>1</w:t>
          </w:r>
          <w:r>
            <w:fldChar w:fldCharType="end"/>
          </w:r>
        </w:p>
      </w:tc>
      <w:tc>
        <w:tcPr>
          <w:tcW w:w="3120" w:type="dxa"/>
        </w:tcPr>
        <w:p w14:paraId="0DE67E6D" w14:textId="7CC584F7" w:rsidR="3ED611DE" w:rsidRDefault="3ED611DE" w:rsidP="3ED611DE">
          <w:pPr>
            <w:pStyle w:val="Header"/>
            <w:ind w:right="-115"/>
            <w:jc w:val="right"/>
          </w:pPr>
        </w:p>
      </w:tc>
    </w:tr>
  </w:tbl>
  <w:p w14:paraId="36589DF2" w14:textId="4837969C" w:rsidR="3ED611DE" w:rsidRDefault="3ED611DE" w:rsidP="3ED61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87DE9" w14:textId="77777777" w:rsidR="00CB0251" w:rsidRDefault="00CB0251">
      <w:pPr>
        <w:spacing w:after="0" w:line="240" w:lineRule="auto"/>
      </w:pPr>
      <w:r>
        <w:separator/>
      </w:r>
    </w:p>
  </w:footnote>
  <w:footnote w:type="continuationSeparator" w:id="0">
    <w:p w14:paraId="59AA15D5" w14:textId="77777777" w:rsidR="00CB0251" w:rsidRDefault="00CB02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ED611DE" w14:paraId="1B29FB94" w14:textId="77777777" w:rsidTr="3ED611DE">
      <w:tc>
        <w:tcPr>
          <w:tcW w:w="3120" w:type="dxa"/>
        </w:tcPr>
        <w:p w14:paraId="79595A87" w14:textId="2403898D" w:rsidR="3ED611DE" w:rsidRDefault="3ED611DE" w:rsidP="3ED611DE">
          <w:pPr>
            <w:pStyle w:val="Header"/>
            <w:ind w:left="-115"/>
          </w:pPr>
        </w:p>
      </w:tc>
      <w:tc>
        <w:tcPr>
          <w:tcW w:w="3120" w:type="dxa"/>
        </w:tcPr>
        <w:p w14:paraId="642269AE" w14:textId="54FBDD4F" w:rsidR="3ED611DE" w:rsidRDefault="3ED611DE" w:rsidP="3ED611DE">
          <w:pPr>
            <w:pStyle w:val="Header"/>
            <w:jc w:val="center"/>
          </w:pPr>
        </w:p>
      </w:tc>
      <w:tc>
        <w:tcPr>
          <w:tcW w:w="3120" w:type="dxa"/>
        </w:tcPr>
        <w:p w14:paraId="6794CDFF" w14:textId="39663C24" w:rsidR="3ED611DE" w:rsidRDefault="3ED611DE" w:rsidP="3ED611DE">
          <w:pPr>
            <w:pStyle w:val="Header"/>
            <w:ind w:right="-115"/>
            <w:jc w:val="right"/>
          </w:pPr>
        </w:p>
      </w:tc>
    </w:tr>
  </w:tbl>
  <w:p w14:paraId="5C92C78C" w14:textId="2E4DE9A6" w:rsidR="3ED611DE" w:rsidRDefault="3ED611DE" w:rsidP="3ED611DE">
    <w:pPr>
      <w:pStyle w:val="Header"/>
    </w:pPr>
  </w:p>
</w:hdr>
</file>

<file path=word/intelligence2.xml><?xml version="1.0" encoding="utf-8"?>
<int2:intelligence xmlns:int2="http://schemas.microsoft.com/office/intelligence/2020/intelligence" xmlns:oel="http://schemas.microsoft.com/office/2019/extlst">
  <int2:observations>
    <int2:textHash int2:hashCode="UfQnH1lNCEQvVR" int2:id="8cdUAu9B">
      <int2:state int2:value="Rejected" int2:type="LegacyProofing"/>
    </int2:textHash>
    <int2:textHash int2:hashCode="9q203eV10BFFOe" int2:id="KJHC2oUA">
      <int2:state int2:value="Rejected" int2:type="LegacyProofing"/>
    </int2:textHash>
    <int2:textHash int2:hashCode="V57Rdo4DE2pzpB" int2:id="4C6u5Xs0">
      <int2:state int2:value="Rejected" int2:type="LegacyProofing"/>
    </int2:textHash>
    <int2:textHash int2:hashCode="HJzGvzl7GzgqoZ" int2:id="w5tW1aRu">
      <int2:state int2:value="Rejected" int2:type="LegacyProofing"/>
    </int2:textHash>
    <int2:textHash int2:hashCode="+RniCCLiTipNBq" int2:id="pEms2lbX">
      <int2:state int2:value="Rejected" int2:type="LegacyProofing"/>
    </int2:textHash>
    <int2:textHash int2:hashCode="xiJsnqim3HEsbQ" int2:id="c8eMMUQV">
      <int2:state int2:value="Rejected" int2:type="LegacyProofing"/>
    </int2:textHash>
    <int2:textHash int2:hashCode="grUAQhI33a9jbf" int2:id="o3dnk9dg">
      <int2:state int2:value="Rejected" int2:type="LegacyProofing"/>
    </int2:textHash>
    <int2:textHash int2:hashCode="BL/cNqjGJxfzaP" int2:id="CLLtLupU">
      <int2:state int2:value="Rejected" int2:type="LegacyProofing"/>
    </int2:textHash>
    <int2:textHash int2:hashCode="Z3iSlvxVpRUrLV" int2:id="UsSgyqS6">
      <int2:state int2:value="Rejected" int2:type="LegacyProofing"/>
    </int2:textHash>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967EA"/>
    <w:multiLevelType w:val="hybridMultilevel"/>
    <w:tmpl w:val="ADAAE43C"/>
    <w:lvl w:ilvl="0" w:tplc="77BA9BEC">
      <w:start w:val="1"/>
      <w:numFmt w:val="decimal"/>
      <w:lvlText w:val="%1)"/>
      <w:lvlJc w:val="left"/>
      <w:pPr>
        <w:ind w:left="720" w:hanging="360"/>
      </w:pPr>
    </w:lvl>
    <w:lvl w:ilvl="1" w:tplc="44861BD0">
      <w:start w:val="1"/>
      <w:numFmt w:val="lowerLetter"/>
      <w:lvlText w:val="%2."/>
      <w:lvlJc w:val="left"/>
      <w:pPr>
        <w:ind w:left="1440" w:hanging="360"/>
      </w:pPr>
    </w:lvl>
    <w:lvl w:ilvl="2" w:tplc="56346308">
      <w:start w:val="1"/>
      <w:numFmt w:val="lowerRoman"/>
      <w:lvlText w:val="%3."/>
      <w:lvlJc w:val="right"/>
      <w:pPr>
        <w:ind w:left="2160" w:hanging="180"/>
      </w:pPr>
    </w:lvl>
    <w:lvl w:ilvl="3" w:tplc="87DECE9C">
      <w:start w:val="1"/>
      <w:numFmt w:val="decimal"/>
      <w:lvlText w:val="%4."/>
      <w:lvlJc w:val="left"/>
      <w:pPr>
        <w:ind w:left="2880" w:hanging="360"/>
      </w:pPr>
    </w:lvl>
    <w:lvl w:ilvl="4" w:tplc="ABBAACAC">
      <w:start w:val="1"/>
      <w:numFmt w:val="lowerLetter"/>
      <w:lvlText w:val="%5."/>
      <w:lvlJc w:val="left"/>
      <w:pPr>
        <w:ind w:left="3600" w:hanging="360"/>
      </w:pPr>
    </w:lvl>
    <w:lvl w:ilvl="5" w:tplc="E9341C3C">
      <w:start w:val="1"/>
      <w:numFmt w:val="lowerRoman"/>
      <w:lvlText w:val="%6."/>
      <w:lvlJc w:val="right"/>
      <w:pPr>
        <w:ind w:left="4320" w:hanging="180"/>
      </w:pPr>
    </w:lvl>
    <w:lvl w:ilvl="6" w:tplc="B4B2A7EA">
      <w:start w:val="1"/>
      <w:numFmt w:val="decimal"/>
      <w:lvlText w:val="%7."/>
      <w:lvlJc w:val="left"/>
      <w:pPr>
        <w:ind w:left="5040" w:hanging="360"/>
      </w:pPr>
    </w:lvl>
    <w:lvl w:ilvl="7" w:tplc="63344040">
      <w:start w:val="1"/>
      <w:numFmt w:val="lowerLetter"/>
      <w:lvlText w:val="%8."/>
      <w:lvlJc w:val="left"/>
      <w:pPr>
        <w:ind w:left="5760" w:hanging="360"/>
      </w:pPr>
    </w:lvl>
    <w:lvl w:ilvl="8" w:tplc="6BA4FFD4">
      <w:start w:val="1"/>
      <w:numFmt w:val="lowerRoman"/>
      <w:lvlText w:val="%9."/>
      <w:lvlJc w:val="right"/>
      <w:pPr>
        <w:ind w:left="6480" w:hanging="180"/>
      </w:pPr>
    </w:lvl>
  </w:abstractNum>
  <w:abstractNum w:abstractNumId="1" w15:restartNumberingAfterBreak="0">
    <w:nsid w:val="29096908"/>
    <w:multiLevelType w:val="hybridMultilevel"/>
    <w:tmpl w:val="32FC4452"/>
    <w:lvl w:ilvl="0" w:tplc="8522E63E">
      <w:start w:val="1"/>
      <w:numFmt w:val="decimal"/>
      <w:lvlText w:val="%1)"/>
      <w:lvlJc w:val="left"/>
      <w:pPr>
        <w:ind w:left="720" w:hanging="360"/>
      </w:pPr>
    </w:lvl>
    <w:lvl w:ilvl="1" w:tplc="700E5984">
      <w:start w:val="1"/>
      <w:numFmt w:val="lowerLetter"/>
      <w:lvlText w:val="%2."/>
      <w:lvlJc w:val="left"/>
      <w:pPr>
        <w:ind w:left="1440" w:hanging="360"/>
      </w:pPr>
    </w:lvl>
    <w:lvl w:ilvl="2" w:tplc="B83A029C">
      <w:start w:val="1"/>
      <w:numFmt w:val="lowerRoman"/>
      <w:lvlText w:val="%3."/>
      <w:lvlJc w:val="right"/>
      <w:pPr>
        <w:ind w:left="2160" w:hanging="180"/>
      </w:pPr>
    </w:lvl>
    <w:lvl w:ilvl="3" w:tplc="7D6053E6">
      <w:start w:val="1"/>
      <w:numFmt w:val="decimal"/>
      <w:lvlText w:val="%4."/>
      <w:lvlJc w:val="left"/>
      <w:pPr>
        <w:ind w:left="2880" w:hanging="360"/>
      </w:pPr>
    </w:lvl>
    <w:lvl w:ilvl="4" w:tplc="1C983CB0">
      <w:start w:val="1"/>
      <w:numFmt w:val="lowerLetter"/>
      <w:lvlText w:val="%5."/>
      <w:lvlJc w:val="left"/>
      <w:pPr>
        <w:ind w:left="3600" w:hanging="360"/>
      </w:pPr>
    </w:lvl>
    <w:lvl w:ilvl="5" w:tplc="98AEBC18">
      <w:start w:val="1"/>
      <w:numFmt w:val="lowerRoman"/>
      <w:lvlText w:val="%6."/>
      <w:lvlJc w:val="right"/>
      <w:pPr>
        <w:ind w:left="4320" w:hanging="180"/>
      </w:pPr>
    </w:lvl>
    <w:lvl w:ilvl="6" w:tplc="621C2846">
      <w:start w:val="1"/>
      <w:numFmt w:val="decimal"/>
      <w:lvlText w:val="%7."/>
      <w:lvlJc w:val="left"/>
      <w:pPr>
        <w:ind w:left="5040" w:hanging="360"/>
      </w:pPr>
    </w:lvl>
    <w:lvl w:ilvl="7" w:tplc="8C22853C">
      <w:start w:val="1"/>
      <w:numFmt w:val="lowerLetter"/>
      <w:lvlText w:val="%8."/>
      <w:lvlJc w:val="left"/>
      <w:pPr>
        <w:ind w:left="5760" w:hanging="360"/>
      </w:pPr>
    </w:lvl>
    <w:lvl w:ilvl="8" w:tplc="E304D106">
      <w:start w:val="1"/>
      <w:numFmt w:val="lowerRoman"/>
      <w:lvlText w:val="%9."/>
      <w:lvlJc w:val="right"/>
      <w:pPr>
        <w:ind w:left="6480" w:hanging="180"/>
      </w:pPr>
    </w:lvl>
  </w:abstractNum>
  <w:abstractNum w:abstractNumId="2" w15:restartNumberingAfterBreak="0">
    <w:nsid w:val="46C81C80"/>
    <w:multiLevelType w:val="hybridMultilevel"/>
    <w:tmpl w:val="25582998"/>
    <w:lvl w:ilvl="0" w:tplc="2C120294">
      <w:start w:val="1"/>
      <w:numFmt w:val="bullet"/>
      <w:lvlText w:val=""/>
      <w:lvlJc w:val="left"/>
      <w:pPr>
        <w:ind w:left="720" w:hanging="360"/>
      </w:pPr>
      <w:rPr>
        <w:rFonts w:ascii="Symbol" w:hAnsi="Symbol" w:hint="default"/>
      </w:rPr>
    </w:lvl>
    <w:lvl w:ilvl="1" w:tplc="5ABEB5D8">
      <w:start w:val="1"/>
      <w:numFmt w:val="bullet"/>
      <w:lvlText w:val="o"/>
      <w:lvlJc w:val="left"/>
      <w:pPr>
        <w:ind w:left="1440" w:hanging="360"/>
      </w:pPr>
      <w:rPr>
        <w:rFonts w:ascii="Courier New" w:hAnsi="Courier New" w:hint="default"/>
      </w:rPr>
    </w:lvl>
    <w:lvl w:ilvl="2" w:tplc="8F38F09C">
      <w:start w:val="1"/>
      <w:numFmt w:val="bullet"/>
      <w:lvlText w:val=""/>
      <w:lvlJc w:val="left"/>
      <w:pPr>
        <w:ind w:left="2160" w:hanging="360"/>
      </w:pPr>
      <w:rPr>
        <w:rFonts w:ascii="Wingdings" w:hAnsi="Wingdings" w:hint="default"/>
      </w:rPr>
    </w:lvl>
    <w:lvl w:ilvl="3" w:tplc="2C70526A">
      <w:start w:val="1"/>
      <w:numFmt w:val="bullet"/>
      <w:lvlText w:val=""/>
      <w:lvlJc w:val="left"/>
      <w:pPr>
        <w:ind w:left="2880" w:hanging="360"/>
      </w:pPr>
      <w:rPr>
        <w:rFonts w:ascii="Symbol" w:hAnsi="Symbol" w:hint="default"/>
      </w:rPr>
    </w:lvl>
    <w:lvl w:ilvl="4" w:tplc="43A47A2C">
      <w:start w:val="1"/>
      <w:numFmt w:val="bullet"/>
      <w:lvlText w:val="o"/>
      <w:lvlJc w:val="left"/>
      <w:pPr>
        <w:ind w:left="3600" w:hanging="360"/>
      </w:pPr>
      <w:rPr>
        <w:rFonts w:ascii="Courier New" w:hAnsi="Courier New" w:hint="default"/>
      </w:rPr>
    </w:lvl>
    <w:lvl w:ilvl="5" w:tplc="6246A1BA">
      <w:start w:val="1"/>
      <w:numFmt w:val="bullet"/>
      <w:lvlText w:val=""/>
      <w:lvlJc w:val="left"/>
      <w:pPr>
        <w:ind w:left="4320" w:hanging="360"/>
      </w:pPr>
      <w:rPr>
        <w:rFonts w:ascii="Wingdings" w:hAnsi="Wingdings" w:hint="default"/>
      </w:rPr>
    </w:lvl>
    <w:lvl w:ilvl="6" w:tplc="DC6EE342">
      <w:start w:val="1"/>
      <w:numFmt w:val="bullet"/>
      <w:lvlText w:val=""/>
      <w:lvlJc w:val="left"/>
      <w:pPr>
        <w:ind w:left="5040" w:hanging="360"/>
      </w:pPr>
      <w:rPr>
        <w:rFonts w:ascii="Symbol" w:hAnsi="Symbol" w:hint="default"/>
      </w:rPr>
    </w:lvl>
    <w:lvl w:ilvl="7" w:tplc="08B68CFC">
      <w:start w:val="1"/>
      <w:numFmt w:val="bullet"/>
      <w:lvlText w:val="o"/>
      <w:lvlJc w:val="left"/>
      <w:pPr>
        <w:ind w:left="5760" w:hanging="360"/>
      </w:pPr>
      <w:rPr>
        <w:rFonts w:ascii="Courier New" w:hAnsi="Courier New" w:hint="default"/>
      </w:rPr>
    </w:lvl>
    <w:lvl w:ilvl="8" w:tplc="11789A0A">
      <w:start w:val="1"/>
      <w:numFmt w:val="bullet"/>
      <w:lvlText w:val=""/>
      <w:lvlJc w:val="left"/>
      <w:pPr>
        <w:ind w:left="6480" w:hanging="360"/>
      </w:pPr>
      <w:rPr>
        <w:rFonts w:ascii="Wingdings" w:hAnsi="Wingdings" w:hint="default"/>
      </w:rPr>
    </w:lvl>
  </w:abstractNum>
  <w:abstractNum w:abstractNumId="3" w15:restartNumberingAfterBreak="0">
    <w:nsid w:val="54952A03"/>
    <w:multiLevelType w:val="hybridMultilevel"/>
    <w:tmpl w:val="D9F406B2"/>
    <w:lvl w:ilvl="0" w:tplc="5688125A">
      <w:start w:val="1"/>
      <w:numFmt w:val="bullet"/>
      <w:lvlText w:val=""/>
      <w:lvlJc w:val="left"/>
      <w:pPr>
        <w:ind w:left="720" w:hanging="360"/>
      </w:pPr>
      <w:rPr>
        <w:rFonts w:ascii="Symbol" w:hAnsi="Symbol" w:hint="default"/>
      </w:rPr>
    </w:lvl>
    <w:lvl w:ilvl="1" w:tplc="6B481068">
      <w:start w:val="1"/>
      <w:numFmt w:val="bullet"/>
      <w:lvlText w:val="o"/>
      <w:lvlJc w:val="left"/>
      <w:pPr>
        <w:ind w:left="1440" w:hanging="360"/>
      </w:pPr>
      <w:rPr>
        <w:rFonts w:ascii="Courier New" w:hAnsi="Courier New" w:hint="default"/>
      </w:rPr>
    </w:lvl>
    <w:lvl w:ilvl="2" w:tplc="A268FA9C">
      <w:start w:val="1"/>
      <w:numFmt w:val="bullet"/>
      <w:lvlText w:val=""/>
      <w:lvlJc w:val="left"/>
      <w:pPr>
        <w:ind w:left="2160" w:hanging="360"/>
      </w:pPr>
      <w:rPr>
        <w:rFonts w:ascii="Wingdings" w:hAnsi="Wingdings" w:hint="default"/>
      </w:rPr>
    </w:lvl>
    <w:lvl w:ilvl="3" w:tplc="DBE69AEC">
      <w:start w:val="1"/>
      <w:numFmt w:val="bullet"/>
      <w:lvlText w:val=""/>
      <w:lvlJc w:val="left"/>
      <w:pPr>
        <w:ind w:left="2880" w:hanging="360"/>
      </w:pPr>
      <w:rPr>
        <w:rFonts w:ascii="Symbol" w:hAnsi="Symbol" w:hint="default"/>
      </w:rPr>
    </w:lvl>
    <w:lvl w:ilvl="4" w:tplc="D0ACF1DA">
      <w:start w:val="1"/>
      <w:numFmt w:val="bullet"/>
      <w:lvlText w:val="o"/>
      <w:lvlJc w:val="left"/>
      <w:pPr>
        <w:ind w:left="3600" w:hanging="360"/>
      </w:pPr>
      <w:rPr>
        <w:rFonts w:ascii="Courier New" w:hAnsi="Courier New" w:hint="default"/>
      </w:rPr>
    </w:lvl>
    <w:lvl w:ilvl="5" w:tplc="F68287F4">
      <w:start w:val="1"/>
      <w:numFmt w:val="bullet"/>
      <w:lvlText w:val=""/>
      <w:lvlJc w:val="left"/>
      <w:pPr>
        <w:ind w:left="4320" w:hanging="360"/>
      </w:pPr>
      <w:rPr>
        <w:rFonts w:ascii="Wingdings" w:hAnsi="Wingdings" w:hint="default"/>
      </w:rPr>
    </w:lvl>
    <w:lvl w:ilvl="6" w:tplc="053E584A">
      <w:start w:val="1"/>
      <w:numFmt w:val="bullet"/>
      <w:lvlText w:val=""/>
      <w:lvlJc w:val="left"/>
      <w:pPr>
        <w:ind w:left="5040" w:hanging="360"/>
      </w:pPr>
      <w:rPr>
        <w:rFonts w:ascii="Symbol" w:hAnsi="Symbol" w:hint="default"/>
      </w:rPr>
    </w:lvl>
    <w:lvl w:ilvl="7" w:tplc="A12CB5B8">
      <w:start w:val="1"/>
      <w:numFmt w:val="bullet"/>
      <w:lvlText w:val="o"/>
      <w:lvlJc w:val="left"/>
      <w:pPr>
        <w:ind w:left="5760" w:hanging="360"/>
      </w:pPr>
      <w:rPr>
        <w:rFonts w:ascii="Courier New" w:hAnsi="Courier New" w:hint="default"/>
      </w:rPr>
    </w:lvl>
    <w:lvl w:ilvl="8" w:tplc="C804F2C8">
      <w:start w:val="1"/>
      <w:numFmt w:val="bullet"/>
      <w:lvlText w:val=""/>
      <w:lvlJc w:val="left"/>
      <w:pPr>
        <w:ind w:left="6480" w:hanging="360"/>
      </w:pPr>
      <w:rPr>
        <w:rFonts w:ascii="Wingdings" w:hAnsi="Wingdings" w:hint="default"/>
      </w:rPr>
    </w:lvl>
  </w:abstractNum>
  <w:num w:numId="1" w16cid:durableId="709183513">
    <w:abstractNumId w:val="2"/>
  </w:num>
  <w:num w:numId="2" w16cid:durableId="723524998">
    <w:abstractNumId w:val="0"/>
  </w:num>
  <w:num w:numId="3" w16cid:durableId="1694696367">
    <w:abstractNumId w:val="3"/>
  </w:num>
  <w:num w:numId="4" w16cid:durableId="13506422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A977B7"/>
    <w:rsid w:val="001771BD"/>
    <w:rsid w:val="001966EF"/>
    <w:rsid w:val="001E0E0E"/>
    <w:rsid w:val="001E6AC3"/>
    <w:rsid w:val="002610E0"/>
    <w:rsid w:val="0035AD3A"/>
    <w:rsid w:val="003F5FDA"/>
    <w:rsid w:val="00655B99"/>
    <w:rsid w:val="006E4BAF"/>
    <w:rsid w:val="008121E9"/>
    <w:rsid w:val="00879419"/>
    <w:rsid w:val="008CEE20"/>
    <w:rsid w:val="00A6167D"/>
    <w:rsid w:val="00AC3170"/>
    <w:rsid w:val="00B274AD"/>
    <w:rsid w:val="00B54E8C"/>
    <w:rsid w:val="00B95F1E"/>
    <w:rsid w:val="00BA07FA"/>
    <w:rsid w:val="00BE3CC1"/>
    <w:rsid w:val="00CB0251"/>
    <w:rsid w:val="00CB439E"/>
    <w:rsid w:val="00CB49D5"/>
    <w:rsid w:val="00D2060B"/>
    <w:rsid w:val="00D2877B"/>
    <w:rsid w:val="00D7488F"/>
    <w:rsid w:val="00DE3AE0"/>
    <w:rsid w:val="00E5A613"/>
    <w:rsid w:val="00EB4728"/>
    <w:rsid w:val="00FC3CCA"/>
    <w:rsid w:val="0101D816"/>
    <w:rsid w:val="0108CBD3"/>
    <w:rsid w:val="0113DF38"/>
    <w:rsid w:val="011B1A46"/>
    <w:rsid w:val="0197133C"/>
    <w:rsid w:val="01A9F01C"/>
    <w:rsid w:val="01F04453"/>
    <w:rsid w:val="01FCD564"/>
    <w:rsid w:val="02214C29"/>
    <w:rsid w:val="024B0286"/>
    <w:rsid w:val="0284260B"/>
    <w:rsid w:val="029DA877"/>
    <w:rsid w:val="02C028BD"/>
    <w:rsid w:val="02EBB6AB"/>
    <w:rsid w:val="03099D08"/>
    <w:rsid w:val="031493EE"/>
    <w:rsid w:val="0375229D"/>
    <w:rsid w:val="038356C6"/>
    <w:rsid w:val="038F8790"/>
    <w:rsid w:val="03BFE658"/>
    <w:rsid w:val="03CBCA65"/>
    <w:rsid w:val="04339CB8"/>
    <w:rsid w:val="04646B9E"/>
    <w:rsid w:val="0472BFC1"/>
    <w:rsid w:val="049DC561"/>
    <w:rsid w:val="04A037D2"/>
    <w:rsid w:val="04A21A84"/>
    <w:rsid w:val="04CEB3FE"/>
    <w:rsid w:val="04E1B442"/>
    <w:rsid w:val="0533A615"/>
    <w:rsid w:val="0537F548"/>
    <w:rsid w:val="054D5F2C"/>
    <w:rsid w:val="055B053C"/>
    <w:rsid w:val="057D83DC"/>
    <w:rsid w:val="059CB1DC"/>
    <w:rsid w:val="05A21588"/>
    <w:rsid w:val="05CF6D19"/>
    <w:rsid w:val="0602804A"/>
    <w:rsid w:val="062BA280"/>
    <w:rsid w:val="0642F99A"/>
    <w:rsid w:val="06492B50"/>
    <w:rsid w:val="06511F38"/>
    <w:rsid w:val="0691655B"/>
    <w:rsid w:val="06938AFB"/>
    <w:rsid w:val="06939741"/>
    <w:rsid w:val="069B2E79"/>
    <w:rsid w:val="06AA07AF"/>
    <w:rsid w:val="06DB9D74"/>
    <w:rsid w:val="06E5E79C"/>
    <w:rsid w:val="0733B1A9"/>
    <w:rsid w:val="0738823D"/>
    <w:rsid w:val="073DE5E9"/>
    <w:rsid w:val="07B4DA52"/>
    <w:rsid w:val="07E87D31"/>
    <w:rsid w:val="07EF4094"/>
    <w:rsid w:val="07F27369"/>
    <w:rsid w:val="0830F462"/>
    <w:rsid w:val="0834DDB0"/>
    <w:rsid w:val="08566DAD"/>
    <w:rsid w:val="08733401"/>
    <w:rsid w:val="087EF576"/>
    <w:rsid w:val="0892A5FE"/>
    <w:rsid w:val="08ADEE33"/>
    <w:rsid w:val="08AF0DB6"/>
    <w:rsid w:val="08C83733"/>
    <w:rsid w:val="0906161C"/>
    <w:rsid w:val="09244777"/>
    <w:rsid w:val="092704E6"/>
    <w:rsid w:val="09783227"/>
    <w:rsid w:val="098CE036"/>
    <w:rsid w:val="09B22A31"/>
    <w:rsid w:val="09E1CCE1"/>
    <w:rsid w:val="09F1B458"/>
    <w:rsid w:val="09FB5638"/>
    <w:rsid w:val="0A256A94"/>
    <w:rsid w:val="0A2FA96C"/>
    <w:rsid w:val="0A408673"/>
    <w:rsid w:val="0A604164"/>
    <w:rsid w:val="0A6B526B"/>
    <w:rsid w:val="0A8C8859"/>
    <w:rsid w:val="0AA38AE4"/>
    <w:rsid w:val="0AB85D66"/>
    <w:rsid w:val="0AE56120"/>
    <w:rsid w:val="0AFCD672"/>
    <w:rsid w:val="0B1ED21A"/>
    <w:rsid w:val="0B5465F0"/>
    <w:rsid w:val="0B6950C9"/>
    <w:rsid w:val="0B8BA706"/>
    <w:rsid w:val="0BB96A71"/>
    <w:rsid w:val="0BCA46C0"/>
    <w:rsid w:val="0BD4C0AD"/>
    <w:rsid w:val="0BD4C35D"/>
    <w:rsid w:val="0C033C49"/>
    <w:rsid w:val="0C20CB7B"/>
    <w:rsid w:val="0C233F2A"/>
    <w:rsid w:val="0C3435AD"/>
    <w:rsid w:val="0C493A32"/>
    <w:rsid w:val="0C4AEACB"/>
    <w:rsid w:val="0C6F6AC5"/>
    <w:rsid w:val="0CBF851D"/>
    <w:rsid w:val="0CE9CAF3"/>
    <w:rsid w:val="0D06949D"/>
    <w:rsid w:val="0D115F49"/>
    <w:rsid w:val="0D29DED0"/>
    <w:rsid w:val="0D3C00C3"/>
    <w:rsid w:val="0D8895C1"/>
    <w:rsid w:val="0D8AFE39"/>
    <w:rsid w:val="0DAB7462"/>
    <w:rsid w:val="0DBAE567"/>
    <w:rsid w:val="0DBC9BDC"/>
    <w:rsid w:val="0DFE32F0"/>
    <w:rsid w:val="0E6F0A7F"/>
    <w:rsid w:val="0E96D846"/>
    <w:rsid w:val="0E9C7740"/>
    <w:rsid w:val="0ECA8CD4"/>
    <w:rsid w:val="0ED84036"/>
    <w:rsid w:val="0EDB1915"/>
    <w:rsid w:val="0F0FC6B4"/>
    <w:rsid w:val="0F3EC38E"/>
    <w:rsid w:val="0F586C3D"/>
    <w:rsid w:val="0F730B2F"/>
    <w:rsid w:val="0F8432D8"/>
    <w:rsid w:val="0F956DAF"/>
    <w:rsid w:val="0FABE600"/>
    <w:rsid w:val="0FB97224"/>
    <w:rsid w:val="10316B45"/>
    <w:rsid w:val="10453849"/>
    <w:rsid w:val="1068CD37"/>
    <w:rsid w:val="10741097"/>
    <w:rsid w:val="108C326A"/>
    <w:rsid w:val="1101CF99"/>
    <w:rsid w:val="11102DFD"/>
    <w:rsid w:val="11112801"/>
    <w:rsid w:val="111829DC"/>
    <w:rsid w:val="111B718A"/>
    <w:rsid w:val="11200339"/>
    <w:rsid w:val="11354E48"/>
    <w:rsid w:val="11554285"/>
    <w:rsid w:val="115E5AAF"/>
    <w:rsid w:val="11A6AB41"/>
    <w:rsid w:val="11C30FA0"/>
    <w:rsid w:val="11E7FF91"/>
    <w:rsid w:val="1214659B"/>
    <w:rsid w:val="123BA81C"/>
    <w:rsid w:val="127EE585"/>
    <w:rsid w:val="1293D005"/>
    <w:rsid w:val="129C259C"/>
    <w:rsid w:val="12BAE837"/>
    <w:rsid w:val="12C11FC9"/>
    <w:rsid w:val="12F16D22"/>
    <w:rsid w:val="1302DCCC"/>
    <w:rsid w:val="131F146D"/>
    <w:rsid w:val="13332CC3"/>
    <w:rsid w:val="13777EE8"/>
    <w:rsid w:val="138B6369"/>
    <w:rsid w:val="13992054"/>
    <w:rsid w:val="140E4E2E"/>
    <w:rsid w:val="140F1130"/>
    <w:rsid w:val="141DA6F2"/>
    <w:rsid w:val="1423A1FD"/>
    <w:rsid w:val="14437577"/>
    <w:rsid w:val="1448C8C3"/>
    <w:rsid w:val="1453124C"/>
    <w:rsid w:val="1456B898"/>
    <w:rsid w:val="1463254D"/>
    <w:rsid w:val="14B0A4B8"/>
    <w:rsid w:val="15097C5F"/>
    <w:rsid w:val="1537386A"/>
    <w:rsid w:val="153A76D2"/>
    <w:rsid w:val="153CDE3B"/>
    <w:rsid w:val="1598E3B8"/>
    <w:rsid w:val="15A4F42F"/>
    <w:rsid w:val="15BF725E"/>
    <w:rsid w:val="15D4D8A8"/>
    <w:rsid w:val="15E1F39F"/>
    <w:rsid w:val="15FF7BB7"/>
    <w:rsid w:val="160162E2"/>
    <w:rsid w:val="160587EE"/>
    <w:rsid w:val="160F8B4B"/>
    <w:rsid w:val="161C8959"/>
    <w:rsid w:val="165E4A65"/>
    <w:rsid w:val="1684D032"/>
    <w:rsid w:val="16A8F0C2"/>
    <w:rsid w:val="16B33551"/>
    <w:rsid w:val="16D7A3DC"/>
    <w:rsid w:val="16FD07C8"/>
    <w:rsid w:val="17006694"/>
    <w:rsid w:val="170F193F"/>
    <w:rsid w:val="171AD899"/>
    <w:rsid w:val="1720D348"/>
    <w:rsid w:val="1745EEF0"/>
    <w:rsid w:val="1751E304"/>
    <w:rsid w:val="1771FDE8"/>
    <w:rsid w:val="17734006"/>
    <w:rsid w:val="1779B5E3"/>
    <w:rsid w:val="17806985"/>
    <w:rsid w:val="178F44BD"/>
    <w:rsid w:val="179D3343"/>
    <w:rsid w:val="17A8F443"/>
    <w:rsid w:val="17C5AEAD"/>
    <w:rsid w:val="17D95D33"/>
    <w:rsid w:val="17E4EF28"/>
    <w:rsid w:val="17EEE023"/>
    <w:rsid w:val="18016DD7"/>
    <w:rsid w:val="182C7D9A"/>
    <w:rsid w:val="1832CC52"/>
    <w:rsid w:val="18463F8A"/>
    <w:rsid w:val="18507110"/>
    <w:rsid w:val="18638F51"/>
    <w:rsid w:val="18D0CF78"/>
    <w:rsid w:val="18D1BD92"/>
    <w:rsid w:val="18E28253"/>
    <w:rsid w:val="18F5E80A"/>
    <w:rsid w:val="18F71320"/>
    <w:rsid w:val="191A0EF0"/>
    <w:rsid w:val="192B151E"/>
    <w:rsid w:val="198AB084"/>
    <w:rsid w:val="19D31351"/>
    <w:rsid w:val="19DD6F12"/>
    <w:rsid w:val="19E20FEB"/>
    <w:rsid w:val="19F40AC7"/>
    <w:rsid w:val="19F6D47C"/>
    <w:rsid w:val="1A1CDA64"/>
    <w:rsid w:val="1A30995E"/>
    <w:rsid w:val="1A46BA01"/>
    <w:rsid w:val="1A4BB68F"/>
    <w:rsid w:val="1A66986F"/>
    <w:rsid w:val="1A6AA7EF"/>
    <w:rsid w:val="1A6C54DB"/>
    <w:rsid w:val="1A8DBC2F"/>
    <w:rsid w:val="1AA30C6A"/>
    <w:rsid w:val="1AC33EC3"/>
    <w:rsid w:val="1AD76725"/>
    <w:rsid w:val="1B004845"/>
    <w:rsid w:val="1B1F34BF"/>
    <w:rsid w:val="1B1FE63C"/>
    <w:rsid w:val="1B51615D"/>
    <w:rsid w:val="1B60E15F"/>
    <w:rsid w:val="1B6A2821"/>
    <w:rsid w:val="1B7D46B9"/>
    <w:rsid w:val="1BA9B856"/>
    <w:rsid w:val="1BAB4BED"/>
    <w:rsid w:val="1BD3D7B7"/>
    <w:rsid w:val="1BDD15A3"/>
    <w:rsid w:val="1BE25B9A"/>
    <w:rsid w:val="1BE7DFAD"/>
    <w:rsid w:val="1C08253C"/>
    <w:rsid w:val="1C2EB3E2"/>
    <w:rsid w:val="1C39C0DD"/>
    <w:rsid w:val="1C3EDCCB"/>
    <w:rsid w:val="1C53BE1B"/>
    <w:rsid w:val="1C54C406"/>
    <w:rsid w:val="1C564281"/>
    <w:rsid w:val="1C58E3A6"/>
    <w:rsid w:val="1C633CF5"/>
    <w:rsid w:val="1C7C6566"/>
    <w:rsid w:val="1C86A49A"/>
    <w:rsid w:val="1CB2C97A"/>
    <w:rsid w:val="1CBA53FF"/>
    <w:rsid w:val="1CBB0520"/>
    <w:rsid w:val="1CBC4E58"/>
    <w:rsid w:val="1D071256"/>
    <w:rsid w:val="1D10ECE3"/>
    <w:rsid w:val="1D4588B7"/>
    <w:rsid w:val="1D51E724"/>
    <w:rsid w:val="1D63C40B"/>
    <w:rsid w:val="1D70F1C0"/>
    <w:rsid w:val="1D8C125B"/>
    <w:rsid w:val="1DA8A151"/>
    <w:rsid w:val="1DA92B34"/>
    <w:rsid w:val="1DB15BE6"/>
    <w:rsid w:val="1DF39B85"/>
    <w:rsid w:val="1E0A0793"/>
    <w:rsid w:val="1E0C1DC6"/>
    <w:rsid w:val="1E732252"/>
    <w:rsid w:val="1E7557E5"/>
    <w:rsid w:val="1EA68474"/>
    <w:rsid w:val="1EB70E2A"/>
    <w:rsid w:val="1EC0C46E"/>
    <w:rsid w:val="1F14DA36"/>
    <w:rsid w:val="1F3FC5FE"/>
    <w:rsid w:val="1FBF0051"/>
    <w:rsid w:val="1FE7CEF3"/>
    <w:rsid w:val="1FEE1406"/>
    <w:rsid w:val="1FF7FFE9"/>
    <w:rsid w:val="2030245A"/>
    <w:rsid w:val="20362312"/>
    <w:rsid w:val="20588E98"/>
    <w:rsid w:val="2084DBC2"/>
    <w:rsid w:val="20DB965F"/>
    <w:rsid w:val="211BF34C"/>
    <w:rsid w:val="212B2BA1"/>
    <w:rsid w:val="2145B03A"/>
    <w:rsid w:val="2150B918"/>
    <w:rsid w:val="2172B3F4"/>
    <w:rsid w:val="2198F2E0"/>
    <w:rsid w:val="219967D6"/>
    <w:rsid w:val="21B35D5B"/>
    <w:rsid w:val="21C04148"/>
    <w:rsid w:val="21D5868F"/>
    <w:rsid w:val="21D938EF"/>
    <w:rsid w:val="21F45EF9"/>
    <w:rsid w:val="224C5069"/>
    <w:rsid w:val="227766C0"/>
    <w:rsid w:val="227A864B"/>
    <w:rsid w:val="229673FD"/>
    <w:rsid w:val="22BFA8F1"/>
    <w:rsid w:val="22D1F764"/>
    <w:rsid w:val="22D68D06"/>
    <w:rsid w:val="22EE0E53"/>
    <w:rsid w:val="230736B0"/>
    <w:rsid w:val="230E8455"/>
    <w:rsid w:val="230F0E7B"/>
    <w:rsid w:val="23331E97"/>
    <w:rsid w:val="235C0096"/>
    <w:rsid w:val="23946C3C"/>
    <w:rsid w:val="23AC91FA"/>
    <w:rsid w:val="23B88386"/>
    <w:rsid w:val="23BF096F"/>
    <w:rsid w:val="23CC67EB"/>
    <w:rsid w:val="24794917"/>
    <w:rsid w:val="2492F6DE"/>
    <w:rsid w:val="24A2EC86"/>
    <w:rsid w:val="24B5C69B"/>
    <w:rsid w:val="24C18529"/>
    <w:rsid w:val="24E49969"/>
    <w:rsid w:val="24E895A5"/>
    <w:rsid w:val="250D2751"/>
    <w:rsid w:val="250FA17B"/>
    <w:rsid w:val="252E445F"/>
    <w:rsid w:val="253F46E0"/>
    <w:rsid w:val="255453E7"/>
    <w:rsid w:val="255633F8"/>
    <w:rsid w:val="25E19491"/>
    <w:rsid w:val="25ED633F"/>
    <w:rsid w:val="260967CC"/>
    <w:rsid w:val="2667416D"/>
    <w:rsid w:val="267508B5"/>
    <w:rsid w:val="26A77629"/>
    <w:rsid w:val="26A8F7B2"/>
    <w:rsid w:val="26CA14C0"/>
    <w:rsid w:val="26D341ED"/>
    <w:rsid w:val="26DB1741"/>
    <w:rsid w:val="26F9B45D"/>
    <w:rsid w:val="2708BFC5"/>
    <w:rsid w:val="272E2F2B"/>
    <w:rsid w:val="2733C509"/>
    <w:rsid w:val="27A8C45E"/>
    <w:rsid w:val="27AD560D"/>
    <w:rsid w:val="27B7065F"/>
    <w:rsid w:val="27BF699F"/>
    <w:rsid w:val="27C3C72B"/>
    <w:rsid w:val="283348FC"/>
    <w:rsid w:val="2834F24E"/>
    <w:rsid w:val="28487A73"/>
    <w:rsid w:val="284A0425"/>
    <w:rsid w:val="2865E521"/>
    <w:rsid w:val="287127E5"/>
    <w:rsid w:val="289A7C39"/>
    <w:rsid w:val="289F9E73"/>
    <w:rsid w:val="28A00CAB"/>
    <w:rsid w:val="28C3F570"/>
    <w:rsid w:val="28CD3A94"/>
    <w:rsid w:val="2949266E"/>
    <w:rsid w:val="2952D6C0"/>
    <w:rsid w:val="295F978C"/>
    <w:rsid w:val="2962D5F4"/>
    <w:rsid w:val="29653D5D"/>
    <w:rsid w:val="29902FA0"/>
    <w:rsid w:val="29D66434"/>
    <w:rsid w:val="29D8BE4B"/>
    <w:rsid w:val="29DE71C5"/>
    <w:rsid w:val="29DF16EB"/>
    <w:rsid w:val="29E198B0"/>
    <w:rsid w:val="2A0644A4"/>
    <w:rsid w:val="2A15A7EC"/>
    <w:rsid w:val="2A295CED"/>
    <w:rsid w:val="2A2B50CB"/>
    <w:rsid w:val="2A2B997F"/>
    <w:rsid w:val="2A364C9A"/>
    <w:rsid w:val="2A3E39F1"/>
    <w:rsid w:val="2A574A4B"/>
    <w:rsid w:val="2A57624E"/>
    <w:rsid w:val="2A5FC5D1"/>
    <w:rsid w:val="2AB93034"/>
    <w:rsid w:val="2AD45B67"/>
    <w:rsid w:val="2AD88370"/>
    <w:rsid w:val="2AE06520"/>
    <w:rsid w:val="2AE4F6CF"/>
    <w:rsid w:val="2AE792DC"/>
    <w:rsid w:val="2B0A25E8"/>
    <w:rsid w:val="2B5210D8"/>
    <w:rsid w:val="2B618D6D"/>
    <w:rsid w:val="2B6F1114"/>
    <w:rsid w:val="2B861F19"/>
    <w:rsid w:val="2B8EAEDC"/>
    <w:rsid w:val="2BB0B62D"/>
    <w:rsid w:val="2BBA0397"/>
    <w:rsid w:val="2BBB3D1F"/>
    <w:rsid w:val="2BD561DE"/>
    <w:rsid w:val="2BDCD397"/>
    <w:rsid w:val="2BECE32B"/>
    <w:rsid w:val="2BFE57BE"/>
    <w:rsid w:val="2C07362C"/>
    <w:rsid w:val="2C237E9D"/>
    <w:rsid w:val="2C4B3C33"/>
    <w:rsid w:val="2C845AFC"/>
    <w:rsid w:val="2C8C6CF2"/>
    <w:rsid w:val="2C97384E"/>
    <w:rsid w:val="2C9E08C3"/>
    <w:rsid w:val="2CA7128C"/>
    <w:rsid w:val="2CD1DA67"/>
    <w:rsid w:val="2CF4DC99"/>
    <w:rsid w:val="2CF57F05"/>
    <w:rsid w:val="2D21EF7A"/>
    <w:rsid w:val="2D2A7F3D"/>
    <w:rsid w:val="2D33C642"/>
    <w:rsid w:val="2D3DE566"/>
    <w:rsid w:val="2D450C0D"/>
    <w:rsid w:val="2D93EF7E"/>
    <w:rsid w:val="2DA1DBE9"/>
    <w:rsid w:val="2DF120C1"/>
    <w:rsid w:val="2DF3A28E"/>
    <w:rsid w:val="2E283D53"/>
    <w:rsid w:val="2E40864B"/>
    <w:rsid w:val="2E606678"/>
    <w:rsid w:val="2E7241FC"/>
    <w:rsid w:val="2E9133A2"/>
    <w:rsid w:val="2E914F66"/>
    <w:rsid w:val="2EB311F1"/>
    <w:rsid w:val="2EC58852"/>
    <w:rsid w:val="2EF2DDE1"/>
    <w:rsid w:val="2EFA7B24"/>
    <w:rsid w:val="2F0B5422"/>
    <w:rsid w:val="2F32EB86"/>
    <w:rsid w:val="2F395D17"/>
    <w:rsid w:val="2F88A7E9"/>
    <w:rsid w:val="2F8F72EF"/>
    <w:rsid w:val="2F9208C4"/>
    <w:rsid w:val="2F976638"/>
    <w:rsid w:val="2FB3D643"/>
    <w:rsid w:val="2FB7084C"/>
    <w:rsid w:val="2FE6A0D4"/>
    <w:rsid w:val="2FF84052"/>
    <w:rsid w:val="300E125D"/>
    <w:rsid w:val="303BB55C"/>
    <w:rsid w:val="30799445"/>
    <w:rsid w:val="30BE3E77"/>
    <w:rsid w:val="30C6A3D2"/>
    <w:rsid w:val="30CEBBE7"/>
    <w:rsid w:val="30D0DB63"/>
    <w:rsid w:val="30D429CF"/>
    <w:rsid w:val="30E4AD7A"/>
    <w:rsid w:val="30F1BA29"/>
    <w:rsid w:val="31439CEB"/>
    <w:rsid w:val="3144DAEC"/>
    <w:rsid w:val="31494D97"/>
    <w:rsid w:val="31685B5A"/>
    <w:rsid w:val="316A1940"/>
    <w:rsid w:val="31824D48"/>
    <w:rsid w:val="318AA243"/>
    <w:rsid w:val="31C15A82"/>
    <w:rsid w:val="31D18A56"/>
    <w:rsid w:val="322AEDB5"/>
    <w:rsid w:val="3234D3E9"/>
    <w:rsid w:val="324C147C"/>
    <w:rsid w:val="3275E3E5"/>
    <w:rsid w:val="32B0F8D9"/>
    <w:rsid w:val="32C8051F"/>
    <w:rsid w:val="32FBAE76"/>
    <w:rsid w:val="331E4196"/>
    <w:rsid w:val="33392D88"/>
    <w:rsid w:val="333A7E47"/>
    <w:rsid w:val="336CD0D4"/>
    <w:rsid w:val="34010D3A"/>
    <w:rsid w:val="34071D1E"/>
    <w:rsid w:val="34156825"/>
    <w:rsid w:val="34606245"/>
    <w:rsid w:val="34A75023"/>
    <w:rsid w:val="34AFC7CF"/>
    <w:rsid w:val="34CAFFF8"/>
    <w:rsid w:val="34ECE2A7"/>
    <w:rsid w:val="35282D1E"/>
    <w:rsid w:val="3554010B"/>
    <w:rsid w:val="355E8625"/>
    <w:rsid w:val="3590B160"/>
    <w:rsid w:val="359BFE22"/>
    <w:rsid w:val="35A89E9B"/>
    <w:rsid w:val="35C52B4C"/>
    <w:rsid w:val="35F27C62"/>
    <w:rsid w:val="36334F38"/>
    <w:rsid w:val="3655BE6B"/>
    <w:rsid w:val="3666D059"/>
    <w:rsid w:val="366781D6"/>
    <w:rsid w:val="367D130E"/>
    <w:rsid w:val="368552BD"/>
    <w:rsid w:val="3699524A"/>
    <w:rsid w:val="36DB3836"/>
    <w:rsid w:val="36E1B963"/>
    <w:rsid w:val="370E7DDC"/>
    <w:rsid w:val="37141DC9"/>
    <w:rsid w:val="37572C14"/>
    <w:rsid w:val="377B9682"/>
    <w:rsid w:val="378BB5C6"/>
    <w:rsid w:val="3797BDD4"/>
    <w:rsid w:val="37B85737"/>
    <w:rsid w:val="37B87E75"/>
    <w:rsid w:val="37D88A5C"/>
    <w:rsid w:val="38089266"/>
    <w:rsid w:val="381EED8B"/>
    <w:rsid w:val="384041F7"/>
    <w:rsid w:val="3864EB1D"/>
    <w:rsid w:val="38668BC3"/>
    <w:rsid w:val="387610D8"/>
    <w:rsid w:val="387D89C4"/>
    <w:rsid w:val="3883A9AF"/>
    <w:rsid w:val="3888350D"/>
    <w:rsid w:val="38AC02F3"/>
    <w:rsid w:val="38D47E5D"/>
    <w:rsid w:val="39156D96"/>
    <w:rsid w:val="393B4D4A"/>
    <w:rsid w:val="39522936"/>
    <w:rsid w:val="39540788"/>
    <w:rsid w:val="397B6127"/>
    <w:rsid w:val="398338F2"/>
    <w:rsid w:val="39A462C7"/>
    <w:rsid w:val="39B84AF5"/>
    <w:rsid w:val="39BC2317"/>
    <w:rsid w:val="3A025C24"/>
    <w:rsid w:val="3A0BFDBC"/>
    <w:rsid w:val="3A572661"/>
    <w:rsid w:val="3A5C51FF"/>
    <w:rsid w:val="3A8ECCD6"/>
    <w:rsid w:val="3AC855FD"/>
    <w:rsid w:val="3AE85A9D"/>
    <w:rsid w:val="3AED97FE"/>
    <w:rsid w:val="3B7AA243"/>
    <w:rsid w:val="3B9FB637"/>
    <w:rsid w:val="3BA1B331"/>
    <w:rsid w:val="3BA43069"/>
    <w:rsid w:val="3BC6D9F7"/>
    <w:rsid w:val="3BC9D8EC"/>
    <w:rsid w:val="3C1CBE61"/>
    <w:rsid w:val="3C25B6FE"/>
    <w:rsid w:val="3C2A9D37"/>
    <w:rsid w:val="3C6B742A"/>
    <w:rsid w:val="3CB301E9"/>
    <w:rsid w:val="3CBE32B8"/>
    <w:rsid w:val="3CCACF70"/>
    <w:rsid w:val="3CCF0EB0"/>
    <w:rsid w:val="3CDC0389"/>
    <w:rsid w:val="3CEF3A3A"/>
    <w:rsid w:val="3CF25EAE"/>
    <w:rsid w:val="3CF9F116"/>
    <w:rsid w:val="3D0BF289"/>
    <w:rsid w:val="3D25C0D0"/>
    <w:rsid w:val="3D3EABAB"/>
    <w:rsid w:val="3D4000CA"/>
    <w:rsid w:val="3D4981FB"/>
    <w:rsid w:val="3D5055DA"/>
    <w:rsid w:val="3D651231"/>
    <w:rsid w:val="3D83AEF1"/>
    <w:rsid w:val="3DE6CE62"/>
    <w:rsid w:val="3DFD73A3"/>
    <w:rsid w:val="3E07448B"/>
    <w:rsid w:val="3E0E33A8"/>
    <w:rsid w:val="3E1FFB5F"/>
    <w:rsid w:val="3E3E3CAD"/>
    <w:rsid w:val="3E4DFE78"/>
    <w:rsid w:val="3E522126"/>
    <w:rsid w:val="3EAF60B6"/>
    <w:rsid w:val="3ED611DE"/>
    <w:rsid w:val="3F055930"/>
    <w:rsid w:val="3F1E6B49"/>
    <w:rsid w:val="3F1F6983"/>
    <w:rsid w:val="3F3171B1"/>
    <w:rsid w:val="3F84AF1A"/>
    <w:rsid w:val="3FC16ABA"/>
    <w:rsid w:val="400E641C"/>
    <w:rsid w:val="404A13D9"/>
    <w:rsid w:val="406BC499"/>
    <w:rsid w:val="407B3F40"/>
    <w:rsid w:val="40C25597"/>
    <w:rsid w:val="40E80293"/>
    <w:rsid w:val="40F9A65D"/>
    <w:rsid w:val="41461120"/>
    <w:rsid w:val="416C76DD"/>
    <w:rsid w:val="4174E5B0"/>
    <w:rsid w:val="41B76232"/>
    <w:rsid w:val="41E27889"/>
    <w:rsid w:val="41EA660F"/>
    <w:rsid w:val="42170FA1"/>
    <w:rsid w:val="42623846"/>
    <w:rsid w:val="427B60A3"/>
    <w:rsid w:val="428C3405"/>
    <w:rsid w:val="42DA7537"/>
    <w:rsid w:val="42E1A4CB"/>
    <w:rsid w:val="4311ADD0"/>
    <w:rsid w:val="431AB780"/>
    <w:rsid w:val="4337AD51"/>
    <w:rsid w:val="43438A87"/>
    <w:rsid w:val="43565D12"/>
    <w:rsid w:val="4363D5C5"/>
    <w:rsid w:val="437F8245"/>
    <w:rsid w:val="43940CF3"/>
    <w:rsid w:val="43D3DE0C"/>
    <w:rsid w:val="4430DAAE"/>
    <w:rsid w:val="4453A76E"/>
    <w:rsid w:val="447DFFF1"/>
    <w:rsid w:val="44BE13CE"/>
    <w:rsid w:val="44C8BF33"/>
    <w:rsid w:val="452B275C"/>
    <w:rsid w:val="45489577"/>
    <w:rsid w:val="45985BDF"/>
    <w:rsid w:val="45A0862F"/>
    <w:rsid w:val="45A1C68E"/>
    <w:rsid w:val="45D17F7D"/>
    <w:rsid w:val="45DA40BC"/>
    <w:rsid w:val="46071353"/>
    <w:rsid w:val="467DA5A0"/>
    <w:rsid w:val="46826DFA"/>
    <w:rsid w:val="4692EB6A"/>
    <w:rsid w:val="47090289"/>
    <w:rsid w:val="474331CC"/>
    <w:rsid w:val="47602229"/>
    <w:rsid w:val="47716893"/>
    <w:rsid w:val="4776ECE9"/>
    <w:rsid w:val="47B515EE"/>
    <w:rsid w:val="47C044EA"/>
    <w:rsid w:val="47CAFED7"/>
    <w:rsid w:val="482F7C40"/>
    <w:rsid w:val="4830DB47"/>
    <w:rsid w:val="4841545A"/>
    <w:rsid w:val="4851BA0D"/>
    <w:rsid w:val="486FF00B"/>
    <w:rsid w:val="487F0B23"/>
    <w:rsid w:val="489D84C2"/>
    <w:rsid w:val="48A17620"/>
    <w:rsid w:val="48AA65FD"/>
    <w:rsid w:val="48B43837"/>
    <w:rsid w:val="48EAA227"/>
    <w:rsid w:val="4911E17E"/>
    <w:rsid w:val="4912BD4A"/>
    <w:rsid w:val="49146250"/>
    <w:rsid w:val="49496383"/>
    <w:rsid w:val="49517114"/>
    <w:rsid w:val="495397C3"/>
    <w:rsid w:val="4957BFCC"/>
    <w:rsid w:val="49D70AEF"/>
    <w:rsid w:val="49F571CD"/>
    <w:rsid w:val="4A4FDAF0"/>
    <w:rsid w:val="4A624BD1"/>
    <w:rsid w:val="4A6D4A2B"/>
    <w:rsid w:val="4A8FE0F8"/>
    <w:rsid w:val="4AAE8DAB"/>
    <w:rsid w:val="4B056ED3"/>
    <w:rsid w:val="4B0B84DE"/>
    <w:rsid w:val="4B43D273"/>
    <w:rsid w:val="4B55B5C4"/>
    <w:rsid w:val="4B665C8D"/>
    <w:rsid w:val="4B72C942"/>
    <w:rsid w:val="4BC5DF6D"/>
    <w:rsid w:val="4BEBD8F9"/>
    <w:rsid w:val="4C091A8C"/>
    <w:rsid w:val="4C19EDEE"/>
    <w:rsid w:val="4C2BB159"/>
    <w:rsid w:val="4C324C02"/>
    <w:rsid w:val="4C498240"/>
    <w:rsid w:val="4C6DD6B0"/>
    <w:rsid w:val="4C701113"/>
    <w:rsid w:val="4C75F33E"/>
    <w:rsid w:val="4C7D1DC2"/>
    <w:rsid w:val="4C8EEAE5"/>
    <w:rsid w:val="4C8F608E"/>
    <w:rsid w:val="4CA7553F"/>
    <w:rsid w:val="4CB1B4DA"/>
    <w:rsid w:val="4CD2AD5F"/>
    <w:rsid w:val="4CF18625"/>
    <w:rsid w:val="4CFBFE06"/>
    <w:rsid w:val="4D1B5B97"/>
    <w:rsid w:val="4D4FE549"/>
    <w:rsid w:val="4D526D35"/>
    <w:rsid w:val="4D62E27F"/>
    <w:rsid w:val="4D814381"/>
    <w:rsid w:val="4D87A95A"/>
    <w:rsid w:val="4D95E65C"/>
    <w:rsid w:val="4DD2528A"/>
    <w:rsid w:val="4DDD12F2"/>
    <w:rsid w:val="4E11C39F"/>
    <w:rsid w:val="4E24E237"/>
    <w:rsid w:val="4E65DD30"/>
    <w:rsid w:val="4E7B1E95"/>
    <w:rsid w:val="4E88B785"/>
    <w:rsid w:val="4EBAF1B8"/>
    <w:rsid w:val="4EFB7626"/>
    <w:rsid w:val="4F10FC83"/>
    <w:rsid w:val="4F476875"/>
    <w:rsid w:val="4F69ECC4"/>
    <w:rsid w:val="4FC14C2B"/>
    <w:rsid w:val="4FCCDF72"/>
    <w:rsid w:val="4FEB7613"/>
    <w:rsid w:val="5044C830"/>
    <w:rsid w:val="504810C0"/>
    <w:rsid w:val="5074D3A4"/>
    <w:rsid w:val="507C6570"/>
    <w:rsid w:val="50845EDD"/>
    <w:rsid w:val="508488E9"/>
    <w:rsid w:val="508DE943"/>
    <w:rsid w:val="50995090"/>
    <w:rsid w:val="50A19010"/>
    <w:rsid w:val="50B657FA"/>
    <w:rsid w:val="50D8F9A2"/>
    <w:rsid w:val="50E14F39"/>
    <w:rsid w:val="50ED5F11"/>
    <w:rsid w:val="50F0536E"/>
    <w:rsid w:val="50FF227C"/>
    <w:rsid w:val="512215F9"/>
    <w:rsid w:val="5153AB62"/>
    <w:rsid w:val="5158BC86"/>
    <w:rsid w:val="516F4BF8"/>
    <w:rsid w:val="5190C937"/>
    <w:rsid w:val="51968CCE"/>
    <w:rsid w:val="519D7E35"/>
    <w:rsid w:val="51C1C6A2"/>
    <w:rsid w:val="51EECCBA"/>
    <w:rsid w:val="51F537FF"/>
    <w:rsid w:val="524342DF"/>
    <w:rsid w:val="525B1A7D"/>
    <w:rsid w:val="5267867F"/>
    <w:rsid w:val="52987CA3"/>
    <w:rsid w:val="52A532F3"/>
    <w:rsid w:val="52A82092"/>
    <w:rsid w:val="52DDBE90"/>
    <w:rsid w:val="5301B315"/>
    <w:rsid w:val="5347C8A5"/>
    <w:rsid w:val="53886774"/>
    <w:rsid w:val="53CB740E"/>
    <w:rsid w:val="53D14F22"/>
    <w:rsid w:val="53E9C9DC"/>
    <w:rsid w:val="53F080E8"/>
    <w:rsid w:val="540290A0"/>
    <w:rsid w:val="541AD998"/>
    <w:rsid w:val="542EAAFC"/>
    <w:rsid w:val="544AA842"/>
    <w:rsid w:val="5485C0B4"/>
    <w:rsid w:val="54C264AA"/>
    <w:rsid w:val="54C44EA3"/>
    <w:rsid w:val="54D18574"/>
    <w:rsid w:val="54DA1994"/>
    <w:rsid w:val="54DE3A72"/>
    <w:rsid w:val="54DF5711"/>
    <w:rsid w:val="54E2B110"/>
    <w:rsid w:val="551CD6BF"/>
    <w:rsid w:val="552437D5"/>
    <w:rsid w:val="553BD733"/>
    <w:rsid w:val="5546CE46"/>
    <w:rsid w:val="55768658"/>
    <w:rsid w:val="55851434"/>
    <w:rsid w:val="558538A4"/>
    <w:rsid w:val="55E824D7"/>
    <w:rsid w:val="55EBBBFC"/>
    <w:rsid w:val="560EBE2E"/>
    <w:rsid w:val="562FF41C"/>
    <w:rsid w:val="56321ACB"/>
    <w:rsid w:val="56377383"/>
    <w:rsid w:val="565E350B"/>
    <w:rsid w:val="567B445B"/>
    <w:rsid w:val="568B43FC"/>
    <w:rsid w:val="568FBC48"/>
    <w:rsid w:val="5691FF84"/>
    <w:rsid w:val="56A27F66"/>
    <w:rsid w:val="56BAD29F"/>
    <w:rsid w:val="56D0D8DE"/>
    <w:rsid w:val="572E8BA0"/>
    <w:rsid w:val="574F8032"/>
    <w:rsid w:val="576D0162"/>
    <w:rsid w:val="5797DB41"/>
    <w:rsid w:val="57B9BFB9"/>
    <w:rsid w:val="57F9C9B1"/>
    <w:rsid w:val="580CBF76"/>
    <w:rsid w:val="586FCB5D"/>
    <w:rsid w:val="58A65F13"/>
    <w:rsid w:val="58BCD966"/>
    <w:rsid w:val="58CA5C01"/>
    <w:rsid w:val="58DF6C86"/>
    <w:rsid w:val="58E8BAA5"/>
    <w:rsid w:val="590982E4"/>
    <w:rsid w:val="59679B16"/>
    <w:rsid w:val="597DEAC1"/>
    <w:rsid w:val="59B2E51D"/>
    <w:rsid w:val="59BEB002"/>
    <w:rsid w:val="59F17742"/>
    <w:rsid w:val="59F9DE9F"/>
    <w:rsid w:val="5A032763"/>
    <w:rsid w:val="5A13DAB5"/>
    <w:rsid w:val="5A1D3048"/>
    <w:rsid w:val="5A662C62"/>
    <w:rsid w:val="5A928950"/>
    <w:rsid w:val="5ABA7D35"/>
    <w:rsid w:val="5AE6FFE5"/>
    <w:rsid w:val="5B0F78DD"/>
    <w:rsid w:val="5B4EB57E"/>
    <w:rsid w:val="5B7F1E6E"/>
    <w:rsid w:val="5B937959"/>
    <w:rsid w:val="5BA76C1F"/>
    <w:rsid w:val="5BACA1B6"/>
    <w:rsid w:val="5BDF9A43"/>
    <w:rsid w:val="5BEBBB8A"/>
    <w:rsid w:val="5BFC7246"/>
    <w:rsid w:val="5C01FCC3"/>
    <w:rsid w:val="5C28168C"/>
    <w:rsid w:val="5C3E917E"/>
    <w:rsid w:val="5C5444F5"/>
    <w:rsid w:val="5C6F130B"/>
    <w:rsid w:val="5CB3A256"/>
    <w:rsid w:val="5CBD7909"/>
    <w:rsid w:val="5CC7083C"/>
    <w:rsid w:val="5CD47979"/>
    <w:rsid w:val="5D031668"/>
    <w:rsid w:val="5D1D0774"/>
    <w:rsid w:val="5D5343EE"/>
    <w:rsid w:val="5D60A7C5"/>
    <w:rsid w:val="5D686FE0"/>
    <w:rsid w:val="5D754760"/>
    <w:rsid w:val="5DBF7AA4"/>
    <w:rsid w:val="5DC9BD85"/>
    <w:rsid w:val="5DD2D136"/>
    <w:rsid w:val="5DDE2714"/>
    <w:rsid w:val="5DEAD339"/>
    <w:rsid w:val="5E1A727F"/>
    <w:rsid w:val="5E5851AB"/>
    <w:rsid w:val="5E643936"/>
    <w:rsid w:val="5E998485"/>
    <w:rsid w:val="5E9D1169"/>
    <w:rsid w:val="5EB0CE34"/>
    <w:rsid w:val="5EBCCF14"/>
    <w:rsid w:val="5EC2CFA7"/>
    <w:rsid w:val="5ECB1A1B"/>
    <w:rsid w:val="5ED69886"/>
    <w:rsid w:val="5EDBA88D"/>
    <w:rsid w:val="5EE6F9AF"/>
    <w:rsid w:val="5F399D85"/>
    <w:rsid w:val="5F3B2532"/>
    <w:rsid w:val="5F496733"/>
    <w:rsid w:val="5FA941C4"/>
    <w:rsid w:val="5FA977B7"/>
    <w:rsid w:val="5FAE559D"/>
    <w:rsid w:val="5FB9A777"/>
    <w:rsid w:val="5FD67C6C"/>
    <w:rsid w:val="5FFA9BDC"/>
    <w:rsid w:val="600A8D0B"/>
    <w:rsid w:val="60369E8E"/>
    <w:rsid w:val="60427140"/>
    <w:rsid w:val="60589F75"/>
    <w:rsid w:val="6059FE7C"/>
    <w:rsid w:val="6066EA7C"/>
    <w:rsid w:val="60931769"/>
    <w:rsid w:val="60B7BFB0"/>
    <w:rsid w:val="60DCC058"/>
    <w:rsid w:val="60DFAA1D"/>
    <w:rsid w:val="60F95CA0"/>
    <w:rsid w:val="618A0EF0"/>
    <w:rsid w:val="61C930D9"/>
    <w:rsid w:val="61D3F736"/>
    <w:rsid w:val="62001C16"/>
    <w:rsid w:val="620E3948"/>
    <w:rsid w:val="6213494F"/>
    <w:rsid w:val="62189055"/>
    <w:rsid w:val="621E9A71"/>
    <w:rsid w:val="623A22C1"/>
    <w:rsid w:val="62840E74"/>
    <w:rsid w:val="630F755E"/>
    <w:rsid w:val="632BC2CE"/>
    <w:rsid w:val="635C5A83"/>
    <w:rsid w:val="63773222"/>
    <w:rsid w:val="63CF2647"/>
    <w:rsid w:val="64158357"/>
    <w:rsid w:val="641FDED5"/>
    <w:rsid w:val="64556C49"/>
    <w:rsid w:val="64706FE2"/>
    <w:rsid w:val="64801DF9"/>
    <w:rsid w:val="64DCD4AD"/>
    <w:rsid w:val="64E77888"/>
    <w:rsid w:val="650CD857"/>
    <w:rsid w:val="652C7AAE"/>
    <w:rsid w:val="6538F551"/>
    <w:rsid w:val="65767F14"/>
    <w:rsid w:val="658E89D7"/>
    <w:rsid w:val="65AFD134"/>
    <w:rsid w:val="65EFF372"/>
    <w:rsid w:val="66227563"/>
    <w:rsid w:val="6634524A"/>
    <w:rsid w:val="665FA08A"/>
    <w:rsid w:val="6679CE8F"/>
    <w:rsid w:val="669F908E"/>
    <w:rsid w:val="66C5031E"/>
    <w:rsid w:val="66C9ECA8"/>
    <w:rsid w:val="66D0C7E4"/>
    <w:rsid w:val="66FA4B43"/>
    <w:rsid w:val="67268B8B"/>
    <w:rsid w:val="673EF5E5"/>
    <w:rsid w:val="67947E25"/>
    <w:rsid w:val="67A20688"/>
    <w:rsid w:val="6814E913"/>
    <w:rsid w:val="681AC427"/>
    <w:rsid w:val="685F34B1"/>
    <w:rsid w:val="68EABC02"/>
    <w:rsid w:val="6936FBAD"/>
    <w:rsid w:val="694C0D14"/>
    <w:rsid w:val="694C96F7"/>
    <w:rsid w:val="69713DBF"/>
    <w:rsid w:val="698B46A4"/>
    <w:rsid w:val="699B0452"/>
    <w:rsid w:val="699BFC11"/>
    <w:rsid w:val="69DF091B"/>
    <w:rsid w:val="6A3F9E85"/>
    <w:rsid w:val="6A4D83C5"/>
    <w:rsid w:val="6A6040C4"/>
    <w:rsid w:val="6A868C63"/>
    <w:rsid w:val="6A8BA137"/>
    <w:rsid w:val="6AA4781B"/>
    <w:rsid w:val="6AFC5A1E"/>
    <w:rsid w:val="6B2EE72D"/>
    <w:rsid w:val="6B315B38"/>
    <w:rsid w:val="6B342E33"/>
    <w:rsid w:val="6B629084"/>
    <w:rsid w:val="6B70EBDA"/>
    <w:rsid w:val="6B8DA7A7"/>
    <w:rsid w:val="6B954238"/>
    <w:rsid w:val="6BDB6EE6"/>
    <w:rsid w:val="6BEC160E"/>
    <w:rsid w:val="6BFD137C"/>
    <w:rsid w:val="6C01E4AF"/>
    <w:rsid w:val="6C5FE673"/>
    <w:rsid w:val="6C82FF13"/>
    <w:rsid w:val="6C9AC14F"/>
    <w:rsid w:val="6C9BD717"/>
    <w:rsid w:val="6CC88C98"/>
    <w:rsid w:val="6CFD1D91"/>
    <w:rsid w:val="6D95CD0F"/>
    <w:rsid w:val="6E140998"/>
    <w:rsid w:val="6E6AB26F"/>
    <w:rsid w:val="6E7D50AD"/>
    <w:rsid w:val="6E8E8B84"/>
    <w:rsid w:val="6E9F8EE7"/>
    <w:rsid w:val="6F0AD660"/>
    <w:rsid w:val="6F0C7072"/>
    <w:rsid w:val="6F112F97"/>
    <w:rsid w:val="6F130FA8"/>
    <w:rsid w:val="6F2505E4"/>
    <w:rsid w:val="6F33B1E7"/>
    <w:rsid w:val="6F4A07CA"/>
    <w:rsid w:val="6F4BF570"/>
    <w:rsid w:val="6F76F7B7"/>
    <w:rsid w:val="6F978735"/>
    <w:rsid w:val="6FEFCE22"/>
    <w:rsid w:val="7011BA9D"/>
    <w:rsid w:val="7019210E"/>
    <w:rsid w:val="70435EC3"/>
    <w:rsid w:val="704E4A9F"/>
    <w:rsid w:val="70835CA2"/>
    <w:rsid w:val="70990405"/>
    <w:rsid w:val="70D92FE0"/>
    <w:rsid w:val="7112E501"/>
    <w:rsid w:val="7170D139"/>
    <w:rsid w:val="71A61637"/>
    <w:rsid w:val="71DFBB65"/>
    <w:rsid w:val="7218B2F0"/>
    <w:rsid w:val="722D26A7"/>
    <w:rsid w:val="722E43E5"/>
    <w:rsid w:val="7233428E"/>
    <w:rsid w:val="723B3BFB"/>
    <w:rsid w:val="72916A57"/>
    <w:rsid w:val="72F8D641"/>
    <w:rsid w:val="7328812E"/>
    <w:rsid w:val="733E2392"/>
    <w:rsid w:val="7341E698"/>
    <w:rsid w:val="73438AFF"/>
    <w:rsid w:val="7350C1D0"/>
    <w:rsid w:val="739775AF"/>
    <w:rsid w:val="73CF12EF"/>
    <w:rsid w:val="73D70C5C"/>
    <w:rsid w:val="73FF3584"/>
    <w:rsid w:val="742FC60E"/>
    <w:rsid w:val="7431FC54"/>
    <w:rsid w:val="74506D5D"/>
    <w:rsid w:val="7459F671"/>
    <w:rsid w:val="745DB408"/>
    <w:rsid w:val="746A46DB"/>
    <w:rsid w:val="74928B21"/>
    <w:rsid w:val="74E01ED2"/>
    <w:rsid w:val="74F883BD"/>
    <w:rsid w:val="74F9B70D"/>
    <w:rsid w:val="74FA80B7"/>
    <w:rsid w:val="74FBE854"/>
    <w:rsid w:val="750128DF"/>
    <w:rsid w:val="75294363"/>
    <w:rsid w:val="755F728B"/>
    <w:rsid w:val="7563EB5A"/>
    <w:rsid w:val="75867E61"/>
    <w:rsid w:val="75A2F36B"/>
    <w:rsid w:val="75C81614"/>
    <w:rsid w:val="75C90B19"/>
    <w:rsid w:val="75FACE11"/>
    <w:rsid w:val="760E0126"/>
    <w:rsid w:val="762B19FF"/>
    <w:rsid w:val="76BB3A75"/>
    <w:rsid w:val="76DA1917"/>
    <w:rsid w:val="770EAD1E"/>
    <w:rsid w:val="7777D13F"/>
    <w:rsid w:val="77A1E79D"/>
    <w:rsid w:val="77F030F5"/>
    <w:rsid w:val="788273DF"/>
    <w:rsid w:val="78931711"/>
    <w:rsid w:val="78989049"/>
    <w:rsid w:val="789D8569"/>
    <w:rsid w:val="78B170B9"/>
    <w:rsid w:val="78DA942D"/>
    <w:rsid w:val="78E3A377"/>
    <w:rsid w:val="790FCD6E"/>
    <w:rsid w:val="79242FB6"/>
    <w:rsid w:val="795D852A"/>
    <w:rsid w:val="79607AC5"/>
    <w:rsid w:val="797BE31E"/>
    <w:rsid w:val="798A045C"/>
    <w:rsid w:val="79B2CC83"/>
    <w:rsid w:val="79BCAB70"/>
    <w:rsid w:val="79D5D3CD"/>
    <w:rsid w:val="79DCBF7D"/>
    <w:rsid w:val="79F2DB37"/>
    <w:rsid w:val="79FCC4C7"/>
    <w:rsid w:val="79FD1A6B"/>
    <w:rsid w:val="7A32DB18"/>
    <w:rsid w:val="7A76648E"/>
    <w:rsid w:val="7A79A862"/>
    <w:rsid w:val="7A9649A4"/>
    <w:rsid w:val="7AAB9DCF"/>
    <w:rsid w:val="7AB58913"/>
    <w:rsid w:val="7ACCF58C"/>
    <w:rsid w:val="7B4E9CE4"/>
    <w:rsid w:val="7B53FA58"/>
    <w:rsid w:val="7B54B8BC"/>
    <w:rsid w:val="7B6B29D8"/>
    <w:rsid w:val="7B6DE747"/>
    <w:rsid w:val="7B6F8304"/>
    <w:rsid w:val="7B916D3D"/>
    <w:rsid w:val="7BCAB7D3"/>
    <w:rsid w:val="7BF90C92"/>
    <w:rsid w:val="7C02DC87"/>
    <w:rsid w:val="7C03D1E8"/>
    <w:rsid w:val="7C21AF96"/>
    <w:rsid w:val="7CBE7AC6"/>
    <w:rsid w:val="7CEDD1DC"/>
    <w:rsid w:val="7D2E0E06"/>
    <w:rsid w:val="7D6373E0"/>
    <w:rsid w:val="7D6D0247"/>
    <w:rsid w:val="7D955097"/>
    <w:rsid w:val="7DB8D069"/>
    <w:rsid w:val="7DBFA06E"/>
    <w:rsid w:val="7DD70624"/>
    <w:rsid w:val="7DD9CE73"/>
    <w:rsid w:val="7E6A7F74"/>
    <w:rsid w:val="7E812604"/>
    <w:rsid w:val="7E89A23D"/>
    <w:rsid w:val="7E901C93"/>
    <w:rsid w:val="7E9F7BD2"/>
    <w:rsid w:val="7EA15A24"/>
    <w:rsid w:val="7EAF8B66"/>
    <w:rsid w:val="7ECA05A5"/>
    <w:rsid w:val="7F16C1E1"/>
    <w:rsid w:val="7F470337"/>
    <w:rsid w:val="7F49D5B1"/>
    <w:rsid w:val="7F602B94"/>
    <w:rsid w:val="7FA066AF"/>
    <w:rsid w:val="7FCDEB49"/>
    <w:rsid w:val="7FCF5D7E"/>
    <w:rsid w:val="7FE215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977B7"/>
  <w15:chartTrackingRefBased/>
  <w15:docId w15:val="{8C2E2D1F-3F66-4367-BAE9-0B8E26335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52B275C"/>
    <w:rPr>
      <w:lang w:val="en-GB"/>
    </w:rPr>
  </w:style>
  <w:style w:type="paragraph" w:styleId="Heading1">
    <w:name w:val="heading 1"/>
    <w:basedOn w:val="Normal"/>
    <w:next w:val="Normal"/>
    <w:link w:val="Heading1Char"/>
    <w:uiPriority w:val="9"/>
    <w:qFormat/>
    <w:rsid w:val="452B275C"/>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452B275C"/>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452B275C"/>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452B275C"/>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452B275C"/>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452B275C"/>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452B275C"/>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452B275C"/>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452B275C"/>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sid w:val="452B275C"/>
    <w:rPr>
      <w:rFonts w:asciiTheme="majorHAnsi" w:eastAsiaTheme="majorEastAsia" w:hAnsiTheme="majorHAnsi" w:cstheme="majorBidi"/>
      <w:noProof w:val="0"/>
      <w:sz w:val="56"/>
      <w:szCs w:val="56"/>
      <w:lang w:val="en-GB"/>
    </w:rPr>
  </w:style>
  <w:style w:type="paragraph" w:styleId="Title">
    <w:name w:val="Title"/>
    <w:basedOn w:val="Normal"/>
    <w:next w:val="Normal"/>
    <w:link w:val="TitleChar"/>
    <w:uiPriority w:val="10"/>
    <w:qFormat/>
    <w:rsid w:val="452B275C"/>
    <w:pPr>
      <w:spacing w:after="0"/>
      <w:contextualSpacing/>
    </w:pPr>
    <w:rPr>
      <w:rFonts w:asciiTheme="majorHAnsi" w:eastAsiaTheme="majorEastAsia" w:hAnsiTheme="majorHAnsi" w:cstheme="majorBidi"/>
      <w:sz w:val="56"/>
      <w:szCs w:val="56"/>
    </w:rPr>
  </w:style>
  <w:style w:type="character" w:customStyle="1" w:styleId="Heading1Char">
    <w:name w:val="Heading 1 Char"/>
    <w:basedOn w:val="DefaultParagraphFont"/>
    <w:link w:val="Heading1"/>
    <w:uiPriority w:val="9"/>
    <w:rsid w:val="452B275C"/>
    <w:rPr>
      <w:rFonts w:asciiTheme="majorHAnsi" w:eastAsiaTheme="majorEastAsia" w:hAnsiTheme="majorHAnsi" w:cstheme="majorBidi"/>
      <w:noProof w:val="0"/>
      <w:color w:val="2F5496" w:themeColor="accent1" w:themeShade="BF"/>
      <w:sz w:val="32"/>
      <w:szCs w:val="32"/>
      <w:lang w:val="en-GB"/>
    </w:rPr>
  </w:style>
  <w:style w:type="paragraph" w:styleId="Subtitle">
    <w:name w:val="Subtitle"/>
    <w:basedOn w:val="Normal"/>
    <w:next w:val="Normal"/>
    <w:link w:val="SubtitleChar"/>
    <w:uiPriority w:val="11"/>
    <w:qFormat/>
    <w:rsid w:val="452B275C"/>
    <w:rPr>
      <w:rFonts w:eastAsiaTheme="minorEastAsia"/>
      <w:color w:val="5A5A5A"/>
    </w:rPr>
  </w:style>
  <w:style w:type="paragraph" w:styleId="Quote">
    <w:name w:val="Quote"/>
    <w:basedOn w:val="Normal"/>
    <w:next w:val="Normal"/>
    <w:link w:val="QuoteChar"/>
    <w:uiPriority w:val="29"/>
    <w:qFormat/>
    <w:rsid w:val="452B275C"/>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52B275C"/>
    <w:pPr>
      <w:spacing w:before="360" w:after="360"/>
      <w:ind w:left="864" w:right="864"/>
      <w:jc w:val="center"/>
    </w:pPr>
    <w:rPr>
      <w:i/>
      <w:iCs/>
      <w:color w:val="4472C4" w:themeColor="accent1"/>
    </w:rPr>
  </w:style>
  <w:style w:type="paragraph" w:styleId="ListParagraph">
    <w:name w:val="List Paragraph"/>
    <w:basedOn w:val="Normal"/>
    <w:uiPriority w:val="34"/>
    <w:qFormat/>
    <w:rsid w:val="452B275C"/>
    <w:pPr>
      <w:ind w:left="720"/>
      <w:contextualSpacing/>
    </w:pPr>
  </w:style>
  <w:style w:type="character" w:customStyle="1" w:styleId="Heading2Char">
    <w:name w:val="Heading 2 Char"/>
    <w:basedOn w:val="DefaultParagraphFont"/>
    <w:link w:val="Heading2"/>
    <w:uiPriority w:val="9"/>
    <w:rsid w:val="452B275C"/>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452B275C"/>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452B275C"/>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452B275C"/>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452B275C"/>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452B275C"/>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452B275C"/>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452B275C"/>
    <w:rPr>
      <w:rFonts w:asciiTheme="majorHAnsi" w:eastAsiaTheme="majorEastAsia" w:hAnsiTheme="majorHAnsi" w:cstheme="majorBidi"/>
      <w:i/>
      <w:iCs/>
      <w:noProof w:val="0"/>
      <w:color w:val="272727"/>
      <w:sz w:val="21"/>
      <w:szCs w:val="21"/>
      <w:lang w:val="en-GB"/>
    </w:rPr>
  </w:style>
  <w:style w:type="character" w:customStyle="1" w:styleId="SubtitleChar">
    <w:name w:val="Subtitle Char"/>
    <w:basedOn w:val="DefaultParagraphFont"/>
    <w:link w:val="Subtitle"/>
    <w:uiPriority w:val="11"/>
    <w:rsid w:val="452B275C"/>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452B275C"/>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452B275C"/>
    <w:rPr>
      <w:i/>
      <w:iCs/>
      <w:noProof w:val="0"/>
      <w:color w:val="4472C4" w:themeColor="accent1"/>
      <w:lang w:val="en-GB"/>
    </w:rPr>
  </w:style>
  <w:style w:type="paragraph" w:styleId="TOC1">
    <w:name w:val="toc 1"/>
    <w:basedOn w:val="Normal"/>
    <w:next w:val="Normal"/>
    <w:uiPriority w:val="39"/>
    <w:unhideWhenUsed/>
    <w:rsid w:val="452B275C"/>
    <w:pPr>
      <w:spacing w:after="100"/>
    </w:pPr>
  </w:style>
  <w:style w:type="paragraph" w:styleId="TOC2">
    <w:name w:val="toc 2"/>
    <w:basedOn w:val="Normal"/>
    <w:next w:val="Normal"/>
    <w:uiPriority w:val="39"/>
    <w:unhideWhenUsed/>
    <w:rsid w:val="452B275C"/>
    <w:pPr>
      <w:spacing w:after="100"/>
      <w:ind w:left="220"/>
    </w:pPr>
  </w:style>
  <w:style w:type="paragraph" w:styleId="TOC3">
    <w:name w:val="toc 3"/>
    <w:basedOn w:val="Normal"/>
    <w:next w:val="Normal"/>
    <w:uiPriority w:val="39"/>
    <w:unhideWhenUsed/>
    <w:rsid w:val="452B275C"/>
    <w:pPr>
      <w:spacing w:after="100"/>
      <w:ind w:left="440"/>
    </w:pPr>
  </w:style>
  <w:style w:type="paragraph" w:styleId="TOC4">
    <w:name w:val="toc 4"/>
    <w:basedOn w:val="Normal"/>
    <w:next w:val="Normal"/>
    <w:uiPriority w:val="39"/>
    <w:unhideWhenUsed/>
    <w:rsid w:val="452B275C"/>
    <w:pPr>
      <w:spacing w:after="100"/>
      <w:ind w:left="660"/>
    </w:pPr>
  </w:style>
  <w:style w:type="paragraph" w:styleId="TOC5">
    <w:name w:val="toc 5"/>
    <w:basedOn w:val="Normal"/>
    <w:next w:val="Normal"/>
    <w:uiPriority w:val="39"/>
    <w:unhideWhenUsed/>
    <w:rsid w:val="452B275C"/>
    <w:pPr>
      <w:spacing w:after="100"/>
      <w:ind w:left="880"/>
    </w:pPr>
  </w:style>
  <w:style w:type="paragraph" w:styleId="TOC6">
    <w:name w:val="toc 6"/>
    <w:basedOn w:val="Normal"/>
    <w:next w:val="Normal"/>
    <w:uiPriority w:val="39"/>
    <w:unhideWhenUsed/>
    <w:rsid w:val="452B275C"/>
    <w:pPr>
      <w:spacing w:after="100"/>
      <w:ind w:left="1100"/>
    </w:pPr>
  </w:style>
  <w:style w:type="paragraph" w:styleId="TOC7">
    <w:name w:val="toc 7"/>
    <w:basedOn w:val="Normal"/>
    <w:next w:val="Normal"/>
    <w:uiPriority w:val="39"/>
    <w:unhideWhenUsed/>
    <w:rsid w:val="452B275C"/>
    <w:pPr>
      <w:spacing w:after="100"/>
      <w:ind w:left="1320"/>
    </w:pPr>
  </w:style>
  <w:style w:type="paragraph" w:styleId="TOC8">
    <w:name w:val="toc 8"/>
    <w:basedOn w:val="Normal"/>
    <w:next w:val="Normal"/>
    <w:uiPriority w:val="39"/>
    <w:unhideWhenUsed/>
    <w:rsid w:val="452B275C"/>
    <w:pPr>
      <w:spacing w:after="100"/>
      <w:ind w:left="1540"/>
    </w:pPr>
  </w:style>
  <w:style w:type="paragraph" w:styleId="TOC9">
    <w:name w:val="toc 9"/>
    <w:basedOn w:val="Normal"/>
    <w:next w:val="Normal"/>
    <w:uiPriority w:val="39"/>
    <w:unhideWhenUsed/>
    <w:rsid w:val="452B275C"/>
    <w:pPr>
      <w:spacing w:after="100"/>
      <w:ind w:left="1760"/>
    </w:pPr>
  </w:style>
  <w:style w:type="paragraph" w:styleId="EndnoteText">
    <w:name w:val="endnote text"/>
    <w:basedOn w:val="Normal"/>
    <w:link w:val="EndnoteTextChar"/>
    <w:uiPriority w:val="99"/>
    <w:semiHidden/>
    <w:unhideWhenUsed/>
    <w:rsid w:val="452B275C"/>
    <w:pPr>
      <w:spacing w:after="0"/>
    </w:pPr>
    <w:rPr>
      <w:sz w:val="20"/>
      <w:szCs w:val="20"/>
    </w:rPr>
  </w:style>
  <w:style w:type="character" w:customStyle="1" w:styleId="EndnoteTextChar">
    <w:name w:val="Endnote Text Char"/>
    <w:basedOn w:val="DefaultParagraphFont"/>
    <w:link w:val="EndnoteText"/>
    <w:uiPriority w:val="99"/>
    <w:semiHidden/>
    <w:rsid w:val="452B275C"/>
    <w:rPr>
      <w:noProof w:val="0"/>
      <w:sz w:val="20"/>
      <w:szCs w:val="20"/>
      <w:lang w:val="en-GB"/>
    </w:rPr>
  </w:style>
  <w:style w:type="paragraph" w:styleId="Footer">
    <w:name w:val="footer"/>
    <w:basedOn w:val="Normal"/>
    <w:link w:val="FooterChar"/>
    <w:uiPriority w:val="99"/>
    <w:unhideWhenUsed/>
    <w:rsid w:val="452B275C"/>
    <w:pPr>
      <w:tabs>
        <w:tab w:val="center" w:pos="4680"/>
        <w:tab w:val="right" w:pos="9360"/>
      </w:tabs>
      <w:spacing w:after="0"/>
    </w:pPr>
  </w:style>
  <w:style w:type="character" w:customStyle="1" w:styleId="FooterChar">
    <w:name w:val="Footer Char"/>
    <w:basedOn w:val="DefaultParagraphFont"/>
    <w:link w:val="Footer"/>
    <w:uiPriority w:val="99"/>
    <w:rsid w:val="452B275C"/>
    <w:rPr>
      <w:noProof w:val="0"/>
      <w:lang w:val="en-GB"/>
    </w:rPr>
  </w:style>
  <w:style w:type="paragraph" w:styleId="FootnoteText">
    <w:name w:val="footnote text"/>
    <w:basedOn w:val="Normal"/>
    <w:link w:val="FootnoteTextChar"/>
    <w:uiPriority w:val="99"/>
    <w:semiHidden/>
    <w:unhideWhenUsed/>
    <w:rsid w:val="452B275C"/>
    <w:pPr>
      <w:spacing w:after="0"/>
    </w:pPr>
    <w:rPr>
      <w:sz w:val="20"/>
      <w:szCs w:val="20"/>
    </w:rPr>
  </w:style>
  <w:style w:type="character" w:customStyle="1" w:styleId="FootnoteTextChar">
    <w:name w:val="Footnote Text Char"/>
    <w:basedOn w:val="DefaultParagraphFont"/>
    <w:link w:val="FootnoteText"/>
    <w:uiPriority w:val="99"/>
    <w:semiHidden/>
    <w:rsid w:val="452B275C"/>
    <w:rPr>
      <w:noProof w:val="0"/>
      <w:sz w:val="20"/>
      <w:szCs w:val="20"/>
      <w:lang w:val="en-GB"/>
    </w:rPr>
  </w:style>
  <w:style w:type="paragraph" w:styleId="Header">
    <w:name w:val="header"/>
    <w:basedOn w:val="Normal"/>
    <w:link w:val="HeaderChar"/>
    <w:uiPriority w:val="99"/>
    <w:unhideWhenUsed/>
    <w:rsid w:val="452B275C"/>
    <w:pPr>
      <w:tabs>
        <w:tab w:val="center" w:pos="4680"/>
        <w:tab w:val="right" w:pos="9360"/>
      </w:tabs>
      <w:spacing w:after="0"/>
    </w:pPr>
  </w:style>
  <w:style w:type="character" w:customStyle="1" w:styleId="HeaderChar">
    <w:name w:val="Header Char"/>
    <w:basedOn w:val="DefaultParagraphFont"/>
    <w:link w:val="Header"/>
    <w:uiPriority w:val="99"/>
    <w:rsid w:val="452B275C"/>
    <w:rPr>
      <w:noProof w:val="0"/>
      <w:lang w:val="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llinsdictionary.com/dictionary/english/entrepreneur" TargetMode="External"/><Relationship Id="rId18" Type="http://schemas.openxmlformats.org/officeDocument/2006/relationships/hyperlink" Target="https://www.uwtsd.ac.uk/research/research-ethic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gov.wales/sites/default/files/publications/2019-01/supporting-entrepreneurial-women-in-wales-an-approach-for-wales.pdf" TargetMode="External"/><Relationship Id="rId7" Type="http://schemas.openxmlformats.org/officeDocument/2006/relationships/endnotes" Target="endnotes.xml"/><Relationship Id="rId12" Type="http://schemas.openxmlformats.org/officeDocument/2006/relationships/hyperlink" Target="https://businesswales.gov.wales/economic-action-plan" TargetMode="External"/><Relationship Id="rId17" Type="http://schemas.openxmlformats.org/officeDocument/2006/relationships/hyperlink" Target="https://www.natwestgroup.com/news/2022/02/nwg-rose-review-reports-third-year-of-progress.html"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esearchgate.net/figure/A-standard-risk-matrix_fig7_323570642" TargetMode="External"/><Relationship Id="rId20" Type="http://schemas.openxmlformats.org/officeDocument/2006/relationships/hyperlink" Target="https://wcva.cymru/wp-content/uploads/2020/01/Prosperity-for-al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21-11/global-entrepreneurship-monitor-gem-uk-wales-report-2020.pdf"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fundingguru.com/blog/the-gender-funding-gap" TargetMode="External"/><Relationship Id="rId23" Type="http://schemas.openxmlformats.org/officeDocument/2006/relationships/hyperlink" Target="https://law.gov.wales/culture/welsh-language/welsh-language-wales-measure-2011" TargetMode="External"/><Relationship Id="rId28" Type="http://schemas.microsoft.com/office/2020/10/relationships/intelligence" Target="intelligence2.xml"/><Relationship Id="rId10" Type="http://schemas.openxmlformats.org/officeDocument/2006/relationships/image" Target="media/image3.png"/><Relationship Id="rId19" Type="http://schemas.openxmlformats.org/officeDocument/2006/relationships/hyperlink" Target="https://wcva.cymru/wp-content/uploads/2020/01/Prosperity-for-all.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futurecarecapital.org.uk/latest/fundamental-change-is-needed-if-we-are-to-attract-more-women-entrepreneurs/" TargetMode="External"/><Relationship Id="rId22" Type="http://schemas.openxmlformats.org/officeDocument/2006/relationships/hyperlink" Target="https://law.gov.wales/culture/welsh-language/welsh-language-act-199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E4D56E-0C0F-4F63-8134-1E105625B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Pages>
  <Words>3963</Words>
  <Characters>22595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Joy (2009194)</dc:creator>
  <cp:keywords/>
  <dc:description/>
  <cp:lastModifiedBy>Christine Joy (2009194)</cp:lastModifiedBy>
  <cp:revision>2</cp:revision>
  <dcterms:created xsi:type="dcterms:W3CDTF">2022-05-25T19:01:00Z</dcterms:created>
  <dcterms:modified xsi:type="dcterms:W3CDTF">2022-05-25T19:01:00Z</dcterms:modified>
</cp:coreProperties>
</file>