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88529A" w14:textId="77777777" w:rsidR="0024433C" w:rsidRPr="0033310B" w:rsidRDefault="0024433C" w:rsidP="0033310B">
      <w:pPr>
        <w:spacing w:line="360" w:lineRule="auto"/>
        <w:rPr>
          <w:sz w:val="22"/>
          <w:szCs w:val="22"/>
        </w:rPr>
      </w:pPr>
      <w:r w:rsidRPr="0033310B">
        <w:rPr>
          <w:sz w:val="22"/>
          <w:szCs w:val="22"/>
        </w:rPr>
        <w:t>Name: Petrica Marin</w:t>
      </w:r>
    </w:p>
    <w:p w14:paraId="0AD5C8CC" w14:textId="77777777" w:rsidR="0024433C" w:rsidRPr="0033310B" w:rsidRDefault="0024433C" w:rsidP="0033310B">
      <w:pPr>
        <w:spacing w:line="360" w:lineRule="auto"/>
        <w:rPr>
          <w:sz w:val="22"/>
          <w:szCs w:val="22"/>
        </w:rPr>
      </w:pPr>
      <w:r w:rsidRPr="0033310B">
        <w:rPr>
          <w:sz w:val="22"/>
          <w:szCs w:val="22"/>
        </w:rPr>
        <w:t>Student number: 2333794</w:t>
      </w:r>
    </w:p>
    <w:p w14:paraId="4684EE56" w14:textId="5DFDE8E6" w:rsidR="0024433C" w:rsidRPr="0033310B" w:rsidRDefault="0024433C" w:rsidP="0033310B">
      <w:pPr>
        <w:spacing w:line="360" w:lineRule="auto"/>
        <w:rPr>
          <w:sz w:val="22"/>
          <w:szCs w:val="22"/>
        </w:rPr>
      </w:pPr>
      <w:r w:rsidRPr="0033310B">
        <w:rPr>
          <w:sz w:val="22"/>
          <w:szCs w:val="22"/>
        </w:rPr>
        <w:t>Module code and title: LCLM_5005 Organisational Culture</w:t>
      </w:r>
    </w:p>
    <w:p w14:paraId="7877E597" w14:textId="77777777" w:rsidR="0024433C" w:rsidRPr="0033310B" w:rsidRDefault="0024433C" w:rsidP="0033310B">
      <w:pPr>
        <w:spacing w:line="360" w:lineRule="auto"/>
        <w:rPr>
          <w:sz w:val="22"/>
          <w:szCs w:val="22"/>
        </w:rPr>
      </w:pPr>
      <w:r w:rsidRPr="0033310B">
        <w:rPr>
          <w:sz w:val="22"/>
          <w:szCs w:val="22"/>
        </w:rPr>
        <w:t>Lecturer name: David Oyebisi</w:t>
      </w:r>
    </w:p>
    <w:p w14:paraId="0264E0A0" w14:textId="49B5BF21" w:rsidR="0024433C" w:rsidRPr="0033310B" w:rsidRDefault="0024433C" w:rsidP="0033310B">
      <w:pPr>
        <w:spacing w:line="360" w:lineRule="auto"/>
        <w:rPr>
          <w:sz w:val="22"/>
          <w:szCs w:val="22"/>
        </w:rPr>
      </w:pPr>
      <w:r w:rsidRPr="0033310B">
        <w:rPr>
          <w:sz w:val="22"/>
          <w:szCs w:val="22"/>
        </w:rPr>
        <w:t xml:space="preserve">Assignment title: </w:t>
      </w:r>
      <w:r w:rsidRPr="0033310B">
        <w:rPr>
          <w:color w:val="000000" w:themeColor="text1"/>
          <w:sz w:val="22"/>
          <w:szCs w:val="22"/>
        </w:rPr>
        <w:t xml:space="preserve">Component 1 </w:t>
      </w:r>
      <w:r w:rsidRPr="0033310B">
        <w:rPr>
          <w:sz w:val="22"/>
          <w:szCs w:val="22"/>
        </w:rPr>
        <w:t>Organisational Culture</w:t>
      </w:r>
      <w:r w:rsidRPr="0033310B">
        <w:rPr>
          <w:color w:val="000000" w:themeColor="text1"/>
          <w:sz w:val="22"/>
          <w:szCs w:val="22"/>
        </w:rPr>
        <w:t>:</w:t>
      </w:r>
      <w:r w:rsidRPr="0033310B">
        <w:rPr>
          <w:color w:val="FF0000"/>
          <w:sz w:val="22"/>
          <w:szCs w:val="22"/>
        </w:rPr>
        <w:t xml:space="preserve"> </w:t>
      </w:r>
      <w:r w:rsidRPr="0033310B">
        <w:rPr>
          <w:color w:val="000000" w:themeColor="text1"/>
          <w:sz w:val="22"/>
          <w:szCs w:val="22"/>
        </w:rPr>
        <w:t>Individual Report</w:t>
      </w:r>
      <w:r w:rsidRPr="0033310B">
        <w:rPr>
          <w:sz w:val="22"/>
          <w:szCs w:val="22"/>
        </w:rPr>
        <w:br w:type="page"/>
      </w:r>
    </w:p>
    <w:p w14:paraId="7C654E08" w14:textId="6D3E10A9" w:rsidR="005D37E2" w:rsidRPr="0033310B" w:rsidRDefault="005D37E2" w:rsidP="0033310B">
      <w:pPr>
        <w:spacing w:before="2880" w:after="200" w:line="360" w:lineRule="auto"/>
        <w:jc w:val="center"/>
        <w:rPr>
          <w:sz w:val="22"/>
          <w:szCs w:val="22"/>
        </w:rPr>
      </w:pPr>
      <w:r w:rsidRPr="0033310B">
        <w:rPr>
          <w:b/>
          <w:bCs/>
          <w:sz w:val="22"/>
          <w:szCs w:val="22"/>
        </w:rPr>
        <w:lastRenderedPageBreak/>
        <w:t>Organisational Culture and Its Impact: Toyota</w:t>
      </w:r>
    </w:p>
    <w:p w14:paraId="2B5E8545" w14:textId="77777777" w:rsidR="005D37E2" w:rsidRPr="0033310B" w:rsidRDefault="005D37E2" w:rsidP="0033310B">
      <w:pPr>
        <w:pStyle w:val="Heading1"/>
        <w:spacing w:line="360" w:lineRule="auto"/>
        <w:rPr>
          <w:rFonts w:ascii="Arial" w:hAnsi="Arial" w:cs="Arial"/>
          <w:b/>
          <w:bCs/>
          <w:sz w:val="22"/>
          <w:szCs w:val="22"/>
        </w:rPr>
      </w:pPr>
    </w:p>
    <w:p w14:paraId="730A116B" w14:textId="54BE80C2" w:rsidR="0024433C" w:rsidRPr="0033310B" w:rsidRDefault="0024433C" w:rsidP="0033310B">
      <w:pPr>
        <w:pStyle w:val="Heading1"/>
        <w:spacing w:line="360" w:lineRule="auto"/>
        <w:rPr>
          <w:rFonts w:ascii="Arial" w:hAnsi="Arial" w:cs="Arial"/>
          <w:sz w:val="22"/>
          <w:szCs w:val="22"/>
        </w:rPr>
      </w:pPr>
      <w:r w:rsidRPr="0033310B">
        <w:rPr>
          <w:rFonts w:ascii="Arial" w:hAnsi="Arial" w:cs="Arial"/>
          <w:b/>
          <w:bCs/>
          <w:sz w:val="22"/>
          <w:szCs w:val="22"/>
        </w:rPr>
        <w:t>1. Introduction</w:t>
      </w:r>
    </w:p>
    <w:p w14:paraId="644B3806" w14:textId="3087AF59" w:rsidR="0024433C" w:rsidRPr="0033310B" w:rsidRDefault="0024433C" w:rsidP="0033310B">
      <w:pPr>
        <w:pStyle w:val="ReportBody"/>
        <w:rPr>
          <w:sz w:val="22"/>
          <w:szCs w:val="22"/>
        </w:rPr>
      </w:pPr>
      <w:r w:rsidRPr="0033310B">
        <w:rPr>
          <w:sz w:val="22"/>
          <w:szCs w:val="22"/>
        </w:rPr>
        <w:t xml:space="preserve">Culture, according to Mullins and Christy (2016, p.574), shapes far more than office atmosphere. It drives how decisions get made, how structures are designed, how people are motivated, and ultimately how well an organisation functions. That argument carries </w:t>
      </w:r>
      <w:r w:rsidR="005D37E2" w:rsidRPr="0033310B">
        <w:rPr>
          <w:sz w:val="22"/>
          <w:szCs w:val="22"/>
        </w:rPr>
        <w:t>weight</w:t>
      </w:r>
      <w:r w:rsidRPr="0033310B">
        <w:rPr>
          <w:sz w:val="22"/>
          <w:szCs w:val="22"/>
        </w:rPr>
        <w:t xml:space="preserve"> today, when companies increasingly operate across borders and must bring together workforces with very different backgrounds.</w:t>
      </w:r>
    </w:p>
    <w:p w14:paraId="34B11C37" w14:textId="1E2DE982" w:rsidR="0024433C" w:rsidRPr="0033310B" w:rsidRDefault="0024433C" w:rsidP="0033310B">
      <w:pPr>
        <w:pStyle w:val="ReportBody"/>
        <w:rPr>
          <w:sz w:val="22"/>
          <w:szCs w:val="22"/>
        </w:rPr>
      </w:pPr>
      <w:r w:rsidRPr="0033310B">
        <w:rPr>
          <w:sz w:val="22"/>
          <w:szCs w:val="22"/>
        </w:rPr>
        <w:t xml:space="preserve">Toyota Motor Corporation is a useful organisation through which to examine these ideas. Established in 1937 and based in Toyota City, Japan, it is currently the world's largest car manufacturer by volume, with operations spanning more than 170 countries and a workforce of around 370,000 (Toyota, 2023). Its cultural identity — built around the Toyota Way and the Toyota Production System (TPS)  has been studied and replicated globally (Liker, 2021). That said, a strong culture is not automatically a good thing. Toyota's culture has at times been a genuine </w:t>
      </w:r>
      <w:r w:rsidR="005D37E2" w:rsidRPr="0033310B">
        <w:rPr>
          <w:sz w:val="22"/>
          <w:szCs w:val="22"/>
        </w:rPr>
        <w:t>liability and</w:t>
      </w:r>
      <w:r w:rsidRPr="0033310B">
        <w:rPr>
          <w:sz w:val="22"/>
          <w:szCs w:val="22"/>
        </w:rPr>
        <w:t xml:space="preserve"> understanding why matters as much as celebrating what it gets right.</w:t>
      </w:r>
    </w:p>
    <w:p w14:paraId="09944240" w14:textId="2AF6EF7A" w:rsidR="0024433C" w:rsidRPr="0033310B" w:rsidRDefault="0024433C" w:rsidP="0033310B">
      <w:pPr>
        <w:pStyle w:val="ReportBody"/>
        <w:rPr>
          <w:sz w:val="22"/>
          <w:szCs w:val="22"/>
        </w:rPr>
      </w:pPr>
      <w:r w:rsidRPr="0033310B">
        <w:rPr>
          <w:sz w:val="22"/>
          <w:szCs w:val="22"/>
        </w:rPr>
        <w:t>The report addresses five tasks: the relationship between culture and structure and decision</w:t>
      </w:r>
      <w:r w:rsidR="005D37E2" w:rsidRPr="0033310B">
        <w:rPr>
          <w:sz w:val="22"/>
          <w:szCs w:val="22"/>
        </w:rPr>
        <w:t xml:space="preserve"> </w:t>
      </w:r>
      <w:r w:rsidRPr="0033310B">
        <w:rPr>
          <w:sz w:val="22"/>
          <w:szCs w:val="22"/>
        </w:rPr>
        <w:t>making; analysis of Toyota's culture using Schein (2017), Hofstede (2001), and Handy (1993); how culture shapes Toyota's response to its external environment; whether culture acts as a barrier or an enabler; and the impact on performance, with recommendations.</w:t>
      </w:r>
    </w:p>
    <w:p w14:paraId="17BE43AE" w14:textId="77777777" w:rsidR="0024433C" w:rsidRPr="0033310B" w:rsidRDefault="0024433C" w:rsidP="0033310B">
      <w:pPr>
        <w:spacing w:after="120" w:line="360" w:lineRule="auto"/>
        <w:rPr>
          <w:sz w:val="22"/>
          <w:szCs w:val="22"/>
        </w:rPr>
      </w:pPr>
    </w:p>
    <w:p w14:paraId="7937270D" w14:textId="77777777" w:rsidR="0024433C" w:rsidRPr="0033310B" w:rsidRDefault="0024433C" w:rsidP="0033310B">
      <w:pPr>
        <w:pStyle w:val="Heading1"/>
        <w:spacing w:line="360" w:lineRule="auto"/>
        <w:rPr>
          <w:rFonts w:ascii="Arial" w:hAnsi="Arial" w:cs="Arial"/>
          <w:sz w:val="22"/>
          <w:szCs w:val="22"/>
        </w:rPr>
      </w:pPr>
      <w:r w:rsidRPr="0033310B">
        <w:rPr>
          <w:rFonts w:ascii="Arial" w:hAnsi="Arial" w:cs="Arial"/>
          <w:b/>
          <w:bCs/>
          <w:sz w:val="22"/>
          <w:szCs w:val="22"/>
        </w:rPr>
        <w:t>2. Culture, Structure and Decision-Making</w:t>
      </w:r>
    </w:p>
    <w:p w14:paraId="53E20A71" w14:textId="77777777" w:rsidR="0024433C" w:rsidRPr="0033310B" w:rsidRDefault="0024433C" w:rsidP="0033310B">
      <w:pPr>
        <w:pStyle w:val="Heading2"/>
        <w:spacing w:line="360" w:lineRule="auto"/>
        <w:rPr>
          <w:rFonts w:ascii="Arial" w:hAnsi="Arial" w:cs="Arial"/>
          <w:sz w:val="22"/>
          <w:szCs w:val="22"/>
        </w:rPr>
      </w:pPr>
      <w:r w:rsidRPr="0033310B">
        <w:rPr>
          <w:rFonts w:ascii="Arial" w:hAnsi="Arial" w:cs="Arial"/>
          <w:b/>
          <w:bCs/>
          <w:sz w:val="22"/>
          <w:szCs w:val="22"/>
        </w:rPr>
        <w:t>2.1 Structural Configuration</w:t>
      </w:r>
    </w:p>
    <w:p w14:paraId="21B78079" w14:textId="33F50386" w:rsidR="0024433C" w:rsidRPr="0033310B" w:rsidRDefault="0024433C" w:rsidP="0033310B">
      <w:pPr>
        <w:pStyle w:val="ReportBody"/>
        <w:rPr>
          <w:sz w:val="22"/>
          <w:szCs w:val="22"/>
        </w:rPr>
      </w:pPr>
      <w:r w:rsidRPr="0033310B">
        <w:rPr>
          <w:sz w:val="22"/>
          <w:szCs w:val="22"/>
        </w:rPr>
        <w:t>It is difficult to separate how an organisation is structured from the cultural values that built it. Robbins and Judge (2019, p.492) make this point clearly: culture defines what behaviour is acceptable and sets the terms under which decisions get made. At Toyota, the structure is formally hierarchical</w:t>
      </w:r>
      <w:r w:rsidR="005D37E2" w:rsidRPr="0033310B">
        <w:rPr>
          <w:sz w:val="22"/>
          <w:szCs w:val="22"/>
        </w:rPr>
        <w:t>,</w:t>
      </w:r>
      <w:r w:rsidRPr="0033310B">
        <w:rPr>
          <w:sz w:val="22"/>
          <w:szCs w:val="22"/>
        </w:rPr>
        <w:t xml:space="preserve"> regional divisions such as Toyota Europe and Toyota North America report upward to the Japanese parent</w:t>
      </w:r>
      <w:r w:rsidR="005D37E2" w:rsidRPr="0033310B">
        <w:rPr>
          <w:sz w:val="22"/>
          <w:szCs w:val="22"/>
        </w:rPr>
        <w:t>,</w:t>
      </w:r>
      <w:r w:rsidRPr="0033310B">
        <w:rPr>
          <w:sz w:val="22"/>
          <w:szCs w:val="22"/>
        </w:rPr>
        <w:t xml:space="preserve"> yet in practice it operates with considerable horizontal movement across teams. Daft (2021) describes this as a balance between strategic centralisation and operational autonomy, and crucially, he argues it is a cultural product rather than a management design choice.</w:t>
      </w:r>
    </w:p>
    <w:p w14:paraId="17C85942" w14:textId="78EB59F6" w:rsidR="0024433C" w:rsidRPr="0033310B" w:rsidRDefault="0024433C" w:rsidP="0033310B">
      <w:pPr>
        <w:pStyle w:val="ReportBody"/>
        <w:rPr>
          <w:sz w:val="22"/>
          <w:szCs w:val="22"/>
        </w:rPr>
      </w:pPr>
      <w:r w:rsidRPr="0033310B">
        <w:rPr>
          <w:sz w:val="22"/>
          <w:szCs w:val="22"/>
        </w:rPr>
        <w:lastRenderedPageBreak/>
        <w:t xml:space="preserve">What this means practically is that Toyota's boundaries between departments are relatively porous. People are expected to work across functions, and collective problem-solving is the norm rather than the exception. Mullins and Christy (2016) would see this as an expression of the organisation's underlying </w:t>
      </w:r>
      <w:r w:rsidR="005D37E2" w:rsidRPr="0033310B">
        <w:rPr>
          <w:sz w:val="22"/>
          <w:szCs w:val="22"/>
        </w:rPr>
        <w:t>values;</w:t>
      </w:r>
      <w:r w:rsidRPr="0033310B">
        <w:rPr>
          <w:sz w:val="22"/>
          <w:szCs w:val="22"/>
        </w:rPr>
        <w:t xml:space="preserve"> the structure reflects what the culture prioritises. Handy (1993) offers a useful label here: at the operational level, Toyota resembles a Task Culture, where what you know matters more than where you sit in the hierarchy.</w:t>
      </w:r>
    </w:p>
    <w:p w14:paraId="7C14EE66" w14:textId="77777777" w:rsidR="0024433C" w:rsidRPr="0033310B" w:rsidRDefault="0024433C" w:rsidP="0033310B">
      <w:pPr>
        <w:pStyle w:val="Heading2"/>
        <w:spacing w:line="360" w:lineRule="auto"/>
        <w:rPr>
          <w:rFonts w:ascii="Arial" w:hAnsi="Arial" w:cs="Arial"/>
          <w:sz w:val="22"/>
          <w:szCs w:val="22"/>
        </w:rPr>
      </w:pPr>
      <w:r w:rsidRPr="0033310B">
        <w:rPr>
          <w:rFonts w:ascii="Arial" w:hAnsi="Arial" w:cs="Arial"/>
          <w:b/>
          <w:bCs/>
          <w:sz w:val="22"/>
          <w:szCs w:val="22"/>
        </w:rPr>
        <w:t>2.2 Decision-Making Processes</w:t>
      </w:r>
    </w:p>
    <w:p w14:paraId="4A0AAC73" w14:textId="5C3579F4" w:rsidR="0024433C" w:rsidRPr="0033310B" w:rsidRDefault="0024433C" w:rsidP="0033310B">
      <w:pPr>
        <w:pStyle w:val="ReportBody"/>
        <w:rPr>
          <w:sz w:val="22"/>
          <w:szCs w:val="22"/>
        </w:rPr>
      </w:pPr>
      <w:r w:rsidRPr="0033310B">
        <w:rPr>
          <w:sz w:val="22"/>
          <w:szCs w:val="22"/>
        </w:rPr>
        <w:t xml:space="preserve">Decision-making at Toyota is shaped by two Japanese practices that sit at the heart of its culture. </w:t>
      </w:r>
      <w:proofErr w:type="spellStart"/>
      <w:r w:rsidRPr="0033310B">
        <w:rPr>
          <w:sz w:val="22"/>
          <w:szCs w:val="22"/>
        </w:rPr>
        <w:t>Nemawashi</w:t>
      </w:r>
      <w:proofErr w:type="spellEnd"/>
      <w:r w:rsidRPr="0033310B">
        <w:rPr>
          <w:sz w:val="22"/>
          <w:szCs w:val="22"/>
        </w:rPr>
        <w:t xml:space="preserve"> refers to the practice of building consensus gradually before a decision is formally taken. </w:t>
      </w:r>
      <w:proofErr w:type="spellStart"/>
      <w:r w:rsidRPr="0033310B">
        <w:rPr>
          <w:sz w:val="22"/>
          <w:szCs w:val="22"/>
        </w:rPr>
        <w:t>Ringi-sho</w:t>
      </w:r>
      <w:proofErr w:type="spellEnd"/>
      <w:r w:rsidRPr="0033310B">
        <w:rPr>
          <w:sz w:val="22"/>
          <w:szCs w:val="22"/>
        </w:rPr>
        <w:t xml:space="preserve"> is a related process</w:t>
      </w:r>
      <w:r w:rsidR="005D37E2" w:rsidRPr="0033310B">
        <w:rPr>
          <w:sz w:val="22"/>
          <w:szCs w:val="22"/>
        </w:rPr>
        <w:t xml:space="preserve">, </w:t>
      </w:r>
      <w:r w:rsidRPr="0033310B">
        <w:rPr>
          <w:sz w:val="22"/>
          <w:szCs w:val="22"/>
        </w:rPr>
        <w:t>proposals are written up and circulated for comment and approval from the bottom up (Liker, 2021). Both reflect a genuine cultural preference for collective deliberation over individual speed.</w:t>
      </w:r>
    </w:p>
    <w:p w14:paraId="1686991D" w14:textId="23B6281F" w:rsidR="0024433C" w:rsidRPr="0033310B" w:rsidRDefault="0024433C" w:rsidP="0033310B">
      <w:pPr>
        <w:pStyle w:val="ReportBody"/>
        <w:rPr>
          <w:sz w:val="22"/>
          <w:szCs w:val="22"/>
        </w:rPr>
      </w:pPr>
      <w:r w:rsidRPr="0033310B">
        <w:rPr>
          <w:sz w:val="22"/>
          <w:szCs w:val="22"/>
        </w:rPr>
        <w:t xml:space="preserve">The strengths are real. Decisions that emerge from this process tend to stick, because the people who </w:t>
      </w:r>
      <w:r w:rsidR="005D37E2" w:rsidRPr="0033310B">
        <w:rPr>
          <w:sz w:val="22"/>
          <w:szCs w:val="22"/>
        </w:rPr>
        <w:t>must</w:t>
      </w:r>
      <w:r w:rsidRPr="0033310B">
        <w:rPr>
          <w:sz w:val="22"/>
          <w:szCs w:val="22"/>
        </w:rPr>
        <w:t xml:space="preserve"> implement them were involved in shaping them. But the weaknesses showed themselves badly during the 2009–2010 recall crisis, when Toyota had to withdraw over eight million vehicles due to unintended acceleration faults. Greto, Schotter and Teagarden (2010) argue that the same consensus culture that drives quality on the production line made it structurally difficult for engineers to escalate safety concerns quickly. The process slowed down a response that needed to be fast.</w:t>
      </w:r>
    </w:p>
    <w:p w14:paraId="44AC9F23" w14:textId="1AC62E4C" w:rsidR="0024433C" w:rsidRPr="0033310B" w:rsidRDefault="0024433C" w:rsidP="0033310B">
      <w:pPr>
        <w:pStyle w:val="ReportBody"/>
        <w:rPr>
          <w:sz w:val="22"/>
          <w:szCs w:val="22"/>
        </w:rPr>
      </w:pPr>
      <w:r w:rsidRPr="0033310B">
        <w:rPr>
          <w:sz w:val="22"/>
          <w:szCs w:val="22"/>
        </w:rPr>
        <w:t xml:space="preserve">On the other side, the principle of Genchi </w:t>
      </w:r>
      <w:proofErr w:type="spellStart"/>
      <w:r w:rsidRPr="0033310B">
        <w:rPr>
          <w:sz w:val="22"/>
          <w:szCs w:val="22"/>
        </w:rPr>
        <w:t>Genbutsu</w:t>
      </w:r>
      <w:proofErr w:type="spellEnd"/>
      <w:r w:rsidR="005D37E2" w:rsidRPr="0033310B">
        <w:rPr>
          <w:sz w:val="22"/>
          <w:szCs w:val="22"/>
        </w:rPr>
        <w:t xml:space="preserve">, </w:t>
      </w:r>
      <w:r w:rsidRPr="0033310B">
        <w:rPr>
          <w:sz w:val="22"/>
          <w:szCs w:val="22"/>
        </w:rPr>
        <w:t>often translated as 'go and see for yourself'</w:t>
      </w:r>
      <w:r w:rsidR="005D37E2" w:rsidRPr="0033310B">
        <w:rPr>
          <w:sz w:val="22"/>
          <w:szCs w:val="22"/>
        </w:rPr>
        <w:t xml:space="preserve">, </w:t>
      </w:r>
      <w:r w:rsidRPr="0033310B">
        <w:rPr>
          <w:sz w:val="22"/>
          <w:szCs w:val="22"/>
        </w:rPr>
        <w:t>does create space for frontline workers to raise problems. Mullins and Christy (2016, p.579) note that cultural norms shape who gets to participate in decisions, and this norm does broaden that participation meaningfully. The tension, explored further in Section 6, is that raising concerns upward through hierarchy remains culturally uncomfortable.</w:t>
      </w:r>
    </w:p>
    <w:p w14:paraId="2D61E4FF" w14:textId="77777777" w:rsidR="0024433C" w:rsidRPr="0033310B" w:rsidRDefault="0024433C" w:rsidP="0033310B">
      <w:pPr>
        <w:spacing w:after="120" w:line="360" w:lineRule="auto"/>
        <w:rPr>
          <w:sz w:val="22"/>
          <w:szCs w:val="22"/>
        </w:rPr>
      </w:pPr>
    </w:p>
    <w:p w14:paraId="1F9AD7F7" w14:textId="77777777" w:rsidR="0024433C" w:rsidRPr="0033310B" w:rsidRDefault="0024433C" w:rsidP="0033310B">
      <w:pPr>
        <w:pStyle w:val="Heading1"/>
        <w:spacing w:line="360" w:lineRule="auto"/>
        <w:rPr>
          <w:rFonts w:ascii="Arial" w:hAnsi="Arial" w:cs="Arial"/>
          <w:sz w:val="22"/>
          <w:szCs w:val="22"/>
        </w:rPr>
      </w:pPr>
      <w:r w:rsidRPr="0033310B">
        <w:rPr>
          <w:rFonts w:ascii="Arial" w:hAnsi="Arial" w:cs="Arial"/>
          <w:b/>
          <w:bCs/>
          <w:sz w:val="22"/>
          <w:szCs w:val="22"/>
        </w:rPr>
        <w:t>3. Identifying Culture: Frameworks and Models</w:t>
      </w:r>
    </w:p>
    <w:p w14:paraId="125BE398" w14:textId="77777777" w:rsidR="0024433C" w:rsidRPr="0033310B" w:rsidRDefault="0024433C" w:rsidP="0033310B">
      <w:pPr>
        <w:pStyle w:val="Heading2"/>
        <w:spacing w:line="360" w:lineRule="auto"/>
        <w:rPr>
          <w:rFonts w:ascii="Arial" w:hAnsi="Arial" w:cs="Arial"/>
          <w:sz w:val="22"/>
          <w:szCs w:val="22"/>
        </w:rPr>
      </w:pPr>
      <w:r w:rsidRPr="0033310B">
        <w:rPr>
          <w:rFonts w:ascii="Arial" w:hAnsi="Arial" w:cs="Arial"/>
          <w:b/>
          <w:bCs/>
          <w:sz w:val="22"/>
          <w:szCs w:val="22"/>
        </w:rPr>
        <w:t>3.1 Schein's Three-Level Model</w:t>
      </w:r>
    </w:p>
    <w:p w14:paraId="6A36EEEB" w14:textId="7B44F97B" w:rsidR="0024433C" w:rsidRPr="0033310B" w:rsidRDefault="0024433C" w:rsidP="0033310B">
      <w:pPr>
        <w:pStyle w:val="ReportBody"/>
        <w:rPr>
          <w:sz w:val="22"/>
          <w:szCs w:val="22"/>
        </w:rPr>
      </w:pPr>
      <w:r w:rsidRPr="0033310B">
        <w:rPr>
          <w:sz w:val="22"/>
          <w:szCs w:val="22"/>
        </w:rPr>
        <w:t xml:space="preserve">Schein (2017) breaks organisational culture into three layers: what you can see (artefacts), what the organisation says it values (espoused values), and what people </w:t>
      </w:r>
      <w:r w:rsidR="005D37E2" w:rsidRPr="0033310B">
        <w:rPr>
          <w:sz w:val="22"/>
          <w:szCs w:val="22"/>
        </w:rPr>
        <w:t>believe</w:t>
      </w:r>
      <w:r w:rsidRPr="0033310B">
        <w:rPr>
          <w:sz w:val="22"/>
          <w:szCs w:val="22"/>
        </w:rPr>
        <w:t xml:space="preserve"> without consciously thinking about it (underlying assumptions). All three are present in abundance at Toyota. Walk onto a Toyota factory floor and the artefacts are immediately obvious</w:t>
      </w:r>
      <w:r w:rsidR="005D37E2" w:rsidRPr="0033310B">
        <w:rPr>
          <w:sz w:val="22"/>
          <w:szCs w:val="22"/>
        </w:rPr>
        <w:t>,</w:t>
      </w:r>
      <w:r w:rsidRPr="0033310B">
        <w:rPr>
          <w:sz w:val="22"/>
          <w:szCs w:val="22"/>
        </w:rPr>
        <w:t xml:space="preserve"> Andon signal boards that stop the line when something goes wrong, 5S</w:t>
      </w:r>
      <w:r w:rsidR="005D37E2" w:rsidRPr="0033310B">
        <w:rPr>
          <w:sz w:val="22"/>
          <w:szCs w:val="22"/>
        </w:rPr>
        <w:t xml:space="preserve"> </w:t>
      </w:r>
      <w:r w:rsidRPr="0033310B">
        <w:rPr>
          <w:sz w:val="22"/>
          <w:szCs w:val="22"/>
        </w:rPr>
        <w:t xml:space="preserve">organised workspaces where </w:t>
      </w:r>
      <w:r w:rsidRPr="0033310B">
        <w:rPr>
          <w:sz w:val="22"/>
          <w:szCs w:val="22"/>
        </w:rPr>
        <w:lastRenderedPageBreak/>
        <w:t>everything has a place, standardised procedures posted at every station. These visible elements reflect something real, not just corporate decoration.</w:t>
      </w:r>
    </w:p>
    <w:p w14:paraId="5878B01F" w14:textId="07C909FC" w:rsidR="0024433C" w:rsidRPr="0033310B" w:rsidRDefault="0024433C" w:rsidP="0033310B">
      <w:pPr>
        <w:pStyle w:val="ReportBody"/>
        <w:rPr>
          <w:sz w:val="22"/>
          <w:szCs w:val="22"/>
        </w:rPr>
      </w:pPr>
      <w:r w:rsidRPr="0033310B">
        <w:rPr>
          <w:sz w:val="22"/>
          <w:szCs w:val="22"/>
        </w:rPr>
        <w:t>The espoused values are codified in the Toyota Way: Respect for People and Kaizen, or continuous improvement. These are not just slogans. They are taught formally through the Toyota Institute and reinforced through daily management practice. But it is the third level</w:t>
      </w:r>
      <w:r w:rsidR="005D37E2" w:rsidRPr="0033310B">
        <w:rPr>
          <w:sz w:val="22"/>
          <w:szCs w:val="22"/>
        </w:rPr>
        <w:t>,</w:t>
      </w:r>
      <w:r w:rsidRPr="0033310B">
        <w:rPr>
          <w:sz w:val="22"/>
          <w:szCs w:val="22"/>
        </w:rPr>
        <w:t xml:space="preserve"> basic assumptions</w:t>
      </w:r>
      <w:r w:rsidR="005D37E2" w:rsidRPr="0033310B">
        <w:rPr>
          <w:sz w:val="22"/>
          <w:szCs w:val="22"/>
        </w:rPr>
        <w:t xml:space="preserve">, </w:t>
      </w:r>
      <w:r w:rsidRPr="0033310B">
        <w:rPr>
          <w:sz w:val="22"/>
          <w:szCs w:val="22"/>
        </w:rPr>
        <w:t xml:space="preserve">where Toyota's culture is arguably most powerful, and most interesting. The belief that quality is non-negotiable, expressed through the </w:t>
      </w:r>
      <w:proofErr w:type="spellStart"/>
      <w:r w:rsidRPr="0033310B">
        <w:rPr>
          <w:sz w:val="22"/>
          <w:szCs w:val="22"/>
        </w:rPr>
        <w:t>Jidoka</w:t>
      </w:r>
      <w:proofErr w:type="spellEnd"/>
      <w:r w:rsidRPr="0033310B">
        <w:rPr>
          <w:sz w:val="22"/>
          <w:szCs w:val="22"/>
        </w:rPr>
        <w:t xml:space="preserve"> principle of halting production at the first sign of a defect, is not something Toyota managers consciously decide to apply each day. It operates, as Schein (2017, p.18) puts it, as taken</w:t>
      </w:r>
      <w:r w:rsidR="005D37E2" w:rsidRPr="0033310B">
        <w:rPr>
          <w:sz w:val="22"/>
          <w:szCs w:val="22"/>
        </w:rPr>
        <w:t xml:space="preserve"> for </w:t>
      </w:r>
      <w:r w:rsidRPr="0033310B">
        <w:rPr>
          <w:sz w:val="22"/>
          <w:szCs w:val="22"/>
        </w:rPr>
        <w:t>granted truth. That depth makes the culture exceptionally durable. It also makes it hard to change when change is needed.</w:t>
      </w:r>
    </w:p>
    <w:p w14:paraId="29096DAE" w14:textId="77777777" w:rsidR="0024433C" w:rsidRPr="0033310B" w:rsidRDefault="0024433C" w:rsidP="0033310B">
      <w:pPr>
        <w:pStyle w:val="Heading2"/>
        <w:spacing w:line="360" w:lineRule="auto"/>
        <w:rPr>
          <w:rFonts w:ascii="Arial" w:hAnsi="Arial" w:cs="Arial"/>
          <w:sz w:val="22"/>
          <w:szCs w:val="22"/>
        </w:rPr>
      </w:pPr>
      <w:r w:rsidRPr="0033310B">
        <w:rPr>
          <w:rFonts w:ascii="Arial" w:hAnsi="Arial" w:cs="Arial"/>
          <w:b/>
          <w:bCs/>
          <w:sz w:val="22"/>
          <w:szCs w:val="22"/>
        </w:rPr>
        <w:t>3.2 Hofstede's Cultural Dimensions</w:t>
      </w:r>
    </w:p>
    <w:p w14:paraId="69C16C92" w14:textId="695B8CB5" w:rsidR="0024433C" w:rsidRPr="0033310B" w:rsidRDefault="0024433C" w:rsidP="0033310B">
      <w:pPr>
        <w:pStyle w:val="ReportBody"/>
        <w:rPr>
          <w:sz w:val="22"/>
          <w:szCs w:val="22"/>
        </w:rPr>
      </w:pPr>
      <w:r w:rsidRPr="0033310B">
        <w:rPr>
          <w:sz w:val="22"/>
          <w:szCs w:val="22"/>
        </w:rPr>
        <w:t>Hofstede's (2001) framework was built around national cultures, but Javidan and House (2001) have shown it applies usefully to corporate settings too. Toyota maps clearly onto several of its dimensions. Power distance is high: the Japanese headquarters sets strategic direction, and subsidiaries work within tight parameters. Kaizen encourages contributions from all levels, but nobody is under any illusion about where authority sits (Daft, 2021). The collectivism dimension is equally strong</w:t>
      </w:r>
      <w:r w:rsidR="005D37E2" w:rsidRPr="0033310B">
        <w:rPr>
          <w:sz w:val="22"/>
          <w:szCs w:val="22"/>
        </w:rPr>
        <w:t xml:space="preserve">, </w:t>
      </w:r>
      <w:r w:rsidRPr="0033310B">
        <w:rPr>
          <w:sz w:val="22"/>
          <w:szCs w:val="22"/>
        </w:rPr>
        <w:t xml:space="preserve">individual performance matters far less than team outcomes, and the Quality Control circle system is a good example of how group-level accountability is structured into </w:t>
      </w:r>
      <w:r w:rsidR="005D37E2" w:rsidRPr="0033310B">
        <w:rPr>
          <w:sz w:val="22"/>
          <w:szCs w:val="22"/>
        </w:rPr>
        <w:t>day-to-day</w:t>
      </w:r>
      <w:r w:rsidRPr="0033310B">
        <w:rPr>
          <w:sz w:val="22"/>
          <w:szCs w:val="22"/>
        </w:rPr>
        <w:t xml:space="preserve"> operations (Liker, 2021).</w:t>
      </w:r>
    </w:p>
    <w:p w14:paraId="3C6F1E5E" w14:textId="5BBF5879" w:rsidR="0024433C" w:rsidRPr="0033310B" w:rsidRDefault="0024433C" w:rsidP="0033310B">
      <w:pPr>
        <w:pStyle w:val="ReportBody"/>
        <w:rPr>
          <w:sz w:val="22"/>
          <w:szCs w:val="22"/>
        </w:rPr>
      </w:pPr>
      <w:r w:rsidRPr="0033310B">
        <w:rPr>
          <w:sz w:val="22"/>
          <w:szCs w:val="22"/>
        </w:rPr>
        <w:t xml:space="preserve">Uncertainty avoidance is also high. The TPS is, in many ways, a systematic attempt to reduce variability to zero. Standard Work documentation and the Plan-Do-Check-Act cycle are cultural expressions of a deep discomfort with ambiguity. And Toyota's </w:t>
      </w:r>
      <w:r w:rsidR="005D37E2" w:rsidRPr="0033310B">
        <w:rPr>
          <w:sz w:val="22"/>
          <w:szCs w:val="22"/>
        </w:rPr>
        <w:t>long-term</w:t>
      </w:r>
      <w:r w:rsidRPr="0033310B">
        <w:rPr>
          <w:sz w:val="22"/>
          <w:szCs w:val="22"/>
        </w:rPr>
        <w:t xml:space="preserve"> orientation is well documented: the company has repeatedly absorbed short-term financial pain to protect product quality and long-term reputation (Hofstede, 2001). Where this framework is most useful is in flagging the friction points. Toyota operates in markets</w:t>
      </w:r>
      <w:r w:rsidR="005D37E2" w:rsidRPr="0033310B">
        <w:rPr>
          <w:sz w:val="22"/>
          <w:szCs w:val="22"/>
        </w:rPr>
        <w:t xml:space="preserve">, </w:t>
      </w:r>
      <w:r w:rsidRPr="0033310B">
        <w:rPr>
          <w:sz w:val="22"/>
          <w:szCs w:val="22"/>
        </w:rPr>
        <w:t>the United States, Germany</w:t>
      </w:r>
      <w:r w:rsidR="005D37E2" w:rsidRPr="0033310B">
        <w:rPr>
          <w:sz w:val="22"/>
          <w:szCs w:val="22"/>
        </w:rPr>
        <w:t xml:space="preserve">, </w:t>
      </w:r>
      <w:r w:rsidRPr="0033310B">
        <w:rPr>
          <w:sz w:val="22"/>
          <w:szCs w:val="22"/>
        </w:rPr>
        <w:t>where individualism and lower power distance are the norm. When the corporate culture clashes with national culture, integration becomes difficult (Javidan and House, 2001). This is returned to in Section 6.</w:t>
      </w:r>
    </w:p>
    <w:p w14:paraId="0DECC342" w14:textId="77777777" w:rsidR="0024433C" w:rsidRPr="0033310B" w:rsidRDefault="0024433C" w:rsidP="0033310B">
      <w:pPr>
        <w:pStyle w:val="Heading2"/>
        <w:spacing w:line="360" w:lineRule="auto"/>
        <w:rPr>
          <w:rFonts w:ascii="Arial" w:hAnsi="Arial" w:cs="Arial"/>
          <w:sz w:val="22"/>
          <w:szCs w:val="22"/>
        </w:rPr>
      </w:pPr>
      <w:r w:rsidRPr="0033310B">
        <w:rPr>
          <w:rFonts w:ascii="Arial" w:hAnsi="Arial" w:cs="Arial"/>
          <w:b/>
          <w:bCs/>
          <w:sz w:val="22"/>
          <w:szCs w:val="22"/>
        </w:rPr>
        <w:t>3.3 Handy's Cultural Types and the Prevailing Culture</w:t>
      </w:r>
    </w:p>
    <w:p w14:paraId="4F0B7CEA" w14:textId="443F038B" w:rsidR="0024433C" w:rsidRPr="0033310B" w:rsidRDefault="0024433C" w:rsidP="0033310B">
      <w:pPr>
        <w:pStyle w:val="ReportBody"/>
        <w:rPr>
          <w:sz w:val="22"/>
          <w:szCs w:val="22"/>
        </w:rPr>
      </w:pPr>
      <w:r w:rsidRPr="0033310B">
        <w:rPr>
          <w:sz w:val="22"/>
          <w:szCs w:val="22"/>
        </w:rPr>
        <w:t>Handy (1993) offers four types: Power, Role, Task, and Person. Toyota does not fit neatly into any one of them. At the factory floor and in product development teams, Task Culture is the dominant mode</w:t>
      </w:r>
      <w:r w:rsidR="005D37E2" w:rsidRPr="0033310B">
        <w:rPr>
          <w:sz w:val="22"/>
          <w:szCs w:val="22"/>
        </w:rPr>
        <w:t xml:space="preserve">, </w:t>
      </w:r>
      <w:r w:rsidRPr="0033310B">
        <w:rPr>
          <w:sz w:val="22"/>
          <w:szCs w:val="22"/>
        </w:rPr>
        <w:t xml:space="preserve">cross-functional groups, shared ownership of problems, expertise over title. In Kaizen events and quality circles this is especially visible. But move up to the strategic level and Role Culture takes over: formal processes, hierarchical sign-off, procedural discipline </w:t>
      </w:r>
      <w:r w:rsidRPr="0033310B">
        <w:rPr>
          <w:sz w:val="22"/>
          <w:szCs w:val="22"/>
        </w:rPr>
        <w:lastRenderedPageBreak/>
        <w:t>(Mullins and Christy, 2016). There is also a strand of Person Culture running through Toyota's senior engineering community, where individual technical reputation carries real informal weight (Liker, 2021).</w:t>
      </w:r>
    </w:p>
    <w:p w14:paraId="06C3F0DB" w14:textId="43B1B2FF" w:rsidR="0024433C" w:rsidRPr="0033310B" w:rsidRDefault="0024433C" w:rsidP="0033310B">
      <w:pPr>
        <w:pStyle w:val="ReportBody"/>
        <w:rPr>
          <w:sz w:val="22"/>
          <w:szCs w:val="22"/>
        </w:rPr>
      </w:pPr>
      <w:r w:rsidRPr="0033310B">
        <w:rPr>
          <w:sz w:val="22"/>
          <w:szCs w:val="22"/>
        </w:rPr>
        <w:t xml:space="preserve">Taking the </w:t>
      </w:r>
      <w:r w:rsidR="005D37E2" w:rsidRPr="0033310B">
        <w:rPr>
          <w:sz w:val="22"/>
          <w:szCs w:val="22"/>
        </w:rPr>
        <w:t>organisation, Cameron</w:t>
      </w:r>
      <w:r w:rsidRPr="0033310B">
        <w:rPr>
          <w:sz w:val="22"/>
          <w:szCs w:val="22"/>
        </w:rPr>
        <w:t xml:space="preserve"> and Quinn's (2011) Clan Culture is probably the closest fit</w:t>
      </w:r>
      <w:r w:rsidR="005D37E2" w:rsidRPr="0033310B">
        <w:rPr>
          <w:sz w:val="22"/>
          <w:szCs w:val="22"/>
        </w:rPr>
        <w:t xml:space="preserve">, </w:t>
      </w:r>
      <w:r w:rsidRPr="0033310B">
        <w:rPr>
          <w:sz w:val="22"/>
          <w:szCs w:val="22"/>
        </w:rPr>
        <w:t>characterised by long-term loyalty, internal cohesion, a developmental approach to people, and something that genuinely resembles a sense of shared identity. Toyota's Japanese operations have historically offered lifetime employment, and its global investment in staff development reinforces this. The tension worth noting is that the Role Culture elements at the strategic level have occasionally slowed the organisation's response to external shifts</w:t>
      </w:r>
      <w:r w:rsidR="005D37E2" w:rsidRPr="0033310B">
        <w:rPr>
          <w:sz w:val="22"/>
          <w:szCs w:val="22"/>
        </w:rPr>
        <w:t xml:space="preserve">, </w:t>
      </w:r>
      <w:r w:rsidRPr="0033310B">
        <w:rPr>
          <w:sz w:val="22"/>
          <w:szCs w:val="22"/>
        </w:rPr>
        <w:t>the electric vehicle debate, discussed next, being the clearest recent example.</w:t>
      </w:r>
    </w:p>
    <w:p w14:paraId="25FBBEDA" w14:textId="77777777" w:rsidR="0024433C" w:rsidRPr="0033310B" w:rsidRDefault="0024433C" w:rsidP="0033310B">
      <w:pPr>
        <w:spacing w:after="120" w:line="360" w:lineRule="auto"/>
        <w:rPr>
          <w:sz w:val="22"/>
          <w:szCs w:val="22"/>
        </w:rPr>
      </w:pPr>
    </w:p>
    <w:p w14:paraId="45D57B00" w14:textId="77777777" w:rsidR="0024433C" w:rsidRPr="0033310B" w:rsidRDefault="0024433C" w:rsidP="0033310B">
      <w:pPr>
        <w:pStyle w:val="Heading1"/>
        <w:spacing w:line="360" w:lineRule="auto"/>
        <w:rPr>
          <w:rFonts w:ascii="Arial" w:hAnsi="Arial" w:cs="Arial"/>
          <w:sz w:val="22"/>
          <w:szCs w:val="22"/>
        </w:rPr>
      </w:pPr>
      <w:r w:rsidRPr="0033310B">
        <w:rPr>
          <w:rFonts w:ascii="Arial" w:hAnsi="Arial" w:cs="Arial"/>
          <w:b/>
          <w:bCs/>
          <w:sz w:val="22"/>
          <w:szCs w:val="22"/>
        </w:rPr>
        <w:t>4. Culture and the External Environment</w:t>
      </w:r>
    </w:p>
    <w:p w14:paraId="29DC859E" w14:textId="395F2A66" w:rsidR="0024433C" w:rsidRPr="0033310B" w:rsidRDefault="0024433C" w:rsidP="0033310B">
      <w:pPr>
        <w:pStyle w:val="ReportBody"/>
        <w:rPr>
          <w:sz w:val="22"/>
          <w:szCs w:val="22"/>
        </w:rPr>
      </w:pPr>
      <w:r w:rsidRPr="0033310B">
        <w:rPr>
          <w:sz w:val="22"/>
          <w:szCs w:val="22"/>
        </w:rPr>
        <w:t>Mullins and Christy (2016, p.574) are clear that globalisation raises the stakes for cultural management</w:t>
      </w:r>
      <w:r w:rsidR="005D37E2" w:rsidRPr="0033310B">
        <w:rPr>
          <w:sz w:val="22"/>
          <w:szCs w:val="22"/>
        </w:rPr>
        <w:t>,</w:t>
      </w:r>
      <w:r w:rsidRPr="0033310B">
        <w:rPr>
          <w:sz w:val="22"/>
          <w:szCs w:val="22"/>
        </w:rPr>
        <w:t xml:space="preserve"> organisations need coherence, but they also need the flexibility to respond to environments that are changing fast. For a company operating in over 50 countries, Toyota faces this challenge continuously.</w:t>
      </w:r>
    </w:p>
    <w:p w14:paraId="0BFED758" w14:textId="77777777" w:rsidR="0024433C" w:rsidRPr="0033310B" w:rsidRDefault="0024433C" w:rsidP="0033310B">
      <w:pPr>
        <w:pStyle w:val="Heading2"/>
        <w:spacing w:line="360" w:lineRule="auto"/>
        <w:rPr>
          <w:rFonts w:ascii="Arial" w:hAnsi="Arial" w:cs="Arial"/>
          <w:sz w:val="22"/>
          <w:szCs w:val="22"/>
        </w:rPr>
      </w:pPr>
      <w:r w:rsidRPr="0033310B">
        <w:rPr>
          <w:rFonts w:ascii="Arial" w:hAnsi="Arial" w:cs="Arial"/>
          <w:b/>
          <w:bCs/>
          <w:sz w:val="22"/>
          <w:szCs w:val="22"/>
        </w:rPr>
        <w:t>4.1 Competitive and Technological Pressures</w:t>
      </w:r>
    </w:p>
    <w:p w14:paraId="4A97EF62" w14:textId="708A7769" w:rsidR="0024433C" w:rsidRPr="0033310B" w:rsidRDefault="0024433C" w:rsidP="0033310B">
      <w:pPr>
        <w:pStyle w:val="ReportBody"/>
        <w:rPr>
          <w:sz w:val="22"/>
          <w:szCs w:val="22"/>
        </w:rPr>
      </w:pPr>
      <w:r w:rsidRPr="0033310B">
        <w:rPr>
          <w:sz w:val="22"/>
          <w:szCs w:val="22"/>
        </w:rPr>
        <w:t>The car industry is changing more rapidly than at any point since Ford's Model T. Electrification, digitalisation, and autonomous systems are reshaping what a vehicle is and who builds it competitively. Tesla and BYD have moved aggressively on battery electric vehicles (BEVs), and both have grown market share considerably in segments where Toyota was previously dominant (Heller, 2022). Toyota's response has been shaped — some would say constrained</w:t>
      </w:r>
      <w:r w:rsidR="005D37E2" w:rsidRPr="0033310B">
        <w:rPr>
          <w:sz w:val="22"/>
          <w:szCs w:val="22"/>
        </w:rPr>
        <w:t xml:space="preserve">, </w:t>
      </w:r>
      <w:r w:rsidRPr="0033310B">
        <w:rPr>
          <w:sz w:val="22"/>
          <w:szCs w:val="22"/>
        </w:rPr>
        <w:t>by its Kaizen disposition. Rather than picking a single technology and committing fully, it pursued a multi-pathway strategy: hybrids, plug-in hybrids, hydrogen fuel cells, and BEVs in parallel.</w:t>
      </w:r>
    </w:p>
    <w:p w14:paraId="41C76715" w14:textId="18E7F8F1" w:rsidR="0024433C" w:rsidRPr="0033310B" w:rsidRDefault="0024433C" w:rsidP="0033310B">
      <w:pPr>
        <w:pStyle w:val="ReportBody"/>
        <w:rPr>
          <w:sz w:val="22"/>
          <w:szCs w:val="22"/>
        </w:rPr>
      </w:pPr>
      <w:r w:rsidRPr="0033310B">
        <w:rPr>
          <w:sz w:val="22"/>
          <w:szCs w:val="22"/>
        </w:rPr>
        <w:t xml:space="preserve">This reflects genuine cultural logic. Genchi </w:t>
      </w:r>
      <w:proofErr w:type="spellStart"/>
      <w:r w:rsidRPr="0033310B">
        <w:rPr>
          <w:sz w:val="22"/>
          <w:szCs w:val="22"/>
        </w:rPr>
        <w:t>Genbutsu</w:t>
      </w:r>
      <w:proofErr w:type="spellEnd"/>
      <w:r w:rsidRPr="0033310B">
        <w:rPr>
          <w:sz w:val="22"/>
          <w:szCs w:val="22"/>
        </w:rPr>
        <w:t xml:space="preserve"> demands that technology be tested and understood before it is adopted at scale, and Toyota's uncertainty avoidance makes it genuinely uncomfortable betting everything on a single, unproven platform. Whether that caution has been wise or costly is still being debated. What is clear is that Toyota has since moved: in 2023 </w:t>
      </w:r>
      <w:r w:rsidR="005D37E2" w:rsidRPr="0033310B">
        <w:rPr>
          <w:sz w:val="22"/>
          <w:szCs w:val="22"/>
        </w:rPr>
        <w:t>is</w:t>
      </w:r>
      <w:r w:rsidRPr="0033310B">
        <w:rPr>
          <w:sz w:val="22"/>
          <w:szCs w:val="22"/>
        </w:rPr>
        <w:t xml:space="preserve"> committed to 30 BEV models by 2030 and announced $70 billion in electrification investment (Toyota, 2023). The pace had to increase, even if the underlying cultural values stayed the same.</w:t>
      </w:r>
    </w:p>
    <w:p w14:paraId="19CA5A5C" w14:textId="77777777" w:rsidR="0024433C" w:rsidRPr="0033310B" w:rsidRDefault="0024433C" w:rsidP="0033310B">
      <w:pPr>
        <w:pStyle w:val="Heading2"/>
        <w:spacing w:line="360" w:lineRule="auto"/>
        <w:rPr>
          <w:rFonts w:ascii="Arial" w:hAnsi="Arial" w:cs="Arial"/>
          <w:sz w:val="22"/>
          <w:szCs w:val="22"/>
        </w:rPr>
      </w:pPr>
      <w:r w:rsidRPr="0033310B">
        <w:rPr>
          <w:rFonts w:ascii="Arial" w:hAnsi="Arial" w:cs="Arial"/>
          <w:b/>
          <w:bCs/>
          <w:sz w:val="22"/>
          <w:szCs w:val="22"/>
        </w:rPr>
        <w:lastRenderedPageBreak/>
        <w:t>4.2 Regulatory Pressures</w:t>
      </w:r>
    </w:p>
    <w:p w14:paraId="02F94B13" w14:textId="217D85C0" w:rsidR="0024433C" w:rsidRPr="0033310B" w:rsidRDefault="0024433C" w:rsidP="0033310B">
      <w:pPr>
        <w:pStyle w:val="ReportBody"/>
        <w:rPr>
          <w:sz w:val="22"/>
          <w:szCs w:val="22"/>
        </w:rPr>
      </w:pPr>
      <w:r w:rsidRPr="0033310B">
        <w:rPr>
          <w:sz w:val="22"/>
          <w:szCs w:val="22"/>
        </w:rPr>
        <w:t>Tightening emissions legislation across the EU, UK, and North America</w:t>
      </w:r>
      <w:r w:rsidR="005D37E2" w:rsidRPr="0033310B">
        <w:rPr>
          <w:sz w:val="22"/>
          <w:szCs w:val="22"/>
        </w:rPr>
        <w:t>,</w:t>
      </w:r>
      <w:r w:rsidRPr="0033310B">
        <w:rPr>
          <w:sz w:val="22"/>
          <w:szCs w:val="22"/>
        </w:rPr>
        <w:t xml:space="preserve"> with several jurisdictions targeting 2035 bans on new petrol and diesel sales</w:t>
      </w:r>
      <w:r w:rsidR="005D37E2" w:rsidRPr="0033310B">
        <w:rPr>
          <w:sz w:val="22"/>
          <w:szCs w:val="22"/>
        </w:rPr>
        <w:t>,</w:t>
      </w:r>
      <w:r w:rsidRPr="0033310B">
        <w:rPr>
          <w:sz w:val="22"/>
          <w:szCs w:val="22"/>
        </w:rPr>
        <w:t xml:space="preserve"> has forced all manufacturers to accelerate their plans. Toyota's long-term orientation and its culture of compliance have, on balance, served it reasonably well here. The company has engaged constructively with regulators rather than fighting them, and its investment in the Mirai hydrogen fuel cell vehicle reflects an attempt to offer a genuine technological contribution to the policy debate rather than just a compliance response (Toyota, 2023). Johnson, Scholes and Whittington (2020) describe the concept of the cultural web</w:t>
      </w:r>
      <w:r w:rsidR="005D37E2" w:rsidRPr="0033310B">
        <w:rPr>
          <w:sz w:val="22"/>
          <w:szCs w:val="22"/>
        </w:rPr>
        <w:t>,</w:t>
      </w:r>
      <w:r w:rsidRPr="0033310B">
        <w:rPr>
          <w:sz w:val="22"/>
          <w:szCs w:val="22"/>
        </w:rPr>
        <w:t xml:space="preserve"> the way stories, symbols, and structures reinforce a shared sense of purpose</w:t>
      </w:r>
      <w:r w:rsidR="005D37E2" w:rsidRPr="0033310B">
        <w:rPr>
          <w:sz w:val="22"/>
          <w:szCs w:val="22"/>
        </w:rPr>
        <w:t>,</w:t>
      </w:r>
      <w:r w:rsidRPr="0033310B">
        <w:rPr>
          <w:sz w:val="22"/>
          <w:szCs w:val="22"/>
        </w:rPr>
        <w:t xml:space="preserve"> and Toyota's Society 5.0 engagement with Japanese government policy is a reasonable example of this alignment in practice.</w:t>
      </w:r>
    </w:p>
    <w:p w14:paraId="30C1CE9A" w14:textId="77777777" w:rsidR="0024433C" w:rsidRPr="0033310B" w:rsidRDefault="0024433C" w:rsidP="0033310B">
      <w:pPr>
        <w:pStyle w:val="Heading2"/>
        <w:spacing w:line="360" w:lineRule="auto"/>
        <w:rPr>
          <w:rFonts w:ascii="Arial" w:hAnsi="Arial" w:cs="Arial"/>
          <w:sz w:val="22"/>
          <w:szCs w:val="22"/>
        </w:rPr>
      </w:pPr>
      <w:r w:rsidRPr="0033310B">
        <w:rPr>
          <w:rFonts w:ascii="Arial" w:hAnsi="Arial" w:cs="Arial"/>
          <w:b/>
          <w:bCs/>
          <w:sz w:val="22"/>
          <w:szCs w:val="22"/>
        </w:rPr>
        <w:t>4.3 Supply Chain Disruption</w:t>
      </w:r>
    </w:p>
    <w:p w14:paraId="161FB45B" w14:textId="475AEB0A" w:rsidR="0024433C" w:rsidRPr="0033310B" w:rsidRDefault="0024433C" w:rsidP="0033310B">
      <w:pPr>
        <w:pStyle w:val="ReportBody"/>
        <w:rPr>
          <w:sz w:val="22"/>
          <w:szCs w:val="22"/>
        </w:rPr>
      </w:pPr>
      <w:r w:rsidRPr="0033310B">
        <w:rPr>
          <w:sz w:val="22"/>
          <w:szCs w:val="22"/>
        </w:rPr>
        <w:t>The 2020–2022 semiconductor shortage was, in some ways, a direct challenge to one of Toyota's most celebrated cultural achievements. Just-In-Time production</w:t>
      </w:r>
      <w:r w:rsidR="005D37E2" w:rsidRPr="0033310B">
        <w:rPr>
          <w:sz w:val="22"/>
          <w:szCs w:val="22"/>
        </w:rPr>
        <w:t>,</w:t>
      </w:r>
      <w:r w:rsidRPr="0033310B">
        <w:rPr>
          <w:sz w:val="22"/>
          <w:szCs w:val="22"/>
        </w:rPr>
        <w:t xml:space="preserve"> minimal inventory, tight supplier coordination, waste at every step removed</w:t>
      </w:r>
      <w:r w:rsidR="005D37E2" w:rsidRPr="0033310B">
        <w:rPr>
          <w:sz w:val="22"/>
          <w:szCs w:val="22"/>
        </w:rPr>
        <w:t>,</w:t>
      </w:r>
      <w:r w:rsidRPr="0033310B">
        <w:rPr>
          <w:sz w:val="22"/>
          <w:szCs w:val="22"/>
        </w:rPr>
        <w:t xml:space="preserve"> is a cornerstone of TPS. It works exceptionally well under normal conditions. Under a global supply shock of the kind caused by pandemic-related chip shortages, it was exposed. Production had to be cut significantly. Toyota's response was to build strategic chip stockpiles and broaden its supplier base</w:t>
      </w:r>
      <w:r w:rsidR="005D37E2" w:rsidRPr="0033310B">
        <w:rPr>
          <w:sz w:val="22"/>
          <w:szCs w:val="22"/>
        </w:rPr>
        <w:t>,</w:t>
      </w:r>
      <w:r w:rsidRPr="0033310B">
        <w:rPr>
          <w:sz w:val="22"/>
          <w:szCs w:val="22"/>
        </w:rPr>
        <w:t xml:space="preserve"> a meaningful departure from JIT orthodoxy. Internally, this was framed not as an abandonment of TPS principles but as an application of them: the waste being eliminated was now the waste of halted production lines (Heller, 2022). Whether that framing is entirely convincing is debatable, but it illustrates how deeply the culture shapes even the way problems are described.</w:t>
      </w:r>
    </w:p>
    <w:p w14:paraId="5956B956" w14:textId="77777777" w:rsidR="0024433C" w:rsidRPr="0033310B" w:rsidRDefault="0024433C" w:rsidP="0033310B">
      <w:pPr>
        <w:spacing w:after="120" w:line="360" w:lineRule="auto"/>
        <w:rPr>
          <w:sz w:val="22"/>
          <w:szCs w:val="22"/>
        </w:rPr>
      </w:pPr>
    </w:p>
    <w:p w14:paraId="6F10ED82" w14:textId="77777777" w:rsidR="0024433C" w:rsidRPr="0033310B" w:rsidRDefault="0024433C" w:rsidP="0033310B">
      <w:pPr>
        <w:pStyle w:val="Heading1"/>
        <w:spacing w:line="360" w:lineRule="auto"/>
        <w:rPr>
          <w:rFonts w:ascii="Arial" w:hAnsi="Arial" w:cs="Arial"/>
          <w:sz w:val="22"/>
          <w:szCs w:val="22"/>
        </w:rPr>
      </w:pPr>
      <w:r w:rsidRPr="0033310B">
        <w:rPr>
          <w:rFonts w:ascii="Arial" w:hAnsi="Arial" w:cs="Arial"/>
          <w:b/>
          <w:bCs/>
          <w:sz w:val="22"/>
          <w:szCs w:val="22"/>
        </w:rPr>
        <w:t>5. Culture as Barrier or Enabler</w:t>
      </w:r>
    </w:p>
    <w:p w14:paraId="77748930" w14:textId="77777777" w:rsidR="0024433C" w:rsidRPr="0033310B" w:rsidRDefault="0024433C" w:rsidP="0033310B">
      <w:pPr>
        <w:pStyle w:val="Heading2"/>
        <w:spacing w:line="360" w:lineRule="auto"/>
        <w:rPr>
          <w:rFonts w:ascii="Arial" w:hAnsi="Arial" w:cs="Arial"/>
          <w:sz w:val="22"/>
          <w:szCs w:val="22"/>
        </w:rPr>
      </w:pPr>
      <w:r w:rsidRPr="0033310B">
        <w:rPr>
          <w:rFonts w:ascii="Arial" w:hAnsi="Arial" w:cs="Arial"/>
          <w:b/>
          <w:bCs/>
          <w:sz w:val="22"/>
          <w:szCs w:val="22"/>
        </w:rPr>
        <w:t>5.1 Culture as Enabler</w:t>
      </w:r>
    </w:p>
    <w:p w14:paraId="4CBFE51B" w14:textId="52DDAF8F" w:rsidR="0024433C" w:rsidRPr="0033310B" w:rsidRDefault="0024433C" w:rsidP="0033310B">
      <w:pPr>
        <w:pStyle w:val="ReportBody"/>
        <w:rPr>
          <w:sz w:val="22"/>
          <w:szCs w:val="22"/>
        </w:rPr>
      </w:pPr>
      <w:r w:rsidRPr="0033310B">
        <w:rPr>
          <w:sz w:val="22"/>
          <w:szCs w:val="22"/>
        </w:rPr>
        <w:t>There is substantial evidence on the enabler side. Toyota's quality record is well established</w:t>
      </w:r>
      <w:r w:rsidR="005D37E2" w:rsidRPr="0033310B">
        <w:rPr>
          <w:sz w:val="22"/>
          <w:szCs w:val="22"/>
        </w:rPr>
        <w:t>,</w:t>
      </w:r>
      <w:r w:rsidRPr="0033310B">
        <w:rPr>
          <w:sz w:val="22"/>
          <w:szCs w:val="22"/>
        </w:rPr>
        <w:t xml:space="preserve"> the company has featured consistently near the top of J.D. Power's vehicle quality rankings for more than two decades (J.D. Power, 2023). This is not accidental; it is the direct output of a culture that treats defects as unacceptable and gives workers at every level both the authority and the obligation to stop the line when something is wrong. Employee engagement is another area where the cultural investment pays off. Bakker and Schaufeli (2008) show that genuinely engaged employees are more productive and more innovative, and Toyota's turnover rates</w:t>
      </w:r>
      <w:r w:rsidR="005D37E2" w:rsidRPr="0033310B">
        <w:rPr>
          <w:sz w:val="22"/>
          <w:szCs w:val="22"/>
        </w:rPr>
        <w:t>,</w:t>
      </w:r>
      <w:r w:rsidRPr="0033310B">
        <w:rPr>
          <w:sz w:val="22"/>
          <w:szCs w:val="22"/>
        </w:rPr>
        <w:t xml:space="preserve"> consistently below sector averages</w:t>
      </w:r>
      <w:r w:rsidR="005D37E2" w:rsidRPr="0033310B">
        <w:rPr>
          <w:sz w:val="22"/>
          <w:szCs w:val="22"/>
        </w:rPr>
        <w:t>,</w:t>
      </w:r>
      <w:r w:rsidRPr="0033310B">
        <w:rPr>
          <w:sz w:val="22"/>
          <w:szCs w:val="22"/>
        </w:rPr>
        <w:t xml:space="preserve"> suggest the Respect for People pillar is </w:t>
      </w:r>
      <w:r w:rsidRPr="0033310B">
        <w:rPr>
          <w:sz w:val="22"/>
          <w:szCs w:val="22"/>
        </w:rPr>
        <w:lastRenderedPageBreak/>
        <w:t>not just rhetoric. The TPS also functions as a knowledge management system at scale, capturing and sharing learning across a workforce of 370,000 in a way that Edmondson (2019) would recognise as institutionalised team learning. The brand equity that flows from decades of reliability</w:t>
      </w:r>
      <w:r w:rsidR="00AB774A" w:rsidRPr="0033310B">
        <w:rPr>
          <w:sz w:val="22"/>
          <w:szCs w:val="22"/>
        </w:rPr>
        <w:t>,</w:t>
      </w:r>
      <w:r w:rsidRPr="0033310B">
        <w:rPr>
          <w:sz w:val="22"/>
          <w:szCs w:val="22"/>
        </w:rPr>
        <w:t xml:space="preserve"> Interbrand (2023) valued it at around $59 billion</w:t>
      </w:r>
      <w:r w:rsidR="00AB774A" w:rsidRPr="0033310B">
        <w:rPr>
          <w:sz w:val="22"/>
          <w:szCs w:val="22"/>
        </w:rPr>
        <w:t>,</w:t>
      </w:r>
      <w:r w:rsidRPr="0033310B">
        <w:rPr>
          <w:sz w:val="22"/>
          <w:szCs w:val="22"/>
        </w:rPr>
        <w:t xml:space="preserve"> is a further financial argument for the commercial value of culture.</w:t>
      </w:r>
    </w:p>
    <w:p w14:paraId="78C52196" w14:textId="77777777" w:rsidR="0024433C" w:rsidRPr="0033310B" w:rsidRDefault="0024433C" w:rsidP="0033310B">
      <w:pPr>
        <w:pStyle w:val="Heading2"/>
        <w:spacing w:line="360" w:lineRule="auto"/>
        <w:rPr>
          <w:rFonts w:ascii="Arial" w:hAnsi="Arial" w:cs="Arial"/>
          <w:sz w:val="22"/>
          <w:szCs w:val="22"/>
        </w:rPr>
      </w:pPr>
      <w:r w:rsidRPr="0033310B">
        <w:rPr>
          <w:rFonts w:ascii="Arial" w:hAnsi="Arial" w:cs="Arial"/>
          <w:b/>
          <w:bCs/>
          <w:sz w:val="22"/>
          <w:szCs w:val="22"/>
        </w:rPr>
        <w:t>5.2 Culture as Barrier</w:t>
      </w:r>
    </w:p>
    <w:p w14:paraId="3DA65D18" w14:textId="3F3B7A66" w:rsidR="0024433C" w:rsidRPr="0033310B" w:rsidRDefault="0024433C" w:rsidP="0033310B">
      <w:pPr>
        <w:pStyle w:val="ReportBody"/>
        <w:rPr>
          <w:sz w:val="22"/>
          <w:szCs w:val="22"/>
        </w:rPr>
      </w:pPr>
      <w:r w:rsidRPr="0033310B">
        <w:rPr>
          <w:sz w:val="22"/>
          <w:szCs w:val="22"/>
        </w:rPr>
        <w:t xml:space="preserve">The recall crisis is the unavoidable </w:t>
      </w:r>
      <w:r w:rsidR="00AB774A" w:rsidRPr="0033310B">
        <w:rPr>
          <w:sz w:val="22"/>
          <w:szCs w:val="22"/>
        </w:rPr>
        <w:t>counterargument</w:t>
      </w:r>
      <w:r w:rsidRPr="0033310B">
        <w:rPr>
          <w:sz w:val="22"/>
          <w:szCs w:val="22"/>
        </w:rPr>
        <w:t>. Between 2009 and 2010, Toyota recalled more than eight million vehicles globally following reports of unintended acceleration. The total bill</w:t>
      </w:r>
      <w:r w:rsidR="00AB774A" w:rsidRPr="0033310B">
        <w:rPr>
          <w:sz w:val="22"/>
          <w:szCs w:val="22"/>
        </w:rPr>
        <w:t>,</w:t>
      </w:r>
      <w:r w:rsidRPr="0033310B">
        <w:rPr>
          <w:sz w:val="22"/>
          <w:szCs w:val="22"/>
        </w:rPr>
        <w:t xml:space="preserve"> fines, recall costs, reputational damage</w:t>
      </w:r>
      <w:r w:rsidR="00AB774A" w:rsidRPr="0033310B">
        <w:rPr>
          <w:sz w:val="22"/>
          <w:szCs w:val="22"/>
        </w:rPr>
        <w:t>,</w:t>
      </w:r>
      <w:r w:rsidRPr="0033310B">
        <w:rPr>
          <w:sz w:val="22"/>
          <w:szCs w:val="22"/>
        </w:rPr>
        <w:t xml:space="preserve"> exceeded $2 billion (Greto, Schotter and Teagarden, 2010). What is particularly relevant here is the cultural dimension of the failure. Investigators found that engineers who had concerns about the issue did not escalate them effectively. The pressure to resolve problems internally before going outside</w:t>
      </w:r>
      <w:r w:rsidR="00AB774A" w:rsidRPr="0033310B">
        <w:rPr>
          <w:sz w:val="22"/>
          <w:szCs w:val="22"/>
        </w:rPr>
        <w:t>,</w:t>
      </w:r>
      <w:r w:rsidRPr="0033310B">
        <w:rPr>
          <w:sz w:val="22"/>
          <w:szCs w:val="22"/>
        </w:rPr>
        <w:t xml:space="preserve"> a perfectly sensible norm in most circumstances</w:t>
      </w:r>
      <w:r w:rsidR="00AB774A" w:rsidRPr="0033310B">
        <w:rPr>
          <w:sz w:val="22"/>
          <w:szCs w:val="22"/>
        </w:rPr>
        <w:t>,</w:t>
      </w:r>
      <w:r w:rsidRPr="0033310B">
        <w:rPr>
          <w:sz w:val="22"/>
          <w:szCs w:val="22"/>
        </w:rPr>
        <w:t xml:space="preserve"> became a mechanism for delay when the stakes were high. The hierarchical deference that characterises Toyota's Role Culture at the strategic level made it hard to break the pattern. A cultural strength had become a structural weakness.</w:t>
      </w:r>
    </w:p>
    <w:p w14:paraId="324E473F" w14:textId="77777777" w:rsidR="0024433C" w:rsidRPr="0033310B" w:rsidRDefault="0024433C" w:rsidP="0033310B">
      <w:pPr>
        <w:pStyle w:val="ReportBody"/>
        <w:rPr>
          <w:sz w:val="22"/>
          <w:szCs w:val="22"/>
        </w:rPr>
      </w:pPr>
      <w:r w:rsidRPr="0033310B">
        <w:rPr>
          <w:sz w:val="22"/>
          <w:szCs w:val="22"/>
        </w:rPr>
        <w:t>The BEV question is a softer but still real example. The consensus-driven process that makes Toyota's operational decisions so reliable made its strategic technology choices slower and less decisive than competitors at a critical moment (Heller, 2022). And the cross-cultural dimension is worth noting too: Javidan and House (2001) found that Toyota's collectivist, high power distance culture generates real friction in individualistic national contexts when local management lacks the skills to bridge the gap.</w:t>
      </w:r>
    </w:p>
    <w:p w14:paraId="00101A73" w14:textId="77777777" w:rsidR="0024433C" w:rsidRPr="0033310B" w:rsidRDefault="0024433C" w:rsidP="0033310B">
      <w:pPr>
        <w:pStyle w:val="ReportBody"/>
        <w:rPr>
          <w:sz w:val="22"/>
          <w:szCs w:val="22"/>
        </w:rPr>
      </w:pPr>
      <w:r w:rsidRPr="0033310B">
        <w:rPr>
          <w:sz w:val="22"/>
          <w:szCs w:val="22"/>
        </w:rPr>
        <w:t>On balance, Toyota's culture is more enabler than barrier. That is the honest conclusion, and it is consistent with what Mullins and Christy (2016) argue: culture is not inherently positive or negative, but its effects depend on how consciously and actively it is managed. The recall crisis was a management failure as much as a cultural one.</w:t>
      </w:r>
    </w:p>
    <w:p w14:paraId="04D36A19" w14:textId="77777777" w:rsidR="0024433C" w:rsidRPr="0033310B" w:rsidRDefault="0024433C" w:rsidP="0033310B">
      <w:pPr>
        <w:spacing w:after="120" w:line="360" w:lineRule="auto"/>
        <w:rPr>
          <w:sz w:val="22"/>
          <w:szCs w:val="22"/>
        </w:rPr>
      </w:pPr>
    </w:p>
    <w:p w14:paraId="3D99FD07" w14:textId="77777777" w:rsidR="0024433C" w:rsidRPr="0033310B" w:rsidRDefault="0024433C" w:rsidP="0033310B">
      <w:pPr>
        <w:pStyle w:val="Heading1"/>
        <w:spacing w:line="360" w:lineRule="auto"/>
        <w:rPr>
          <w:rFonts w:ascii="Arial" w:hAnsi="Arial" w:cs="Arial"/>
          <w:sz w:val="22"/>
          <w:szCs w:val="22"/>
        </w:rPr>
      </w:pPr>
      <w:r w:rsidRPr="0033310B">
        <w:rPr>
          <w:rFonts w:ascii="Arial" w:hAnsi="Arial" w:cs="Arial"/>
          <w:b/>
          <w:bCs/>
          <w:sz w:val="22"/>
          <w:szCs w:val="22"/>
        </w:rPr>
        <w:t>6. Performance Impact and Recommendations</w:t>
      </w:r>
    </w:p>
    <w:p w14:paraId="578CC2A9" w14:textId="77777777" w:rsidR="0024433C" w:rsidRPr="0033310B" w:rsidRDefault="0024433C" w:rsidP="0033310B">
      <w:pPr>
        <w:pStyle w:val="Heading2"/>
        <w:spacing w:line="360" w:lineRule="auto"/>
        <w:rPr>
          <w:rFonts w:ascii="Arial" w:hAnsi="Arial" w:cs="Arial"/>
          <w:sz w:val="22"/>
          <w:szCs w:val="22"/>
        </w:rPr>
      </w:pPr>
      <w:r w:rsidRPr="0033310B">
        <w:rPr>
          <w:rFonts w:ascii="Arial" w:hAnsi="Arial" w:cs="Arial"/>
          <w:b/>
          <w:bCs/>
          <w:sz w:val="22"/>
          <w:szCs w:val="22"/>
        </w:rPr>
        <w:t>6.1 Impact on Organisational Performance</w:t>
      </w:r>
    </w:p>
    <w:p w14:paraId="4E14C235" w14:textId="4F637721" w:rsidR="0024433C" w:rsidRPr="0033310B" w:rsidRDefault="0024433C" w:rsidP="0033310B">
      <w:pPr>
        <w:pStyle w:val="ReportBody"/>
        <w:rPr>
          <w:sz w:val="22"/>
          <w:szCs w:val="22"/>
        </w:rPr>
      </w:pPr>
      <w:r w:rsidRPr="0033310B">
        <w:rPr>
          <w:sz w:val="22"/>
          <w:szCs w:val="22"/>
        </w:rPr>
        <w:t xml:space="preserve">Toyota's fiscal year 2023 results were the strongest in its history: net revenues of ¥45.1 trillion (roughly £235 billion) and a net profit of ¥4.9 trillion (Toyota, 2023). These numbers are not separable from cultural outputs. Waste elimination through TPS reduces cost. Kaizen drives quality. Long-term orientation keeps R&amp;D investment flowing even when short-term pressures push against it. It is also worth noting that Toyota's cultural model has spread well beyond the </w:t>
      </w:r>
      <w:r w:rsidRPr="0033310B">
        <w:rPr>
          <w:sz w:val="22"/>
          <w:szCs w:val="22"/>
        </w:rPr>
        <w:lastRenderedPageBreak/>
        <w:t>automotive sector</w:t>
      </w:r>
      <w:r w:rsidR="00AB774A" w:rsidRPr="0033310B">
        <w:rPr>
          <w:sz w:val="22"/>
          <w:szCs w:val="22"/>
        </w:rPr>
        <w:t>,</w:t>
      </w:r>
      <w:r w:rsidRPr="0033310B">
        <w:rPr>
          <w:sz w:val="22"/>
          <w:szCs w:val="22"/>
        </w:rPr>
        <w:t xml:space="preserve"> NHS Improvement (2021) has drawn on TPS-derived Lean methods in hospital settings, which says something about the model's broader credibility.</w:t>
      </w:r>
    </w:p>
    <w:p w14:paraId="0D6B4BEA" w14:textId="77777777" w:rsidR="0024433C" w:rsidRPr="0033310B" w:rsidRDefault="0024433C" w:rsidP="0033310B">
      <w:pPr>
        <w:pStyle w:val="ReportBody"/>
        <w:rPr>
          <w:sz w:val="22"/>
          <w:szCs w:val="22"/>
        </w:rPr>
      </w:pPr>
      <w:r w:rsidRPr="0033310B">
        <w:rPr>
          <w:sz w:val="22"/>
          <w:szCs w:val="22"/>
        </w:rPr>
        <w:t>That said, the recall crisis cost over $2 billion and damaged a reputation that had taken decades to build. Toyota's slower BEV entry has left gaps in segments where sustainability-conscious buyers are a growing force (Heller, 2022). Culture creates value and, when poorly managed, destroys it. Both things are true of Toyota.</w:t>
      </w:r>
    </w:p>
    <w:p w14:paraId="684C0F9F" w14:textId="77777777" w:rsidR="0024433C" w:rsidRPr="0033310B" w:rsidRDefault="0024433C" w:rsidP="0033310B">
      <w:pPr>
        <w:pStyle w:val="Heading2"/>
        <w:spacing w:line="360" w:lineRule="auto"/>
        <w:rPr>
          <w:rFonts w:ascii="Arial" w:hAnsi="Arial" w:cs="Arial"/>
          <w:sz w:val="22"/>
          <w:szCs w:val="22"/>
        </w:rPr>
      </w:pPr>
      <w:r w:rsidRPr="0033310B">
        <w:rPr>
          <w:rFonts w:ascii="Arial" w:hAnsi="Arial" w:cs="Arial"/>
          <w:b/>
          <w:bCs/>
          <w:sz w:val="22"/>
          <w:szCs w:val="22"/>
        </w:rPr>
        <w:t>6.2 Evidence-Based Recommendations</w:t>
      </w:r>
    </w:p>
    <w:p w14:paraId="490028C5" w14:textId="77777777" w:rsidR="0024433C" w:rsidRPr="0033310B" w:rsidRDefault="0024433C" w:rsidP="0033310B">
      <w:pPr>
        <w:pStyle w:val="Heading3"/>
        <w:spacing w:line="360" w:lineRule="auto"/>
        <w:rPr>
          <w:rFonts w:cs="Arial"/>
          <w:sz w:val="22"/>
          <w:szCs w:val="22"/>
        </w:rPr>
      </w:pPr>
      <w:r w:rsidRPr="0033310B">
        <w:rPr>
          <w:rFonts w:cs="Arial"/>
          <w:b/>
          <w:bCs/>
          <w:i/>
          <w:iCs/>
          <w:sz w:val="22"/>
          <w:szCs w:val="22"/>
        </w:rPr>
        <w:t>Recommendation 1: Institutionalise Psychological Safety Mechanisms</w:t>
      </w:r>
    </w:p>
    <w:p w14:paraId="2628D786" w14:textId="7D15FD6E" w:rsidR="0024433C" w:rsidRPr="0033310B" w:rsidRDefault="0024433C" w:rsidP="0033310B">
      <w:pPr>
        <w:pStyle w:val="ReportBody"/>
        <w:rPr>
          <w:sz w:val="22"/>
          <w:szCs w:val="22"/>
        </w:rPr>
      </w:pPr>
      <w:r w:rsidRPr="0033310B">
        <w:rPr>
          <w:sz w:val="22"/>
          <w:szCs w:val="22"/>
        </w:rPr>
        <w:t>The recall crisis pointed to a specific and fixable problem: the culture made it hard for people to raise concerns upward. Edmondson's (2019) research on psychological safety offers a practical framework for addressing this. Toyota should establish formal speak-up channels</w:t>
      </w:r>
      <w:r w:rsidR="00AB774A" w:rsidRPr="0033310B">
        <w:rPr>
          <w:sz w:val="22"/>
          <w:szCs w:val="22"/>
        </w:rPr>
        <w:t>,</w:t>
      </w:r>
      <w:r w:rsidRPr="0033310B">
        <w:rPr>
          <w:sz w:val="22"/>
          <w:szCs w:val="22"/>
        </w:rPr>
        <w:t xml:space="preserve"> anonymous reporting systems, regular cross-functional safety reviews</w:t>
      </w:r>
      <w:r w:rsidR="00AB774A" w:rsidRPr="0033310B">
        <w:rPr>
          <w:sz w:val="22"/>
          <w:szCs w:val="22"/>
        </w:rPr>
        <w:t>,</w:t>
      </w:r>
      <w:r w:rsidRPr="0033310B">
        <w:rPr>
          <w:sz w:val="22"/>
          <w:szCs w:val="22"/>
        </w:rPr>
        <w:t xml:space="preserve"> with leadership explicitly committed to responding without punishment. The goal is not to undermine the internal problem-solving culture but to make sure serious concerns reach the right people quickly enough to matter.</w:t>
      </w:r>
    </w:p>
    <w:p w14:paraId="07E0EDE0" w14:textId="77777777" w:rsidR="0024433C" w:rsidRPr="0033310B" w:rsidRDefault="0024433C" w:rsidP="0033310B">
      <w:pPr>
        <w:pStyle w:val="Heading3"/>
        <w:spacing w:line="360" w:lineRule="auto"/>
        <w:rPr>
          <w:rFonts w:cs="Arial"/>
          <w:sz w:val="22"/>
          <w:szCs w:val="22"/>
        </w:rPr>
      </w:pPr>
      <w:r w:rsidRPr="0033310B">
        <w:rPr>
          <w:rFonts w:cs="Arial"/>
          <w:b/>
          <w:bCs/>
          <w:i/>
          <w:iCs/>
          <w:sz w:val="22"/>
          <w:szCs w:val="22"/>
        </w:rPr>
        <w:t>Recommendation 2: Develop a Cultural Bridge Programme for International Operations</w:t>
      </w:r>
    </w:p>
    <w:p w14:paraId="5B1254B5" w14:textId="782B581D" w:rsidR="0024433C" w:rsidRPr="0033310B" w:rsidRDefault="0024433C" w:rsidP="0033310B">
      <w:pPr>
        <w:pStyle w:val="ReportBody"/>
        <w:rPr>
          <w:sz w:val="22"/>
          <w:szCs w:val="22"/>
        </w:rPr>
      </w:pPr>
      <w:r w:rsidRPr="0033310B">
        <w:rPr>
          <w:sz w:val="22"/>
          <w:szCs w:val="22"/>
        </w:rPr>
        <w:t>The friction between Toyota's Japanese corporate culture and the national cultures of its major markets is real and documented (Javidan and House, 2001). A structured Cultural Bridge Programme</w:t>
      </w:r>
      <w:r w:rsidR="00AB774A" w:rsidRPr="0033310B">
        <w:rPr>
          <w:sz w:val="22"/>
          <w:szCs w:val="22"/>
        </w:rPr>
        <w:t>,</w:t>
      </w:r>
      <w:r w:rsidRPr="0033310B">
        <w:rPr>
          <w:sz w:val="22"/>
          <w:szCs w:val="22"/>
        </w:rPr>
        <w:t xml:space="preserve"> drawing on the GLOBE framework to map cultural distance in each key market and training local managers accordingly</w:t>
      </w:r>
      <w:r w:rsidR="00AB774A" w:rsidRPr="0033310B">
        <w:rPr>
          <w:sz w:val="22"/>
          <w:szCs w:val="22"/>
        </w:rPr>
        <w:t>,</w:t>
      </w:r>
      <w:r w:rsidRPr="0033310B">
        <w:rPr>
          <w:sz w:val="22"/>
          <w:szCs w:val="22"/>
        </w:rPr>
        <w:t xml:space="preserve"> would help. Translating Toyota Way values into locally meaningful behaviours is not the same as abandoning them. If anything, it is Kaizen applied to the culture itself.</w:t>
      </w:r>
    </w:p>
    <w:p w14:paraId="694895A5" w14:textId="77777777" w:rsidR="0024433C" w:rsidRPr="0033310B" w:rsidRDefault="0024433C" w:rsidP="0033310B">
      <w:pPr>
        <w:pStyle w:val="Heading3"/>
        <w:spacing w:line="360" w:lineRule="auto"/>
        <w:rPr>
          <w:rFonts w:cs="Arial"/>
          <w:sz w:val="22"/>
          <w:szCs w:val="22"/>
        </w:rPr>
      </w:pPr>
      <w:r w:rsidRPr="0033310B">
        <w:rPr>
          <w:rFonts w:cs="Arial"/>
          <w:b/>
          <w:bCs/>
          <w:i/>
          <w:iCs/>
          <w:sz w:val="22"/>
          <w:szCs w:val="22"/>
        </w:rPr>
        <w:t>Recommendation 3: Establish Ambidextrous Innovation Structures</w:t>
      </w:r>
    </w:p>
    <w:p w14:paraId="20A1B861" w14:textId="2A81D97D" w:rsidR="0024433C" w:rsidRPr="0033310B" w:rsidRDefault="0024433C" w:rsidP="0033310B">
      <w:pPr>
        <w:pStyle w:val="ReportBody"/>
        <w:rPr>
          <w:sz w:val="22"/>
          <w:szCs w:val="22"/>
        </w:rPr>
      </w:pPr>
      <w:r w:rsidRPr="0033310B">
        <w:rPr>
          <w:sz w:val="22"/>
          <w:szCs w:val="22"/>
        </w:rPr>
        <w:t>Tushman and O'Reilly (1996) argued that successful organisations need to be ambidextrous</w:t>
      </w:r>
      <w:r w:rsidR="00AB774A" w:rsidRPr="0033310B">
        <w:rPr>
          <w:sz w:val="22"/>
          <w:szCs w:val="22"/>
        </w:rPr>
        <w:t>,</w:t>
      </w:r>
      <w:r w:rsidRPr="0033310B">
        <w:rPr>
          <w:sz w:val="22"/>
          <w:szCs w:val="22"/>
        </w:rPr>
        <w:t xml:space="preserve"> running core operations and exploratory innovation simultaneously, under different cultural rules. Toyota's conservative, TPS-governed culture is well suited to the former but not the latter. Designated innovation units, with separate budgets and explicit permission to operate outside TPS orthodoxy, would give the company a way to compete in disruptive domains without putting the operational culture at risk.</w:t>
      </w:r>
    </w:p>
    <w:p w14:paraId="772B281E" w14:textId="77777777" w:rsidR="0024433C" w:rsidRPr="0033310B" w:rsidRDefault="0024433C" w:rsidP="0033310B">
      <w:pPr>
        <w:pStyle w:val="Heading3"/>
        <w:spacing w:line="360" w:lineRule="auto"/>
        <w:rPr>
          <w:rFonts w:cs="Arial"/>
          <w:sz w:val="22"/>
          <w:szCs w:val="22"/>
        </w:rPr>
      </w:pPr>
      <w:r w:rsidRPr="0033310B">
        <w:rPr>
          <w:rFonts w:cs="Arial"/>
          <w:b/>
          <w:bCs/>
          <w:i/>
          <w:iCs/>
          <w:sz w:val="22"/>
          <w:szCs w:val="22"/>
        </w:rPr>
        <w:t>Recommendation 4: Embed ESG as a Kaizen Domain</w:t>
      </w:r>
    </w:p>
    <w:p w14:paraId="4DAF00A8" w14:textId="4E68C1D0" w:rsidR="0024433C" w:rsidRPr="0033310B" w:rsidRDefault="0024433C" w:rsidP="0033310B">
      <w:pPr>
        <w:pStyle w:val="ReportBody"/>
        <w:rPr>
          <w:sz w:val="22"/>
          <w:szCs w:val="22"/>
        </w:rPr>
      </w:pPr>
      <w:r w:rsidRPr="0033310B">
        <w:rPr>
          <w:sz w:val="22"/>
          <w:szCs w:val="22"/>
        </w:rPr>
        <w:t xml:space="preserve">Environmental and governance expectations from investors, regulators, and customers are no longer optional considerations. Toyota should treat sustainability not as a compliance matter </w:t>
      </w:r>
      <w:r w:rsidRPr="0033310B">
        <w:rPr>
          <w:sz w:val="22"/>
          <w:szCs w:val="22"/>
        </w:rPr>
        <w:lastRenderedPageBreak/>
        <w:t>sitting outside its core operations, but as a Kaizen domain in its own right</w:t>
      </w:r>
      <w:r w:rsidR="00AB774A" w:rsidRPr="0033310B">
        <w:rPr>
          <w:sz w:val="22"/>
          <w:szCs w:val="22"/>
        </w:rPr>
        <w:t>,</w:t>
      </w:r>
      <w:r w:rsidRPr="0033310B">
        <w:rPr>
          <w:sz w:val="22"/>
          <w:szCs w:val="22"/>
        </w:rPr>
        <w:t xml:space="preserve"> with measurable improvement targets for carbon, water, and supply chain standards, tracked and improved using the same discipline applied to production quality. Johnson, Scholes and Whittington (2020) argue that cultural alignment with stakeholder expectations is increasingly central to organisational legitimacy, and this is one area where Toyota's culture is well positioned to deliver, if the intention is made explicit.</w:t>
      </w:r>
    </w:p>
    <w:p w14:paraId="4DB90D50" w14:textId="77777777" w:rsidR="0024433C" w:rsidRPr="0033310B" w:rsidRDefault="0024433C" w:rsidP="0033310B">
      <w:pPr>
        <w:spacing w:after="120" w:line="360" w:lineRule="auto"/>
        <w:rPr>
          <w:sz w:val="22"/>
          <w:szCs w:val="22"/>
        </w:rPr>
      </w:pPr>
    </w:p>
    <w:p w14:paraId="4F409F90" w14:textId="77777777" w:rsidR="0024433C" w:rsidRPr="0033310B" w:rsidRDefault="0024433C" w:rsidP="0033310B">
      <w:pPr>
        <w:pStyle w:val="Heading1"/>
        <w:spacing w:line="360" w:lineRule="auto"/>
        <w:rPr>
          <w:rFonts w:ascii="Arial" w:hAnsi="Arial" w:cs="Arial"/>
          <w:sz w:val="22"/>
          <w:szCs w:val="22"/>
        </w:rPr>
      </w:pPr>
      <w:r w:rsidRPr="0033310B">
        <w:rPr>
          <w:rFonts w:ascii="Arial" w:hAnsi="Arial" w:cs="Arial"/>
          <w:b/>
          <w:bCs/>
          <w:sz w:val="22"/>
          <w:szCs w:val="22"/>
        </w:rPr>
        <w:t>7. Conclusion</w:t>
      </w:r>
    </w:p>
    <w:p w14:paraId="7D36278F" w14:textId="61667C85" w:rsidR="0024433C" w:rsidRPr="0033310B" w:rsidRDefault="0024433C" w:rsidP="0033310B">
      <w:pPr>
        <w:pStyle w:val="ReportBody"/>
        <w:rPr>
          <w:sz w:val="22"/>
          <w:szCs w:val="22"/>
        </w:rPr>
      </w:pPr>
      <w:r w:rsidRPr="0033310B">
        <w:rPr>
          <w:sz w:val="22"/>
          <w:szCs w:val="22"/>
        </w:rPr>
        <w:t>This report has examined Toyota's organisational culture through the lens of Mullins and Christy's (2016) argument that culture shapes everything from decision-making to structure to how people behave under pressure. The analysis supports that argument. Schein's (2017) model shows that Toyota's most powerful cultural forces operate below the surface</w:t>
      </w:r>
      <w:r w:rsidR="00AB774A" w:rsidRPr="0033310B">
        <w:rPr>
          <w:sz w:val="22"/>
          <w:szCs w:val="22"/>
        </w:rPr>
        <w:t>,</w:t>
      </w:r>
      <w:r w:rsidRPr="0033310B">
        <w:rPr>
          <w:sz w:val="22"/>
          <w:szCs w:val="22"/>
        </w:rPr>
        <w:t xml:space="preserve"> in assumptions so deeply held that they are rarely questioned. Hofstede (2001) provides a language for the collectivist, long-term, uncertainty-averse dimensions of that culture, while Handy (1993) captures the interesting blend of Task and Role orientations that coexist across different parts of the organisation.</w:t>
      </w:r>
    </w:p>
    <w:p w14:paraId="21988765" w14:textId="13CC8427" w:rsidR="0024433C" w:rsidRPr="0033310B" w:rsidRDefault="0024433C" w:rsidP="0033310B">
      <w:pPr>
        <w:pStyle w:val="ReportBody"/>
        <w:rPr>
          <w:sz w:val="22"/>
          <w:szCs w:val="22"/>
        </w:rPr>
      </w:pPr>
      <w:r w:rsidRPr="0033310B">
        <w:rPr>
          <w:sz w:val="22"/>
          <w:szCs w:val="22"/>
        </w:rPr>
        <w:t>The overall picture is of a culture that has been genuinely remarkable in its effects</w:t>
      </w:r>
      <w:r w:rsidR="00AB774A" w:rsidRPr="0033310B">
        <w:rPr>
          <w:sz w:val="22"/>
          <w:szCs w:val="22"/>
        </w:rPr>
        <w:t>,</w:t>
      </w:r>
      <w:r w:rsidRPr="0033310B">
        <w:rPr>
          <w:sz w:val="22"/>
          <w:szCs w:val="22"/>
        </w:rPr>
        <w:t xml:space="preserve"> on quality, on financial performance, on the spread of its ideas into industries far beyond cars. But the recall crisis showed what happens when cultural norms that usually work well become obstacles in a crisis, and the BEV story is a reminder that even a strong culture needs to be challenged occasionally. The risk for any organisation with a culture as coherent as Toyota's is that confidence shades into rigidity.</w:t>
      </w:r>
    </w:p>
    <w:p w14:paraId="738EFDA3" w14:textId="0FD77B44" w:rsidR="0024433C" w:rsidRPr="0033310B" w:rsidRDefault="0024433C" w:rsidP="0033310B">
      <w:pPr>
        <w:pStyle w:val="ReportBody"/>
        <w:rPr>
          <w:sz w:val="22"/>
          <w:szCs w:val="22"/>
        </w:rPr>
      </w:pPr>
      <w:r w:rsidRPr="0033310B">
        <w:rPr>
          <w:sz w:val="22"/>
          <w:szCs w:val="22"/>
        </w:rPr>
        <w:t>The four recommendations</w:t>
      </w:r>
      <w:r w:rsidR="00AB774A" w:rsidRPr="0033310B">
        <w:rPr>
          <w:sz w:val="22"/>
          <w:szCs w:val="22"/>
        </w:rPr>
        <w:t>,</w:t>
      </w:r>
      <w:r w:rsidRPr="0033310B">
        <w:rPr>
          <w:sz w:val="22"/>
          <w:szCs w:val="22"/>
        </w:rPr>
        <w:t xml:space="preserve"> psychological safety mechanisms, a cultural bridge programme, ambidextrous innovation structures, and ESG embedded within Kaizen</w:t>
      </w:r>
      <w:r w:rsidR="00AB774A" w:rsidRPr="0033310B">
        <w:rPr>
          <w:sz w:val="22"/>
          <w:szCs w:val="22"/>
        </w:rPr>
        <w:t>,</w:t>
      </w:r>
      <w:r w:rsidRPr="0033310B">
        <w:rPr>
          <w:sz w:val="22"/>
          <w:szCs w:val="22"/>
        </w:rPr>
        <w:t xml:space="preserve"> are grounded in theory and in what Toyota has already learned from experience. None requires abandoning what has made the company successful. They require applying its own logic of continuous improvement to the management of culture itself.</w:t>
      </w:r>
    </w:p>
    <w:p w14:paraId="4FA54F26" w14:textId="77777777" w:rsidR="0024433C" w:rsidRPr="0033310B" w:rsidRDefault="0024433C" w:rsidP="0033310B">
      <w:pPr>
        <w:spacing w:after="120" w:line="360" w:lineRule="auto"/>
        <w:rPr>
          <w:sz w:val="22"/>
          <w:szCs w:val="22"/>
        </w:rPr>
      </w:pPr>
    </w:p>
    <w:p w14:paraId="13DA453E" w14:textId="77777777" w:rsidR="0024433C" w:rsidRPr="0033310B" w:rsidRDefault="0024433C" w:rsidP="0033310B">
      <w:pPr>
        <w:spacing w:line="360" w:lineRule="auto"/>
        <w:rPr>
          <w:sz w:val="22"/>
          <w:szCs w:val="22"/>
        </w:rPr>
      </w:pPr>
      <w:r w:rsidRPr="0033310B">
        <w:rPr>
          <w:sz w:val="22"/>
          <w:szCs w:val="22"/>
        </w:rPr>
        <w:br w:type="page"/>
      </w:r>
    </w:p>
    <w:p w14:paraId="379F063C" w14:textId="77777777" w:rsidR="0024433C" w:rsidRPr="0033310B" w:rsidRDefault="0024433C" w:rsidP="0033310B">
      <w:pPr>
        <w:pStyle w:val="Heading1"/>
        <w:spacing w:line="360" w:lineRule="auto"/>
        <w:rPr>
          <w:rFonts w:ascii="Arial" w:hAnsi="Arial" w:cs="Arial"/>
          <w:sz w:val="22"/>
          <w:szCs w:val="22"/>
        </w:rPr>
      </w:pPr>
      <w:r w:rsidRPr="0033310B">
        <w:rPr>
          <w:rFonts w:ascii="Arial" w:hAnsi="Arial" w:cs="Arial"/>
          <w:b/>
          <w:bCs/>
          <w:sz w:val="22"/>
          <w:szCs w:val="22"/>
        </w:rPr>
        <w:lastRenderedPageBreak/>
        <w:t>Reference List</w:t>
      </w:r>
    </w:p>
    <w:p w14:paraId="6ABEF3CD" w14:textId="76330A03" w:rsidR="0024433C" w:rsidRPr="0033310B" w:rsidRDefault="0024433C" w:rsidP="0033310B">
      <w:pPr>
        <w:pStyle w:val="RefItem"/>
        <w:spacing w:line="360" w:lineRule="auto"/>
        <w:rPr>
          <w:sz w:val="22"/>
          <w:szCs w:val="22"/>
        </w:rPr>
      </w:pPr>
      <w:r w:rsidRPr="0033310B">
        <w:rPr>
          <w:sz w:val="22"/>
          <w:szCs w:val="22"/>
        </w:rPr>
        <w:t xml:space="preserve">Bakker, A.B. and Schaufeli, W.B. (2008) 'Positive organizational </w:t>
      </w:r>
      <w:r w:rsidR="00AB774A" w:rsidRPr="0033310B">
        <w:rPr>
          <w:sz w:val="22"/>
          <w:szCs w:val="22"/>
        </w:rPr>
        <w:t>behaviour</w:t>
      </w:r>
      <w:r w:rsidRPr="0033310B">
        <w:rPr>
          <w:sz w:val="22"/>
          <w:szCs w:val="22"/>
        </w:rPr>
        <w:t xml:space="preserve">: Engaged employees in flourishing organizations', Journal of Organizational </w:t>
      </w:r>
      <w:r w:rsidR="00AB774A" w:rsidRPr="0033310B">
        <w:rPr>
          <w:sz w:val="22"/>
          <w:szCs w:val="22"/>
        </w:rPr>
        <w:t>Behaviour</w:t>
      </w:r>
      <w:r w:rsidRPr="0033310B">
        <w:rPr>
          <w:sz w:val="22"/>
          <w:szCs w:val="22"/>
        </w:rPr>
        <w:t>, 29(2), pp.147–154.</w:t>
      </w:r>
    </w:p>
    <w:p w14:paraId="3A9BEEAB" w14:textId="1F1418E4" w:rsidR="0024433C" w:rsidRPr="0033310B" w:rsidRDefault="0024433C" w:rsidP="0033310B">
      <w:pPr>
        <w:pStyle w:val="RefItem"/>
        <w:spacing w:line="360" w:lineRule="auto"/>
        <w:rPr>
          <w:sz w:val="22"/>
          <w:szCs w:val="22"/>
        </w:rPr>
      </w:pPr>
      <w:r w:rsidRPr="0033310B">
        <w:rPr>
          <w:sz w:val="22"/>
          <w:szCs w:val="22"/>
        </w:rPr>
        <w:t>Cameron, K.S. and Quinn, R.E. (2011) Diagnosing and Changing Organizational Culture. 3rd ed. San Francisco: Jossey-Bass.</w:t>
      </w:r>
    </w:p>
    <w:p w14:paraId="0B1FDEE1" w14:textId="610BA9C9" w:rsidR="0024433C" w:rsidRPr="0033310B" w:rsidRDefault="0024433C" w:rsidP="0033310B">
      <w:pPr>
        <w:pStyle w:val="RefItem"/>
        <w:spacing w:line="360" w:lineRule="auto"/>
        <w:rPr>
          <w:sz w:val="22"/>
          <w:szCs w:val="22"/>
        </w:rPr>
      </w:pPr>
      <w:r w:rsidRPr="0033310B">
        <w:rPr>
          <w:sz w:val="22"/>
          <w:szCs w:val="22"/>
        </w:rPr>
        <w:t>Daft, R.L. (2021) Organization Theory and Design. 13th ed. Mason, OH: South-Western Cengage Learning.</w:t>
      </w:r>
    </w:p>
    <w:p w14:paraId="60B61F86" w14:textId="77777777" w:rsidR="0024433C" w:rsidRPr="0033310B" w:rsidRDefault="0024433C" w:rsidP="0033310B">
      <w:pPr>
        <w:pStyle w:val="RefItem"/>
        <w:spacing w:line="360" w:lineRule="auto"/>
        <w:rPr>
          <w:sz w:val="22"/>
          <w:szCs w:val="22"/>
        </w:rPr>
      </w:pPr>
      <w:r w:rsidRPr="0033310B">
        <w:rPr>
          <w:sz w:val="22"/>
          <w:szCs w:val="22"/>
        </w:rPr>
        <w:t>Edmondson, A.C. (2019) The Fearless Organization: Creating Psychological Safety in the Workplace for Learning, Innovation, and Growth. Hoboken, NJ: John Wiley &amp; Sons.</w:t>
      </w:r>
    </w:p>
    <w:p w14:paraId="45E443F3" w14:textId="77777777" w:rsidR="0024433C" w:rsidRPr="0033310B" w:rsidRDefault="0024433C" w:rsidP="0033310B">
      <w:pPr>
        <w:pStyle w:val="RefItem"/>
        <w:spacing w:line="360" w:lineRule="auto"/>
        <w:rPr>
          <w:sz w:val="22"/>
          <w:szCs w:val="22"/>
        </w:rPr>
      </w:pPr>
      <w:r w:rsidRPr="0033310B">
        <w:rPr>
          <w:sz w:val="22"/>
          <w:szCs w:val="22"/>
        </w:rPr>
        <w:t>Greto, M., Schotter, A. and Teagarden, M.B. (2010) 'Toyota: The Accelerator Crisis', Thunderbird School of Global Management Case Study.</w:t>
      </w:r>
    </w:p>
    <w:p w14:paraId="610FAD2C" w14:textId="177D5E63" w:rsidR="0024433C" w:rsidRPr="0033310B" w:rsidRDefault="0024433C" w:rsidP="0033310B">
      <w:pPr>
        <w:pStyle w:val="RefItem"/>
        <w:spacing w:line="360" w:lineRule="auto"/>
        <w:rPr>
          <w:sz w:val="22"/>
          <w:szCs w:val="22"/>
        </w:rPr>
      </w:pPr>
      <w:r w:rsidRPr="0033310B">
        <w:rPr>
          <w:sz w:val="22"/>
          <w:szCs w:val="22"/>
        </w:rPr>
        <w:t>Handy, C. (1993) Understanding Organizations. 4th ed. London: Penguin Books.</w:t>
      </w:r>
    </w:p>
    <w:p w14:paraId="31736067" w14:textId="77777777" w:rsidR="0024433C" w:rsidRPr="0033310B" w:rsidRDefault="0024433C" w:rsidP="0033310B">
      <w:pPr>
        <w:pStyle w:val="RefItem"/>
        <w:spacing w:line="360" w:lineRule="auto"/>
        <w:rPr>
          <w:sz w:val="22"/>
          <w:szCs w:val="22"/>
        </w:rPr>
      </w:pPr>
      <w:r w:rsidRPr="0033310B">
        <w:rPr>
          <w:sz w:val="22"/>
          <w:szCs w:val="22"/>
        </w:rPr>
        <w:t>Heller, M. (2022) 'Toyota's Electric Gamble: Culture, Strategy and the BEV Transition', Harvard Business Review, 100(4), pp.74–83.</w:t>
      </w:r>
    </w:p>
    <w:p w14:paraId="32462D14" w14:textId="365756E4" w:rsidR="0024433C" w:rsidRPr="0033310B" w:rsidRDefault="0024433C" w:rsidP="0033310B">
      <w:pPr>
        <w:pStyle w:val="RefItem"/>
        <w:spacing w:line="360" w:lineRule="auto"/>
        <w:rPr>
          <w:sz w:val="22"/>
          <w:szCs w:val="22"/>
        </w:rPr>
      </w:pPr>
      <w:r w:rsidRPr="0033310B">
        <w:rPr>
          <w:sz w:val="22"/>
          <w:szCs w:val="22"/>
        </w:rPr>
        <w:t xml:space="preserve">Hofstede, G. (2001) Culture's Consequences: Comparing Values, </w:t>
      </w:r>
      <w:r w:rsidR="00AB774A" w:rsidRPr="0033310B">
        <w:rPr>
          <w:sz w:val="22"/>
          <w:szCs w:val="22"/>
        </w:rPr>
        <w:t>Behaviours</w:t>
      </w:r>
      <w:r w:rsidRPr="0033310B">
        <w:rPr>
          <w:sz w:val="22"/>
          <w:szCs w:val="22"/>
        </w:rPr>
        <w:t>, Institutions and Organizations Across Nations. 2nd ed. Thousand Oaks, CA: Sage.</w:t>
      </w:r>
    </w:p>
    <w:p w14:paraId="493C340D" w14:textId="77777777" w:rsidR="0024433C" w:rsidRPr="0033310B" w:rsidRDefault="0024433C" w:rsidP="0033310B">
      <w:pPr>
        <w:pStyle w:val="RefItem"/>
        <w:spacing w:line="360" w:lineRule="auto"/>
        <w:rPr>
          <w:sz w:val="22"/>
          <w:szCs w:val="22"/>
        </w:rPr>
      </w:pPr>
      <w:r w:rsidRPr="0033310B">
        <w:rPr>
          <w:sz w:val="22"/>
          <w:szCs w:val="22"/>
        </w:rPr>
        <w:t>Interbrand (2023) Best Global Brands 2023 [Online]. Available at: https://interbrand.com/best-global-brands/ (Accessed: 5 March 2025).</w:t>
      </w:r>
    </w:p>
    <w:p w14:paraId="6361943A" w14:textId="77777777" w:rsidR="0024433C" w:rsidRPr="0033310B" w:rsidRDefault="0024433C" w:rsidP="0033310B">
      <w:pPr>
        <w:pStyle w:val="RefItem"/>
        <w:spacing w:line="360" w:lineRule="auto"/>
        <w:rPr>
          <w:sz w:val="22"/>
          <w:szCs w:val="22"/>
        </w:rPr>
      </w:pPr>
      <w:r w:rsidRPr="0033310B">
        <w:rPr>
          <w:sz w:val="22"/>
          <w:szCs w:val="22"/>
        </w:rPr>
        <w:t>Javidan, M. and House, R.J. (2001) 'Cultural acumen for the global manager: Lessons from Project GLOBE', Organizational Dynamics, 29(4), pp.289–305.</w:t>
      </w:r>
    </w:p>
    <w:p w14:paraId="31807367" w14:textId="4FAD3E06" w:rsidR="0024433C" w:rsidRPr="0033310B" w:rsidRDefault="0024433C" w:rsidP="0033310B">
      <w:pPr>
        <w:pStyle w:val="RefItem"/>
        <w:spacing w:line="360" w:lineRule="auto"/>
        <w:rPr>
          <w:sz w:val="22"/>
          <w:szCs w:val="22"/>
        </w:rPr>
      </w:pPr>
      <w:r w:rsidRPr="0033310B">
        <w:rPr>
          <w:sz w:val="22"/>
          <w:szCs w:val="22"/>
        </w:rPr>
        <w:t>Johnson, G., Scholes, K. and Whittington, R. (2020) Exploring Strategy: Text and Cases. 12th ed. Harlow: Pearson Education Limited.</w:t>
      </w:r>
    </w:p>
    <w:p w14:paraId="27D7F356" w14:textId="44314233" w:rsidR="0024433C" w:rsidRPr="0033310B" w:rsidRDefault="0024433C" w:rsidP="0033310B">
      <w:pPr>
        <w:pStyle w:val="RefItem"/>
        <w:spacing w:line="360" w:lineRule="auto"/>
        <w:rPr>
          <w:sz w:val="22"/>
          <w:szCs w:val="22"/>
        </w:rPr>
      </w:pPr>
      <w:r w:rsidRPr="0033310B">
        <w:rPr>
          <w:sz w:val="22"/>
          <w:szCs w:val="22"/>
        </w:rPr>
        <w:t>Liker, J.K. (2021) The Toyota Way: 14 Management Principles from the World's Greatest Manufacturer. 2nd ed. New York: McGraw-Hill.</w:t>
      </w:r>
    </w:p>
    <w:p w14:paraId="229EF792" w14:textId="30C56616" w:rsidR="0024433C" w:rsidRPr="0033310B" w:rsidRDefault="0024433C" w:rsidP="0033310B">
      <w:pPr>
        <w:pStyle w:val="RefItem"/>
        <w:spacing w:line="360" w:lineRule="auto"/>
        <w:rPr>
          <w:sz w:val="22"/>
          <w:szCs w:val="22"/>
        </w:rPr>
      </w:pPr>
      <w:r w:rsidRPr="0033310B">
        <w:rPr>
          <w:sz w:val="22"/>
          <w:szCs w:val="22"/>
        </w:rPr>
        <w:t>Mullins, L. and Christy, G. (2016) Management and Organisational Behaviour. 11th ed. Harlow: Pearson Education Limited.</w:t>
      </w:r>
    </w:p>
    <w:p w14:paraId="478C60E6" w14:textId="77777777" w:rsidR="0024433C" w:rsidRPr="0033310B" w:rsidRDefault="0024433C" w:rsidP="0033310B">
      <w:pPr>
        <w:pStyle w:val="RefItem"/>
        <w:spacing w:line="360" w:lineRule="auto"/>
        <w:rPr>
          <w:sz w:val="22"/>
          <w:szCs w:val="22"/>
        </w:rPr>
      </w:pPr>
      <w:r w:rsidRPr="0033310B">
        <w:rPr>
          <w:sz w:val="22"/>
          <w:szCs w:val="22"/>
        </w:rPr>
        <w:t>NHS Improvement (2021) A Guide to Lean in the NHS. London: NHS Improvement. Available at: https://www.england.nhs.uk/improvement-hub/ (Accessed: 5 March 2025).</w:t>
      </w:r>
    </w:p>
    <w:p w14:paraId="6F6E2E9E" w14:textId="1E6C1F68" w:rsidR="0024433C" w:rsidRPr="0033310B" w:rsidRDefault="0024433C" w:rsidP="0033310B">
      <w:pPr>
        <w:pStyle w:val="RefItem"/>
        <w:spacing w:line="360" w:lineRule="auto"/>
        <w:rPr>
          <w:sz w:val="22"/>
          <w:szCs w:val="22"/>
        </w:rPr>
      </w:pPr>
      <w:r w:rsidRPr="0033310B">
        <w:rPr>
          <w:sz w:val="22"/>
          <w:szCs w:val="22"/>
        </w:rPr>
        <w:t xml:space="preserve">Robbins, S.P. and Judge, T.A. (2019) Organizational </w:t>
      </w:r>
      <w:r w:rsidR="00AB774A" w:rsidRPr="0033310B">
        <w:rPr>
          <w:sz w:val="22"/>
          <w:szCs w:val="22"/>
        </w:rPr>
        <w:t>Behaviour</w:t>
      </w:r>
      <w:r w:rsidRPr="0033310B">
        <w:rPr>
          <w:sz w:val="22"/>
          <w:szCs w:val="22"/>
        </w:rPr>
        <w:t>. 18th ed. Harlow: Pearson Education Limited.</w:t>
      </w:r>
    </w:p>
    <w:p w14:paraId="70FF6625" w14:textId="34FDA6DC" w:rsidR="0024433C" w:rsidRPr="0033310B" w:rsidRDefault="0024433C" w:rsidP="0033310B">
      <w:pPr>
        <w:pStyle w:val="RefItem"/>
        <w:spacing w:line="360" w:lineRule="auto"/>
        <w:rPr>
          <w:sz w:val="22"/>
          <w:szCs w:val="22"/>
        </w:rPr>
      </w:pPr>
      <w:r w:rsidRPr="0033310B">
        <w:rPr>
          <w:sz w:val="22"/>
          <w:szCs w:val="22"/>
        </w:rPr>
        <w:lastRenderedPageBreak/>
        <w:t>Schein, E.H. (2017) Organizational Culture and Leadership. 5th ed. Hoboken, NJ: Jossey-Bass.</w:t>
      </w:r>
    </w:p>
    <w:p w14:paraId="12256305" w14:textId="77777777" w:rsidR="0024433C" w:rsidRPr="0033310B" w:rsidRDefault="0024433C" w:rsidP="0033310B">
      <w:pPr>
        <w:pStyle w:val="RefItem"/>
        <w:spacing w:line="360" w:lineRule="auto"/>
        <w:rPr>
          <w:sz w:val="22"/>
          <w:szCs w:val="22"/>
        </w:rPr>
      </w:pPr>
      <w:r w:rsidRPr="0033310B">
        <w:rPr>
          <w:sz w:val="22"/>
          <w:szCs w:val="22"/>
        </w:rPr>
        <w:t>Tushman, M.L. and O'Reilly, C.A. (1996) 'Ambidextrous organizations: Managing evolutionary and revolutionary change', California Management Review, 38(4), pp.8–29.</w:t>
      </w:r>
    </w:p>
    <w:p w14:paraId="3595C692" w14:textId="77777777" w:rsidR="00701036" w:rsidRPr="0033310B" w:rsidRDefault="00701036" w:rsidP="0033310B">
      <w:pPr>
        <w:spacing w:line="360" w:lineRule="auto"/>
        <w:rPr>
          <w:sz w:val="22"/>
          <w:szCs w:val="22"/>
        </w:rPr>
      </w:pPr>
    </w:p>
    <w:sectPr w:rsidR="00701036" w:rsidRPr="0033310B" w:rsidSect="0024433C">
      <w:pgSz w:w="11906" w:h="16838"/>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5"/>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33C"/>
    <w:rsid w:val="0024433C"/>
    <w:rsid w:val="0033310B"/>
    <w:rsid w:val="005D37E2"/>
    <w:rsid w:val="005E3E03"/>
    <w:rsid w:val="00654551"/>
    <w:rsid w:val="00701036"/>
    <w:rsid w:val="00AB774A"/>
    <w:rsid w:val="00CD36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58355D"/>
  <w15:chartTrackingRefBased/>
  <w15:docId w15:val="{96849800-589F-5642-8CCF-F05F5644A5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33C"/>
    <w:pPr>
      <w:spacing w:after="0" w:line="240" w:lineRule="auto"/>
    </w:pPr>
    <w:rPr>
      <w:rFonts w:ascii="Arial" w:eastAsia="Arial" w:hAnsi="Arial" w:cs="Arial"/>
      <w:color w:val="000000"/>
      <w:kern w:val="0"/>
      <w:lang w:eastAsia="en-GB"/>
      <w14:ligatures w14:val="none"/>
    </w:rPr>
  </w:style>
  <w:style w:type="paragraph" w:styleId="Heading1">
    <w:name w:val="heading 1"/>
    <w:basedOn w:val="Normal"/>
    <w:next w:val="Normal"/>
    <w:link w:val="Heading1Char"/>
    <w:uiPriority w:val="9"/>
    <w:qFormat/>
    <w:rsid w:val="002443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443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443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43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43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433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433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433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433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43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443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443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43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43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43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43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43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433C"/>
    <w:rPr>
      <w:rFonts w:eastAsiaTheme="majorEastAsia" w:cstheme="majorBidi"/>
      <w:color w:val="272727" w:themeColor="text1" w:themeTint="D8"/>
    </w:rPr>
  </w:style>
  <w:style w:type="paragraph" w:styleId="Title">
    <w:name w:val="Title"/>
    <w:basedOn w:val="Normal"/>
    <w:next w:val="Normal"/>
    <w:link w:val="TitleChar"/>
    <w:uiPriority w:val="10"/>
    <w:qFormat/>
    <w:rsid w:val="0024433C"/>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43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43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43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433C"/>
    <w:pPr>
      <w:spacing w:before="160"/>
      <w:jc w:val="center"/>
    </w:pPr>
    <w:rPr>
      <w:i/>
      <w:iCs/>
      <w:color w:val="404040" w:themeColor="text1" w:themeTint="BF"/>
    </w:rPr>
  </w:style>
  <w:style w:type="character" w:customStyle="1" w:styleId="QuoteChar">
    <w:name w:val="Quote Char"/>
    <w:basedOn w:val="DefaultParagraphFont"/>
    <w:link w:val="Quote"/>
    <w:uiPriority w:val="29"/>
    <w:rsid w:val="0024433C"/>
    <w:rPr>
      <w:i/>
      <w:iCs/>
      <w:color w:val="404040" w:themeColor="text1" w:themeTint="BF"/>
    </w:rPr>
  </w:style>
  <w:style w:type="paragraph" w:styleId="ListParagraph">
    <w:name w:val="List Paragraph"/>
    <w:basedOn w:val="Normal"/>
    <w:uiPriority w:val="34"/>
    <w:qFormat/>
    <w:rsid w:val="0024433C"/>
    <w:pPr>
      <w:ind w:left="720"/>
      <w:contextualSpacing/>
    </w:pPr>
  </w:style>
  <w:style w:type="character" w:styleId="IntenseEmphasis">
    <w:name w:val="Intense Emphasis"/>
    <w:basedOn w:val="DefaultParagraphFont"/>
    <w:uiPriority w:val="21"/>
    <w:qFormat/>
    <w:rsid w:val="0024433C"/>
    <w:rPr>
      <w:i/>
      <w:iCs/>
      <w:color w:val="0F4761" w:themeColor="accent1" w:themeShade="BF"/>
    </w:rPr>
  </w:style>
  <w:style w:type="paragraph" w:styleId="IntenseQuote">
    <w:name w:val="Intense Quote"/>
    <w:basedOn w:val="Normal"/>
    <w:next w:val="Normal"/>
    <w:link w:val="IntenseQuoteChar"/>
    <w:uiPriority w:val="30"/>
    <w:qFormat/>
    <w:rsid w:val="002443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433C"/>
    <w:rPr>
      <w:i/>
      <w:iCs/>
      <w:color w:val="0F4761" w:themeColor="accent1" w:themeShade="BF"/>
    </w:rPr>
  </w:style>
  <w:style w:type="character" w:styleId="IntenseReference">
    <w:name w:val="Intense Reference"/>
    <w:basedOn w:val="DefaultParagraphFont"/>
    <w:uiPriority w:val="32"/>
    <w:qFormat/>
    <w:rsid w:val="0024433C"/>
    <w:rPr>
      <w:b/>
      <w:bCs/>
      <w:smallCaps/>
      <w:color w:val="0F4761" w:themeColor="accent1" w:themeShade="BF"/>
      <w:spacing w:val="5"/>
    </w:rPr>
  </w:style>
  <w:style w:type="paragraph" w:customStyle="1" w:styleId="ReportBody">
    <w:name w:val="Report Body"/>
    <w:rsid w:val="0024433C"/>
    <w:pPr>
      <w:spacing w:line="360" w:lineRule="auto"/>
      <w:jc w:val="both"/>
    </w:pPr>
    <w:rPr>
      <w:rFonts w:ascii="Arial" w:eastAsia="Arial" w:hAnsi="Arial" w:cs="Arial"/>
      <w:color w:val="000000"/>
      <w:kern w:val="0"/>
      <w:lang w:eastAsia="en-GB"/>
      <w14:ligatures w14:val="none"/>
    </w:rPr>
  </w:style>
  <w:style w:type="paragraph" w:customStyle="1" w:styleId="RefItem">
    <w:name w:val="Ref Item"/>
    <w:rsid w:val="0024433C"/>
    <w:pPr>
      <w:spacing w:after="140" w:line="240" w:lineRule="auto"/>
      <w:ind w:left="720" w:hanging="720"/>
      <w:jc w:val="both"/>
    </w:pPr>
    <w:rPr>
      <w:rFonts w:ascii="Arial" w:eastAsia="Arial" w:hAnsi="Arial" w:cs="Arial"/>
      <w:color w:val="000000"/>
      <w:kern w:val="0"/>
      <w:lang w:eastAsia="en-GB"/>
      <w14:ligatures w14:val="none"/>
    </w:rPr>
  </w:style>
  <w:style w:type="paragraph" w:customStyle="1" w:styleId="TableParagraph">
    <w:name w:val="Table Paragraph"/>
    <w:basedOn w:val="Normal"/>
    <w:uiPriority w:val="1"/>
    <w:qFormat/>
    <w:rsid w:val="0024433C"/>
    <w:pPr>
      <w:widowControl w:val="0"/>
    </w:pPr>
    <w:rPr>
      <w:color w:val="auto"/>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28</TotalTime>
  <Pages>11</Pages>
  <Words>3362</Words>
  <Characters>19167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Petrica Marin (2333794)</dc:creator>
  <cp:keywords/>
  <dc:description/>
  <cp:lastModifiedBy>Petrica Marin (2333794)</cp:lastModifiedBy>
  <cp:revision>2</cp:revision>
  <dcterms:created xsi:type="dcterms:W3CDTF">2026-03-11T20:59:00Z</dcterms:created>
  <dcterms:modified xsi:type="dcterms:W3CDTF">2026-03-11T21:36:00Z</dcterms:modified>
</cp:coreProperties>
</file>