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589705128"/>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79BEC530" w14:textId="2C345351" w:rsidR="00E57B9D" w:rsidRDefault="00E57B9D">
          <w:pPr>
            <w:pStyle w:val="NoSpacing"/>
            <w:spacing w:before="1540" w:after="240"/>
            <w:jc w:val="center"/>
            <w:rPr>
              <w:color w:val="156082" w:themeColor="accent1"/>
            </w:rPr>
          </w:pPr>
          <w:r>
            <w:rPr>
              <w:noProof/>
              <w:color w:val="156082" w:themeColor="accent1"/>
            </w:rPr>
            <w:drawing>
              <wp:inline distT="0" distB="0" distL="0" distR="0" wp14:anchorId="64881ABA" wp14:editId="547650F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40"/>
              <w:szCs w:val="40"/>
            </w:rPr>
            <w:alias w:val="Title"/>
            <w:tag w:val=""/>
            <w:id w:val="1735040861"/>
            <w:placeholder>
              <w:docPart w:val="7F17BE9DD3164D87A9DB3F7452257F95"/>
            </w:placeholder>
            <w:dataBinding w:prefixMappings="xmlns:ns0='http://purl.org/dc/elements/1.1/' xmlns:ns1='http://schemas.openxmlformats.org/package/2006/metadata/core-properties' " w:xpath="/ns1:coreProperties[1]/ns0:title[1]" w:storeItemID="{6C3C8BC8-F283-45AE-878A-BAB7291924A1}"/>
            <w:text/>
          </w:sdtPr>
          <w:sdtContent>
            <w:p w14:paraId="269FADF6" w14:textId="5A11FD14" w:rsidR="00E57B9D" w:rsidRPr="00E57B9D" w:rsidRDefault="00E57B9D">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40"/>
                  <w:szCs w:val="40"/>
                </w:rPr>
              </w:pPr>
              <w:r w:rsidRPr="00E57B9D">
                <w:rPr>
                  <w:rFonts w:ascii="Arial Black" w:eastAsiaTheme="majorEastAsia" w:hAnsi="Arial Black" w:cstheme="majorBidi"/>
                  <w:caps/>
                  <w:color w:val="156082" w:themeColor="accent1"/>
                  <w:sz w:val="40"/>
                  <w:szCs w:val="40"/>
                </w:rPr>
                <w:t xml:space="preserve">Community Development in Port </w:t>
              </w:r>
              <w:r w:rsidRPr="00E57B9D">
                <w:rPr>
                  <w:rFonts w:ascii="Arial Black" w:eastAsiaTheme="majorEastAsia" w:hAnsi="Arial Black" w:cstheme="majorBidi"/>
                  <w:caps/>
                  <w:color w:val="156082" w:themeColor="accent1"/>
                  <w:sz w:val="40"/>
                  <w:szCs w:val="40"/>
                </w:rPr>
                <w:t>TALBOT</w:t>
              </w:r>
              <w:r w:rsidRPr="00E57B9D">
                <w:rPr>
                  <w:rFonts w:ascii="Arial Black" w:eastAsiaTheme="majorEastAsia" w:hAnsi="Arial Black" w:cstheme="majorBidi"/>
                  <w:caps/>
                  <w:color w:val="156082" w:themeColor="accent1"/>
                  <w:sz w:val="40"/>
                  <w:szCs w:val="40"/>
                </w:rPr>
                <w:t xml:space="preserve"> Wales: An Analysis of the Youth Sports Community</w:t>
              </w:r>
            </w:p>
          </w:sdtContent>
        </w:sdt>
        <w:sdt>
          <w:sdtPr>
            <w:rPr>
              <w:rFonts w:ascii="Arial Black" w:hAnsi="Arial Black"/>
              <w:color w:val="156082" w:themeColor="accent1"/>
              <w:sz w:val="28"/>
              <w:szCs w:val="28"/>
            </w:rPr>
            <w:alias w:val="Subtitle"/>
            <w:tag w:val=""/>
            <w:id w:val="328029620"/>
            <w:placeholder>
              <w:docPart w:val="629D1C5C2FC14E5CBE1AC0609E672478"/>
            </w:placeholder>
            <w:dataBinding w:prefixMappings="xmlns:ns0='http://purl.org/dc/elements/1.1/' xmlns:ns1='http://schemas.openxmlformats.org/package/2006/metadata/core-properties' " w:xpath="/ns1:coreProperties[1]/ns0:subject[1]" w:storeItemID="{6C3C8BC8-F283-45AE-878A-BAB7291924A1}"/>
            <w:text/>
          </w:sdtPr>
          <w:sdtContent>
            <w:p w14:paraId="56E18305" w14:textId="22FEB5B7" w:rsidR="00E57B9D" w:rsidRPr="00E57B9D" w:rsidRDefault="00E57B9D">
              <w:pPr>
                <w:pStyle w:val="NoSpacing"/>
                <w:jc w:val="center"/>
                <w:rPr>
                  <w:rFonts w:ascii="Arial Black" w:hAnsi="Arial Black"/>
                  <w:color w:val="156082" w:themeColor="accent1"/>
                  <w:sz w:val="28"/>
                  <w:szCs w:val="28"/>
                </w:rPr>
              </w:pPr>
              <w:r w:rsidRPr="00E57B9D">
                <w:rPr>
                  <w:rFonts w:ascii="Arial Black" w:hAnsi="Arial Black"/>
                  <w:color w:val="156082" w:themeColor="accent1"/>
                  <w:sz w:val="28"/>
                  <w:szCs w:val="28"/>
                </w:rPr>
                <w:t>Assignment 2</w:t>
              </w:r>
            </w:p>
          </w:sdtContent>
        </w:sdt>
        <w:p w14:paraId="246C29B0" w14:textId="77777777" w:rsidR="00E57B9D" w:rsidRPr="00E57B9D" w:rsidRDefault="00E57B9D">
          <w:pPr>
            <w:pStyle w:val="NoSpacing"/>
            <w:spacing w:before="480"/>
            <w:jc w:val="center"/>
            <w:rPr>
              <w:rFonts w:ascii="Arial Black" w:hAnsi="Arial Black"/>
              <w:color w:val="156082" w:themeColor="accent1"/>
            </w:rPr>
          </w:pPr>
          <w:r w:rsidRPr="00E57B9D">
            <w:rPr>
              <w:rFonts w:ascii="Arial Black" w:hAnsi="Arial Black"/>
              <w:noProof/>
              <w:color w:val="156082" w:themeColor="accent1"/>
            </w:rPr>
            <mc:AlternateContent>
              <mc:Choice Requires="wps">
                <w:drawing>
                  <wp:anchor distT="0" distB="0" distL="114300" distR="114300" simplePos="0" relativeHeight="251659264" behindDoc="0" locked="0" layoutInCell="1" allowOverlap="1" wp14:anchorId="5A0C4C06" wp14:editId="24CD628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4-11-20T00:00:00Z">
                                    <w:dateFormat w:val="MMMM d, yyyy"/>
                                    <w:lid w:val="en-US"/>
                                    <w:storeMappedDataAs w:val="dateTime"/>
                                    <w:calendar w:val="gregorian"/>
                                  </w:date>
                                </w:sdtPr>
                                <w:sdtContent>
                                  <w:p w14:paraId="1CAA7530" w14:textId="4A711C95" w:rsidR="00E57B9D" w:rsidRPr="00E57B9D" w:rsidRDefault="00E57B9D">
                                    <w:pPr>
                                      <w:pStyle w:val="NoSpacing"/>
                                      <w:spacing w:after="40"/>
                                      <w:jc w:val="center"/>
                                      <w:rPr>
                                        <w:rFonts w:ascii="Arial Black" w:hAnsi="Arial Black"/>
                                        <w:caps/>
                                        <w:color w:val="156082" w:themeColor="accent1"/>
                                        <w:sz w:val="32"/>
                                        <w:szCs w:val="32"/>
                                      </w:rPr>
                                    </w:pPr>
                                    <w:r w:rsidRPr="00E57B9D">
                                      <w:rPr>
                                        <w:rFonts w:ascii="Arial Black" w:hAnsi="Arial Black"/>
                                        <w:caps/>
                                        <w:color w:val="156082" w:themeColor="accent1"/>
                                        <w:sz w:val="32"/>
                                        <w:szCs w:val="32"/>
                                      </w:rPr>
                                      <w:t>November 20, 2024</w:t>
                                    </w:r>
                                  </w:p>
                                </w:sdtContent>
                              </w:sdt>
                              <w:p w14:paraId="525E7C17" w14:textId="306D5A31" w:rsidR="00E57B9D" w:rsidRPr="00E57B9D" w:rsidRDefault="00E57B9D">
                                <w:pPr>
                                  <w:pStyle w:val="NoSpacing"/>
                                  <w:jc w:val="center"/>
                                  <w:rPr>
                                    <w:rFonts w:ascii="Arial Black" w:hAnsi="Arial Black"/>
                                    <w:color w:val="156082" w:themeColor="accent1"/>
                                    <w:sz w:val="32"/>
                                    <w:szCs w:val="32"/>
                                  </w:rPr>
                                </w:pPr>
                                <w:sdt>
                                  <w:sdtPr>
                                    <w:rPr>
                                      <w:rFonts w:ascii="Arial Black" w:hAnsi="Arial Black"/>
                                      <w:caps/>
                                      <w:color w:val="156082"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E57B9D">
                                      <w:rPr>
                                        <w:rFonts w:ascii="Arial Black" w:hAnsi="Arial Black"/>
                                        <w:caps/>
                                        <w:color w:val="156082" w:themeColor="accent1"/>
                                        <w:sz w:val="32"/>
                                        <w:szCs w:val="32"/>
                                      </w:rPr>
                                      <w:t>Violeta Aurelia tucanu (2327860)</w:t>
                                    </w:r>
                                  </w:sdtContent>
                                </w:sdt>
                              </w:p>
                              <w:p w14:paraId="0DCB6D67" w14:textId="262665BC" w:rsidR="00E57B9D" w:rsidRDefault="00E57B9D">
                                <w:pPr>
                                  <w:pStyle w:val="NoSpacing"/>
                                  <w:jc w:val="center"/>
                                  <w:rPr>
                                    <w:color w:val="156082" w:themeColor="accent1"/>
                                  </w:rPr>
                                </w:pPr>
                                <w:sdt>
                                  <w:sdtPr>
                                    <w:rPr>
                                      <w:rFonts w:ascii="Arial Black" w:hAnsi="Arial Black"/>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E57B9D">
                                      <w:rPr>
                                        <w:rFonts w:ascii="Arial Black" w:hAnsi="Arial Black"/>
                                        <w:color w:val="156082" w:themeColor="accent1"/>
                                        <w:sz w:val="32"/>
                                        <w:szCs w:val="32"/>
                                      </w:rPr>
                                      <w:t>Community Development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0C4C0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4-11-20T00:00:00Z">
                              <w:dateFormat w:val="MMMM d, yyyy"/>
                              <w:lid w:val="en-US"/>
                              <w:storeMappedDataAs w:val="dateTime"/>
                              <w:calendar w:val="gregorian"/>
                            </w:date>
                          </w:sdtPr>
                          <w:sdtContent>
                            <w:p w14:paraId="1CAA7530" w14:textId="4A711C95" w:rsidR="00E57B9D" w:rsidRPr="00E57B9D" w:rsidRDefault="00E57B9D">
                              <w:pPr>
                                <w:pStyle w:val="NoSpacing"/>
                                <w:spacing w:after="40"/>
                                <w:jc w:val="center"/>
                                <w:rPr>
                                  <w:rFonts w:ascii="Arial Black" w:hAnsi="Arial Black"/>
                                  <w:caps/>
                                  <w:color w:val="156082" w:themeColor="accent1"/>
                                  <w:sz w:val="32"/>
                                  <w:szCs w:val="32"/>
                                </w:rPr>
                              </w:pPr>
                              <w:r w:rsidRPr="00E57B9D">
                                <w:rPr>
                                  <w:rFonts w:ascii="Arial Black" w:hAnsi="Arial Black"/>
                                  <w:caps/>
                                  <w:color w:val="156082" w:themeColor="accent1"/>
                                  <w:sz w:val="32"/>
                                  <w:szCs w:val="32"/>
                                </w:rPr>
                                <w:t>November 20, 2024</w:t>
                              </w:r>
                            </w:p>
                          </w:sdtContent>
                        </w:sdt>
                        <w:p w14:paraId="525E7C17" w14:textId="306D5A31" w:rsidR="00E57B9D" w:rsidRPr="00E57B9D" w:rsidRDefault="00E57B9D">
                          <w:pPr>
                            <w:pStyle w:val="NoSpacing"/>
                            <w:jc w:val="center"/>
                            <w:rPr>
                              <w:rFonts w:ascii="Arial Black" w:hAnsi="Arial Black"/>
                              <w:color w:val="156082" w:themeColor="accent1"/>
                              <w:sz w:val="32"/>
                              <w:szCs w:val="32"/>
                            </w:rPr>
                          </w:pPr>
                          <w:sdt>
                            <w:sdtPr>
                              <w:rPr>
                                <w:rFonts w:ascii="Arial Black" w:hAnsi="Arial Black"/>
                                <w:caps/>
                                <w:color w:val="156082"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E57B9D">
                                <w:rPr>
                                  <w:rFonts w:ascii="Arial Black" w:hAnsi="Arial Black"/>
                                  <w:caps/>
                                  <w:color w:val="156082" w:themeColor="accent1"/>
                                  <w:sz w:val="32"/>
                                  <w:szCs w:val="32"/>
                                </w:rPr>
                                <w:t>Violeta Aurelia tucanu (2327860)</w:t>
                              </w:r>
                            </w:sdtContent>
                          </w:sdt>
                        </w:p>
                        <w:p w14:paraId="0DCB6D67" w14:textId="262665BC" w:rsidR="00E57B9D" w:rsidRDefault="00E57B9D">
                          <w:pPr>
                            <w:pStyle w:val="NoSpacing"/>
                            <w:jc w:val="center"/>
                            <w:rPr>
                              <w:color w:val="156082" w:themeColor="accent1"/>
                            </w:rPr>
                          </w:pPr>
                          <w:sdt>
                            <w:sdtPr>
                              <w:rPr>
                                <w:rFonts w:ascii="Arial Black" w:hAnsi="Arial Black"/>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E57B9D">
                                <w:rPr>
                                  <w:rFonts w:ascii="Arial Black" w:hAnsi="Arial Black"/>
                                  <w:color w:val="156082" w:themeColor="accent1"/>
                                  <w:sz w:val="32"/>
                                  <w:szCs w:val="32"/>
                                </w:rPr>
                                <w:t>Community Development</w:t>
                              </w:r>
                            </w:sdtContent>
                          </w:sdt>
                        </w:p>
                      </w:txbxContent>
                    </v:textbox>
                    <w10:wrap anchorx="margin" anchory="page"/>
                  </v:shape>
                </w:pict>
              </mc:Fallback>
            </mc:AlternateContent>
          </w:r>
          <w:r w:rsidRPr="00E57B9D">
            <w:rPr>
              <w:rFonts w:ascii="Arial Black" w:hAnsi="Arial Black"/>
              <w:noProof/>
              <w:color w:val="156082" w:themeColor="accent1"/>
            </w:rPr>
            <w:drawing>
              <wp:inline distT="0" distB="0" distL="0" distR="0" wp14:anchorId="764A123C" wp14:editId="12AA7A4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ABD8A4" w14:textId="0E10180A" w:rsidR="00E57B9D" w:rsidRDefault="00E57B9D">
          <w:pPr>
            <w:rPr>
              <w:rFonts w:ascii="Arial Black" w:hAnsi="Arial Black" w:cs="Arial"/>
            </w:rPr>
          </w:pPr>
          <w:r>
            <w:rPr>
              <w:rFonts w:ascii="Arial Black" w:hAnsi="Arial Black" w:cs="Arial"/>
            </w:rPr>
            <w:br w:type="page"/>
          </w:r>
        </w:p>
      </w:sdtContent>
    </w:sdt>
    <w:p w14:paraId="5DC32724" w14:textId="13685C5B" w:rsidR="00AA373E" w:rsidRPr="00C76A16" w:rsidRDefault="00AA373E" w:rsidP="00AA373E">
      <w:pPr>
        <w:spacing w:line="480" w:lineRule="auto"/>
        <w:jc w:val="both"/>
        <w:rPr>
          <w:rFonts w:ascii="Arial Black" w:hAnsi="Arial Black" w:cs="Arial"/>
        </w:rPr>
      </w:pPr>
      <w:r w:rsidRPr="00C76A16">
        <w:rPr>
          <w:rFonts w:ascii="Arial Black" w:hAnsi="Arial Black" w:cs="Arial"/>
        </w:rPr>
        <w:lastRenderedPageBreak/>
        <w:t xml:space="preserve">Introduction </w:t>
      </w:r>
    </w:p>
    <w:p w14:paraId="1FBDA91A" w14:textId="77777777" w:rsidR="00AA373E" w:rsidRDefault="00AA373E" w:rsidP="00AA373E">
      <w:pPr>
        <w:spacing w:line="480" w:lineRule="auto"/>
        <w:jc w:val="both"/>
        <w:rPr>
          <w:rFonts w:ascii="Arial" w:hAnsi="Arial" w:cs="Arial"/>
        </w:rPr>
      </w:pPr>
      <w:r w:rsidRPr="00AA373E">
        <w:rPr>
          <w:rFonts w:ascii="Arial" w:hAnsi="Arial" w:cs="Arial"/>
        </w:rPr>
        <w:t>Community development is a complex process that requires the active involvement of individuals and groups to improve the social, economic, and environmental welfare of a community. Port Talbot, Wales, a town distinguished by its steel industry and cultural legacy, exemplifies how targeted programs can promote growth and sustainable development within the youth sports community. The report seeks to identify and analyse the youth sports community in Port Talbot, examining the techniques utilised to foster its development. The analysis clarifies the mechanisms influencing behavioural change within the community by analysing imagery, cultural importance, and the social, economic, political, and environmental implications. Furthermore, it assesses the durability of these developmental processes and examines the problems faced, utilising essential concepts from pertinent literature.</w:t>
      </w:r>
    </w:p>
    <w:p w14:paraId="395EB6F7" w14:textId="2ACD4430" w:rsidR="00AA373E" w:rsidRDefault="00AA373E" w:rsidP="00AA373E">
      <w:pPr>
        <w:spacing w:line="480" w:lineRule="auto"/>
        <w:jc w:val="both"/>
        <w:rPr>
          <w:rFonts w:ascii="Arial" w:hAnsi="Arial" w:cs="Arial"/>
        </w:rPr>
      </w:pPr>
      <w:r w:rsidRPr="00AA373E">
        <w:rPr>
          <w:rFonts w:ascii="Arial" w:hAnsi="Arial" w:cs="Arial"/>
        </w:rPr>
        <w:t xml:space="preserve">Port Talbot, located in the Neath </w:t>
      </w:r>
      <w:r w:rsidRPr="00AA373E">
        <w:rPr>
          <w:rFonts w:ascii="Arial" w:hAnsi="Arial" w:cs="Arial"/>
        </w:rPr>
        <w:t>Port Talbot County</w:t>
      </w:r>
      <w:r w:rsidRPr="00AA373E">
        <w:rPr>
          <w:rFonts w:ascii="Arial" w:hAnsi="Arial" w:cs="Arial"/>
        </w:rPr>
        <w:t xml:space="preserve"> borough, has experienced substantial changes in recent decades, evolving from an industrial centre to a community-oriented town. The deterioration of conventional industries has required the establishment of new community projects to foster social cohesion and economic resilience. The youth sports community, including activities like football and rugby, is essential in this transformation by offering structured contexts for young involvement, promoting personal growth, and enhancing the town's general vitality. This research will examine the </w:t>
      </w:r>
      <w:r w:rsidRPr="00AA373E">
        <w:rPr>
          <w:rFonts w:ascii="Arial" w:hAnsi="Arial" w:cs="Arial"/>
        </w:rPr>
        <w:t>strategies</w:t>
      </w:r>
      <w:r w:rsidRPr="00AA373E">
        <w:rPr>
          <w:rFonts w:ascii="Arial" w:hAnsi="Arial" w:cs="Arial"/>
        </w:rPr>
        <w:t xml:space="preserve"> employed to assist this community, their effects, and the continuous initiatives to guarantee its sustainability.</w:t>
      </w:r>
    </w:p>
    <w:p w14:paraId="6B82D16D" w14:textId="77777777" w:rsidR="00AA373E" w:rsidRDefault="00AA373E" w:rsidP="00AA373E">
      <w:pPr>
        <w:spacing w:line="480" w:lineRule="auto"/>
        <w:jc w:val="both"/>
        <w:rPr>
          <w:rFonts w:ascii="Arial" w:hAnsi="Arial" w:cs="Arial"/>
        </w:rPr>
      </w:pPr>
    </w:p>
    <w:p w14:paraId="3AED95CF" w14:textId="77777777" w:rsidR="00AA373E" w:rsidRDefault="00AA373E" w:rsidP="00AA373E">
      <w:pPr>
        <w:spacing w:line="480" w:lineRule="auto"/>
        <w:jc w:val="both"/>
        <w:rPr>
          <w:rFonts w:ascii="Arial" w:hAnsi="Arial" w:cs="Arial"/>
        </w:rPr>
      </w:pPr>
    </w:p>
    <w:p w14:paraId="525E7FEB" w14:textId="77777777" w:rsidR="00AA373E" w:rsidRDefault="00AA373E" w:rsidP="00AA373E">
      <w:pPr>
        <w:spacing w:line="480" w:lineRule="auto"/>
        <w:jc w:val="both"/>
        <w:rPr>
          <w:rFonts w:ascii="Arial" w:hAnsi="Arial" w:cs="Arial"/>
        </w:rPr>
      </w:pPr>
    </w:p>
    <w:p w14:paraId="5D99B3F7" w14:textId="4798F792" w:rsidR="00AA373E" w:rsidRPr="00C76A16" w:rsidRDefault="00AA373E" w:rsidP="00AA373E">
      <w:pPr>
        <w:spacing w:line="480" w:lineRule="auto"/>
        <w:jc w:val="both"/>
        <w:rPr>
          <w:rFonts w:ascii="Arial Black" w:hAnsi="Arial Black" w:cs="Arial"/>
        </w:rPr>
      </w:pPr>
      <w:r w:rsidRPr="00AA373E">
        <w:rPr>
          <w:rFonts w:ascii="Arial Black" w:hAnsi="Arial Black" w:cs="Arial"/>
        </w:rPr>
        <w:lastRenderedPageBreak/>
        <w:t>Community Identification</w:t>
      </w:r>
    </w:p>
    <w:p w14:paraId="1DB0CDD6" w14:textId="77777777" w:rsidR="00AA373E" w:rsidRDefault="00AA373E" w:rsidP="00AA373E">
      <w:pPr>
        <w:spacing w:line="480" w:lineRule="auto"/>
        <w:jc w:val="both"/>
        <w:rPr>
          <w:rFonts w:ascii="Arial" w:hAnsi="Arial" w:cs="Arial"/>
        </w:rPr>
      </w:pPr>
      <w:r w:rsidRPr="00AA373E">
        <w:rPr>
          <w:rFonts w:ascii="Arial" w:hAnsi="Arial" w:cs="Arial"/>
        </w:rPr>
        <w:t>The youth sports community in Port Talbot consists of individuals aged 12 to 25 who engage in numerous sports, including football and rugby. This community is heterogeneous, encompassing various nationalities, social statuses, and cultural identities. Recent demographic data indicates that Port Talbot has a population of roughly 29,000 individuals, with a significant proportion of youngsters aged 12-25 (Neath Port Talbot County Borough Council, 2023). This community was chosen for its substantial contribution to fostering social cohesion, physical well-being, and personal growth among young individuals.</w:t>
      </w:r>
    </w:p>
    <w:p w14:paraId="05C4CB90"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Population Statistics</w:t>
      </w:r>
    </w:p>
    <w:p w14:paraId="418830CA" w14:textId="77777777" w:rsidR="00AA373E" w:rsidRDefault="00AA373E" w:rsidP="00AA373E">
      <w:pPr>
        <w:spacing w:line="480" w:lineRule="auto"/>
        <w:jc w:val="both"/>
        <w:rPr>
          <w:rFonts w:ascii="Arial" w:hAnsi="Arial" w:cs="Arial"/>
        </w:rPr>
      </w:pPr>
      <w:r w:rsidRPr="00AA373E">
        <w:rPr>
          <w:rFonts w:ascii="Arial" w:hAnsi="Arial" w:cs="Arial"/>
        </w:rPr>
        <w:t>The young sports community in Port Talbot is marked by its diversity. The community comprises members from several ethnic backgrounds, including White British, South Asian, and other minority ethnic groupings. This diversity mirrors the wider demographic trends in Port Talbot, where multiculturalism is becoming more pronounced. The community comprises youngsters from both affluent and disadvantaged backgrounds, with athletics acting as a unifying platform that reconciles socioeconomic disparities. The community encompasses individuals from early adolescent to young adulthood, addressing various developmental phases and offering age-appropriate activities and support systems.</w:t>
      </w:r>
    </w:p>
    <w:p w14:paraId="5587D471"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Binding Attributes</w:t>
      </w:r>
    </w:p>
    <w:p w14:paraId="6F5A2A11" w14:textId="77777777" w:rsidR="00AA373E" w:rsidRDefault="00AA373E" w:rsidP="00AA373E">
      <w:pPr>
        <w:spacing w:line="480" w:lineRule="auto"/>
        <w:jc w:val="both"/>
        <w:rPr>
          <w:rFonts w:ascii="Arial" w:hAnsi="Arial" w:cs="Arial"/>
        </w:rPr>
      </w:pPr>
      <w:r w:rsidRPr="00AA373E">
        <w:rPr>
          <w:rFonts w:ascii="Arial" w:hAnsi="Arial" w:cs="Arial"/>
        </w:rPr>
        <w:t xml:space="preserve">The binding attributes of the juvenile sports community are complex. A mutual enthusiasm for sports, especially football and rugby, constitutes the principal unifying element. This common interest cultivates collaboration, discipline, and a sense of </w:t>
      </w:r>
      <w:r w:rsidRPr="00AA373E">
        <w:rPr>
          <w:rFonts w:ascii="Arial" w:hAnsi="Arial" w:cs="Arial"/>
        </w:rPr>
        <w:lastRenderedPageBreak/>
        <w:t xml:space="preserve">community among members. The community prioritises personal and group </w:t>
      </w:r>
      <w:r w:rsidRPr="00AA373E">
        <w:rPr>
          <w:rFonts w:ascii="Arial" w:hAnsi="Arial" w:cs="Arial"/>
        </w:rPr>
        <w:t>goal setting</w:t>
      </w:r>
      <w:r w:rsidRPr="00AA373E">
        <w:rPr>
          <w:rFonts w:ascii="Arial" w:hAnsi="Arial" w:cs="Arial"/>
        </w:rPr>
        <w:t>, motivating members to pursue success both in sports and in life. The implementation of organised activities and consistent training sessions enhances the connections among members, fostering a supportive network that encourages resilience and mutual assistance (</w:t>
      </w:r>
      <w:proofErr w:type="spellStart"/>
      <w:r w:rsidRPr="00AA373E">
        <w:rPr>
          <w:rFonts w:ascii="Arial" w:hAnsi="Arial" w:cs="Arial"/>
        </w:rPr>
        <w:t>Dongier</w:t>
      </w:r>
      <w:proofErr w:type="spellEnd"/>
      <w:r w:rsidRPr="00AA373E">
        <w:rPr>
          <w:rFonts w:ascii="Arial" w:hAnsi="Arial" w:cs="Arial"/>
        </w:rPr>
        <w:t xml:space="preserve"> et al., 2003).</w:t>
      </w:r>
    </w:p>
    <w:p w14:paraId="5EB36620"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Justification for Selection</w:t>
      </w:r>
    </w:p>
    <w:p w14:paraId="41B2A25D" w14:textId="77777777" w:rsidR="00AA373E" w:rsidRDefault="00AA373E" w:rsidP="00AA373E">
      <w:pPr>
        <w:spacing w:line="480" w:lineRule="auto"/>
        <w:jc w:val="both"/>
        <w:rPr>
          <w:rFonts w:ascii="Arial" w:hAnsi="Arial" w:cs="Arial"/>
        </w:rPr>
      </w:pPr>
      <w:r w:rsidRPr="00AA373E">
        <w:rPr>
          <w:rFonts w:ascii="Arial" w:hAnsi="Arial" w:cs="Arial"/>
        </w:rPr>
        <w:t>The decision to concentrate on the youth sports community is based on its significant influence on multiple facets of community life in Port Talbot. Participation in sports among adolescents is associated with various beneficial effects, such as increased physical health, greater social competencies, and decreased rates of delinquency (Olukotun, 2008). Additionally, the youth sports community constitutes an essential element of the town's comprehensive community development strategy, tackling social and economic issues by offering significant activities and possibilities for young engagement.</w:t>
      </w:r>
    </w:p>
    <w:p w14:paraId="2ED717B6"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Strategies to Promote Growth and Development</w:t>
      </w:r>
    </w:p>
    <w:p w14:paraId="2AD4A366" w14:textId="77777777" w:rsidR="00AA373E" w:rsidRDefault="00AA373E" w:rsidP="00AA373E">
      <w:pPr>
        <w:spacing w:line="480" w:lineRule="auto"/>
        <w:jc w:val="both"/>
        <w:rPr>
          <w:rFonts w:ascii="Arial" w:hAnsi="Arial" w:cs="Arial"/>
        </w:rPr>
      </w:pPr>
      <w:r w:rsidRPr="00AA373E">
        <w:rPr>
          <w:rFonts w:ascii="Arial" w:hAnsi="Arial" w:cs="Arial"/>
        </w:rPr>
        <w:t>Promoting growth and development within the young sports community in Port Talbot necessitates a comprehensive and varied strategy. These techniques include iconography, cultural integration, societal and economic contributions, political backing, and environmental considerations. Each of these components is essential for establishing a sustainable and effective community development framework.</w:t>
      </w:r>
    </w:p>
    <w:p w14:paraId="38F617E9"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Visual Representation and Societal Influence</w:t>
      </w:r>
    </w:p>
    <w:p w14:paraId="4A3520B1" w14:textId="77777777" w:rsidR="00AA373E" w:rsidRDefault="00AA373E" w:rsidP="00AA373E">
      <w:pPr>
        <w:spacing w:line="480" w:lineRule="auto"/>
        <w:jc w:val="both"/>
        <w:rPr>
          <w:rFonts w:ascii="Arial" w:hAnsi="Arial" w:cs="Arial"/>
        </w:rPr>
      </w:pPr>
      <w:r w:rsidRPr="00AA373E">
        <w:rPr>
          <w:rFonts w:ascii="Arial" w:hAnsi="Arial" w:cs="Arial"/>
        </w:rPr>
        <w:t xml:space="preserve">Imagery significantly influences the identity and impression of the young sports community in Port Talbot. Visual components, such team logos, uniforms, and </w:t>
      </w:r>
      <w:r w:rsidRPr="00AA373E">
        <w:rPr>
          <w:rFonts w:ascii="Arial" w:hAnsi="Arial" w:cs="Arial"/>
        </w:rPr>
        <w:lastRenderedPageBreak/>
        <w:t>promotional materials, include local symbols and colours that reflect the community's tradition. The use of the town's colours and emblems in team uniforms cultivates a sense of pride and local identity among participants and supporters. The intentional employment of imagery enhances cultural identification and pride, rendering the group more accessible and appealing to prospective members (Stone, 2012).</w:t>
      </w:r>
    </w:p>
    <w:p w14:paraId="3256B78C" w14:textId="77777777" w:rsidR="00AA373E" w:rsidRDefault="00AA373E" w:rsidP="00AA373E">
      <w:pPr>
        <w:spacing w:line="480" w:lineRule="auto"/>
        <w:jc w:val="both"/>
        <w:rPr>
          <w:rFonts w:ascii="Arial" w:hAnsi="Arial" w:cs="Arial"/>
        </w:rPr>
      </w:pPr>
      <w:r w:rsidRPr="00AA373E">
        <w:rPr>
          <w:rFonts w:ascii="Arial" w:hAnsi="Arial" w:cs="Arial"/>
        </w:rPr>
        <w:t>Cultural festivities and celebrations included into sporting activities contribute to the preservation of local traditions and enhance participants' sense of belonging. Annual sports festivals typically showcase local music, cuisine, and cultural events, fostering an inclusive atmosphere that honours difference and unites participants via common cultural experiences. The cultural importance of athletics as a unifying element is apparent in its ability to connect diverse ethnic and socioeconomic groups, fostering inclusivity and mutual respect (</w:t>
      </w:r>
      <w:proofErr w:type="spellStart"/>
      <w:r w:rsidRPr="00AA373E">
        <w:rPr>
          <w:rFonts w:ascii="Arial" w:hAnsi="Arial" w:cs="Arial"/>
        </w:rPr>
        <w:t>Raditloaneng</w:t>
      </w:r>
      <w:proofErr w:type="spellEnd"/>
      <w:r w:rsidRPr="00AA373E">
        <w:rPr>
          <w:rFonts w:ascii="Arial" w:hAnsi="Arial" w:cs="Arial"/>
        </w:rPr>
        <w:t>, 2015).</w:t>
      </w:r>
    </w:p>
    <w:p w14:paraId="4DEFB27A"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Societal and Economic Implications</w:t>
      </w:r>
    </w:p>
    <w:p w14:paraId="61451C45" w14:textId="77777777" w:rsidR="00AA373E" w:rsidRDefault="00AA373E" w:rsidP="00AA373E">
      <w:pPr>
        <w:spacing w:line="480" w:lineRule="auto"/>
        <w:jc w:val="both"/>
        <w:rPr>
          <w:rFonts w:ascii="Arial" w:hAnsi="Arial" w:cs="Arial"/>
        </w:rPr>
      </w:pPr>
      <w:r w:rsidRPr="00AA373E">
        <w:rPr>
          <w:rFonts w:ascii="Arial" w:hAnsi="Arial" w:cs="Arial"/>
        </w:rPr>
        <w:t>The societal advantages of the young sports community are numerous. Participation in sporting activities promotes social cohesion by uniting kids from various origins, cultivating friendships, and diminishing occurrences of criminality (Olukotun, 2008). Sports cultivate virtues such as discipline, teamwork, and leadership, which are applicable to other aspects of life. Engagement in team sports, for instance, imparts the significance of collaboration and communication, vital competencies for personal and professional achievement.</w:t>
      </w:r>
    </w:p>
    <w:p w14:paraId="61276AFD" w14:textId="77777777" w:rsidR="00AA373E" w:rsidRDefault="00AA373E" w:rsidP="00AA373E">
      <w:pPr>
        <w:spacing w:line="480" w:lineRule="auto"/>
        <w:jc w:val="both"/>
        <w:rPr>
          <w:rFonts w:ascii="Arial" w:hAnsi="Arial" w:cs="Arial"/>
        </w:rPr>
      </w:pPr>
      <w:r w:rsidRPr="00AA373E">
        <w:rPr>
          <w:rFonts w:ascii="Arial" w:hAnsi="Arial" w:cs="Arial"/>
        </w:rPr>
        <w:t>The community economically supports local businesses that sponsor events and teams, ultimately invigorating the local economy (</w:t>
      </w:r>
      <w:proofErr w:type="spellStart"/>
      <w:r w:rsidRPr="00AA373E">
        <w:rPr>
          <w:rFonts w:ascii="Arial" w:hAnsi="Arial" w:cs="Arial"/>
        </w:rPr>
        <w:t>Hes</w:t>
      </w:r>
      <w:proofErr w:type="spellEnd"/>
      <w:r w:rsidRPr="00AA373E">
        <w:rPr>
          <w:rFonts w:ascii="Arial" w:hAnsi="Arial" w:cs="Arial"/>
        </w:rPr>
        <w:t xml:space="preserve">, 2017). Sponsorships from local enterprises offer financial assistance while cultivating community collaboration and commitment to youth development. Moreover, sporting events draw tourists to Port </w:t>
      </w:r>
      <w:r w:rsidRPr="00AA373E">
        <w:rPr>
          <w:rFonts w:ascii="Arial" w:hAnsi="Arial" w:cs="Arial"/>
        </w:rPr>
        <w:lastRenderedPageBreak/>
        <w:t>Talbot, enhancing revenue for local businesses including restaurants, hotels, and retail outlets. Temporary employment opportunities emerge from the organising and management of these events, so enhancing the local economy.</w:t>
      </w:r>
    </w:p>
    <w:p w14:paraId="7400CAAC" w14:textId="77777777" w:rsidR="00AA373E" w:rsidRDefault="00AA373E" w:rsidP="00AA373E">
      <w:pPr>
        <w:spacing w:line="480" w:lineRule="auto"/>
        <w:jc w:val="both"/>
        <w:rPr>
          <w:rFonts w:ascii="Arial" w:hAnsi="Arial" w:cs="Arial"/>
        </w:rPr>
      </w:pPr>
      <w:r w:rsidRPr="00AA373E">
        <w:rPr>
          <w:rFonts w:ascii="Arial" w:hAnsi="Arial" w:cs="Arial"/>
        </w:rPr>
        <w:t>Moreover, the youth sports community functions as a conduit for local talent cultivation, perhaps resulting in professional prospects for exceptional players. This not only elevates the town's prestige but also motivates future generations to pursue their ambitions, so fostering a virtuous cycle of growth and development.</w:t>
      </w:r>
    </w:p>
    <w:p w14:paraId="302375D8"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Political and Environmental Implications</w:t>
      </w:r>
    </w:p>
    <w:p w14:paraId="071EA3F4" w14:textId="77777777" w:rsidR="00AA373E" w:rsidRDefault="00AA373E" w:rsidP="00AA373E">
      <w:pPr>
        <w:spacing w:line="480" w:lineRule="auto"/>
        <w:jc w:val="both"/>
        <w:rPr>
          <w:rFonts w:ascii="Arial" w:hAnsi="Arial" w:cs="Arial"/>
        </w:rPr>
      </w:pPr>
      <w:r w:rsidRPr="00AA373E">
        <w:rPr>
          <w:rFonts w:ascii="Arial" w:hAnsi="Arial" w:cs="Arial"/>
        </w:rPr>
        <w:t>Political backing is crucial for the advancement of the young sports sector. Local government policies that emphasise youth engagement and designate financing for sports facilities and activities demonstrate a dedication to community development (Head, 2007). This funding guarantees the availability of resources for the maintenance and expansion of sporting facilities, hence enhancing accessibility for a wider demographic. Recent activities by the Neath Port Talbot County Borough Council have encompassed the renovation of local sports centres and the allocation of subsidies for youth sports programs, exemplifying a proactive strategy for promoting community development.</w:t>
      </w:r>
    </w:p>
    <w:p w14:paraId="7C8648A2" w14:textId="77777777" w:rsidR="00C76A16" w:rsidRDefault="00AA373E" w:rsidP="00AA373E">
      <w:pPr>
        <w:spacing w:line="480" w:lineRule="auto"/>
        <w:jc w:val="both"/>
        <w:rPr>
          <w:rFonts w:ascii="Arial" w:hAnsi="Arial" w:cs="Arial"/>
        </w:rPr>
      </w:pPr>
      <w:r w:rsidRPr="00AA373E">
        <w:rPr>
          <w:rFonts w:ascii="Arial" w:hAnsi="Arial" w:cs="Arial"/>
        </w:rPr>
        <w:t xml:space="preserve">The community embraces sustainable practices by advocating for the utilisation of environmentally friendly materials in sports equipment and facilities. Initiatives like as recycling programs at events and the upkeep of green spaces for athletic activities indicate a dedication to environmental care. The installation of recycling bins at sporting stadiums and the utilisation of biodegradable materials for event-related garbage help reduce the community's ecological imprint. These methods not only </w:t>
      </w:r>
      <w:r w:rsidRPr="00AA373E">
        <w:rPr>
          <w:rFonts w:ascii="Arial" w:hAnsi="Arial" w:cs="Arial"/>
        </w:rPr>
        <w:lastRenderedPageBreak/>
        <w:t>conserve the local ecosystem but also instruct adolescents on the significance of sustainability, promoting environmentally responsible behaviours (Khwaja, 2004).</w:t>
      </w:r>
    </w:p>
    <w:p w14:paraId="57206BFF" w14:textId="4ED28006" w:rsidR="00AA373E" w:rsidRDefault="00AA373E" w:rsidP="00AA373E">
      <w:pPr>
        <w:spacing w:line="480" w:lineRule="auto"/>
        <w:jc w:val="both"/>
        <w:rPr>
          <w:rFonts w:ascii="Arial" w:hAnsi="Arial" w:cs="Arial"/>
        </w:rPr>
      </w:pPr>
      <w:r w:rsidRPr="00AA373E">
        <w:rPr>
          <w:rFonts w:ascii="Arial" w:hAnsi="Arial" w:cs="Arial"/>
        </w:rPr>
        <w:t>The community undertakes measures to decrease energy use and advocate for sustainable mobility alternatives for participants and spectators. Promoting public transport or cycling to sporting events decreases carbon emissions and fosters healthier lifestyles, in accordance with overarching environmental sustainability objectives</w:t>
      </w:r>
      <w:r>
        <w:rPr>
          <w:rFonts w:ascii="Arial" w:hAnsi="Arial" w:cs="Arial"/>
        </w:rPr>
        <w:t>.</w:t>
      </w:r>
    </w:p>
    <w:p w14:paraId="5EFD2101"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Customising Communications for Behavioural Modification</w:t>
      </w:r>
    </w:p>
    <w:p w14:paraId="21BF0C17" w14:textId="77777777" w:rsidR="00AA373E" w:rsidRDefault="00AA373E" w:rsidP="00AA373E">
      <w:pPr>
        <w:spacing w:line="480" w:lineRule="auto"/>
        <w:jc w:val="both"/>
        <w:rPr>
          <w:rFonts w:ascii="Arial" w:hAnsi="Arial" w:cs="Arial"/>
        </w:rPr>
      </w:pPr>
      <w:r w:rsidRPr="00AA373E">
        <w:rPr>
          <w:rFonts w:ascii="Arial" w:hAnsi="Arial" w:cs="Arial"/>
        </w:rPr>
        <w:t>Effective communication tactics are essential for facilitating behavioural change in the youth sports community. Messages are customised to appeal to the target demographic by utilising venues commonly employed by adolescents, including social media, local community boards, and school networks. The language employed is accessible and inspiring, frequently emphasising individual success narratives and the concrete advantages of engaging in sports (Jacob et al., 2015).</w:t>
      </w:r>
    </w:p>
    <w:p w14:paraId="63977E19"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Strategies for Communication</w:t>
      </w:r>
    </w:p>
    <w:p w14:paraId="7DA20E9D" w14:textId="77777777" w:rsidR="00AA373E" w:rsidRDefault="00AA373E" w:rsidP="00AA373E">
      <w:pPr>
        <w:spacing w:line="480" w:lineRule="auto"/>
        <w:jc w:val="both"/>
        <w:rPr>
          <w:rFonts w:ascii="Arial" w:hAnsi="Arial" w:cs="Arial"/>
        </w:rPr>
      </w:pPr>
      <w:r w:rsidRPr="00AA373E">
        <w:rPr>
          <w:rFonts w:ascii="Arial" w:hAnsi="Arial" w:cs="Arial"/>
        </w:rPr>
        <w:t>Social media platforms such as Facebook, Instagram, and Twitter are widely employed to convey information, exchange updates, and interact with community members. These platforms provide rapid and efficient outreach to a broad audience, promoting a sense of immediacy and connectivity. Furthermore, the use of aesthetically pleasing content, like images and videos of athletic events, training activities, and community assemblies, amplifies engagement and interest among young individuals.</w:t>
      </w:r>
    </w:p>
    <w:p w14:paraId="6C0DB0E7" w14:textId="77777777" w:rsidR="00AA373E" w:rsidRDefault="00AA373E" w:rsidP="00AA373E">
      <w:pPr>
        <w:spacing w:line="480" w:lineRule="auto"/>
        <w:jc w:val="both"/>
        <w:rPr>
          <w:rFonts w:ascii="Arial" w:hAnsi="Arial" w:cs="Arial"/>
        </w:rPr>
      </w:pPr>
      <w:r w:rsidRPr="00AA373E">
        <w:rPr>
          <w:rFonts w:ascii="Arial" w:hAnsi="Arial" w:cs="Arial"/>
        </w:rPr>
        <w:t xml:space="preserve">Local community boards and newsletters are essential for conveying information to individuals who may not engage actively with social media. Partnerships with local </w:t>
      </w:r>
      <w:r w:rsidRPr="00AA373E">
        <w:rPr>
          <w:rFonts w:ascii="Arial" w:hAnsi="Arial" w:cs="Arial"/>
        </w:rPr>
        <w:lastRenderedPageBreak/>
        <w:t>schools and educational institutions provide direct communication of messages to students, promoting their involvement in sporting activities. Posters, fliers, and announcements during school assemblies function as supplementary means for engaging youth and advertising forthcoming events and programs.</w:t>
      </w:r>
    </w:p>
    <w:p w14:paraId="1883ED0F" w14:textId="77777777" w:rsidR="00AA373E" w:rsidRPr="00C76A16" w:rsidRDefault="00AA373E" w:rsidP="00AA373E">
      <w:pPr>
        <w:spacing w:line="480" w:lineRule="auto"/>
        <w:jc w:val="both"/>
        <w:rPr>
          <w:rFonts w:ascii="Arial Black" w:hAnsi="Arial Black" w:cs="Arial"/>
        </w:rPr>
      </w:pPr>
      <w:r w:rsidRPr="00AA373E">
        <w:rPr>
          <w:rFonts w:ascii="Arial Black" w:hAnsi="Arial Black" w:cs="Arial"/>
        </w:rPr>
        <w:t>Behavioural Insights</w:t>
      </w:r>
    </w:p>
    <w:p w14:paraId="5D5EC5A1" w14:textId="77777777" w:rsidR="00AA373E" w:rsidRDefault="00AA373E" w:rsidP="00AA373E">
      <w:pPr>
        <w:spacing w:line="480" w:lineRule="auto"/>
        <w:jc w:val="both"/>
        <w:rPr>
          <w:rFonts w:ascii="Arial" w:hAnsi="Arial" w:cs="Arial"/>
        </w:rPr>
      </w:pPr>
      <w:r w:rsidRPr="00AA373E">
        <w:rPr>
          <w:rFonts w:ascii="Arial" w:hAnsi="Arial" w:cs="Arial"/>
        </w:rPr>
        <w:t>Comprehending the motives and obstacles encountered by youngsters is crucial for formulating effective communications. Young individuals are frequently driven by the aspiration for social acknowledgement, self-improvement, and the quest for athletic superiority. Communications that underscore these reasons, such as presenting success narratives of local athletes or accentuating the significance of sports in enhancing a robust portfolio, profoundly connect with the intended audience (</w:t>
      </w:r>
      <w:proofErr w:type="spellStart"/>
      <w:r w:rsidRPr="00AA373E">
        <w:rPr>
          <w:rFonts w:ascii="Arial" w:hAnsi="Arial" w:cs="Arial"/>
        </w:rPr>
        <w:t>Hes</w:t>
      </w:r>
      <w:proofErr w:type="spellEnd"/>
      <w:r w:rsidRPr="00AA373E">
        <w:rPr>
          <w:rFonts w:ascii="Arial" w:hAnsi="Arial" w:cs="Arial"/>
        </w:rPr>
        <w:t>, 2017).</w:t>
      </w:r>
    </w:p>
    <w:p w14:paraId="4C30C8E7" w14:textId="77777777" w:rsidR="00AA373E" w:rsidRDefault="00AA373E" w:rsidP="00AA373E">
      <w:pPr>
        <w:spacing w:line="480" w:lineRule="auto"/>
        <w:jc w:val="both"/>
        <w:rPr>
          <w:rFonts w:ascii="Arial" w:hAnsi="Arial" w:cs="Arial"/>
        </w:rPr>
      </w:pPr>
      <w:r w:rsidRPr="00AA373E">
        <w:rPr>
          <w:rFonts w:ascii="Arial" w:hAnsi="Arial" w:cs="Arial"/>
        </w:rPr>
        <w:t>Conversely, overcoming obstacles such as time constraints, scholastic obligations, and financial limitations is essential for fostering continuous participation. Implementing adaptable training regimens, providing scholarships or financial aid for equipment, and highlighting the enduring advantages of sports participation can alleviate these obstacles and encourage sustained engagement.</w:t>
      </w:r>
    </w:p>
    <w:p w14:paraId="08BF60BC" w14:textId="77777777" w:rsidR="00AA373E" w:rsidRDefault="00AA373E" w:rsidP="00AA373E">
      <w:pPr>
        <w:spacing w:line="480" w:lineRule="auto"/>
        <w:jc w:val="both"/>
        <w:rPr>
          <w:rFonts w:ascii="Arial" w:hAnsi="Arial" w:cs="Arial"/>
        </w:rPr>
      </w:pPr>
      <w:r w:rsidRPr="00AA373E">
        <w:rPr>
          <w:rFonts w:ascii="Arial" w:hAnsi="Arial" w:cs="Arial"/>
        </w:rPr>
        <w:t>Engaging community leaders and influencers in message distribution increases credibility and acceptance among the youth. Local athletes, coaches, and esteemed community members exemplify the principles and advantages of active engagement in sports. Their endorsement and active participation in communication initiatives enhance the authenticity and credibility of the messages, hence augmenting their impact and efficacy.</w:t>
      </w:r>
    </w:p>
    <w:p w14:paraId="44E64B50" w14:textId="77777777" w:rsidR="00C76A16" w:rsidRDefault="00C76A16" w:rsidP="00AA373E">
      <w:pPr>
        <w:spacing w:line="480" w:lineRule="auto"/>
        <w:jc w:val="both"/>
        <w:rPr>
          <w:rFonts w:ascii="Arial" w:hAnsi="Arial" w:cs="Arial"/>
        </w:rPr>
      </w:pPr>
    </w:p>
    <w:p w14:paraId="0A1EA535" w14:textId="49971AA7" w:rsidR="00AA373E" w:rsidRPr="00C76A16" w:rsidRDefault="00AA373E" w:rsidP="00AA373E">
      <w:pPr>
        <w:spacing w:line="480" w:lineRule="auto"/>
        <w:jc w:val="both"/>
        <w:rPr>
          <w:rFonts w:ascii="Arial Black" w:hAnsi="Arial Black" w:cs="Arial"/>
        </w:rPr>
      </w:pPr>
      <w:r w:rsidRPr="00AA373E">
        <w:rPr>
          <w:rFonts w:ascii="Arial Black" w:hAnsi="Arial Black" w:cs="Arial"/>
        </w:rPr>
        <w:lastRenderedPageBreak/>
        <w:t>Customised Communication Illustrations</w:t>
      </w:r>
    </w:p>
    <w:p w14:paraId="76A023E1" w14:textId="77777777" w:rsidR="00AA373E" w:rsidRDefault="00AA373E" w:rsidP="00AA373E">
      <w:pPr>
        <w:spacing w:line="480" w:lineRule="auto"/>
        <w:jc w:val="both"/>
        <w:rPr>
          <w:rFonts w:ascii="Arial" w:hAnsi="Arial" w:cs="Arial"/>
        </w:rPr>
      </w:pPr>
      <w:r w:rsidRPr="00AA373E">
        <w:rPr>
          <w:rFonts w:ascii="Arial" w:hAnsi="Arial" w:cs="Arial"/>
        </w:rPr>
        <w:t>An instance of customised communication is the incorporation of individual success narratives in marketing initiatives. Celebrating the accomplishments of local child athletes not only motivates others to engage but also cultivates a sense of pride and ambition within the community. Participant testimonials regarding the beneficial effects of sports on personal growth, academic achievement, and social relationships further underscore the significance of involvement.</w:t>
      </w:r>
    </w:p>
    <w:p w14:paraId="4E382376" w14:textId="40E6F05E" w:rsidR="00AA373E" w:rsidRDefault="00AA373E" w:rsidP="00AA373E">
      <w:pPr>
        <w:spacing w:line="480" w:lineRule="auto"/>
        <w:jc w:val="both"/>
        <w:rPr>
          <w:rFonts w:ascii="Arial" w:hAnsi="Arial" w:cs="Arial"/>
        </w:rPr>
      </w:pPr>
      <w:r w:rsidRPr="00AA373E">
        <w:rPr>
          <w:rFonts w:ascii="Arial" w:hAnsi="Arial" w:cs="Arial"/>
        </w:rPr>
        <w:t>Furthermore, communications that highlight the social dimensions of sports, such as forming new friendships and participating in a team, resonate with the inherent social incentives of young individuals. Campaigns emphasising the enjoyment and fellowship of sports participation foster a welcoming and inclusive environment, motivating greater young involvement and sustained engagement.</w:t>
      </w:r>
    </w:p>
    <w:p w14:paraId="2073713C" w14:textId="77777777" w:rsidR="00AA373E" w:rsidRPr="00C76A16" w:rsidRDefault="00AA373E" w:rsidP="00AA373E">
      <w:pPr>
        <w:spacing w:line="480" w:lineRule="auto"/>
        <w:jc w:val="both"/>
        <w:rPr>
          <w:rFonts w:ascii="Arial Black" w:hAnsi="Arial Black" w:cs="Arial"/>
        </w:rPr>
      </w:pPr>
      <w:r w:rsidRPr="00C76A16">
        <w:rPr>
          <w:rFonts w:ascii="Arial Black" w:hAnsi="Arial Black" w:cs="Arial"/>
        </w:rPr>
        <w:t>Challenges in Youth Sports Community in Port Talbot</w:t>
      </w:r>
    </w:p>
    <w:p w14:paraId="31EA0B97" w14:textId="517FBDE2" w:rsidR="00AA373E" w:rsidRPr="00AA373E" w:rsidRDefault="00AA373E" w:rsidP="00AA373E">
      <w:pPr>
        <w:pStyle w:val="ListParagraph"/>
        <w:numPr>
          <w:ilvl w:val="0"/>
          <w:numId w:val="3"/>
        </w:numPr>
        <w:spacing w:line="480" w:lineRule="auto"/>
        <w:jc w:val="both"/>
        <w:rPr>
          <w:rFonts w:ascii="Arial" w:hAnsi="Arial" w:cs="Arial"/>
        </w:rPr>
      </w:pPr>
      <w:r w:rsidRPr="00AA373E">
        <w:rPr>
          <w:rFonts w:ascii="Arial" w:hAnsi="Arial" w:cs="Arial"/>
        </w:rPr>
        <w:t>Limited Funding</w:t>
      </w:r>
    </w:p>
    <w:p w14:paraId="7ACB66BC" w14:textId="342FB12B" w:rsidR="00AA373E" w:rsidRPr="00AA373E" w:rsidRDefault="00AA373E" w:rsidP="00AA373E">
      <w:pPr>
        <w:pStyle w:val="ListParagraph"/>
        <w:numPr>
          <w:ilvl w:val="0"/>
          <w:numId w:val="1"/>
        </w:numPr>
        <w:spacing w:line="480" w:lineRule="auto"/>
        <w:jc w:val="both"/>
        <w:rPr>
          <w:rFonts w:ascii="Arial" w:hAnsi="Arial" w:cs="Arial"/>
        </w:rPr>
      </w:pPr>
      <w:r w:rsidRPr="00AA373E">
        <w:rPr>
          <w:rFonts w:ascii="Arial" w:hAnsi="Arial" w:cs="Arial"/>
        </w:rPr>
        <w:t>Limited funding restricts resources for maintaining facilities and organizing events.</w:t>
      </w:r>
    </w:p>
    <w:p w14:paraId="6831340E" w14:textId="451268C1" w:rsidR="00AA373E" w:rsidRPr="00AA373E" w:rsidRDefault="00AA373E" w:rsidP="00AA373E">
      <w:pPr>
        <w:pStyle w:val="ListParagraph"/>
        <w:numPr>
          <w:ilvl w:val="0"/>
          <w:numId w:val="1"/>
        </w:numPr>
        <w:spacing w:line="480" w:lineRule="auto"/>
        <w:jc w:val="both"/>
        <w:rPr>
          <w:rFonts w:ascii="Arial" w:hAnsi="Arial" w:cs="Arial"/>
        </w:rPr>
      </w:pPr>
      <w:r w:rsidRPr="00AA373E">
        <w:rPr>
          <w:rFonts w:ascii="Arial" w:hAnsi="Arial" w:cs="Arial"/>
        </w:rPr>
        <w:t>Financial constraints can lead to fluctuations in program quality and availability.</w:t>
      </w:r>
    </w:p>
    <w:p w14:paraId="42A6DD5E" w14:textId="31D87E76" w:rsidR="00AA373E" w:rsidRPr="00AA373E" w:rsidRDefault="00AA373E" w:rsidP="00AA373E">
      <w:pPr>
        <w:pStyle w:val="ListParagraph"/>
        <w:numPr>
          <w:ilvl w:val="0"/>
          <w:numId w:val="1"/>
        </w:numPr>
        <w:spacing w:line="480" w:lineRule="auto"/>
        <w:jc w:val="both"/>
        <w:rPr>
          <w:rFonts w:ascii="Arial" w:hAnsi="Arial" w:cs="Arial"/>
        </w:rPr>
      </w:pPr>
      <w:r w:rsidRPr="00AA373E">
        <w:rPr>
          <w:rFonts w:ascii="Arial" w:hAnsi="Arial" w:cs="Arial"/>
        </w:rPr>
        <w:t>Financial instability can affect the ability to hire qualified coaches and support staff.</w:t>
      </w:r>
    </w:p>
    <w:p w14:paraId="5EFAD88D" w14:textId="55161CEE" w:rsidR="00AA373E" w:rsidRPr="00AA373E" w:rsidRDefault="00AA373E" w:rsidP="00AA373E">
      <w:pPr>
        <w:pStyle w:val="ListParagraph"/>
        <w:numPr>
          <w:ilvl w:val="0"/>
          <w:numId w:val="3"/>
        </w:numPr>
        <w:spacing w:line="480" w:lineRule="auto"/>
        <w:jc w:val="both"/>
        <w:rPr>
          <w:rFonts w:ascii="Arial" w:hAnsi="Arial" w:cs="Arial"/>
        </w:rPr>
      </w:pPr>
      <w:r w:rsidRPr="00AA373E">
        <w:rPr>
          <w:rFonts w:ascii="Arial" w:hAnsi="Arial" w:cs="Arial"/>
        </w:rPr>
        <w:t>Maintaining Consistent Participation</w:t>
      </w:r>
    </w:p>
    <w:p w14:paraId="585287AA" w14:textId="136313DD" w:rsidR="00AA373E" w:rsidRPr="00AA373E" w:rsidRDefault="00AA373E" w:rsidP="00AA373E">
      <w:pPr>
        <w:pStyle w:val="ListParagraph"/>
        <w:numPr>
          <w:ilvl w:val="0"/>
          <w:numId w:val="4"/>
        </w:numPr>
        <w:spacing w:line="480" w:lineRule="auto"/>
        <w:jc w:val="both"/>
        <w:rPr>
          <w:rFonts w:ascii="Arial" w:hAnsi="Arial" w:cs="Arial"/>
        </w:rPr>
      </w:pPr>
      <w:r w:rsidRPr="00AA373E">
        <w:rPr>
          <w:rFonts w:ascii="Arial" w:hAnsi="Arial" w:cs="Arial"/>
        </w:rPr>
        <w:t>Balancing academic commitments, part-time work, and family responsibilities with sports participation is challenging.</w:t>
      </w:r>
    </w:p>
    <w:p w14:paraId="0A8F7364" w14:textId="77777777" w:rsidR="00AA373E" w:rsidRDefault="00AA373E" w:rsidP="00AA373E">
      <w:pPr>
        <w:pStyle w:val="ListParagraph"/>
        <w:numPr>
          <w:ilvl w:val="0"/>
          <w:numId w:val="4"/>
        </w:numPr>
        <w:spacing w:line="480" w:lineRule="auto"/>
        <w:jc w:val="both"/>
        <w:rPr>
          <w:rFonts w:ascii="Arial" w:hAnsi="Arial" w:cs="Arial"/>
        </w:rPr>
      </w:pPr>
      <w:r w:rsidRPr="00AA373E">
        <w:rPr>
          <w:rFonts w:ascii="Arial" w:hAnsi="Arial" w:cs="Arial"/>
        </w:rPr>
        <w:t>Flexible scheduling and supportive environments are needed to accommodate diverse needs.</w:t>
      </w:r>
    </w:p>
    <w:p w14:paraId="1AD822AD" w14:textId="75E5F803" w:rsidR="00AA373E" w:rsidRPr="00AA373E" w:rsidRDefault="00AA373E" w:rsidP="00AA373E">
      <w:pPr>
        <w:pStyle w:val="ListParagraph"/>
        <w:numPr>
          <w:ilvl w:val="0"/>
          <w:numId w:val="3"/>
        </w:numPr>
        <w:spacing w:line="480" w:lineRule="auto"/>
        <w:jc w:val="both"/>
        <w:rPr>
          <w:rFonts w:ascii="Arial" w:hAnsi="Arial" w:cs="Arial"/>
        </w:rPr>
      </w:pPr>
      <w:r w:rsidRPr="00AA373E">
        <w:rPr>
          <w:rFonts w:ascii="Arial" w:hAnsi="Arial" w:cs="Arial"/>
        </w:rPr>
        <w:lastRenderedPageBreak/>
        <w:t>Addressing Diverse Needs</w:t>
      </w:r>
    </w:p>
    <w:p w14:paraId="70B7093B" w14:textId="7680FDBB" w:rsidR="00AA373E" w:rsidRPr="00AA373E" w:rsidRDefault="00AA373E" w:rsidP="00AA373E">
      <w:pPr>
        <w:pStyle w:val="ListParagraph"/>
        <w:numPr>
          <w:ilvl w:val="0"/>
          <w:numId w:val="6"/>
        </w:numPr>
        <w:spacing w:line="480" w:lineRule="auto"/>
        <w:jc w:val="both"/>
        <w:rPr>
          <w:rFonts w:ascii="Arial" w:hAnsi="Arial" w:cs="Arial"/>
        </w:rPr>
      </w:pPr>
      <w:r w:rsidRPr="00AA373E">
        <w:rPr>
          <w:rFonts w:ascii="Arial" w:hAnsi="Arial" w:cs="Arial"/>
        </w:rPr>
        <w:t>Tailored approaches are needed to ensure inclusivity and accessibility for all members.</w:t>
      </w:r>
    </w:p>
    <w:p w14:paraId="38EA1A17" w14:textId="0EF35FFA" w:rsidR="00AA373E" w:rsidRPr="00AA373E" w:rsidRDefault="00AA373E" w:rsidP="00AA373E">
      <w:pPr>
        <w:pStyle w:val="ListParagraph"/>
        <w:numPr>
          <w:ilvl w:val="0"/>
          <w:numId w:val="6"/>
        </w:numPr>
        <w:spacing w:line="480" w:lineRule="auto"/>
        <w:jc w:val="both"/>
        <w:rPr>
          <w:rFonts w:ascii="Arial" w:hAnsi="Arial" w:cs="Arial"/>
        </w:rPr>
      </w:pPr>
      <w:r w:rsidRPr="00AA373E">
        <w:rPr>
          <w:rFonts w:ascii="Arial" w:hAnsi="Arial" w:cs="Arial"/>
        </w:rPr>
        <w:t>Inclusive opportunities, such as adaptive sports for individuals with disabilities and culturally sensitive programming, are essential.</w:t>
      </w:r>
    </w:p>
    <w:p w14:paraId="440F2F71" w14:textId="39672919" w:rsidR="00AA373E" w:rsidRPr="00AA373E" w:rsidRDefault="00AA373E" w:rsidP="00AA373E">
      <w:pPr>
        <w:pStyle w:val="ListParagraph"/>
        <w:numPr>
          <w:ilvl w:val="0"/>
          <w:numId w:val="3"/>
        </w:numPr>
        <w:spacing w:line="480" w:lineRule="auto"/>
        <w:jc w:val="both"/>
        <w:rPr>
          <w:rFonts w:ascii="Arial" w:hAnsi="Arial" w:cs="Arial"/>
        </w:rPr>
      </w:pPr>
      <w:r w:rsidRPr="00AA373E">
        <w:rPr>
          <w:rFonts w:ascii="Arial" w:hAnsi="Arial" w:cs="Arial"/>
        </w:rPr>
        <w:t>Environmental Management</w:t>
      </w:r>
    </w:p>
    <w:p w14:paraId="159BE5C9" w14:textId="390E0776" w:rsidR="00AA373E" w:rsidRPr="00AA373E" w:rsidRDefault="00AA373E" w:rsidP="00AA373E">
      <w:pPr>
        <w:pStyle w:val="ListParagraph"/>
        <w:numPr>
          <w:ilvl w:val="0"/>
          <w:numId w:val="8"/>
        </w:numPr>
        <w:spacing w:line="480" w:lineRule="auto"/>
        <w:jc w:val="both"/>
        <w:rPr>
          <w:rFonts w:ascii="Arial" w:hAnsi="Arial" w:cs="Arial"/>
        </w:rPr>
      </w:pPr>
      <w:r w:rsidRPr="00AA373E">
        <w:rPr>
          <w:rFonts w:ascii="Arial" w:hAnsi="Arial" w:cs="Arial"/>
        </w:rPr>
        <w:t>Managing the environmental impact of sports activities requires continuous effort and innovation.</w:t>
      </w:r>
    </w:p>
    <w:p w14:paraId="18CAFA6F" w14:textId="421295B5" w:rsidR="00AA373E" w:rsidRPr="00AA373E" w:rsidRDefault="00AA373E" w:rsidP="00AA373E">
      <w:pPr>
        <w:pStyle w:val="ListParagraph"/>
        <w:numPr>
          <w:ilvl w:val="0"/>
          <w:numId w:val="8"/>
        </w:numPr>
        <w:spacing w:line="480" w:lineRule="auto"/>
        <w:jc w:val="both"/>
        <w:rPr>
          <w:rFonts w:ascii="Arial" w:hAnsi="Arial" w:cs="Arial"/>
        </w:rPr>
      </w:pPr>
      <w:r w:rsidRPr="00AA373E">
        <w:rPr>
          <w:rFonts w:ascii="Arial" w:hAnsi="Arial" w:cs="Arial"/>
        </w:rPr>
        <w:t>Balancing environmental goals with operational demands of sports programs can be challenging.</w:t>
      </w:r>
    </w:p>
    <w:p w14:paraId="264801D2" w14:textId="5682F5E9" w:rsidR="00AA373E" w:rsidRPr="00AA373E" w:rsidRDefault="00AA373E" w:rsidP="00AA373E">
      <w:pPr>
        <w:pStyle w:val="ListParagraph"/>
        <w:numPr>
          <w:ilvl w:val="0"/>
          <w:numId w:val="3"/>
        </w:numPr>
        <w:spacing w:line="480" w:lineRule="auto"/>
        <w:jc w:val="both"/>
        <w:rPr>
          <w:rFonts w:ascii="Arial" w:hAnsi="Arial" w:cs="Arial"/>
        </w:rPr>
      </w:pPr>
      <w:r w:rsidRPr="00AA373E">
        <w:rPr>
          <w:rFonts w:ascii="Arial" w:hAnsi="Arial" w:cs="Arial"/>
        </w:rPr>
        <w:t>Overcoming Social Barriers</w:t>
      </w:r>
    </w:p>
    <w:p w14:paraId="337A9C8C" w14:textId="15C502EC" w:rsidR="00AA373E" w:rsidRPr="00AA373E" w:rsidRDefault="00AA373E" w:rsidP="00AA373E">
      <w:pPr>
        <w:pStyle w:val="ListParagraph"/>
        <w:numPr>
          <w:ilvl w:val="0"/>
          <w:numId w:val="10"/>
        </w:numPr>
        <w:spacing w:line="480" w:lineRule="auto"/>
        <w:jc w:val="both"/>
        <w:rPr>
          <w:rFonts w:ascii="Arial" w:hAnsi="Arial" w:cs="Arial"/>
        </w:rPr>
      </w:pPr>
      <w:r w:rsidRPr="00AA373E">
        <w:rPr>
          <w:rFonts w:ascii="Arial" w:hAnsi="Arial" w:cs="Arial"/>
        </w:rPr>
        <w:t>Stereotypes, gender biases, and lack of representation can hinder the inclusivity and effectiveness of community development initiatives.</w:t>
      </w:r>
    </w:p>
    <w:p w14:paraId="01D476BD" w14:textId="1A56CD79" w:rsidR="00AA373E" w:rsidRPr="00AA373E" w:rsidRDefault="00AA373E" w:rsidP="00AA373E">
      <w:pPr>
        <w:pStyle w:val="ListParagraph"/>
        <w:numPr>
          <w:ilvl w:val="0"/>
          <w:numId w:val="10"/>
        </w:numPr>
        <w:spacing w:line="480" w:lineRule="auto"/>
        <w:jc w:val="both"/>
        <w:rPr>
          <w:rFonts w:ascii="Arial" w:hAnsi="Arial" w:cs="Arial"/>
        </w:rPr>
      </w:pPr>
      <w:r w:rsidRPr="00AA373E">
        <w:rPr>
          <w:rFonts w:ascii="Arial" w:hAnsi="Arial" w:cs="Arial"/>
        </w:rPr>
        <w:t>Proactive efforts in outreach, education, and advocacy are needed to promote diversity and inclusion.</w:t>
      </w:r>
    </w:p>
    <w:p w14:paraId="62A9BCF6" w14:textId="1871F7A2" w:rsidR="00AA373E" w:rsidRPr="00AA373E" w:rsidRDefault="00AA373E" w:rsidP="00AA373E">
      <w:pPr>
        <w:pStyle w:val="ListParagraph"/>
        <w:numPr>
          <w:ilvl w:val="0"/>
          <w:numId w:val="3"/>
        </w:numPr>
        <w:spacing w:line="480" w:lineRule="auto"/>
        <w:jc w:val="both"/>
        <w:rPr>
          <w:rFonts w:ascii="Arial" w:hAnsi="Arial" w:cs="Arial"/>
        </w:rPr>
      </w:pPr>
      <w:r w:rsidRPr="00AA373E">
        <w:rPr>
          <w:rFonts w:ascii="Arial" w:hAnsi="Arial" w:cs="Arial"/>
        </w:rPr>
        <w:t>Technological Challenges</w:t>
      </w:r>
    </w:p>
    <w:p w14:paraId="24C30322" w14:textId="09EE9113" w:rsidR="00AA373E" w:rsidRPr="00AA373E" w:rsidRDefault="00AA373E" w:rsidP="00AA373E">
      <w:pPr>
        <w:pStyle w:val="ListParagraph"/>
        <w:numPr>
          <w:ilvl w:val="0"/>
          <w:numId w:val="12"/>
        </w:numPr>
        <w:spacing w:line="480" w:lineRule="auto"/>
        <w:jc w:val="both"/>
        <w:rPr>
          <w:rFonts w:ascii="Arial" w:hAnsi="Arial" w:cs="Arial"/>
        </w:rPr>
      </w:pPr>
      <w:r w:rsidRPr="00AA373E">
        <w:rPr>
          <w:rFonts w:ascii="Arial" w:hAnsi="Arial" w:cs="Arial"/>
        </w:rPr>
        <w:t>Ensuring youth have access to necessary technology for communication, training, and participation is essential.</w:t>
      </w:r>
    </w:p>
    <w:p w14:paraId="685BFA0E" w14:textId="0E16CE80" w:rsidR="00AA373E" w:rsidRPr="00AA373E" w:rsidRDefault="00AA373E" w:rsidP="00AA373E">
      <w:pPr>
        <w:pStyle w:val="ListParagraph"/>
        <w:numPr>
          <w:ilvl w:val="0"/>
          <w:numId w:val="12"/>
        </w:numPr>
        <w:spacing w:line="480" w:lineRule="auto"/>
        <w:jc w:val="both"/>
        <w:rPr>
          <w:rFonts w:ascii="Arial" w:hAnsi="Arial" w:cs="Arial"/>
        </w:rPr>
      </w:pPr>
      <w:r w:rsidRPr="00AA373E">
        <w:rPr>
          <w:rFonts w:ascii="Arial" w:hAnsi="Arial" w:cs="Arial"/>
        </w:rPr>
        <w:t>Bridging the digital divide and providing support for digital literacy can enhance engagement and accessibility.</w:t>
      </w:r>
    </w:p>
    <w:p w14:paraId="585D1ED4" w14:textId="2EDF81D0" w:rsidR="00AA373E" w:rsidRPr="00AA373E" w:rsidRDefault="00AA373E" w:rsidP="00AA373E">
      <w:pPr>
        <w:pStyle w:val="ListParagraph"/>
        <w:numPr>
          <w:ilvl w:val="0"/>
          <w:numId w:val="3"/>
        </w:numPr>
        <w:spacing w:line="480" w:lineRule="auto"/>
        <w:jc w:val="both"/>
        <w:rPr>
          <w:rFonts w:ascii="Arial" w:hAnsi="Arial" w:cs="Arial"/>
        </w:rPr>
      </w:pPr>
      <w:r w:rsidRPr="00AA373E">
        <w:rPr>
          <w:rFonts w:ascii="Arial" w:hAnsi="Arial" w:cs="Arial"/>
        </w:rPr>
        <w:t>Sustainable Improvements</w:t>
      </w:r>
    </w:p>
    <w:p w14:paraId="07749AF6" w14:textId="10B26536" w:rsidR="00AA373E" w:rsidRPr="00AA373E" w:rsidRDefault="00AA373E" w:rsidP="00AA373E">
      <w:pPr>
        <w:pStyle w:val="ListParagraph"/>
        <w:numPr>
          <w:ilvl w:val="0"/>
          <w:numId w:val="14"/>
        </w:numPr>
        <w:spacing w:line="480" w:lineRule="auto"/>
        <w:jc w:val="both"/>
        <w:rPr>
          <w:rFonts w:ascii="Arial" w:hAnsi="Arial" w:cs="Arial"/>
        </w:rPr>
      </w:pPr>
      <w:r w:rsidRPr="00AA373E">
        <w:rPr>
          <w:rFonts w:ascii="Arial" w:hAnsi="Arial" w:cs="Arial"/>
        </w:rPr>
        <w:t>Strategies such as diversifying funding sources, fostering partnerships with local organizations, and adapting programs to meet evolving community needs are essential.</w:t>
      </w:r>
    </w:p>
    <w:p w14:paraId="25179D84" w14:textId="77777777" w:rsidR="00AA373E" w:rsidRDefault="00AA373E" w:rsidP="00AA373E">
      <w:pPr>
        <w:pStyle w:val="ListParagraph"/>
        <w:numPr>
          <w:ilvl w:val="0"/>
          <w:numId w:val="14"/>
        </w:numPr>
        <w:spacing w:line="480" w:lineRule="auto"/>
        <w:jc w:val="both"/>
        <w:rPr>
          <w:rFonts w:ascii="Arial" w:hAnsi="Arial" w:cs="Arial"/>
        </w:rPr>
      </w:pPr>
      <w:r w:rsidRPr="00AA373E">
        <w:rPr>
          <w:rFonts w:ascii="Arial" w:hAnsi="Arial" w:cs="Arial"/>
        </w:rPr>
        <w:t>Incorporating best practices from successful models can guide future initiatives.</w:t>
      </w:r>
    </w:p>
    <w:p w14:paraId="663BF5FB" w14:textId="49D2551A" w:rsidR="00AA373E" w:rsidRDefault="00AA373E" w:rsidP="00AA373E">
      <w:pPr>
        <w:pStyle w:val="ListParagraph"/>
        <w:numPr>
          <w:ilvl w:val="0"/>
          <w:numId w:val="14"/>
        </w:numPr>
        <w:spacing w:line="480" w:lineRule="auto"/>
        <w:jc w:val="both"/>
        <w:rPr>
          <w:rFonts w:ascii="Arial" w:hAnsi="Arial" w:cs="Arial"/>
        </w:rPr>
      </w:pPr>
      <w:r w:rsidRPr="00AA373E">
        <w:rPr>
          <w:rFonts w:ascii="Arial" w:hAnsi="Arial" w:cs="Arial"/>
        </w:rPr>
        <w:lastRenderedPageBreak/>
        <w:t>Continuous monitoring and feedback mechanisms are vital for maintaining the effectiveness of community development processes.</w:t>
      </w:r>
    </w:p>
    <w:p w14:paraId="26F04C45" w14:textId="77777777" w:rsidR="00C76A16" w:rsidRPr="00C76A16" w:rsidRDefault="00C76A16" w:rsidP="00AA373E">
      <w:pPr>
        <w:spacing w:line="480" w:lineRule="auto"/>
        <w:jc w:val="both"/>
        <w:rPr>
          <w:rFonts w:ascii="Arial Black" w:hAnsi="Arial Black" w:cs="Arial"/>
        </w:rPr>
      </w:pPr>
      <w:r w:rsidRPr="00C76A16">
        <w:rPr>
          <w:rFonts w:ascii="Arial Black" w:hAnsi="Arial Black" w:cs="Arial"/>
        </w:rPr>
        <w:t>Conclusion</w:t>
      </w:r>
    </w:p>
    <w:p w14:paraId="38BBE572" w14:textId="2DEAE217" w:rsidR="00AA373E" w:rsidRDefault="00C76A16" w:rsidP="00AA373E">
      <w:pPr>
        <w:spacing w:line="480" w:lineRule="auto"/>
        <w:jc w:val="both"/>
        <w:rPr>
          <w:rFonts w:ascii="Arial" w:hAnsi="Arial" w:cs="Arial"/>
        </w:rPr>
      </w:pPr>
      <w:r w:rsidRPr="00C76A16">
        <w:rPr>
          <w:rFonts w:ascii="Arial" w:hAnsi="Arial" w:cs="Arial"/>
        </w:rPr>
        <w:t>The youth sports community in Port Talbot has successfully implemented targeted community development initiatives, fostering personal and collective growth through imagery, cultural engagement, and societal and economic contributions. However, challenges like limited funding and diverse needs require ongoing efforts and adaptive strategies. The community's success can serve as a model for other communities seeking similar development, emphasizing inclusivity, sustainability, and continuous improvement. The community's success emphasizes the importance of collaborative efforts, strategic planning, and understanding community dynamics.</w:t>
      </w:r>
    </w:p>
    <w:p w14:paraId="2036D0A2" w14:textId="77777777" w:rsidR="00C76A16" w:rsidRDefault="00C76A16" w:rsidP="00AA373E">
      <w:pPr>
        <w:spacing w:line="480" w:lineRule="auto"/>
        <w:jc w:val="both"/>
        <w:rPr>
          <w:rFonts w:ascii="Arial" w:hAnsi="Arial" w:cs="Arial"/>
        </w:rPr>
      </w:pPr>
    </w:p>
    <w:p w14:paraId="66D8EEB6" w14:textId="77777777" w:rsidR="00C76A16" w:rsidRDefault="00C76A16" w:rsidP="00AA373E">
      <w:pPr>
        <w:spacing w:line="480" w:lineRule="auto"/>
        <w:jc w:val="both"/>
        <w:rPr>
          <w:rFonts w:ascii="Arial" w:hAnsi="Arial" w:cs="Arial"/>
        </w:rPr>
      </w:pPr>
    </w:p>
    <w:p w14:paraId="6BB77803" w14:textId="77777777" w:rsidR="00C76A16" w:rsidRDefault="00C76A16" w:rsidP="00AA373E">
      <w:pPr>
        <w:spacing w:line="480" w:lineRule="auto"/>
        <w:jc w:val="both"/>
        <w:rPr>
          <w:rFonts w:ascii="Arial" w:hAnsi="Arial" w:cs="Arial"/>
        </w:rPr>
      </w:pPr>
    </w:p>
    <w:p w14:paraId="7B30DF52" w14:textId="77777777" w:rsidR="00C76A16" w:rsidRDefault="00C76A16" w:rsidP="00AA373E">
      <w:pPr>
        <w:spacing w:line="480" w:lineRule="auto"/>
        <w:jc w:val="both"/>
        <w:rPr>
          <w:rFonts w:ascii="Arial" w:hAnsi="Arial" w:cs="Arial"/>
        </w:rPr>
      </w:pPr>
    </w:p>
    <w:p w14:paraId="60BC5ABB" w14:textId="77777777" w:rsidR="00C76A16" w:rsidRDefault="00C76A16" w:rsidP="00AA373E">
      <w:pPr>
        <w:spacing w:line="480" w:lineRule="auto"/>
        <w:jc w:val="both"/>
        <w:rPr>
          <w:rFonts w:ascii="Arial" w:hAnsi="Arial" w:cs="Arial"/>
        </w:rPr>
      </w:pPr>
    </w:p>
    <w:p w14:paraId="328C0970" w14:textId="77777777" w:rsidR="00C76A16" w:rsidRDefault="00C76A16" w:rsidP="00AA373E">
      <w:pPr>
        <w:spacing w:line="480" w:lineRule="auto"/>
        <w:jc w:val="both"/>
        <w:rPr>
          <w:rFonts w:ascii="Arial" w:hAnsi="Arial" w:cs="Arial"/>
        </w:rPr>
      </w:pPr>
    </w:p>
    <w:p w14:paraId="24A8964B" w14:textId="77777777" w:rsidR="00C76A16" w:rsidRDefault="00C76A16" w:rsidP="00AA373E">
      <w:pPr>
        <w:spacing w:line="480" w:lineRule="auto"/>
        <w:jc w:val="both"/>
        <w:rPr>
          <w:rFonts w:ascii="Arial" w:hAnsi="Arial" w:cs="Arial"/>
        </w:rPr>
      </w:pPr>
    </w:p>
    <w:p w14:paraId="2E39AB78" w14:textId="77777777" w:rsidR="00C76A16" w:rsidRDefault="00C76A16" w:rsidP="00AA373E">
      <w:pPr>
        <w:spacing w:line="480" w:lineRule="auto"/>
        <w:jc w:val="both"/>
        <w:rPr>
          <w:rFonts w:ascii="Arial" w:hAnsi="Arial" w:cs="Arial"/>
        </w:rPr>
      </w:pPr>
    </w:p>
    <w:p w14:paraId="7A4D30D3" w14:textId="77777777" w:rsidR="00C76A16" w:rsidRDefault="00C76A16" w:rsidP="00AA373E">
      <w:pPr>
        <w:spacing w:line="480" w:lineRule="auto"/>
        <w:jc w:val="both"/>
        <w:rPr>
          <w:rFonts w:ascii="Arial" w:hAnsi="Arial" w:cs="Arial"/>
        </w:rPr>
      </w:pPr>
    </w:p>
    <w:p w14:paraId="125977AA" w14:textId="77777777" w:rsidR="00C76A16" w:rsidRDefault="00C76A16" w:rsidP="00AA373E">
      <w:pPr>
        <w:spacing w:line="480" w:lineRule="auto"/>
        <w:jc w:val="both"/>
        <w:rPr>
          <w:rFonts w:ascii="Arial" w:hAnsi="Arial" w:cs="Arial"/>
        </w:rPr>
      </w:pPr>
    </w:p>
    <w:p w14:paraId="60A49880" w14:textId="13F82830" w:rsidR="00C76A16" w:rsidRDefault="00C76A16" w:rsidP="00AA373E">
      <w:pPr>
        <w:spacing w:line="480" w:lineRule="auto"/>
        <w:jc w:val="both"/>
        <w:rPr>
          <w:rFonts w:ascii="Arial Black" w:hAnsi="Arial Black" w:cs="Arial"/>
        </w:rPr>
      </w:pPr>
      <w:r w:rsidRPr="00E57B9D">
        <w:rPr>
          <w:rFonts w:ascii="Arial Black" w:hAnsi="Arial Black" w:cs="Arial"/>
        </w:rPr>
        <w:lastRenderedPageBreak/>
        <w:t xml:space="preserve">References </w:t>
      </w:r>
    </w:p>
    <w:p w14:paraId="6FD63AA0" w14:textId="77777777" w:rsidR="00E57B9D" w:rsidRPr="00E57B9D" w:rsidRDefault="00E57B9D" w:rsidP="00AA373E">
      <w:pPr>
        <w:spacing w:line="480" w:lineRule="auto"/>
        <w:jc w:val="both"/>
        <w:rPr>
          <w:rFonts w:ascii="Arial Black" w:hAnsi="Arial Black" w:cs="Arial"/>
        </w:rPr>
      </w:pPr>
    </w:p>
    <w:p w14:paraId="294E28FA" w14:textId="77777777" w:rsidR="009863AF" w:rsidRPr="009863AF" w:rsidRDefault="009863AF" w:rsidP="009863AF">
      <w:pPr>
        <w:spacing w:line="480" w:lineRule="auto"/>
        <w:jc w:val="both"/>
        <w:rPr>
          <w:rFonts w:ascii="Arial" w:hAnsi="Arial" w:cs="Arial"/>
        </w:rPr>
      </w:pPr>
      <w:r w:rsidRPr="009863AF">
        <w:rPr>
          <w:rFonts w:ascii="Arial" w:hAnsi="Arial" w:cs="Arial"/>
        </w:rPr>
        <w:t xml:space="preserve">Berkes, F. (1999). </w:t>
      </w:r>
      <w:r w:rsidRPr="009863AF">
        <w:rPr>
          <w:rFonts w:ascii="Arial" w:hAnsi="Arial" w:cs="Arial"/>
          <w:i/>
          <w:iCs/>
        </w:rPr>
        <w:t>Sacred ecology: Traditional ecological knowledge and resource management.</w:t>
      </w:r>
      <w:r w:rsidRPr="009863AF">
        <w:rPr>
          <w:rFonts w:ascii="Arial" w:hAnsi="Arial" w:cs="Arial"/>
        </w:rPr>
        <w:t xml:space="preserve"> Taylor &amp; Francis.</w:t>
      </w:r>
    </w:p>
    <w:p w14:paraId="6A7E07BE" w14:textId="77777777" w:rsidR="009863AF" w:rsidRPr="009863AF" w:rsidRDefault="009863AF" w:rsidP="009863AF">
      <w:pPr>
        <w:spacing w:line="480" w:lineRule="auto"/>
        <w:jc w:val="both"/>
        <w:rPr>
          <w:rFonts w:ascii="Arial" w:hAnsi="Arial" w:cs="Arial"/>
        </w:rPr>
      </w:pPr>
      <w:r w:rsidRPr="009863AF">
        <w:rPr>
          <w:rFonts w:ascii="Arial" w:hAnsi="Arial" w:cs="Arial"/>
        </w:rPr>
        <w:t xml:space="preserve">Brundtland Commission. (1987). </w:t>
      </w:r>
      <w:r w:rsidRPr="009863AF">
        <w:rPr>
          <w:rFonts w:ascii="Arial" w:hAnsi="Arial" w:cs="Arial"/>
          <w:i/>
          <w:iCs/>
        </w:rPr>
        <w:t>Our common future</w:t>
      </w:r>
      <w:r w:rsidRPr="009863AF">
        <w:rPr>
          <w:rFonts w:ascii="Arial" w:hAnsi="Arial" w:cs="Arial"/>
        </w:rPr>
        <w:t>. Oxford University Press.</w:t>
      </w:r>
    </w:p>
    <w:p w14:paraId="7EFF1BFC" w14:textId="77777777" w:rsidR="009863AF" w:rsidRPr="009863AF" w:rsidRDefault="009863AF" w:rsidP="009863AF">
      <w:pPr>
        <w:spacing w:line="480" w:lineRule="auto"/>
        <w:jc w:val="both"/>
        <w:rPr>
          <w:rFonts w:ascii="Arial" w:hAnsi="Arial" w:cs="Arial"/>
        </w:rPr>
      </w:pPr>
      <w:r w:rsidRPr="009863AF">
        <w:rPr>
          <w:rFonts w:ascii="Arial" w:hAnsi="Arial" w:cs="Arial"/>
        </w:rPr>
        <w:t xml:space="preserve">Chambers, R. (1997). </w:t>
      </w:r>
      <w:r w:rsidRPr="009863AF">
        <w:rPr>
          <w:rFonts w:ascii="Arial" w:hAnsi="Arial" w:cs="Arial"/>
          <w:i/>
          <w:iCs/>
        </w:rPr>
        <w:t>Whose reality counts? Putting the first last</w:t>
      </w:r>
      <w:r w:rsidRPr="009863AF">
        <w:rPr>
          <w:rFonts w:ascii="Arial" w:hAnsi="Arial" w:cs="Arial"/>
        </w:rPr>
        <w:t>. Intermediate Technology Publications.</w:t>
      </w:r>
    </w:p>
    <w:p w14:paraId="715DEAAC" w14:textId="634049A8" w:rsidR="00386202" w:rsidRDefault="009863AF" w:rsidP="009863AF">
      <w:pPr>
        <w:spacing w:line="480" w:lineRule="auto"/>
        <w:jc w:val="both"/>
        <w:rPr>
          <w:rFonts w:ascii="Arial" w:hAnsi="Arial" w:cs="Arial"/>
        </w:rPr>
      </w:pPr>
      <w:proofErr w:type="spellStart"/>
      <w:r w:rsidRPr="009863AF">
        <w:rPr>
          <w:rFonts w:ascii="Arial" w:hAnsi="Arial" w:cs="Arial"/>
        </w:rPr>
        <w:t>Dongier</w:t>
      </w:r>
      <w:proofErr w:type="spellEnd"/>
      <w:r w:rsidRPr="009863AF">
        <w:rPr>
          <w:rFonts w:ascii="Arial" w:hAnsi="Arial" w:cs="Arial"/>
        </w:rPr>
        <w:t xml:space="preserve">, P., Van Domelen, J., Ostrom, E., Ryan, A., Wakeman, W., Bebbington, A., Alkire, S., Esmail, T., &amp; Polski, M. (2003). </w:t>
      </w:r>
      <w:r w:rsidRPr="00386202">
        <w:rPr>
          <w:rFonts w:ascii="Arial" w:hAnsi="Arial" w:cs="Arial"/>
          <w:i/>
          <w:iCs/>
        </w:rPr>
        <w:t>Community driven development. In Poverty reduction strategy paper sourcebook (</w:t>
      </w:r>
      <w:r w:rsidRPr="009863AF">
        <w:rPr>
          <w:rFonts w:ascii="Arial" w:hAnsi="Arial" w:cs="Arial"/>
        </w:rPr>
        <w:t xml:space="preserve">PRSP) sourcebook (Vol. 1). The World Bank. </w:t>
      </w:r>
      <w:hyperlink r:id="rId10" w:history="1">
        <w:r w:rsidR="00386202" w:rsidRPr="008006A0">
          <w:rPr>
            <w:rStyle w:val="Hyperlink"/>
            <w:rFonts w:ascii="Arial" w:hAnsi="Arial" w:cs="Arial"/>
          </w:rPr>
          <w:t>http://citeseerx.ist.psu.edu/viewdoc/download?doi=10.1.1.533.6928&amp;rep=rep1&amp;type=pdf</w:t>
        </w:r>
      </w:hyperlink>
    </w:p>
    <w:p w14:paraId="49A9C8EB" w14:textId="58D65E52" w:rsidR="00386202" w:rsidRDefault="009863AF" w:rsidP="009863AF">
      <w:pPr>
        <w:spacing w:line="480" w:lineRule="auto"/>
        <w:jc w:val="both"/>
        <w:rPr>
          <w:rFonts w:ascii="Arial" w:hAnsi="Arial" w:cs="Arial"/>
        </w:rPr>
      </w:pPr>
      <w:r w:rsidRPr="009863AF">
        <w:rPr>
          <w:rFonts w:ascii="Arial" w:hAnsi="Arial" w:cs="Arial"/>
        </w:rPr>
        <w:t xml:space="preserve">Head, B. W. (2007). Community engagement: Participation on whose terms. </w:t>
      </w:r>
      <w:r w:rsidRPr="00386202">
        <w:rPr>
          <w:rFonts w:ascii="Arial" w:hAnsi="Arial" w:cs="Arial"/>
          <w:i/>
          <w:iCs/>
        </w:rPr>
        <w:t>Australian Journal of Political Science, 42</w:t>
      </w:r>
      <w:r w:rsidRPr="009863AF">
        <w:rPr>
          <w:rFonts w:ascii="Arial" w:hAnsi="Arial" w:cs="Arial"/>
        </w:rPr>
        <w:t xml:space="preserve">(3), 441. </w:t>
      </w:r>
      <w:hyperlink r:id="rId11" w:history="1">
        <w:r w:rsidR="00386202" w:rsidRPr="008006A0">
          <w:rPr>
            <w:rStyle w:val="Hyperlink"/>
            <w:rFonts w:ascii="Arial" w:hAnsi="Arial" w:cs="Arial"/>
          </w:rPr>
          <w:t>https://doi.org/10.1080/10361140701580540</w:t>
        </w:r>
      </w:hyperlink>
    </w:p>
    <w:p w14:paraId="751A3255" w14:textId="09BFDA17" w:rsidR="00386202" w:rsidRDefault="009863AF" w:rsidP="009863AF">
      <w:pPr>
        <w:spacing w:line="480" w:lineRule="auto"/>
        <w:jc w:val="both"/>
        <w:rPr>
          <w:rFonts w:ascii="Arial" w:hAnsi="Arial" w:cs="Arial"/>
        </w:rPr>
      </w:pPr>
      <w:proofErr w:type="spellStart"/>
      <w:r w:rsidRPr="009863AF">
        <w:rPr>
          <w:rFonts w:ascii="Arial" w:hAnsi="Arial" w:cs="Arial"/>
        </w:rPr>
        <w:t>Hes</w:t>
      </w:r>
      <w:proofErr w:type="spellEnd"/>
      <w:r w:rsidRPr="009863AF">
        <w:rPr>
          <w:rFonts w:ascii="Arial" w:hAnsi="Arial" w:cs="Arial"/>
        </w:rPr>
        <w:t xml:space="preserve">, D. (2017). </w:t>
      </w:r>
      <w:r w:rsidRPr="00386202">
        <w:rPr>
          <w:rFonts w:ascii="Arial" w:hAnsi="Arial" w:cs="Arial"/>
          <w:i/>
          <w:iCs/>
        </w:rPr>
        <w:t>Impact of community engagement on sustainability outcomes—there is no sustainability without community engagement.</w:t>
      </w:r>
      <w:r w:rsidRPr="009863AF">
        <w:rPr>
          <w:rFonts w:ascii="Arial" w:hAnsi="Arial" w:cs="Arial"/>
        </w:rPr>
        <w:t xml:space="preserve"> Melbourne School of Government. </w:t>
      </w:r>
      <w:hyperlink r:id="rId12" w:history="1">
        <w:r w:rsidR="00386202" w:rsidRPr="008006A0">
          <w:rPr>
            <w:rStyle w:val="Hyperlink"/>
            <w:rFonts w:ascii="Arial" w:hAnsi="Arial" w:cs="Arial"/>
          </w:rPr>
          <w:t>https://blogs.unimelb.edu.au/nextgenengagement/files/2017/07/Next_Gen_Expert_series_D_Hes-1c4ud7u.pdf</w:t>
        </w:r>
      </w:hyperlink>
    </w:p>
    <w:p w14:paraId="5CAFECA6" w14:textId="7C9AE8DB" w:rsidR="00386202" w:rsidRDefault="009863AF" w:rsidP="009863AF">
      <w:pPr>
        <w:spacing w:line="480" w:lineRule="auto"/>
        <w:jc w:val="both"/>
        <w:rPr>
          <w:rFonts w:ascii="Arial" w:hAnsi="Arial" w:cs="Arial"/>
        </w:rPr>
      </w:pPr>
      <w:r w:rsidRPr="009863AF">
        <w:rPr>
          <w:rFonts w:ascii="Arial" w:hAnsi="Arial" w:cs="Arial"/>
        </w:rPr>
        <w:t>Jacob, W. J., Sutin, S. E., Weidman, J. C., &amp; Yeager, J. L. (Eds.). (2015</w:t>
      </w:r>
      <w:r w:rsidRPr="00386202">
        <w:rPr>
          <w:rFonts w:ascii="Arial" w:hAnsi="Arial" w:cs="Arial"/>
          <w:i/>
          <w:iCs/>
        </w:rPr>
        <w:t>). Community engagement in higher education policy reforms and practice.</w:t>
      </w:r>
      <w:r w:rsidRPr="009863AF">
        <w:rPr>
          <w:rFonts w:ascii="Arial" w:hAnsi="Arial" w:cs="Arial"/>
        </w:rPr>
        <w:t xml:space="preserve"> Springer. </w:t>
      </w:r>
      <w:hyperlink r:id="rId13" w:history="1">
        <w:r w:rsidR="00386202" w:rsidRPr="008006A0">
          <w:rPr>
            <w:rStyle w:val="Hyperlink"/>
            <w:rFonts w:ascii="Arial" w:hAnsi="Arial" w:cs="Arial"/>
          </w:rPr>
          <w:t>https://www.springer.com/in/book/9789463000079</w:t>
        </w:r>
      </w:hyperlink>
    </w:p>
    <w:p w14:paraId="304BEE7B" w14:textId="77777777" w:rsidR="00386202" w:rsidRDefault="009863AF" w:rsidP="009863AF">
      <w:pPr>
        <w:spacing w:line="480" w:lineRule="auto"/>
        <w:jc w:val="both"/>
        <w:rPr>
          <w:rFonts w:ascii="Arial" w:hAnsi="Arial" w:cs="Arial"/>
        </w:rPr>
      </w:pPr>
      <w:r w:rsidRPr="009863AF">
        <w:rPr>
          <w:rFonts w:ascii="Arial" w:hAnsi="Arial" w:cs="Arial"/>
        </w:rPr>
        <w:lastRenderedPageBreak/>
        <w:t xml:space="preserve">Huber, J. (1990). Ecological modernization of industry. </w:t>
      </w:r>
      <w:r w:rsidRPr="00386202">
        <w:rPr>
          <w:rFonts w:ascii="Arial" w:hAnsi="Arial" w:cs="Arial"/>
          <w:i/>
          <w:iCs/>
        </w:rPr>
        <w:t>Journal of Industrial Ecology</w:t>
      </w:r>
      <w:r w:rsidRPr="009863AF">
        <w:rPr>
          <w:rFonts w:ascii="Arial" w:hAnsi="Arial" w:cs="Arial"/>
        </w:rPr>
        <w:t>.</w:t>
      </w:r>
    </w:p>
    <w:p w14:paraId="5B622BAE" w14:textId="4FA07DA1" w:rsidR="00386202" w:rsidRDefault="009863AF" w:rsidP="009863AF">
      <w:pPr>
        <w:spacing w:line="480" w:lineRule="auto"/>
        <w:jc w:val="both"/>
        <w:rPr>
          <w:rFonts w:ascii="Arial" w:hAnsi="Arial" w:cs="Arial"/>
        </w:rPr>
      </w:pPr>
      <w:r w:rsidRPr="009863AF">
        <w:rPr>
          <w:rFonts w:ascii="Arial" w:hAnsi="Arial" w:cs="Arial"/>
        </w:rPr>
        <w:t xml:space="preserve">Khwaja, A. I. (2004). Is increasing community participation always a good thing? </w:t>
      </w:r>
      <w:r w:rsidRPr="00386202">
        <w:rPr>
          <w:rFonts w:ascii="Arial" w:hAnsi="Arial" w:cs="Arial"/>
          <w:i/>
          <w:iCs/>
        </w:rPr>
        <w:t>Journal of the European Economic Association, 2</w:t>
      </w:r>
      <w:r w:rsidRPr="009863AF">
        <w:rPr>
          <w:rFonts w:ascii="Arial" w:hAnsi="Arial" w:cs="Arial"/>
        </w:rPr>
        <w:t xml:space="preserve">(2–3), 427–436. </w:t>
      </w:r>
      <w:hyperlink r:id="rId14" w:history="1">
        <w:r w:rsidR="00386202" w:rsidRPr="008006A0">
          <w:rPr>
            <w:rStyle w:val="Hyperlink"/>
            <w:rFonts w:ascii="Arial" w:hAnsi="Arial" w:cs="Arial"/>
          </w:rPr>
          <w:t>https://doi.org/10.1111/j.1542-4774.2004.00258.x</w:t>
        </w:r>
      </w:hyperlink>
    </w:p>
    <w:p w14:paraId="6C3F6FD7" w14:textId="77777777" w:rsidR="00386202" w:rsidRDefault="009863AF" w:rsidP="009863AF">
      <w:pPr>
        <w:spacing w:line="480" w:lineRule="auto"/>
        <w:jc w:val="both"/>
        <w:rPr>
          <w:rFonts w:ascii="Arial" w:hAnsi="Arial" w:cs="Arial"/>
        </w:rPr>
      </w:pPr>
      <w:r w:rsidRPr="009863AF">
        <w:rPr>
          <w:rFonts w:ascii="Arial" w:hAnsi="Arial" w:cs="Arial"/>
        </w:rPr>
        <w:t xml:space="preserve">McKnight, J., &amp; Kretzmann, J. P. (1993). </w:t>
      </w:r>
      <w:r w:rsidRPr="00386202">
        <w:rPr>
          <w:rFonts w:ascii="Arial" w:hAnsi="Arial" w:cs="Arial"/>
          <w:i/>
          <w:iCs/>
        </w:rPr>
        <w:t>Building communities from the inside out: A path toward finding and mobilizing a community's assets</w:t>
      </w:r>
      <w:r w:rsidRPr="009863AF">
        <w:rPr>
          <w:rFonts w:ascii="Arial" w:hAnsi="Arial" w:cs="Arial"/>
        </w:rPr>
        <w:t>. ACTA Publications.</w:t>
      </w:r>
    </w:p>
    <w:p w14:paraId="59747AD1" w14:textId="77777777" w:rsidR="00386202" w:rsidRDefault="009863AF" w:rsidP="009863AF">
      <w:pPr>
        <w:spacing w:line="480" w:lineRule="auto"/>
        <w:jc w:val="both"/>
        <w:rPr>
          <w:rFonts w:ascii="Arial" w:hAnsi="Arial" w:cs="Arial"/>
        </w:rPr>
      </w:pPr>
      <w:r w:rsidRPr="009863AF">
        <w:rPr>
          <w:rFonts w:ascii="Arial" w:hAnsi="Arial" w:cs="Arial"/>
        </w:rPr>
        <w:t>Neuman, M. (1991</w:t>
      </w:r>
      <w:r w:rsidRPr="00386202">
        <w:rPr>
          <w:rFonts w:ascii="Arial" w:hAnsi="Arial" w:cs="Arial"/>
          <w:i/>
          <w:iCs/>
        </w:rPr>
        <w:t>). The compact society: Property in land and capital</w:t>
      </w:r>
      <w:r w:rsidRPr="009863AF">
        <w:rPr>
          <w:rFonts w:ascii="Arial" w:hAnsi="Arial" w:cs="Arial"/>
        </w:rPr>
        <w:t>. University of Chicago Press.</w:t>
      </w:r>
    </w:p>
    <w:p w14:paraId="4AE3C59B" w14:textId="27664005" w:rsidR="00386202" w:rsidRDefault="009863AF" w:rsidP="009863AF">
      <w:pPr>
        <w:spacing w:line="480" w:lineRule="auto"/>
        <w:jc w:val="both"/>
        <w:rPr>
          <w:rFonts w:ascii="Arial" w:hAnsi="Arial" w:cs="Arial"/>
        </w:rPr>
      </w:pPr>
      <w:r w:rsidRPr="009863AF">
        <w:rPr>
          <w:rFonts w:ascii="Arial" w:hAnsi="Arial" w:cs="Arial"/>
        </w:rPr>
        <w:t xml:space="preserve">Olukotun, G. A. (2008). Achieving project sustainability through community participation. </w:t>
      </w:r>
      <w:r w:rsidRPr="00386202">
        <w:rPr>
          <w:rFonts w:ascii="Arial" w:hAnsi="Arial" w:cs="Arial"/>
          <w:i/>
          <w:iCs/>
        </w:rPr>
        <w:t>Journal of Social Science, 17</w:t>
      </w:r>
      <w:r w:rsidRPr="009863AF">
        <w:rPr>
          <w:rFonts w:ascii="Arial" w:hAnsi="Arial" w:cs="Arial"/>
        </w:rPr>
        <w:t xml:space="preserve">(1), 21–29. </w:t>
      </w:r>
      <w:hyperlink r:id="rId15" w:history="1">
        <w:r w:rsidR="00386202" w:rsidRPr="008006A0">
          <w:rPr>
            <w:rStyle w:val="Hyperlink"/>
            <w:rFonts w:ascii="Arial" w:hAnsi="Arial" w:cs="Arial"/>
          </w:rPr>
          <w:t>http://citeseerx.ist.psu.edu/viewdoc/download?doi=10.1.1.499.616&amp;rep=rep1&amp;type=pdf</w:t>
        </w:r>
      </w:hyperlink>
    </w:p>
    <w:p w14:paraId="00A0F220" w14:textId="481AE584" w:rsidR="009863AF" w:rsidRPr="009863AF" w:rsidRDefault="009863AF" w:rsidP="009863AF">
      <w:pPr>
        <w:spacing w:line="480" w:lineRule="auto"/>
        <w:jc w:val="both"/>
        <w:rPr>
          <w:rFonts w:ascii="Arial" w:hAnsi="Arial" w:cs="Arial"/>
        </w:rPr>
      </w:pPr>
      <w:r w:rsidRPr="009863AF">
        <w:rPr>
          <w:rFonts w:ascii="Arial" w:hAnsi="Arial" w:cs="Arial"/>
        </w:rPr>
        <w:t xml:space="preserve">Putnam, R. D. (2000). </w:t>
      </w:r>
      <w:r w:rsidRPr="00386202">
        <w:rPr>
          <w:rFonts w:ascii="Arial" w:hAnsi="Arial" w:cs="Arial"/>
          <w:i/>
          <w:iCs/>
        </w:rPr>
        <w:t>Bowling alone: The collapse and revival of American community.</w:t>
      </w:r>
      <w:r w:rsidRPr="009863AF">
        <w:rPr>
          <w:rFonts w:ascii="Arial" w:hAnsi="Arial" w:cs="Arial"/>
        </w:rPr>
        <w:t xml:space="preserve"> Simon &amp; Schuster.</w:t>
      </w:r>
    </w:p>
    <w:p w14:paraId="68B83755" w14:textId="77777777" w:rsidR="009863AF" w:rsidRPr="009863AF" w:rsidRDefault="009863AF" w:rsidP="009863AF">
      <w:pPr>
        <w:spacing w:line="480" w:lineRule="auto"/>
        <w:jc w:val="both"/>
        <w:rPr>
          <w:rFonts w:ascii="Arial" w:hAnsi="Arial" w:cs="Arial"/>
        </w:rPr>
      </w:pPr>
      <w:proofErr w:type="spellStart"/>
      <w:r w:rsidRPr="009863AF">
        <w:rPr>
          <w:rFonts w:ascii="Arial" w:hAnsi="Arial" w:cs="Arial"/>
        </w:rPr>
        <w:t>Raditloaneng</w:t>
      </w:r>
      <w:proofErr w:type="spellEnd"/>
      <w:r w:rsidRPr="009863AF">
        <w:rPr>
          <w:rFonts w:ascii="Arial" w:hAnsi="Arial" w:cs="Arial"/>
        </w:rPr>
        <w:t xml:space="preserve">, W. (2015). </w:t>
      </w:r>
      <w:r w:rsidRPr="00386202">
        <w:rPr>
          <w:rFonts w:ascii="Arial" w:hAnsi="Arial" w:cs="Arial"/>
          <w:i/>
          <w:iCs/>
        </w:rPr>
        <w:t xml:space="preserve">Poverty and community engagement. In Lifelong learning for poverty eradication </w:t>
      </w:r>
      <w:r w:rsidRPr="009863AF">
        <w:rPr>
          <w:rFonts w:ascii="Arial" w:hAnsi="Arial" w:cs="Arial"/>
        </w:rPr>
        <w:t>(pp. 123-145). Springer, Cham.</w:t>
      </w:r>
    </w:p>
    <w:p w14:paraId="03C1FCD4" w14:textId="77777777" w:rsidR="009863AF" w:rsidRPr="009863AF" w:rsidRDefault="009863AF" w:rsidP="009863AF">
      <w:pPr>
        <w:spacing w:line="480" w:lineRule="auto"/>
        <w:jc w:val="both"/>
        <w:rPr>
          <w:rFonts w:ascii="Arial" w:hAnsi="Arial" w:cs="Arial"/>
        </w:rPr>
      </w:pPr>
      <w:r w:rsidRPr="009863AF">
        <w:rPr>
          <w:rFonts w:ascii="Arial" w:hAnsi="Arial" w:cs="Arial"/>
        </w:rPr>
        <w:t xml:space="preserve">Sachs, J. D. (2015). </w:t>
      </w:r>
      <w:r w:rsidRPr="00386202">
        <w:rPr>
          <w:rFonts w:ascii="Arial" w:hAnsi="Arial" w:cs="Arial"/>
          <w:i/>
          <w:iCs/>
        </w:rPr>
        <w:t>The age of sustainable development.</w:t>
      </w:r>
      <w:r w:rsidRPr="009863AF">
        <w:rPr>
          <w:rFonts w:ascii="Arial" w:hAnsi="Arial" w:cs="Arial"/>
        </w:rPr>
        <w:t xml:space="preserve"> Columbia University Press.</w:t>
      </w:r>
    </w:p>
    <w:p w14:paraId="7A9B8457" w14:textId="23CAD020" w:rsidR="00386202" w:rsidRDefault="009863AF" w:rsidP="009863AF">
      <w:pPr>
        <w:spacing w:line="480" w:lineRule="auto"/>
        <w:jc w:val="both"/>
        <w:rPr>
          <w:rFonts w:ascii="Arial" w:hAnsi="Arial" w:cs="Arial"/>
        </w:rPr>
      </w:pPr>
      <w:r w:rsidRPr="009863AF">
        <w:rPr>
          <w:rFonts w:ascii="Arial" w:hAnsi="Arial" w:cs="Arial"/>
        </w:rPr>
        <w:t xml:space="preserve">Stone, C. (2012). </w:t>
      </w:r>
      <w:r w:rsidRPr="00386202">
        <w:rPr>
          <w:rFonts w:ascii="Arial" w:hAnsi="Arial" w:cs="Arial"/>
          <w:i/>
          <w:iCs/>
        </w:rPr>
        <w:t xml:space="preserve">Community engagement in sustainable development for local products. </w:t>
      </w:r>
      <w:hyperlink r:id="rId16" w:history="1">
        <w:r w:rsidR="00386202" w:rsidRPr="008006A0">
          <w:rPr>
            <w:rStyle w:val="Hyperlink"/>
            <w:rFonts w:ascii="Arial" w:hAnsi="Arial" w:cs="Arial"/>
          </w:rPr>
          <w:t>http://www.palermo.edu/economicas/PDF_2012/PBR6/PBR-edicion-especial-21.pdf</w:t>
        </w:r>
      </w:hyperlink>
    </w:p>
    <w:p w14:paraId="23951CAB" w14:textId="15DDD75B" w:rsidR="00C76A16" w:rsidRPr="00AA373E" w:rsidRDefault="009863AF" w:rsidP="009863AF">
      <w:pPr>
        <w:spacing w:line="480" w:lineRule="auto"/>
        <w:jc w:val="both"/>
        <w:rPr>
          <w:rFonts w:ascii="Arial" w:hAnsi="Arial" w:cs="Arial"/>
        </w:rPr>
      </w:pPr>
      <w:r w:rsidRPr="009863AF">
        <w:rPr>
          <w:rFonts w:ascii="Arial" w:hAnsi="Arial" w:cs="Arial"/>
        </w:rPr>
        <w:t xml:space="preserve">Walker, B., &amp; Salt, D. (2006). </w:t>
      </w:r>
      <w:r w:rsidRPr="00386202">
        <w:rPr>
          <w:rFonts w:ascii="Arial" w:hAnsi="Arial" w:cs="Arial"/>
          <w:i/>
          <w:iCs/>
        </w:rPr>
        <w:t>Resilience thinking: Sustaining ecosystems and people in a changing world</w:t>
      </w:r>
      <w:r w:rsidRPr="009863AF">
        <w:rPr>
          <w:rFonts w:ascii="Arial" w:hAnsi="Arial" w:cs="Arial"/>
        </w:rPr>
        <w:t>. Island Press.</w:t>
      </w:r>
    </w:p>
    <w:p w14:paraId="3D98175F" w14:textId="0B75144C" w:rsidR="00386202" w:rsidRDefault="00386202" w:rsidP="00AA373E">
      <w:pPr>
        <w:spacing w:line="480" w:lineRule="auto"/>
        <w:jc w:val="both"/>
        <w:rPr>
          <w:rFonts w:ascii="Arial" w:hAnsi="Arial" w:cs="Arial"/>
        </w:rPr>
      </w:pPr>
      <w:hyperlink r:id="rId17" w:history="1">
        <w:r w:rsidRPr="008006A0">
          <w:rPr>
            <w:rStyle w:val="Hyperlink"/>
            <w:rFonts w:ascii="Arial" w:hAnsi="Arial" w:cs="Arial"/>
          </w:rPr>
          <w:t>https://www.gov.uk/government/publications/community-development-handbook/community-development-handbook</w:t>
        </w:r>
      </w:hyperlink>
    </w:p>
    <w:p w14:paraId="343929F4" w14:textId="4B536D87" w:rsidR="00386202" w:rsidRDefault="00386202" w:rsidP="00AA373E">
      <w:pPr>
        <w:spacing w:line="480" w:lineRule="auto"/>
        <w:jc w:val="both"/>
        <w:rPr>
          <w:rFonts w:ascii="Arial" w:hAnsi="Arial" w:cs="Arial"/>
        </w:rPr>
      </w:pPr>
      <w:hyperlink r:id="rId18" w:history="1">
        <w:r w:rsidRPr="008006A0">
          <w:rPr>
            <w:rStyle w:val="Hyperlink"/>
            <w:rFonts w:ascii="Arial" w:hAnsi="Arial" w:cs="Arial"/>
          </w:rPr>
          <w:t>https://beta.npt.gov.uk/business/regeneration/current-regeneration-programmes-and-projects/</w:t>
        </w:r>
      </w:hyperlink>
    </w:p>
    <w:p w14:paraId="7284C9AC" w14:textId="1FFF2C2D" w:rsidR="00E57B9D" w:rsidRDefault="00E57B9D" w:rsidP="00AA373E">
      <w:pPr>
        <w:spacing w:line="480" w:lineRule="auto"/>
        <w:jc w:val="both"/>
        <w:rPr>
          <w:rFonts w:ascii="Arial" w:hAnsi="Arial" w:cs="Arial"/>
        </w:rPr>
      </w:pPr>
      <w:hyperlink r:id="rId19" w:history="1">
        <w:r w:rsidRPr="008006A0">
          <w:rPr>
            <w:rStyle w:val="Hyperlink"/>
            <w:rFonts w:ascii="Arial" w:hAnsi="Arial" w:cs="Arial"/>
          </w:rPr>
          <w:t>https://beta.npt.gov.uk/business/regeneration/community-regeneration/</w:t>
        </w:r>
      </w:hyperlink>
    </w:p>
    <w:p w14:paraId="49E45BD7" w14:textId="77777777" w:rsidR="00E57B9D" w:rsidRDefault="00E57B9D" w:rsidP="00AA373E">
      <w:pPr>
        <w:spacing w:line="480" w:lineRule="auto"/>
        <w:jc w:val="both"/>
        <w:rPr>
          <w:rFonts w:ascii="Arial" w:hAnsi="Arial" w:cs="Arial"/>
        </w:rPr>
      </w:pPr>
    </w:p>
    <w:p w14:paraId="2889F60D" w14:textId="77777777" w:rsidR="00386202" w:rsidRPr="00AA373E" w:rsidRDefault="00386202" w:rsidP="00AA373E">
      <w:pPr>
        <w:spacing w:line="480" w:lineRule="auto"/>
        <w:jc w:val="both"/>
        <w:rPr>
          <w:rFonts w:ascii="Arial" w:hAnsi="Arial" w:cs="Arial"/>
        </w:rPr>
      </w:pPr>
    </w:p>
    <w:sectPr w:rsidR="00386202" w:rsidRPr="00AA373E" w:rsidSect="00E57B9D">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62DCF" w14:textId="77777777" w:rsidR="009D237C" w:rsidRDefault="009D237C" w:rsidP="00E57B9D">
      <w:pPr>
        <w:spacing w:after="0" w:line="240" w:lineRule="auto"/>
      </w:pPr>
      <w:r>
        <w:separator/>
      </w:r>
    </w:p>
  </w:endnote>
  <w:endnote w:type="continuationSeparator" w:id="0">
    <w:p w14:paraId="04361850" w14:textId="77777777" w:rsidR="009D237C" w:rsidRDefault="009D237C" w:rsidP="00E57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0335009"/>
      <w:docPartObj>
        <w:docPartGallery w:val="Page Numbers (Bottom of Page)"/>
        <w:docPartUnique/>
      </w:docPartObj>
    </w:sdtPr>
    <w:sdtEndPr>
      <w:rPr>
        <w:color w:val="7F7F7F" w:themeColor="background1" w:themeShade="7F"/>
        <w:spacing w:val="60"/>
      </w:rPr>
    </w:sdtEndPr>
    <w:sdtContent>
      <w:p w14:paraId="169120EB" w14:textId="55D3ED84" w:rsidR="00E57B9D" w:rsidRDefault="00E57B9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3150636" w14:textId="77777777" w:rsidR="00E57B9D" w:rsidRDefault="00E57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81E21" w14:textId="77777777" w:rsidR="009D237C" w:rsidRDefault="009D237C" w:rsidP="00E57B9D">
      <w:pPr>
        <w:spacing w:after="0" w:line="240" w:lineRule="auto"/>
      </w:pPr>
      <w:r>
        <w:separator/>
      </w:r>
    </w:p>
  </w:footnote>
  <w:footnote w:type="continuationSeparator" w:id="0">
    <w:p w14:paraId="5442FC84" w14:textId="77777777" w:rsidR="009D237C" w:rsidRDefault="009D237C" w:rsidP="00E57B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61788"/>
    <w:multiLevelType w:val="hybridMultilevel"/>
    <w:tmpl w:val="E10651EC"/>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E4B63"/>
    <w:multiLevelType w:val="hybridMultilevel"/>
    <w:tmpl w:val="D3FA9574"/>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01EB3"/>
    <w:multiLevelType w:val="hybridMultilevel"/>
    <w:tmpl w:val="CA64140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FA1EA2"/>
    <w:multiLevelType w:val="hybridMultilevel"/>
    <w:tmpl w:val="7272EED2"/>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4504A0"/>
    <w:multiLevelType w:val="hybridMultilevel"/>
    <w:tmpl w:val="408EEB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8B54C0"/>
    <w:multiLevelType w:val="hybridMultilevel"/>
    <w:tmpl w:val="D03AF12E"/>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AF270D"/>
    <w:multiLevelType w:val="hybridMultilevel"/>
    <w:tmpl w:val="B41624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1868B3"/>
    <w:multiLevelType w:val="hybridMultilevel"/>
    <w:tmpl w:val="999EAAC6"/>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CA0F8B"/>
    <w:multiLevelType w:val="hybridMultilevel"/>
    <w:tmpl w:val="F0022B5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FD3FE3"/>
    <w:multiLevelType w:val="hybridMultilevel"/>
    <w:tmpl w:val="9C005D28"/>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957ECE"/>
    <w:multiLevelType w:val="hybridMultilevel"/>
    <w:tmpl w:val="C7A80774"/>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9E193A"/>
    <w:multiLevelType w:val="hybridMultilevel"/>
    <w:tmpl w:val="F5EE337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F92B78"/>
    <w:multiLevelType w:val="hybridMultilevel"/>
    <w:tmpl w:val="507276E0"/>
    <w:lvl w:ilvl="0" w:tplc="62A823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F81B3E"/>
    <w:multiLevelType w:val="hybridMultilevel"/>
    <w:tmpl w:val="A0BE18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810E97"/>
    <w:multiLevelType w:val="hybridMultilevel"/>
    <w:tmpl w:val="C82A9CE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008154">
    <w:abstractNumId w:val="2"/>
  </w:num>
  <w:num w:numId="2" w16cid:durableId="862867693">
    <w:abstractNumId w:val="7"/>
  </w:num>
  <w:num w:numId="3" w16cid:durableId="1973243226">
    <w:abstractNumId w:val="12"/>
  </w:num>
  <w:num w:numId="4" w16cid:durableId="2090155871">
    <w:abstractNumId w:val="13"/>
  </w:num>
  <w:num w:numId="5" w16cid:durableId="259266793">
    <w:abstractNumId w:val="9"/>
  </w:num>
  <w:num w:numId="6" w16cid:durableId="1249537450">
    <w:abstractNumId w:val="14"/>
  </w:num>
  <w:num w:numId="7" w16cid:durableId="1964842872">
    <w:abstractNumId w:val="0"/>
  </w:num>
  <w:num w:numId="8" w16cid:durableId="434718668">
    <w:abstractNumId w:val="4"/>
  </w:num>
  <w:num w:numId="9" w16cid:durableId="2031226144">
    <w:abstractNumId w:val="3"/>
  </w:num>
  <w:num w:numId="10" w16cid:durableId="812410030">
    <w:abstractNumId w:val="6"/>
  </w:num>
  <w:num w:numId="11" w16cid:durableId="180239176">
    <w:abstractNumId w:val="5"/>
  </w:num>
  <w:num w:numId="12" w16cid:durableId="843519409">
    <w:abstractNumId w:val="8"/>
  </w:num>
  <w:num w:numId="13" w16cid:durableId="907108040">
    <w:abstractNumId w:val="1"/>
  </w:num>
  <w:num w:numId="14" w16cid:durableId="1861384922">
    <w:abstractNumId w:val="11"/>
  </w:num>
  <w:num w:numId="15" w16cid:durableId="1910426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73E"/>
    <w:rsid w:val="00386202"/>
    <w:rsid w:val="00930CF1"/>
    <w:rsid w:val="009863AF"/>
    <w:rsid w:val="009D237C"/>
    <w:rsid w:val="00AA373E"/>
    <w:rsid w:val="00C76A16"/>
    <w:rsid w:val="00E57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C2DF5"/>
  <w15:chartTrackingRefBased/>
  <w15:docId w15:val="{80E1272A-F485-4C58-B94B-53B66343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7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37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37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37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37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37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7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7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7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7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37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37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37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7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7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7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7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73E"/>
    <w:rPr>
      <w:rFonts w:eastAsiaTheme="majorEastAsia" w:cstheme="majorBidi"/>
      <w:color w:val="272727" w:themeColor="text1" w:themeTint="D8"/>
    </w:rPr>
  </w:style>
  <w:style w:type="paragraph" w:styleId="Title">
    <w:name w:val="Title"/>
    <w:basedOn w:val="Normal"/>
    <w:next w:val="Normal"/>
    <w:link w:val="TitleChar"/>
    <w:uiPriority w:val="10"/>
    <w:qFormat/>
    <w:rsid w:val="00AA37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7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7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7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73E"/>
    <w:pPr>
      <w:spacing w:before="160"/>
      <w:jc w:val="center"/>
    </w:pPr>
    <w:rPr>
      <w:i/>
      <w:iCs/>
      <w:color w:val="404040" w:themeColor="text1" w:themeTint="BF"/>
    </w:rPr>
  </w:style>
  <w:style w:type="character" w:customStyle="1" w:styleId="QuoteChar">
    <w:name w:val="Quote Char"/>
    <w:basedOn w:val="DefaultParagraphFont"/>
    <w:link w:val="Quote"/>
    <w:uiPriority w:val="29"/>
    <w:rsid w:val="00AA373E"/>
    <w:rPr>
      <w:i/>
      <w:iCs/>
      <w:color w:val="404040" w:themeColor="text1" w:themeTint="BF"/>
    </w:rPr>
  </w:style>
  <w:style w:type="paragraph" w:styleId="ListParagraph">
    <w:name w:val="List Paragraph"/>
    <w:basedOn w:val="Normal"/>
    <w:uiPriority w:val="34"/>
    <w:qFormat/>
    <w:rsid w:val="00AA373E"/>
    <w:pPr>
      <w:ind w:left="720"/>
      <w:contextualSpacing/>
    </w:pPr>
  </w:style>
  <w:style w:type="character" w:styleId="IntenseEmphasis">
    <w:name w:val="Intense Emphasis"/>
    <w:basedOn w:val="DefaultParagraphFont"/>
    <w:uiPriority w:val="21"/>
    <w:qFormat/>
    <w:rsid w:val="00AA373E"/>
    <w:rPr>
      <w:i/>
      <w:iCs/>
      <w:color w:val="0F4761" w:themeColor="accent1" w:themeShade="BF"/>
    </w:rPr>
  </w:style>
  <w:style w:type="paragraph" w:styleId="IntenseQuote">
    <w:name w:val="Intense Quote"/>
    <w:basedOn w:val="Normal"/>
    <w:next w:val="Normal"/>
    <w:link w:val="IntenseQuoteChar"/>
    <w:uiPriority w:val="30"/>
    <w:qFormat/>
    <w:rsid w:val="00AA37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73E"/>
    <w:rPr>
      <w:i/>
      <w:iCs/>
      <w:color w:val="0F4761" w:themeColor="accent1" w:themeShade="BF"/>
    </w:rPr>
  </w:style>
  <w:style w:type="character" w:styleId="IntenseReference">
    <w:name w:val="Intense Reference"/>
    <w:basedOn w:val="DefaultParagraphFont"/>
    <w:uiPriority w:val="32"/>
    <w:qFormat/>
    <w:rsid w:val="00AA373E"/>
    <w:rPr>
      <w:b/>
      <w:bCs/>
      <w:smallCaps/>
      <w:color w:val="0F4761" w:themeColor="accent1" w:themeShade="BF"/>
      <w:spacing w:val="5"/>
    </w:rPr>
  </w:style>
  <w:style w:type="character" w:styleId="Hyperlink">
    <w:name w:val="Hyperlink"/>
    <w:basedOn w:val="DefaultParagraphFont"/>
    <w:uiPriority w:val="99"/>
    <w:unhideWhenUsed/>
    <w:rsid w:val="00386202"/>
    <w:rPr>
      <w:color w:val="467886" w:themeColor="hyperlink"/>
      <w:u w:val="single"/>
    </w:rPr>
  </w:style>
  <w:style w:type="character" w:styleId="UnresolvedMention">
    <w:name w:val="Unresolved Mention"/>
    <w:basedOn w:val="DefaultParagraphFont"/>
    <w:uiPriority w:val="99"/>
    <w:semiHidden/>
    <w:unhideWhenUsed/>
    <w:rsid w:val="00386202"/>
    <w:rPr>
      <w:color w:val="605E5C"/>
      <w:shd w:val="clear" w:color="auto" w:fill="E1DFDD"/>
    </w:rPr>
  </w:style>
  <w:style w:type="paragraph" w:styleId="Header">
    <w:name w:val="header"/>
    <w:basedOn w:val="Normal"/>
    <w:link w:val="HeaderChar"/>
    <w:uiPriority w:val="99"/>
    <w:unhideWhenUsed/>
    <w:rsid w:val="00E57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B9D"/>
  </w:style>
  <w:style w:type="paragraph" w:styleId="Footer">
    <w:name w:val="footer"/>
    <w:basedOn w:val="Normal"/>
    <w:link w:val="FooterChar"/>
    <w:uiPriority w:val="99"/>
    <w:unhideWhenUsed/>
    <w:rsid w:val="00E57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B9D"/>
  </w:style>
  <w:style w:type="paragraph" w:styleId="NoSpacing">
    <w:name w:val="No Spacing"/>
    <w:link w:val="NoSpacingChar"/>
    <w:uiPriority w:val="1"/>
    <w:qFormat/>
    <w:rsid w:val="00E57B9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57B9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765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pringer.com/in/book/9789463000079" TargetMode="External"/><Relationship Id="rId18" Type="http://schemas.openxmlformats.org/officeDocument/2006/relationships/hyperlink" Target="https://beta.npt.gov.uk/business/regeneration/current-regeneration-programmes-and-project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ogs.unimelb.edu.au/nextgenengagement/files/2017/07/Next_Gen_Expert_series_D_Hes-1c4ud7u.pdf" TargetMode="External"/><Relationship Id="rId17" Type="http://schemas.openxmlformats.org/officeDocument/2006/relationships/hyperlink" Target="https://www.gov.uk/government/publications/community-development-handbook/community-development-handbook" TargetMode="External"/><Relationship Id="rId2" Type="http://schemas.openxmlformats.org/officeDocument/2006/relationships/numbering" Target="numbering.xml"/><Relationship Id="rId16" Type="http://schemas.openxmlformats.org/officeDocument/2006/relationships/hyperlink" Target="http://www.palermo.edu/economicas/PDF_2012/PBR6/PBR-edicion-especial-2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0361140701580540" TargetMode="External"/><Relationship Id="rId5" Type="http://schemas.openxmlformats.org/officeDocument/2006/relationships/webSettings" Target="webSettings.xml"/><Relationship Id="rId15" Type="http://schemas.openxmlformats.org/officeDocument/2006/relationships/hyperlink" Target="http://citeseerx.ist.psu.edu/viewdoc/download?doi=10.1.1.499.616&amp;rep=rep1&amp;type=pdf" TargetMode="External"/><Relationship Id="rId23" Type="http://schemas.openxmlformats.org/officeDocument/2006/relationships/theme" Target="theme/theme1.xml"/><Relationship Id="rId10" Type="http://schemas.openxmlformats.org/officeDocument/2006/relationships/hyperlink" Target="http://citeseerx.ist.psu.edu/viewdoc/download?doi=10.1.1.533.6928&amp;rep=rep1&amp;type=pdf" TargetMode="External"/><Relationship Id="rId19" Type="http://schemas.openxmlformats.org/officeDocument/2006/relationships/hyperlink" Target="https://beta.npt.gov.uk/business/regeneration/community-regener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11/j.1542-4774.2004.00258.x"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F17BE9DD3164D87A9DB3F7452257F95"/>
        <w:category>
          <w:name w:val="General"/>
          <w:gallery w:val="placeholder"/>
        </w:category>
        <w:types>
          <w:type w:val="bbPlcHdr"/>
        </w:types>
        <w:behaviors>
          <w:behavior w:val="content"/>
        </w:behaviors>
        <w:guid w:val="{F1B930D0-3E7F-45F2-8286-B896DE2F32D6}"/>
      </w:docPartPr>
      <w:docPartBody>
        <w:p w:rsidR="00000000" w:rsidRDefault="00B06BA1" w:rsidP="00B06BA1">
          <w:pPr>
            <w:pStyle w:val="7F17BE9DD3164D87A9DB3F7452257F95"/>
          </w:pPr>
          <w:r>
            <w:rPr>
              <w:rFonts w:asciiTheme="majorHAnsi" w:eastAsiaTheme="majorEastAsia" w:hAnsiTheme="majorHAnsi" w:cstheme="majorBidi"/>
              <w:caps/>
              <w:color w:val="156082" w:themeColor="accent1"/>
              <w:sz w:val="80"/>
              <w:szCs w:val="80"/>
            </w:rPr>
            <w:t>[Document title]</w:t>
          </w:r>
        </w:p>
      </w:docPartBody>
    </w:docPart>
    <w:docPart>
      <w:docPartPr>
        <w:name w:val="629D1C5C2FC14E5CBE1AC0609E672478"/>
        <w:category>
          <w:name w:val="General"/>
          <w:gallery w:val="placeholder"/>
        </w:category>
        <w:types>
          <w:type w:val="bbPlcHdr"/>
        </w:types>
        <w:behaviors>
          <w:behavior w:val="content"/>
        </w:behaviors>
        <w:guid w:val="{72D973D9-2814-4DE8-B48F-DE919B267825}"/>
      </w:docPartPr>
      <w:docPartBody>
        <w:p w:rsidR="00000000" w:rsidRDefault="00B06BA1" w:rsidP="00B06BA1">
          <w:pPr>
            <w:pStyle w:val="629D1C5C2FC14E5CBE1AC0609E67247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BA1"/>
    <w:rsid w:val="00930CF1"/>
    <w:rsid w:val="00B06BA1"/>
    <w:rsid w:val="00F14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17BE9DD3164D87A9DB3F7452257F95">
    <w:name w:val="7F17BE9DD3164D87A9DB3F7452257F95"/>
    <w:rsid w:val="00B06BA1"/>
  </w:style>
  <w:style w:type="paragraph" w:customStyle="1" w:styleId="629D1C5C2FC14E5CBE1AC0609E672478">
    <w:name w:val="629D1C5C2FC14E5CBE1AC0609E672478"/>
    <w:rsid w:val="00B06B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2024-11-20T00:00:00</PublishDate>
  <Abstract/>
  <CompanyAddress>Community Development</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14</Pages>
  <Words>2879</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Violeta Aurelia tucanu (2327860)</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Development in Port TALBOT Wales: An Analysis of the Youth Sports Community</dc:title>
  <dc:subject>Assignment 2</dc:subject>
  <dc:creator>Mirabela Voican (1907947)</dc:creator>
  <cp:keywords/>
  <dc:description/>
  <cp:lastModifiedBy>Mirabela Voican (1907947)</cp:lastModifiedBy>
  <cp:revision>1</cp:revision>
  <dcterms:created xsi:type="dcterms:W3CDTF">2024-11-13T20:28:00Z</dcterms:created>
  <dcterms:modified xsi:type="dcterms:W3CDTF">2024-11-13T23:10:00Z</dcterms:modified>
</cp:coreProperties>
</file>