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2F3F63">
      <w:pPr>
        <w:jc w:val="both"/>
        <w:rPr>
          <w:rFonts w:ascii="Arial" w:hAnsi="Arial" w:cs="Arial"/>
          <w:b/>
          <w:bCs/>
          <w:color w:val="000000" w:themeColor="text1"/>
          <w:sz w:val="24"/>
          <w:szCs w:val="24"/>
          <w14:textFill>
            <w14:solidFill>
              <w14:schemeClr w14:val="tx1"/>
            </w14:solidFill>
          </w14:textFill>
        </w:rPr>
      </w:pPr>
    </w:p>
    <w:p w14:paraId="592E6ABB">
      <w:pPr>
        <w:jc w:val="center"/>
        <w:rPr>
          <w:rFonts w:ascii="Arial" w:hAnsi="Arial" w:cs="Arial"/>
          <w:b/>
          <w:bCs/>
          <w:color w:val="000000" w:themeColor="text1"/>
          <w:sz w:val="24"/>
          <w:szCs w:val="24"/>
          <w14:textFill>
            <w14:solidFill>
              <w14:schemeClr w14:val="tx1"/>
            </w14:solidFill>
          </w14:textFill>
        </w:rPr>
      </w:pPr>
      <w:r>
        <w:drawing>
          <wp:inline distT="0" distB="0" distL="0" distR="0">
            <wp:extent cx="3381375" cy="1352550"/>
            <wp:effectExtent l="0" t="0" r="1905" b="381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6924425C">
      <w:pPr>
        <w:jc w:val="center"/>
        <w:rPr>
          <w:rFonts w:ascii="Arial" w:hAnsi="Arial" w:cs="Arial"/>
          <w:b/>
          <w:bCs/>
          <w:color w:val="000000" w:themeColor="text1"/>
          <w:sz w:val="24"/>
          <w:szCs w:val="24"/>
          <w14:textFill>
            <w14:solidFill>
              <w14:schemeClr w14:val="tx1"/>
            </w14:solidFill>
          </w14:textFill>
        </w:rPr>
      </w:pPr>
    </w:p>
    <w:p w14:paraId="1EC34BAD">
      <w:pPr>
        <w:jc w:val="both"/>
      </w:pPr>
    </w:p>
    <w:p w14:paraId="020B9CFF">
      <w:pPr>
        <w:jc w:val="center"/>
        <w:rPr>
          <w:rFonts w:hint="default" w:ascii="Arial" w:hAnsi="Arial" w:cs="Arial"/>
          <w:b/>
          <w:bCs/>
          <w:lang w:val="en-US"/>
        </w:rPr>
      </w:pPr>
      <w:r>
        <w:rPr>
          <w:rFonts w:ascii="Arial" w:hAnsi="Arial" w:cs="Arial"/>
          <w:b/>
          <w:bCs/>
        </w:rPr>
        <w:t>Student Name:</w:t>
      </w:r>
      <w:r>
        <w:rPr>
          <w:rFonts w:hint="default" w:ascii="Arial" w:hAnsi="Arial" w:cs="Arial"/>
          <w:b/>
          <w:bCs/>
          <w:lang w:val="en-US"/>
        </w:rPr>
        <w:t xml:space="preserve"> krishkumar bhalala</w:t>
      </w:r>
    </w:p>
    <w:p w14:paraId="2AAC98E7">
      <w:pPr>
        <w:jc w:val="center"/>
        <w:rPr>
          <w:rFonts w:ascii="Arial" w:hAnsi="Arial" w:cs="Arial"/>
          <w:b/>
          <w:bCs/>
        </w:rPr>
      </w:pPr>
    </w:p>
    <w:p w14:paraId="586C6996">
      <w:pPr>
        <w:jc w:val="center"/>
        <w:rPr>
          <w:rFonts w:hint="default" w:ascii="Arial" w:hAnsi="Arial" w:cs="Arial"/>
          <w:b/>
          <w:bCs/>
          <w:lang w:val="en-US"/>
        </w:rPr>
      </w:pPr>
      <w:r>
        <w:rPr>
          <w:rFonts w:ascii="Arial" w:hAnsi="Arial" w:cs="Arial"/>
          <w:b/>
          <w:bCs/>
        </w:rPr>
        <w:t>Student ID:</w:t>
      </w:r>
      <w:r>
        <w:rPr>
          <w:rFonts w:hint="default" w:ascii="Arial" w:hAnsi="Arial" w:cs="Arial"/>
          <w:b/>
          <w:bCs/>
          <w:lang w:val="en-US"/>
        </w:rPr>
        <w:t>2505003</w:t>
      </w:r>
    </w:p>
    <w:p w14:paraId="63080C9E">
      <w:pPr>
        <w:jc w:val="center"/>
        <w:rPr>
          <w:rFonts w:ascii="Arial" w:hAnsi="Arial" w:cs="Arial"/>
        </w:rPr>
      </w:pPr>
    </w:p>
    <w:p w14:paraId="3D7751B6">
      <w:pPr>
        <w:jc w:val="center"/>
        <w:rPr>
          <w:rFonts w:ascii="Arial" w:hAnsi="Arial" w:cs="Arial"/>
        </w:rPr>
      </w:pPr>
    </w:p>
    <w:p w14:paraId="37F10C9F">
      <w:pPr>
        <w:jc w:val="center"/>
        <w:rPr>
          <w:rFonts w:hint="default" w:ascii="Arial" w:hAnsi="Arial" w:cs="Arial"/>
          <w:b/>
          <w:bCs/>
          <w:lang w:val="en-US"/>
        </w:rPr>
      </w:pPr>
      <w:r>
        <w:rPr>
          <w:rFonts w:ascii="Arial" w:hAnsi="Arial" w:cs="Arial"/>
          <w:b/>
          <w:bCs/>
        </w:rPr>
        <w:t xml:space="preserve">Module Name: </w:t>
      </w:r>
      <w:r>
        <w:rPr>
          <w:rFonts w:hint="default" w:ascii="Arial" w:hAnsi="Arial" w:cs="Arial"/>
          <w:b/>
          <w:bCs/>
          <w:lang w:val="en-US"/>
        </w:rPr>
        <w:t xml:space="preserve">HUMAN CAPITAL MANAGEMENT </w:t>
      </w:r>
    </w:p>
    <w:p w14:paraId="1F614A44">
      <w:pPr>
        <w:jc w:val="center"/>
        <w:rPr>
          <w:rFonts w:ascii="Arial" w:hAnsi="Arial" w:cs="Arial"/>
          <w:b/>
          <w:bCs/>
        </w:rPr>
      </w:pPr>
    </w:p>
    <w:p w14:paraId="0794A99E">
      <w:pPr>
        <w:jc w:val="center"/>
        <w:rPr>
          <w:rFonts w:hint="default" w:ascii="Arial" w:hAnsi="Arial" w:cs="Arial"/>
          <w:b/>
          <w:bCs/>
          <w:lang w:val="en-US"/>
        </w:rPr>
      </w:pPr>
      <w:r>
        <w:rPr>
          <w:rFonts w:ascii="Arial" w:hAnsi="Arial" w:cs="Arial"/>
          <w:b/>
          <w:bCs/>
        </w:rPr>
        <w:t>Module Code: LCMB</w:t>
      </w:r>
      <w:r>
        <w:rPr>
          <w:rFonts w:hint="default" w:ascii="Arial" w:hAnsi="Arial" w:cs="Arial"/>
          <w:b/>
          <w:bCs/>
          <w:lang w:val="en-US"/>
        </w:rPr>
        <w:t>7023</w:t>
      </w:r>
    </w:p>
    <w:p w14:paraId="242318AB">
      <w:pPr>
        <w:jc w:val="center"/>
        <w:rPr>
          <w:rFonts w:ascii="Arial" w:hAnsi="Arial" w:cs="Arial"/>
          <w:b/>
          <w:bCs/>
        </w:rPr>
      </w:pPr>
    </w:p>
    <w:p w14:paraId="38F1A035">
      <w:pPr>
        <w:jc w:val="both"/>
        <w:rPr>
          <w:rFonts w:ascii="Arial" w:hAnsi="Arial" w:cs="Arial"/>
          <w:b/>
          <w:bCs/>
        </w:rPr>
      </w:pPr>
    </w:p>
    <w:p w14:paraId="7E74A1F6">
      <w:pPr>
        <w:jc w:val="center"/>
        <w:rPr>
          <w:rFonts w:ascii="Arial" w:hAnsi="Arial" w:cs="Arial"/>
          <w:b/>
          <w:bCs/>
        </w:rPr>
      </w:pPr>
    </w:p>
    <w:p w14:paraId="1C05EEAE">
      <w:pPr>
        <w:jc w:val="center"/>
        <w:rPr>
          <w:rFonts w:hint="default" w:ascii="Arial" w:hAnsi="Arial" w:cs="Arial"/>
          <w:b/>
          <w:bCs/>
          <w:lang w:val="en-US"/>
        </w:rPr>
      </w:pPr>
      <w:r>
        <w:rPr>
          <w:rFonts w:ascii="Arial" w:hAnsi="Arial" w:cs="Arial"/>
          <w:b/>
          <w:bCs/>
        </w:rPr>
        <w:t>Lecturer’s Name:</w:t>
      </w:r>
      <w:r>
        <w:rPr>
          <w:rFonts w:hint="default" w:ascii="Arial" w:hAnsi="Arial" w:cs="Arial"/>
          <w:b/>
          <w:bCs/>
          <w:lang w:val="en-US"/>
        </w:rPr>
        <w:t xml:space="preserve"> DR. GLADIUS KULOTHUNGAN</w:t>
      </w:r>
    </w:p>
    <w:p w14:paraId="2534BC8F">
      <w:pPr>
        <w:jc w:val="center"/>
        <w:rPr>
          <w:rFonts w:ascii="Arial" w:hAnsi="Arial" w:cs="Arial"/>
          <w:b/>
          <w:bCs/>
        </w:rPr>
      </w:pPr>
    </w:p>
    <w:p w14:paraId="70E1BD2A">
      <w:pPr>
        <w:jc w:val="center"/>
        <w:rPr>
          <w:rFonts w:ascii="Arial" w:hAnsi="Arial" w:cs="Arial"/>
          <w:b/>
          <w:bCs/>
        </w:rPr>
      </w:pPr>
    </w:p>
    <w:p w14:paraId="55B10977">
      <w:pPr>
        <w:rPr>
          <w:rFonts w:ascii="Arial" w:hAnsi="Arial" w:cs="Arial"/>
          <w:b/>
          <w:bCs/>
        </w:rPr>
      </w:pPr>
    </w:p>
    <w:p w14:paraId="427EB493">
      <w:pPr>
        <w:rPr>
          <w:rFonts w:ascii="Arial" w:hAnsi="Arial" w:cs="Arial"/>
          <w:b/>
          <w:bCs/>
        </w:rPr>
      </w:pPr>
    </w:p>
    <w:p w14:paraId="39FE983B">
      <w:pPr>
        <w:jc w:val="center"/>
        <w:rPr>
          <w:rFonts w:hint="default" w:ascii="Arial" w:hAnsi="Arial" w:cs="Arial"/>
          <w:b/>
          <w:bCs/>
          <w:lang w:val="en-US"/>
        </w:rPr>
      </w:pPr>
      <w:r>
        <w:rPr>
          <w:rFonts w:ascii="Arial" w:hAnsi="Arial" w:cs="Arial"/>
          <w:b/>
          <w:bCs/>
        </w:rPr>
        <w:t>Work Count:</w:t>
      </w:r>
      <w:r>
        <w:rPr>
          <w:rFonts w:hint="default" w:ascii="Arial" w:hAnsi="Arial" w:cs="Arial"/>
          <w:b/>
          <w:bCs/>
          <w:lang w:val="en-US"/>
        </w:rPr>
        <w:t>2601</w:t>
      </w:r>
    </w:p>
    <w:p w14:paraId="2CC2A054">
      <w:pPr>
        <w:jc w:val="center"/>
        <w:rPr>
          <w:rFonts w:ascii="Arial" w:hAnsi="Arial" w:cs="Arial"/>
          <w:b/>
          <w:bCs/>
        </w:rPr>
      </w:pPr>
      <w:bookmarkStart w:id="24" w:name="_GoBack"/>
      <w:bookmarkEnd w:id="24"/>
    </w:p>
    <w:p w14:paraId="6A8F56C7">
      <w:pPr>
        <w:jc w:val="center"/>
        <w:rPr>
          <w:rFonts w:ascii="Arial" w:hAnsi="Arial" w:cs="Arial"/>
          <w:b/>
          <w:bCs/>
        </w:rPr>
      </w:pPr>
    </w:p>
    <w:p w14:paraId="74532E5F">
      <w:pPr>
        <w:jc w:val="center"/>
        <w:rPr>
          <w:rFonts w:ascii="Arial" w:hAnsi="Arial" w:cs="Arial"/>
          <w:b/>
          <w:bCs/>
        </w:rPr>
      </w:pPr>
    </w:p>
    <w:p w14:paraId="102B9D5E">
      <w:pPr>
        <w:jc w:val="center"/>
        <w:rPr>
          <w:rFonts w:ascii="Arial" w:hAnsi="Arial" w:cs="Arial"/>
          <w:b/>
          <w:bCs/>
        </w:rPr>
      </w:pPr>
    </w:p>
    <w:p w14:paraId="76B4AC18">
      <w:pPr>
        <w:jc w:val="center"/>
        <w:rPr>
          <w:rFonts w:ascii="Arial" w:hAnsi="Arial" w:cs="Arial"/>
          <w:b/>
          <w:bCs/>
        </w:rPr>
      </w:pPr>
    </w:p>
    <w:p w14:paraId="3D7042D2">
      <w:pPr>
        <w:jc w:val="center"/>
        <w:rPr>
          <w:rFonts w:ascii="Arial" w:hAnsi="Arial" w:cs="Arial"/>
          <w:b/>
          <w:bCs/>
        </w:rPr>
      </w:pPr>
      <w:r>
        <w:rPr>
          <w:rFonts w:ascii="Arial" w:hAnsi="Arial" w:cs="Arial"/>
          <w:b/>
          <w:bCs/>
        </w:rPr>
        <w:t>Term 1</w:t>
      </w:r>
    </w:p>
    <w:p w14:paraId="1C1115B2">
      <w:pPr>
        <w:jc w:val="center"/>
        <w:rPr>
          <w:rFonts w:ascii="Arial" w:hAnsi="Arial" w:cs="Arial"/>
          <w:b/>
          <w:bCs/>
        </w:rPr>
      </w:pPr>
    </w:p>
    <w:p w14:paraId="72FB9C45">
      <w:pPr>
        <w:jc w:val="center"/>
        <w:rPr>
          <w:rFonts w:ascii="Arial" w:hAnsi="Arial" w:cs="Arial"/>
          <w:b/>
          <w:bCs/>
        </w:rPr>
      </w:pPr>
    </w:p>
    <w:p w14:paraId="57FDF8CA">
      <w:pPr>
        <w:spacing w:line="360" w:lineRule="auto"/>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Executive Summary</w:t>
      </w:r>
    </w:p>
    <w:p w14:paraId="14361005">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This report has discussed the influence of globalisation, technology and changing demographics on the labour markets and human resource management practises. It assessed how artificial intelligence, automation, and the digital transformation affected job creation, job displacement, and skills of the workforce. It was found that automation made things more efficient but demanded some fresh skills including digital literacy and flexibility. Additional factors that affected talent mobility and global workforce strategies are geopolitical tensions, the ageing population, and migration patterns. The build, buy, borrow, and bind strategic HRM models were also addressed to face the increasing skills gaps and facilitate the agility of the workforce. Sector-specific responses were also discussed in the report, but the author presented the ways technology, healthcare, and hospitality industries adapted to the situation and employed specific reskilling, recruitment, and retention programmes. Lastly, reflective self-reflection showed that I developed the most important competencies of MBA such as leadership, teamwork, digital skills, and self-directed learning. The findings in general were that, globally adaptive, ethically inspired and technologically apprehensive professionals are critical in maintaining organisational competitiveness in a business environment which is more digital and interconnected.</w:t>
      </w:r>
      <w:r>
        <w:rPr>
          <w:rFonts w:ascii="Arial" w:hAnsi="Arial" w:cs="Arial"/>
          <w:color w:val="000000" w:themeColor="text1"/>
          <w:sz w:val="24"/>
          <w:szCs w:val="24"/>
          <w14:textFill>
            <w14:solidFill>
              <w14:schemeClr w14:val="tx1"/>
            </w14:solidFill>
          </w14:textFill>
        </w:rPr>
        <w:br w:type="page"/>
      </w:r>
    </w:p>
    <w:sdt>
      <w:sdtPr>
        <w:rPr>
          <w:rFonts w:ascii="Arial" w:hAnsi="Arial" w:cs="Arial" w:eastAsiaTheme="minorHAnsi"/>
          <w:color w:val="auto"/>
          <w:sz w:val="24"/>
          <w:szCs w:val="24"/>
          <w:lang w:val="en-GB"/>
        </w:rPr>
        <w:id w:val="2085335134"/>
        <w:docPartObj>
          <w:docPartGallery w:val="Table of Contents"/>
          <w:docPartUnique/>
        </w:docPartObj>
      </w:sdtPr>
      <w:sdtEndPr>
        <w:rPr>
          <w:rFonts w:ascii="Arial" w:hAnsi="Arial" w:cs="Arial" w:eastAsiaTheme="minorHAnsi"/>
          <w:color w:val="auto"/>
          <w:sz w:val="24"/>
          <w:szCs w:val="24"/>
          <w:lang w:val="en-GB"/>
        </w:rPr>
      </w:sdtEndPr>
      <w:sdtContent>
        <w:p w14:paraId="5D173EF7">
          <w:pPr>
            <w:pStyle w:val="41"/>
            <w:spacing w:line="360" w:lineRule="auto"/>
            <w:jc w:val="center"/>
            <w:rPr>
              <w:rFonts w:ascii="Arial" w:hAnsi="Arial" w:cs="Arial"/>
              <w:color w:val="auto"/>
              <w:sz w:val="24"/>
              <w:szCs w:val="24"/>
            </w:rPr>
          </w:pPr>
          <w:r>
            <w:rPr>
              <w:rFonts w:ascii="Arial" w:hAnsi="Arial" w:cs="Arial"/>
              <w:color w:val="auto"/>
              <w:sz w:val="24"/>
              <w:szCs w:val="24"/>
            </w:rPr>
            <w:t>Table of Contents</w:t>
          </w:r>
        </w:p>
        <w:p w14:paraId="20B98B5C">
          <w:pPr>
            <w:pStyle w:val="20"/>
            <w:tabs>
              <w:tab w:val="right" w:leader="dot" w:pos="9016"/>
            </w:tabs>
            <w:rPr>
              <w:rFonts w:ascii="Arial" w:hAnsi="Arial" w:cs="Arial" w:eastAsiaTheme="minorEastAsia"/>
              <w:kern w:val="2"/>
              <w:sz w:val="24"/>
              <w:szCs w:val="24"/>
              <w:lang w:val="en-US"/>
              <w14:ligatures w14:val="standardContextual"/>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r>
            <w:fldChar w:fldCharType="begin"/>
          </w:r>
          <w:r>
            <w:instrText xml:space="preserve"> HYPERLINK \l "_Toc213587697" </w:instrText>
          </w:r>
          <w:r>
            <w:fldChar w:fldCharType="separate"/>
          </w:r>
          <w:r>
            <w:rPr>
              <w:rStyle w:val="15"/>
              <w:rFonts w:ascii="Arial" w:hAnsi="Arial" w:cs="Arial"/>
              <w:sz w:val="24"/>
              <w:szCs w:val="24"/>
            </w:rPr>
            <w:t>Introduction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_Toc213587697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0923FD2D">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"_Toc213587698" </w:instrText>
          </w:r>
          <w:r>
            <w:fldChar w:fldCharType="separate"/>
          </w:r>
          <w:r>
            <w:rPr>
              <w:rStyle w:val="15"/>
              <w:rFonts w:ascii="Arial" w:hAnsi="Arial" w:cs="Arial"/>
              <w:sz w:val="24"/>
              <w:szCs w:val="24"/>
            </w:rPr>
            <w:t>Context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_Toc213587698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44B45607">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"_Toc213587699" </w:instrText>
          </w:r>
          <w:r>
            <w:fldChar w:fldCharType="separate"/>
          </w:r>
          <w:r>
            <w:rPr>
              <w:rStyle w:val="15"/>
              <w:rFonts w:ascii="Arial" w:hAnsi="Arial" w:cs="Arial"/>
              <w:sz w:val="24"/>
              <w:szCs w:val="24"/>
            </w:rPr>
            <w:t>Impact of Global and Technological Forces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_Toc213587699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55552A9A">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"_Toc213587700" </w:instrText>
          </w:r>
          <w:r>
            <w:fldChar w:fldCharType="separate"/>
          </w:r>
          <w:r>
            <w:rPr>
              <w:rStyle w:val="15"/>
              <w:rFonts w:ascii="Arial" w:hAnsi="Arial" w:cs="Arial"/>
              <w:sz w:val="24"/>
              <w:szCs w:val="24"/>
            </w:rPr>
            <w:t>Purpose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_Toc213587700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3F502A8A">
          <w:pPr>
            <w:pStyle w:val="20"/>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"_Toc213587701" </w:instrText>
          </w:r>
          <w:r>
            <w:fldChar w:fldCharType="separate"/>
          </w:r>
          <w:r>
            <w:rPr>
              <w:rStyle w:val="15"/>
              <w:rFonts w:ascii="Arial" w:hAnsi="Arial" w:cs="Arial"/>
              <w:sz w:val="24"/>
              <w:szCs w:val="24"/>
            </w:rPr>
            <w:t>1.0 Question 1: Technology &amp; Labour Markets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_Toc213587701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14:paraId="017CCCC0">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"_Toc213587702" </w:instrText>
          </w:r>
          <w:r>
            <w:fldChar w:fldCharType="separate"/>
          </w:r>
          <w:r>
            <w:rPr>
              <w:rStyle w:val="15"/>
              <w:rFonts w:ascii="Arial" w:hAnsi="Arial" w:cs="Arial"/>
              <w:sz w:val="24"/>
              <w:szCs w:val="24"/>
            </w:rPr>
            <w:t>1.1 The Reshaping of Labour Markets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_Toc213587702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14:paraId="2BC78258">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"_Toc213587703" </w:instrText>
          </w:r>
          <w:r>
            <w:fldChar w:fldCharType="separate"/>
          </w:r>
          <w:r>
            <w:rPr>
              <w:rStyle w:val="15"/>
              <w:rFonts w:ascii="Arial" w:hAnsi="Arial" w:cs="Arial"/>
              <w:sz w:val="24"/>
              <w:szCs w:val="24"/>
            </w:rPr>
            <w:t>1.2 The Gig Economy and Digital Platforms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_Toc213587703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14:paraId="1FE04456">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"_Toc213587704" </w:instrText>
          </w:r>
          <w:r>
            <w:fldChar w:fldCharType="separate"/>
          </w:r>
          <w:r>
            <w:rPr>
              <w:rStyle w:val="15"/>
              <w:rFonts w:ascii="Arial" w:hAnsi="Arial" w:cs="Arial"/>
              <w:sz w:val="24"/>
              <w:szCs w:val="24"/>
            </w:rPr>
            <w:t>1.3 Skills Churn and the Half-Life of Skills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_Toc213587704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79AA5877">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"_Toc213587705" </w:instrText>
          </w:r>
          <w:r>
            <w:fldChar w:fldCharType="separate"/>
          </w:r>
          <w:r>
            <w:rPr>
              <w:rStyle w:val="15"/>
              <w:rFonts w:ascii="Arial" w:hAnsi="Arial" w:cs="Arial"/>
              <w:sz w:val="24"/>
              <w:szCs w:val="24"/>
            </w:rPr>
            <w:t>1.4 Implications for HRM and IHRM Strategies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_Toc213587705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1710BECA">
          <w:pPr>
            <w:pStyle w:val="20"/>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"_Toc213587706" </w:instrText>
          </w:r>
          <w:r>
            <w:fldChar w:fldCharType="separate"/>
          </w:r>
          <w:r>
            <w:rPr>
              <w:rStyle w:val="15"/>
              <w:rFonts w:ascii="Arial" w:hAnsi="Arial" w:cs="Arial"/>
              <w:sz w:val="24"/>
              <w:szCs w:val="24"/>
            </w:rPr>
            <w:t>2.0 Question 2: Demographic &amp; Geopolitical Factors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_Toc213587706 \h </w:instrText>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r>
            <w:rPr>
              <w:rFonts w:ascii="Arial" w:hAnsi="Arial" w:cs="Arial"/>
              <w:sz w:val="24"/>
              <w:szCs w:val="24"/>
            </w:rPr>
            <w:fldChar w:fldCharType="end"/>
          </w:r>
        </w:p>
        <w:p w14:paraId="7873F650">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"_Toc213587707" </w:instrText>
          </w:r>
          <w:r>
            <w:fldChar w:fldCharType="separate"/>
          </w:r>
          <w:r>
            <w:rPr>
              <w:rStyle w:val="15"/>
              <w:rFonts w:ascii="Arial" w:hAnsi="Arial" w:cs="Arial"/>
              <w:sz w:val="24"/>
              <w:szCs w:val="24"/>
            </w:rPr>
            <w:t>2.1 Key Demographic Factors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_Toc213587707 \h </w:instrText>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r>
            <w:rPr>
              <w:rFonts w:ascii="Arial" w:hAnsi="Arial" w:cs="Arial"/>
              <w:sz w:val="24"/>
              <w:szCs w:val="24"/>
            </w:rPr>
            <w:fldChar w:fldCharType="end"/>
          </w:r>
        </w:p>
        <w:p w14:paraId="13BD5E57">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"_Toc213587708" </w:instrText>
          </w:r>
          <w:r>
            <w:fldChar w:fldCharType="separate"/>
          </w:r>
          <w:r>
            <w:rPr>
              <w:rStyle w:val="15"/>
              <w:rFonts w:ascii="Arial" w:hAnsi="Arial" w:cs="Arial"/>
              <w:sz w:val="24"/>
              <w:szCs w:val="24"/>
            </w:rPr>
            <w:t>2.2 Key Geopolitical Factors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_Toc213587708 \h </w:instrText>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r>
            <w:rPr>
              <w:rFonts w:ascii="Arial" w:hAnsi="Arial" w:cs="Arial"/>
              <w:sz w:val="24"/>
              <w:szCs w:val="24"/>
            </w:rPr>
            <w:fldChar w:fldCharType="end"/>
          </w:r>
        </w:p>
        <w:p w14:paraId="62D8EC12">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"_Toc213587709" </w:instrText>
          </w:r>
          <w:r>
            <w:fldChar w:fldCharType="separate"/>
          </w:r>
          <w:r>
            <w:rPr>
              <w:rStyle w:val="15"/>
              <w:rFonts w:ascii="Arial" w:hAnsi="Arial" w:cs="Arial"/>
              <w:sz w:val="24"/>
              <w:szCs w:val="24"/>
            </w:rPr>
            <w:t>2.3 Challenges for HR Professionals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_Toc213587709 \h </w:instrText>
          </w:r>
          <w:r>
            <w:rPr>
              <w:rFonts w:ascii="Arial" w:hAnsi="Arial" w:cs="Arial"/>
              <w:sz w:val="24"/>
              <w:szCs w:val="24"/>
            </w:rPr>
            <w:fldChar w:fldCharType="separate"/>
          </w:r>
          <w:r>
            <w:rPr>
              <w:rFonts w:ascii="Arial" w:hAnsi="Arial" w:cs="Arial"/>
              <w:sz w:val="24"/>
              <w:szCs w:val="24"/>
            </w:rPr>
            <w:t>10</w:t>
          </w:r>
          <w:r>
            <w:rPr>
              <w:rFonts w:ascii="Arial" w:hAnsi="Arial" w:cs="Arial"/>
              <w:sz w:val="24"/>
              <w:szCs w:val="24"/>
            </w:rPr>
            <w:fldChar w:fldCharType="end"/>
          </w:r>
          <w:r>
            <w:rPr>
              <w:rFonts w:ascii="Arial" w:hAnsi="Arial" w:cs="Arial"/>
              <w:sz w:val="24"/>
              <w:szCs w:val="24"/>
            </w:rPr>
            <w:fldChar w:fldCharType="end"/>
          </w:r>
        </w:p>
        <w:p w14:paraId="36E55EC8">
          <w:pPr>
            <w:pStyle w:val="20"/>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"_Toc213587710" </w:instrText>
          </w:r>
          <w:r>
            <w:fldChar w:fldCharType="separate"/>
          </w:r>
          <w:r>
            <w:rPr>
              <w:rStyle w:val="15"/>
              <w:rFonts w:ascii="Arial" w:hAnsi="Arial" w:cs="Arial"/>
              <w:sz w:val="24"/>
              <w:szCs w:val="24"/>
            </w:rPr>
            <w:t>3.0 Question 3: Skills Gaps &amp; Strategic HRM</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_Toc213587710 \h </w:instrText>
          </w:r>
          <w:r>
            <w:rPr>
              <w:rFonts w:ascii="Arial" w:hAnsi="Arial" w:cs="Arial"/>
              <w:sz w:val="24"/>
              <w:szCs w:val="24"/>
            </w:rPr>
            <w:fldChar w:fldCharType="separate"/>
          </w:r>
          <w:r>
            <w:rPr>
              <w:rFonts w:ascii="Arial" w:hAnsi="Arial" w:cs="Arial"/>
              <w:sz w:val="24"/>
              <w:szCs w:val="24"/>
            </w:rPr>
            <w:t>11</w:t>
          </w:r>
          <w:r>
            <w:rPr>
              <w:rFonts w:ascii="Arial" w:hAnsi="Arial" w:cs="Arial"/>
              <w:sz w:val="24"/>
              <w:szCs w:val="24"/>
            </w:rPr>
            <w:fldChar w:fldCharType="end"/>
          </w:r>
          <w:r>
            <w:rPr>
              <w:rFonts w:ascii="Arial" w:hAnsi="Arial" w:cs="Arial"/>
              <w:sz w:val="24"/>
              <w:szCs w:val="24"/>
            </w:rPr>
            <w:fldChar w:fldCharType="end"/>
          </w:r>
        </w:p>
        <w:p w14:paraId="1871FC3F">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"_Toc213587711" </w:instrText>
          </w:r>
          <w:r>
            <w:fldChar w:fldCharType="separate"/>
          </w:r>
          <w:r>
            <w:rPr>
              <w:rStyle w:val="15"/>
              <w:rFonts w:ascii="Arial" w:hAnsi="Arial" w:cs="Arial"/>
              <w:sz w:val="24"/>
              <w:szCs w:val="24"/>
            </w:rPr>
            <w:t>3.1 Understanding the Causes of Skills Gaps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_Toc213587711 \h </w:instrText>
          </w:r>
          <w:r>
            <w:rPr>
              <w:rFonts w:ascii="Arial" w:hAnsi="Arial" w:cs="Arial"/>
              <w:sz w:val="24"/>
              <w:szCs w:val="24"/>
            </w:rPr>
            <w:fldChar w:fldCharType="separate"/>
          </w:r>
          <w:r>
            <w:rPr>
              <w:rFonts w:ascii="Arial" w:hAnsi="Arial" w:cs="Arial"/>
              <w:sz w:val="24"/>
              <w:szCs w:val="24"/>
            </w:rPr>
            <w:t>11</w:t>
          </w:r>
          <w:r>
            <w:rPr>
              <w:rFonts w:ascii="Arial" w:hAnsi="Arial" w:cs="Arial"/>
              <w:sz w:val="24"/>
              <w:szCs w:val="24"/>
            </w:rPr>
            <w:fldChar w:fldCharType="end"/>
          </w:r>
          <w:r>
            <w:rPr>
              <w:rFonts w:ascii="Arial" w:hAnsi="Arial" w:cs="Arial"/>
              <w:sz w:val="24"/>
              <w:szCs w:val="24"/>
            </w:rPr>
            <w:fldChar w:fldCharType="end"/>
          </w:r>
        </w:p>
        <w:p w14:paraId="67E6AB57">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"_Toc213587712" </w:instrText>
          </w:r>
          <w:r>
            <w:fldChar w:fldCharType="separate"/>
          </w:r>
          <w:r>
            <w:rPr>
              <w:rStyle w:val="15"/>
              <w:rFonts w:ascii="Arial" w:hAnsi="Arial" w:cs="Arial"/>
              <w:sz w:val="24"/>
              <w:szCs w:val="24"/>
            </w:rPr>
            <w:t>3.2 Strategic HRM Approaches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_Toc213587712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17481A20">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"_Toc213587713" </w:instrText>
          </w:r>
          <w:r>
            <w:fldChar w:fldCharType="separate"/>
          </w:r>
          <w:r>
            <w:rPr>
              <w:rStyle w:val="15"/>
              <w:rFonts w:ascii="Arial" w:hAnsi="Arial" w:cs="Arial"/>
              <w:sz w:val="24"/>
              <w:szCs w:val="24"/>
            </w:rPr>
            <w:t>3.3 Sector-Specific Examples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_Toc213587713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14:paraId="441EF838">
          <w:pPr>
            <w:pStyle w:val="20"/>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"_Toc213587714" </w:instrText>
          </w:r>
          <w:r>
            <w:fldChar w:fldCharType="separate"/>
          </w:r>
          <w:r>
            <w:rPr>
              <w:rStyle w:val="15"/>
              <w:rFonts w:ascii="Arial" w:hAnsi="Arial" w:cs="Arial"/>
              <w:sz w:val="24"/>
              <w:szCs w:val="24"/>
            </w:rPr>
            <w:t>4.0 Question 4: Reflective Report on Capabilities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_Toc213587714 \h </w:instrText>
          </w:r>
          <w:r>
            <w:rPr>
              <w:rFonts w:ascii="Arial" w:hAnsi="Arial" w:cs="Arial"/>
              <w:sz w:val="24"/>
              <w:szCs w:val="24"/>
            </w:rPr>
            <w:fldChar w:fldCharType="separate"/>
          </w:r>
          <w:r>
            <w:rPr>
              <w:rFonts w:ascii="Arial" w:hAnsi="Arial" w:cs="Arial"/>
              <w:sz w:val="24"/>
              <w:szCs w:val="24"/>
            </w:rPr>
            <w:t>14</w:t>
          </w:r>
          <w:r>
            <w:rPr>
              <w:rFonts w:ascii="Arial" w:hAnsi="Arial" w:cs="Arial"/>
              <w:sz w:val="24"/>
              <w:szCs w:val="24"/>
            </w:rPr>
            <w:fldChar w:fldCharType="end"/>
          </w:r>
          <w:r>
            <w:rPr>
              <w:rFonts w:ascii="Arial" w:hAnsi="Arial" w:cs="Arial"/>
              <w:sz w:val="24"/>
              <w:szCs w:val="24"/>
            </w:rPr>
            <w:fldChar w:fldCharType="end"/>
          </w:r>
        </w:p>
        <w:p w14:paraId="732557D4">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"_Toc213587715" </w:instrText>
          </w:r>
          <w:r>
            <w:fldChar w:fldCharType="separate"/>
          </w:r>
          <w:r>
            <w:rPr>
              <w:rStyle w:val="15"/>
              <w:rFonts w:ascii="Arial" w:hAnsi="Arial" w:cs="Arial"/>
              <w:sz w:val="24"/>
              <w:szCs w:val="24"/>
            </w:rPr>
            <w:t>4.1 Introduction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_Toc213587715 \h </w:instrText>
          </w:r>
          <w:r>
            <w:rPr>
              <w:rFonts w:ascii="Arial" w:hAnsi="Arial" w:cs="Arial"/>
              <w:sz w:val="24"/>
              <w:szCs w:val="24"/>
            </w:rPr>
            <w:fldChar w:fldCharType="separate"/>
          </w:r>
          <w:r>
            <w:rPr>
              <w:rFonts w:ascii="Arial" w:hAnsi="Arial" w:cs="Arial"/>
              <w:sz w:val="24"/>
              <w:szCs w:val="24"/>
            </w:rPr>
            <w:t>14</w:t>
          </w:r>
          <w:r>
            <w:rPr>
              <w:rFonts w:ascii="Arial" w:hAnsi="Arial" w:cs="Arial"/>
              <w:sz w:val="24"/>
              <w:szCs w:val="24"/>
            </w:rPr>
            <w:fldChar w:fldCharType="end"/>
          </w:r>
          <w:r>
            <w:rPr>
              <w:rFonts w:ascii="Arial" w:hAnsi="Arial" w:cs="Arial"/>
              <w:sz w:val="24"/>
              <w:szCs w:val="24"/>
            </w:rPr>
            <w:fldChar w:fldCharType="end"/>
          </w:r>
        </w:p>
        <w:p w14:paraId="7AA757E6">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"_Toc213587716" </w:instrText>
          </w:r>
          <w:r>
            <w:fldChar w:fldCharType="separate"/>
          </w:r>
          <w:r>
            <w:rPr>
              <w:rStyle w:val="15"/>
              <w:rFonts w:ascii="Arial" w:hAnsi="Arial" w:cs="Arial"/>
              <w:sz w:val="24"/>
              <w:szCs w:val="24"/>
            </w:rPr>
            <w:t>4.2 Self-Assessment(Gibbs Reflective Cycle)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_Toc213587716 \h </w:instrText>
          </w:r>
          <w:r>
            <w:rPr>
              <w:rFonts w:ascii="Arial" w:hAnsi="Arial" w:cs="Arial"/>
              <w:sz w:val="24"/>
              <w:szCs w:val="24"/>
            </w:rPr>
            <w:fldChar w:fldCharType="separate"/>
          </w:r>
          <w:r>
            <w:rPr>
              <w:rFonts w:ascii="Arial" w:hAnsi="Arial" w:cs="Arial"/>
              <w:sz w:val="24"/>
              <w:szCs w:val="24"/>
            </w:rPr>
            <w:t>14</w:t>
          </w:r>
          <w:r>
            <w:rPr>
              <w:rFonts w:ascii="Arial" w:hAnsi="Arial" w:cs="Arial"/>
              <w:sz w:val="24"/>
              <w:szCs w:val="24"/>
            </w:rPr>
            <w:fldChar w:fldCharType="end"/>
          </w:r>
          <w:r>
            <w:rPr>
              <w:rFonts w:ascii="Arial" w:hAnsi="Arial" w:cs="Arial"/>
              <w:sz w:val="24"/>
              <w:szCs w:val="24"/>
            </w:rPr>
            <w:fldChar w:fldCharType="end"/>
          </w:r>
        </w:p>
        <w:p w14:paraId="00E40460">
          <w:pPr>
            <w:pStyle w:val="21"/>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"_Toc213587717" </w:instrText>
          </w:r>
          <w:r>
            <w:fldChar w:fldCharType="separate"/>
          </w:r>
          <w:r>
            <w:rPr>
              <w:rStyle w:val="15"/>
              <w:rFonts w:ascii="Arial" w:hAnsi="Arial" w:cs="Arial"/>
              <w:sz w:val="24"/>
              <w:szCs w:val="24"/>
            </w:rPr>
            <w:t>4.3 Development Plan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_Toc213587717 \h </w:instrText>
          </w:r>
          <w:r>
            <w:rPr>
              <w:rFonts w:ascii="Arial" w:hAnsi="Arial" w:cs="Arial"/>
              <w:sz w:val="24"/>
              <w:szCs w:val="24"/>
            </w:rPr>
            <w:fldChar w:fldCharType="separate"/>
          </w:r>
          <w:r>
            <w:rPr>
              <w:rFonts w:ascii="Arial" w:hAnsi="Arial" w:cs="Arial"/>
              <w:sz w:val="24"/>
              <w:szCs w:val="24"/>
            </w:rPr>
            <w:t>16</w:t>
          </w:r>
          <w:r>
            <w:rPr>
              <w:rFonts w:ascii="Arial" w:hAnsi="Arial" w:cs="Arial"/>
              <w:sz w:val="24"/>
              <w:szCs w:val="24"/>
            </w:rPr>
            <w:fldChar w:fldCharType="end"/>
          </w:r>
          <w:r>
            <w:rPr>
              <w:rFonts w:ascii="Arial" w:hAnsi="Arial" w:cs="Arial"/>
              <w:sz w:val="24"/>
              <w:szCs w:val="24"/>
            </w:rPr>
            <w:fldChar w:fldCharType="end"/>
          </w:r>
        </w:p>
        <w:p w14:paraId="4688870E">
          <w:pPr>
            <w:pStyle w:val="20"/>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"_Toc213587718" </w:instrText>
          </w:r>
          <w:r>
            <w:fldChar w:fldCharType="separate"/>
          </w:r>
          <w:r>
            <w:rPr>
              <w:rStyle w:val="15"/>
              <w:rFonts w:ascii="Arial" w:hAnsi="Arial" w:cs="Arial"/>
              <w:sz w:val="24"/>
              <w:szCs w:val="24"/>
            </w:rPr>
            <w:t>Conclusion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_Toc213587718 \h </w:instrText>
          </w:r>
          <w:r>
            <w:rPr>
              <w:rFonts w:ascii="Arial" w:hAnsi="Arial" w:cs="Arial"/>
              <w:sz w:val="24"/>
              <w:szCs w:val="24"/>
            </w:rPr>
            <w:fldChar w:fldCharType="separate"/>
          </w:r>
          <w:r>
            <w:rPr>
              <w:rFonts w:ascii="Arial" w:hAnsi="Arial" w:cs="Arial"/>
              <w:sz w:val="24"/>
              <w:szCs w:val="24"/>
            </w:rPr>
            <w:t>17</w:t>
          </w:r>
          <w:r>
            <w:rPr>
              <w:rFonts w:ascii="Arial" w:hAnsi="Arial" w:cs="Arial"/>
              <w:sz w:val="24"/>
              <w:szCs w:val="24"/>
            </w:rPr>
            <w:fldChar w:fldCharType="end"/>
          </w:r>
          <w:r>
            <w:rPr>
              <w:rFonts w:ascii="Arial" w:hAnsi="Arial" w:cs="Arial"/>
              <w:sz w:val="24"/>
              <w:szCs w:val="24"/>
            </w:rPr>
            <w:fldChar w:fldCharType="end"/>
          </w:r>
        </w:p>
        <w:p w14:paraId="7EB1F60E">
          <w:pPr>
            <w:pStyle w:val="20"/>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"_Toc213587719" </w:instrText>
          </w:r>
          <w:r>
            <w:fldChar w:fldCharType="separate"/>
          </w:r>
          <w:r>
            <w:rPr>
              <w:rStyle w:val="15"/>
              <w:rFonts w:ascii="Arial" w:hAnsi="Arial" w:cs="Arial"/>
              <w:sz w:val="24"/>
              <w:szCs w:val="24"/>
            </w:rPr>
            <w:t>References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_Toc213587719 \h </w:instrText>
          </w:r>
          <w:r>
            <w:rPr>
              <w:rFonts w:ascii="Arial" w:hAnsi="Arial" w:cs="Arial"/>
              <w:sz w:val="24"/>
              <w:szCs w:val="24"/>
            </w:rPr>
            <w:fldChar w:fldCharType="separate"/>
          </w:r>
          <w:r>
            <w:rPr>
              <w:rFonts w:ascii="Arial" w:hAnsi="Arial" w:cs="Arial"/>
              <w:sz w:val="24"/>
              <w:szCs w:val="24"/>
            </w:rPr>
            <w:t>18</w:t>
          </w:r>
          <w:r>
            <w:rPr>
              <w:rFonts w:ascii="Arial" w:hAnsi="Arial" w:cs="Arial"/>
              <w:sz w:val="24"/>
              <w:szCs w:val="24"/>
            </w:rPr>
            <w:fldChar w:fldCharType="end"/>
          </w:r>
          <w:r>
            <w:rPr>
              <w:rFonts w:ascii="Arial" w:hAnsi="Arial" w:cs="Arial"/>
              <w:sz w:val="24"/>
              <w:szCs w:val="24"/>
            </w:rPr>
            <w:fldChar w:fldCharType="end"/>
          </w:r>
        </w:p>
        <w:p w14:paraId="0C3977D1">
          <w:pPr>
            <w:pStyle w:val="20"/>
            <w:tabs>
              <w:tab w:val="right" w:leader="dot" w:pos="9016"/>
            </w:tabs>
            <w:rPr>
              <w:rFonts w:ascii="Arial" w:hAnsi="Arial" w:cs="Arial" w:eastAsiaTheme="minorEastAsia"/>
              <w:kern w:val="2"/>
              <w:sz w:val="24"/>
              <w:szCs w:val="24"/>
              <w:lang w:val="en-US"/>
              <w14:ligatures w14:val="standardContextual"/>
            </w:rPr>
          </w:pPr>
          <w:r>
            <w:fldChar w:fldCharType="begin"/>
          </w:r>
          <w:r>
            <w:instrText xml:space="preserve"> HYPERLINK \l "_Toc213587720" </w:instrText>
          </w:r>
          <w:r>
            <w:fldChar w:fldCharType="separate"/>
          </w:r>
          <w:r>
            <w:rPr>
              <w:rStyle w:val="15"/>
              <w:rFonts w:ascii="Arial" w:hAnsi="Arial" w:cs="Arial"/>
              <w:sz w:val="24"/>
              <w:szCs w:val="24"/>
            </w:rPr>
            <w:t>Appendix</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_Toc213587720 \h </w:instrText>
          </w:r>
          <w:r>
            <w:rPr>
              <w:rFonts w:ascii="Arial" w:hAnsi="Arial" w:cs="Arial"/>
              <w:sz w:val="24"/>
              <w:szCs w:val="24"/>
            </w:rPr>
            <w:fldChar w:fldCharType="separate"/>
          </w:r>
          <w:r>
            <w:rPr>
              <w:rFonts w:ascii="Arial" w:hAnsi="Arial" w:cs="Arial"/>
              <w:sz w:val="24"/>
              <w:szCs w:val="24"/>
            </w:rPr>
            <w:t>23</w:t>
          </w:r>
          <w:r>
            <w:rPr>
              <w:rFonts w:ascii="Arial" w:hAnsi="Arial" w:cs="Arial"/>
              <w:sz w:val="24"/>
              <w:szCs w:val="24"/>
            </w:rPr>
            <w:fldChar w:fldCharType="end"/>
          </w:r>
          <w:r>
            <w:rPr>
              <w:rFonts w:ascii="Arial" w:hAnsi="Arial" w:cs="Arial"/>
              <w:sz w:val="24"/>
              <w:szCs w:val="24"/>
            </w:rPr>
            <w:fldChar w:fldCharType="end"/>
          </w:r>
        </w:p>
        <w:p w14:paraId="5FD7672A">
          <w:pPr>
            <w:spacing w:line="360" w:lineRule="auto"/>
            <w:rPr>
              <w:rFonts w:ascii="Arial" w:hAnsi="Arial" w:cs="Arial"/>
              <w:sz w:val="24"/>
              <w:szCs w:val="24"/>
            </w:rPr>
          </w:pPr>
          <w:r>
            <w:rPr>
              <w:rFonts w:ascii="Arial" w:hAnsi="Arial" w:cs="Arial"/>
              <w:sz w:val="24"/>
              <w:szCs w:val="24"/>
            </w:rPr>
            <w:fldChar w:fldCharType="end"/>
          </w:r>
        </w:p>
      </w:sdtContent>
    </w:sdt>
    <w:p w14:paraId="626A2785">
      <w:pPr>
        <w:spacing w:line="360" w:lineRule="auto"/>
        <w:rPr>
          <w:rFonts w:ascii="Arial" w:hAnsi="Arial" w:cs="Arial" w:eastAsiaTheme="majorEastAsia"/>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br w:type="page"/>
      </w:r>
    </w:p>
    <w:p w14:paraId="395FFB5D">
      <w:pPr>
        <w:pStyle w:val="2"/>
        <w:spacing w:line="360" w:lineRule="auto"/>
        <w:jc w:val="both"/>
        <w:rPr>
          <w:rFonts w:ascii="Arial" w:hAnsi="Arial" w:cs="Arial"/>
          <w:b/>
          <w:bCs/>
          <w:color w:val="000000" w:themeColor="text1"/>
          <w:sz w:val="24"/>
          <w:szCs w:val="24"/>
          <w14:textFill>
            <w14:solidFill>
              <w14:schemeClr w14:val="tx1"/>
            </w14:solidFill>
          </w14:textFill>
        </w:rPr>
      </w:pPr>
      <w:bookmarkStart w:id="0" w:name="_Toc213587697"/>
      <w:r>
        <w:rPr>
          <w:rFonts w:ascii="Arial" w:hAnsi="Arial" w:cs="Arial"/>
          <w:b/>
          <w:bCs/>
          <w:color w:val="000000" w:themeColor="text1"/>
          <w:sz w:val="24"/>
          <w:szCs w:val="24"/>
          <w14:textFill>
            <w14:solidFill>
              <w14:schemeClr w14:val="tx1"/>
            </w14:solidFill>
          </w14:textFill>
        </w:rPr>
        <w:t>Introduction</w:t>
      </w:r>
      <w:bookmarkEnd w:id="0"/>
    </w:p>
    <w:p w14:paraId="06F6D25F">
      <w:pPr>
        <w:spacing w:line="360" w:lineRule="auto"/>
        <w:jc w:val="both"/>
        <w:rPr>
          <w:rFonts w:ascii="Arial" w:hAnsi="Arial" w:cs="Arial"/>
          <w:sz w:val="24"/>
          <w:szCs w:val="24"/>
        </w:rPr>
      </w:pPr>
      <w:bookmarkStart w:id="1" w:name="_Toc213587698"/>
      <w:r>
        <w:rPr>
          <w:rStyle w:val="23"/>
          <w:rFonts w:cs="Arial"/>
          <w:szCs w:val="24"/>
        </w:rPr>
        <w:t>Context</w:t>
      </w:r>
      <w:bookmarkEnd w:id="1"/>
      <w:r>
        <w:rPr>
          <w:rFonts w:ascii="Arial" w:hAnsi="Arial" w:cs="Arial"/>
          <w:sz w:val="24"/>
          <w:szCs w:val="24"/>
        </w:rPr>
        <w:br w:type="textWrapping"/>
      </w:r>
      <w:r>
        <w:rPr>
          <w:rFonts w:ascii="Arial" w:hAnsi="Arial" w:cs="Arial"/>
          <w:sz w:val="24"/>
          <w:szCs w:val="24"/>
        </w:rPr>
        <w:t>The present globalised world is rapidly transforming labour markets and the human resource management practises (HRM) because of the rapid globalisation and digitalisation.</w:t>
      </w:r>
    </w:p>
    <w:p w14:paraId="6C3F2FA0">
      <w:pPr>
        <w:pStyle w:val="3"/>
        <w:spacing w:line="360" w:lineRule="auto"/>
        <w:rPr>
          <w:rFonts w:cs="Arial"/>
          <w:szCs w:val="24"/>
        </w:rPr>
      </w:pPr>
      <w:bookmarkStart w:id="2" w:name="_Toc213587699"/>
      <w:r>
        <w:rPr>
          <w:rFonts w:cs="Arial"/>
          <w:szCs w:val="24"/>
        </w:rPr>
        <w:t>Impact of Global and Technological Forces</w:t>
      </w:r>
      <w:bookmarkEnd w:id="2"/>
    </w:p>
    <w:p w14:paraId="686BC98B">
      <w:pPr>
        <w:spacing w:line="360" w:lineRule="auto"/>
        <w:jc w:val="both"/>
        <w:rPr>
          <w:rFonts w:ascii="Arial" w:hAnsi="Arial" w:cs="Arial"/>
          <w:sz w:val="24"/>
          <w:szCs w:val="24"/>
        </w:rPr>
      </w:pPr>
      <w:r>
        <w:rPr>
          <w:rFonts w:ascii="Arial" w:hAnsi="Arial" w:cs="Arial"/>
          <w:sz w:val="24"/>
          <w:szCs w:val="24"/>
        </w:rPr>
        <w:t>The use of new technologies, including artificial intelligence, automation, and the tools of remote collaboration, has reconsidered the question of how, where, and when work is done.</w:t>
      </w:r>
    </w:p>
    <w:p w14:paraId="730ABACC">
      <w:pPr>
        <w:pStyle w:val="3"/>
        <w:spacing w:line="360" w:lineRule="auto"/>
        <w:rPr>
          <w:rFonts w:cs="Arial"/>
          <w:szCs w:val="24"/>
        </w:rPr>
      </w:pPr>
      <w:bookmarkStart w:id="3" w:name="_Toc213587700"/>
      <w:r>
        <w:rPr>
          <w:rFonts w:cs="Arial"/>
          <w:szCs w:val="24"/>
        </w:rPr>
        <w:t>Purpose</w:t>
      </w:r>
      <w:bookmarkEnd w:id="3"/>
    </w:p>
    <w:p w14:paraId="13C39049">
      <w:pPr>
        <w:spacing w:line="360" w:lineRule="auto"/>
        <w:jc w:val="both"/>
        <w:rPr>
          <w:rFonts w:ascii="Arial" w:hAnsi="Arial" w:cs="Arial"/>
          <w:sz w:val="24"/>
          <w:szCs w:val="24"/>
        </w:rPr>
      </w:pPr>
      <w:r>
        <w:rPr>
          <w:rFonts w:ascii="Arial" w:hAnsi="Arial" w:cs="Arial"/>
          <w:sz w:val="24"/>
          <w:szCs w:val="24"/>
        </w:rPr>
        <w:t>This report focuses on the role of such transformative forces in the structuring of workforce, skills requirements, and human resource management in national and international settings that instigates the necessity of having adaptive and strategic human capital management.</w:t>
      </w:r>
    </w:p>
    <w:p w14:paraId="20F45D14">
      <w:pPr>
        <w:spacing w:line="360" w:lineRule="auto"/>
        <w:rPr>
          <w:rFonts w:ascii="Arial" w:hAnsi="Arial" w:cs="Arial"/>
          <w:sz w:val="24"/>
          <w:szCs w:val="24"/>
        </w:rPr>
      </w:pPr>
      <w:r>
        <w:rPr>
          <w:rFonts w:ascii="Arial" w:hAnsi="Arial" w:cs="Arial"/>
          <w:sz w:val="24"/>
          <w:szCs w:val="24"/>
        </w:rPr>
        <w:br w:type="page"/>
      </w:r>
    </w:p>
    <w:p w14:paraId="0981AC02">
      <w:pPr>
        <w:pStyle w:val="2"/>
        <w:spacing w:line="360" w:lineRule="auto"/>
        <w:jc w:val="both"/>
        <w:rPr>
          <w:rFonts w:ascii="Arial" w:hAnsi="Arial" w:cs="Arial"/>
          <w:b/>
          <w:bCs/>
          <w:color w:val="000000" w:themeColor="text1"/>
          <w:sz w:val="24"/>
          <w:szCs w:val="24"/>
          <w14:textFill>
            <w14:solidFill>
              <w14:schemeClr w14:val="tx1"/>
            </w14:solidFill>
          </w14:textFill>
        </w:rPr>
      </w:pPr>
      <w:bookmarkStart w:id="4" w:name="_Toc213587701"/>
      <w:r>
        <w:rPr>
          <w:rFonts w:ascii="Arial" w:hAnsi="Arial" w:cs="Arial"/>
          <w:b/>
          <w:bCs/>
          <w:color w:val="000000" w:themeColor="text1"/>
          <w:sz w:val="24"/>
          <w:szCs w:val="24"/>
          <w14:textFill>
            <w14:solidFill>
              <w14:schemeClr w14:val="tx1"/>
            </w14:solidFill>
          </w14:textFill>
        </w:rPr>
        <w:t>1.0 Question 1: Technology &amp; Labour Markets</w:t>
      </w:r>
      <w:bookmarkEnd w:id="4"/>
    </w:p>
    <w:p w14:paraId="007E1C52">
      <w:pPr>
        <w:pStyle w:val="3"/>
        <w:rPr>
          <w:rFonts w:cs="Arial"/>
          <w:szCs w:val="24"/>
        </w:rPr>
      </w:pPr>
      <w:bookmarkStart w:id="5" w:name="_Toc213587702"/>
      <w:r>
        <w:rPr>
          <w:rFonts w:cs="Arial"/>
          <w:szCs w:val="24"/>
        </w:rPr>
        <w:t>1.1 The Reshaping of Labour Markets</w:t>
      </w:r>
      <w:bookmarkEnd w:id="5"/>
    </w:p>
    <w:p w14:paraId="48371EB0">
      <w:pPr>
        <w:spacing w:line="360" w:lineRule="auto"/>
        <w:jc w:val="both"/>
        <w:rPr>
          <w:rFonts w:ascii="Arial" w:hAnsi="Arial" w:cs="Arial"/>
          <w:sz w:val="24"/>
          <w:szCs w:val="24"/>
        </w:rPr>
      </w:pPr>
      <w:r>
        <w:rPr>
          <w:rFonts w:ascii="Arial" w:hAnsi="Arial" w:cs="Arial"/>
          <w:sz w:val="24"/>
          <w:szCs w:val="24"/>
        </w:rPr>
        <w:t>AI and digital technology threaten 25% of OECD jobs (OECD, 2023). Automation produces jobs by increasing productivity and modifying task needs, notwithstanding displacement. Brynjolfsson and McAfee (2014) claim that this “second machine age” increases efficiency and separates routine and creative work. This graph shows Austria, Germany, and Spain having automation exposure above 70% (OECD, 2024b).</w:t>
      </w:r>
    </w:p>
    <w:p w14:paraId="671ACEC3">
      <w:pPr>
        <w:spacing w:line="360" w:lineRule="auto"/>
        <w:jc w:val="center"/>
        <w:rPr>
          <w:rFonts w:ascii="Arial" w:hAnsi="Arial" w:cs="Arial"/>
          <w:sz w:val="24"/>
          <w:szCs w:val="24"/>
        </w:rPr>
      </w:pPr>
      <w:r>
        <w:rPr>
          <w:rFonts w:ascii="Arial" w:hAnsi="Arial" w:cs="Arial"/>
          <w:sz w:val="24"/>
          <w:szCs w:val="24"/>
        </w:rPr>
        <w:drawing>
          <wp:inline distT="0" distB="0" distL="0" distR="0">
            <wp:extent cx="5731510" cy="3693795"/>
            <wp:effectExtent l="0" t="0" r="2540" b="1905"/>
            <wp:docPr id="6640509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050912"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731510" cy="3693795"/>
                    </a:xfrm>
                    <a:prstGeom prst="rect">
                      <a:avLst/>
                    </a:prstGeom>
                    <a:noFill/>
                    <a:ln>
                      <a:noFill/>
                    </a:ln>
                  </pic:spPr>
                </pic:pic>
              </a:graphicData>
            </a:graphic>
          </wp:inline>
        </w:drawing>
      </w:r>
    </w:p>
    <w:p w14:paraId="21821495">
      <w:pPr>
        <w:spacing w:line="360" w:lineRule="auto"/>
        <w:jc w:val="center"/>
        <w:rPr>
          <w:rFonts w:ascii="Arial" w:hAnsi="Arial" w:cs="Arial"/>
          <w:b/>
          <w:bCs/>
          <w:sz w:val="24"/>
          <w:szCs w:val="24"/>
        </w:rPr>
      </w:pPr>
      <w:r>
        <w:rPr>
          <w:rFonts w:ascii="Arial" w:hAnsi="Arial" w:cs="Arial"/>
          <w:b/>
          <w:bCs/>
          <w:sz w:val="24"/>
          <w:szCs w:val="24"/>
        </w:rPr>
        <w:t>Figure 01:</w:t>
      </w:r>
      <w:r>
        <w:rPr>
          <w:rFonts w:ascii="Arial" w:hAnsi="Arial" w:cs="Arial"/>
          <w:sz w:val="24"/>
          <w:szCs w:val="24"/>
        </w:rPr>
        <w:t xml:space="preserve"> Share of Workers with High Automatability by OECD Countries</w:t>
      </w:r>
      <w:r>
        <w:rPr>
          <w:rFonts w:ascii="Arial" w:hAnsi="Arial" w:cs="Arial"/>
          <w:b/>
          <w:bCs/>
          <w:sz w:val="24"/>
          <w:szCs w:val="24"/>
        </w:rPr>
        <w:t xml:space="preserve"> </w:t>
      </w:r>
    </w:p>
    <w:p w14:paraId="7C2F7878">
      <w:pPr>
        <w:spacing w:line="360" w:lineRule="auto"/>
        <w:jc w:val="center"/>
        <w:rPr>
          <w:rFonts w:ascii="Arial" w:hAnsi="Arial" w:cs="Arial"/>
          <w:b/>
          <w:bCs/>
          <w:sz w:val="24"/>
          <w:szCs w:val="24"/>
        </w:rPr>
      </w:pPr>
      <w:r>
        <w:rPr>
          <w:rFonts w:ascii="Arial" w:hAnsi="Arial" w:cs="Arial"/>
          <w:b/>
          <w:bCs/>
          <w:sz w:val="24"/>
          <w:szCs w:val="24"/>
        </w:rPr>
        <w:t xml:space="preserve">Source: </w:t>
      </w:r>
      <w:r>
        <w:rPr>
          <w:rFonts w:ascii="Arial" w:hAnsi="Arial" w:cs="Arial"/>
          <w:sz w:val="24"/>
          <w:szCs w:val="24"/>
        </w:rPr>
        <w:t>(Altexsoft, 2025)</w:t>
      </w:r>
    </w:p>
    <w:p w14:paraId="5EF8F385">
      <w:pPr>
        <w:spacing w:line="360" w:lineRule="auto"/>
        <w:jc w:val="both"/>
        <w:rPr>
          <w:rFonts w:ascii="Arial" w:hAnsi="Arial" w:cs="Arial"/>
          <w:sz w:val="24"/>
          <w:szCs w:val="24"/>
        </w:rPr>
      </w:pPr>
      <w:r>
        <w:rPr>
          <w:rFonts w:ascii="Arial" w:hAnsi="Arial" w:cs="Arial"/>
          <w:b/>
          <w:bCs/>
          <w:sz w:val="24"/>
          <w:szCs w:val="24"/>
        </w:rPr>
        <w:t>Emerging roles</w:t>
      </w:r>
      <w:r>
        <w:rPr>
          <w:rFonts w:ascii="Arial" w:hAnsi="Arial" w:cs="Arial"/>
          <w:sz w:val="24"/>
          <w:szCs w:val="24"/>
        </w:rPr>
        <w:t xml:space="preserve"> – With the transformation of work provided by AI, new positions, like the AI ethics officer, the automation engineer, and the data trust manager, are in demand. As an example, job openings that demand emotional, cognitive, or digital abilities in the jobs that are exposed to AI have grown by 8 percentage points.</w:t>
      </w:r>
    </w:p>
    <w:p w14:paraId="7542F88C">
      <w:pPr>
        <w:pStyle w:val="3"/>
        <w:rPr>
          <w:rFonts w:cs="Arial"/>
          <w:szCs w:val="24"/>
        </w:rPr>
      </w:pPr>
      <w:bookmarkStart w:id="6" w:name="_Toc213587703"/>
      <w:r>
        <w:rPr>
          <w:rFonts w:cs="Arial"/>
          <w:szCs w:val="24"/>
        </w:rPr>
        <w:t>1.2 The Gig Economy and Digital Platforms</w:t>
      </w:r>
      <w:bookmarkEnd w:id="6"/>
    </w:p>
    <w:p w14:paraId="50911C5A">
      <w:pPr>
        <w:spacing w:line="360" w:lineRule="auto"/>
        <w:jc w:val="both"/>
        <w:rPr>
          <w:rFonts w:ascii="Arial" w:hAnsi="Arial" w:cs="Arial"/>
          <w:sz w:val="24"/>
          <w:szCs w:val="24"/>
        </w:rPr>
      </w:pPr>
      <w:r>
        <w:rPr>
          <w:rFonts w:ascii="Arial" w:hAnsi="Arial" w:cs="Arial"/>
          <w:sz w:val="24"/>
          <w:szCs w:val="24"/>
        </w:rPr>
        <w:t>The gig economy has reached its peak, and 25-43 percent of the American workforce is involved in non-regular or gig employment since 2025 (Gig Economy Data, 2025). The digital platforms are at the centre, driving the market that is estimated to rise at a CAGR of approximately 15-17 per cent across the world in the period between 2024 and 2031 (Cognitive Market Research, 2022). The graph below illustrates gig-based work is 15.79% global growth from USD 582.2 billion in 2025 to USD 2,178.4 billion by 2034 (Business Research Insight, 2025).</w:t>
      </w:r>
    </w:p>
    <w:p w14:paraId="0D0E15FF">
      <w:pPr>
        <w:spacing w:line="360" w:lineRule="auto"/>
        <w:jc w:val="center"/>
        <w:rPr>
          <w:rFonts w:ascii="Arial" w:hAnsi="Arial" w:cs="Arial"/>
          <w:sz w:val="24"/>
          <w:szCs w:val="24"/>
        </w:rPr>
      </w:pPr>
      <w:r>
        <w:rPr>
          <w:rFonts w:ascii="Arial" w:hAnsi="Arial" w:cs="Arial"/>
          <w:sz w:val="24"/>
          <w:szCs w:val="24"/>
        </w:rPr>
        <w:drawing>
          <wp:inline distT="0" distB="0" distL="0" distR="0">
            <wp:extent cx="3504565" cy="3002280"/>
            <wp:effectExtent l="0" t="0" r="635" b="7620"/>
            <wp:docPr id="1738394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394769" name="Picture 1"/>
                    <pic:cNvPicPr>
                      <a:picLocks noChangeAspect="1"/>
                    </pic:cNvPicPr>
                  </pic:nvPicPr>
                  <pic:blipFill>
                    <a:blip r:embed="rId10"/>
                    <a:stretch>
                      <a:fillRect/>
                    </a:stretch>
                  </pic:blipFill>
                  <pic:spPr>
                    <a:xfrm>
                      <a:off x="0" y="0"/>
                      <a:ext cx="3510193" cy="3006819"/>
                    </a:xfrm>
                    <a:prstGeom prst="rect">
                      <a:avLst/>
                    </a:prstGeom>
                  </pic:spPr>
                </pic:pic>
              </a:graphicData>
            </a:graphic>
          </wp:inline>
        </w:drawing>
      </w:r>
    </w:p>
    <w:p w14:paraId="6458E0F8">
      <w:pPr>
        <w:spacing w:line="360" w:lineRule="auto"/>
        <w:jc w:val="center"/>
        <w:rPr>
          <w:rFonts w:ascii="Arial" w:hAnsi="Arial" w:cs="Arial"/>
          <w:sz w:val="24"/>
          <w:szCs w:val="24"/>
        </w:rPr>
      </w:pPr>
      <w:r>
        <w:rPr>
          <w:rFonts w:ascii="Arial" w:hAnsi="Arial" w:cs="Arial"/>
          <w:b/>
          <w:bCs/>
          <w:sz w:val="24"/>
          <w:szCs w:val="24"/>
        </w:rPr>
        <w:t xml:space="preserve">Figure 02: </w:t>
      </w:r>
      <w:r>
        <w:rPr>
          <w:rFonts w:ascii="Arial" w:hAnsi="Arial" w:cs="Arial"/>
          <w:sz w:val="24"/>
          <w:szCs w:val="24"/>
        </w:rPr>
        <w:t>Global Gig Economy Market Size Forecast (2025 – 2034)</w:t>
      </w:r>
    </w:p>
    <w:p w14:paraId="176EADCD">
      <w:pPr>
        <w:spacing w:line="360" w:lineRule="auto"/>
        <w:jc w:val="center"/>
        <w:rPr>
          <w:rFonts w:ascii="Arial" w:hAnsi="Arial" w:cs="Arial"/>
          <w:b/>
          <w:bCs/>
          <w:sz w:val="24"/>
          <w:szCs w:val="24"/>
        </w:rPr>
      </w:pPr>
      <w:r>
        <w:rPr>
          <w:rFonts w:ascii="Arial" w:hAnsi="Arial" w:cs="Arial"/>
          <w:b/>
          <w:bCs/>
          <w:sz w:val="24"/>
          <w:szCs w:val="24"/>
        </w:rPr>
        <w:t>Source: (Business Research Insight, 2025)</w:t>
      </w:r>
    </w:p>
    <w:p w14:paraId="0AE51B3B">
      <w:pPr>
        <w:pStyle w:val="3"/>
        <w:rPr>
          <w:rFonts w:cs="Arial"/>
          <w:szCs w:val="24"/>
        </w:rPr>
      </w:pPr>
      <w:bookmarkStart w:id="7" w:name="_Toc213587704"/>
      <w:r>
        <w:rPr>
          <w:rFonts w:cs="Arial"/>
          <w:szCs w:val="24"/>
        </w:rPr>
        <w:t>1.3 Skills Churn and the Half-Life of Skills</w:t>
      </w:r>
      <w:bookmarkEnd w:id="7"/>
    </w:p>
    <w:p w14:paraId="6814B839">
      <w:pPr>
        <w:spacing w:line="360" w:lineRule="auto"/>
        <w:jc w:val="both"/>
        <w:rPr>
          <w:rFonts w:ascii="Arial" w:hAnsi="Arial" w:cs="Arial"/>
          <w:sz w:val="24"/>
          <w:szCs w:val="24"/>
        </w:rPr>
      </w:pPr>
      <w:r>
        <w:rPr>
          <w:rFonts w:ascii="Arial" w:hAnsi="Arial" w:cs="Arial"/>
          <w:sz w:val="24"/>
          <w:szCs w:val="24"/>
        </w:rPr>
        <w:t>Skills half-life predicts how long job skills last before switching or becoming ineffective. Due to rapid digital revolution, UK job skills are depleting after 4 years (Chris, 2025). The OECD concluded that high-exposure professions needed at least one management skill and 67 business-process skills in 2024, while digital and social/emotional skills increased by 5-8 percentage points. STEM, digital literacy, and ever-changing skills are in demand due to these trends.</w:t>
      </w:r>
    </w:p>
    <w:p w14:paraId="7CFF696D">
      <w:pPr>
        <w:pStyle w:val="3"/>
        <w:rPr>
          <w:rFonts w:cs="Arial"/>
          <w:szCs w:val="24"/>
        </w:rPr>
      </w:pPr>
      <w:bookmarkStart w:id="8" w:name="_Toc213587705"/>
      <w:r>
        <w:rPr>
          <w:rFonts w:cs="Arial"/>
          <w:szCs w:val="24"/>
        </w:rPr>
        <w:t>1.4 Implications for HRM and IHRM Strategies</w:t>
      </w:r>
      <w:bookmarkEnd w:id="8"/>
    </w:p>
    <w:p w14:paraId="1A057AB2">
      <w:pPr>
        <w:spacing w:line="360" w:lineRule="auto"/>
        <w:jc w:val="both"/>
        <w:rPr>
          <w:rFonts w:ascii="Arial" w:hAnsi="Arial" w:cs="Arial"/>
          <w:sz w:val="24"/>
          <w:szCs w:val="24"/>
        </w:rPr>
      </w:pPr>
      <w:r>
        <w:rPr>
          <w:rFonts w:ascii="Arial" w:hAnsi="Arial" w:cs="Arial"/>
          <w:b/>
          <w:bCs/>
          <w:sz w:val="24"/>
          <w:szCs w:val="24"/>
        </w:rPr>
        <w:t>Talent acquisition using AI tools:</w:t>
      </w:r>
      <w:r>
        <w:rPr>
          <w:rFonts w:ascii="Arial" w:hAnsi="Arial" w:cs="Arial"/>
          <w:sz w:val="24"/>
          <w:szCs w:val="24"/>
        </w:rPr>
        <w:t xml:space="preserve"> By 2024, over 70 percent of HR functions indicated that they utilise AI to hire and 60 percent of organisations claimed that AI enhanced the accuracy of candidate-job matching (BCG Global, 2025). Digital credentialing and micro-learning improve hybrid workforce engagement and skills recognition transparency, according CIPD (2024).</w:t>
      </w:r>
    </w:p>
    <w:p w14:paraId="66476D26">
      <w:pPr>
        <w:spacing w:line="360" w:lineRule="auto"/>
        <w:jc w:val="both"/>
        <w:rPr>
          <w:rFonts w:ascii="Arial" w:hAnsi="Arial" w:cs="Arial"/>
          <w:sz w:val="24"/>
          <w:szCs w:val="24"/>
        </w:rPr>
      </w:pPr>
      <w:r>
        <w:rPr>
          <w:rFonts w:ascii="Arial" w:hAnsi="Arial" w:cs="Arial"/>
          <w:b/>
          <w:bCs/>
          <w:sz w:val="24"/>
          <w:szCs w:val="24"/>
        </w:rPr>
        <w:t>Learning and development: micro-learning, reskilling:</w:t>
      </w:r>
      <w:r>
        <w:rPr>
          <w:rFonts w:ascii="Arial" w:hAnsi="Arial" w:cs="Arial"/>
          <w:sz w:val="24"/>
          <w:szCs w:val="24"/>
        </w:rPr>
        <w:t xml:space="preserve"> In 2024, 47% of L&amp;D departments aim to introduce micro-learning programs, and 74% value skills-building for organisational success (Trisca, 2024). The global digital badge industry will grow 20.4% from USD 214 million in 2023 to USD 1.1 billion in 2032 (Global Market Insights Inc, 2024). The World Economic Forum (2025) ranks upskilling as the top global workforce strategy, with 85% of organisations adopting continuous learning by 2030, highlighting the importance of lifelong learning to HR sustainability.</w:t>
      </w:r>
    </w:p>
    <w:p w14:paraId="6607CB77">
      <w:pPr>
        <w:spacing w:line="360" w:lineRule="auto"/>
        <w:jc w:val="center"/>
        <w:rPr>
          <w:rFonts w:ascii="Arial" w:hAnsi="Arial" w:cs="Arial"/>
          <w:sz w:val="24"/>
          <w:szCs w:val="24"/>
        </w:rPr>
      </w:pPr>
      <w:r>
        <w:rPr>
          <w:rFonts w:ascii="Arial" w:hAnsi="Arial" w:cs="Arial"/>
          <w:sz w:val="24"/>
          <w:szCs w:val="24"/>
        </w:rPr>
        <w:drawing>
          <wp:inline distT="0" distB="0" distL="0" distR="0">
            <wp:extent cx="5707380" cy="2995295"/>
            <wp:effectExtent l="0" t="0" r="7620" b="0"/>
            <wp:docPr id="7040507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5072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707380" cy="2995295"/>
                    </a:xfrm>
                    <a:prstGeom prst="rect">
                      <a:avLst/>
                    </a:prstGeom>
                    <a:noFill/>
                    <a:ln>
                      <a:noFill/>
                    </a:ln>
                  </pic:spPr>
                </pic:pic>
              </a:graphicData>
            </a:graphic>
          </wp:inline>
        </w:drawing>
      </w:r>
    </w:p>
    <w:p w14:paraId="65DC2DE7">
      <w:pPr>
        <w:spacing w:line="360" w:lineRule="auto"/>
        <w:jc w:val="center"/>
        <w:rPr>
          <w:rFonts w:ascii="Arial" w:hAnsi="Arial" w:cs="Arial"/>
          <w:b/>
          <w:bCs/>
          <w:sz w:val="24"/>
          <w:szCs w:val="24"/>
        </w:rPr>
      </w:pPr>
      <w:r>
        <w:rPr>
          <w:rFonts w:ascii="Arial" w:hAnsi="Arial" w:cs="Arial"/>
          <w:b/>
          <w:bCs/>
          <w:sz w:val="24"/>
          <w:szCs w:val="24"/>
        </w:rPr>
        <w:t xml:space="preserve">Figure 03: </w:t>
      </w:r>
      <w:r>
        <w:rPr>
          <w:rFonts w:ascii="Arial" w:hAnsi="Arial" w:cs="Arial"/>
          <w:sz w:val="24"/>
          <w:szCs w:val="24"/>
        </w:rPr>
        <w:t>Global Digital Badges Market Growth and Segment Insights (2023–2032)</w:t>
      </w:r>
    </w:p>
    <w:p w14:paraId="65772B78">
      <w:pPr>
        <w:spacing w:line="360" w:lineRule="auto"/>
        <w:jc w:val="center"/>
        <w:rPr>
          <w:rFonts w:ascii="Arial" w:hAnsi="Arial" w:cs="Arial"/>
          <w:b/>
          <w:bCs/>
          <w:sz w:val="24"/>
          <w:szCs w:val="24"/>
        </w:rPr>
      </w:pPr>
      <w:r>
        <w:rPr>
          <w:rFonts w:ascii="Arial" w:hAnsi="Arial" w:cs="Arial"/>
          <w:b/>
          <w:bCs/>
          <w:sz w:val="24"/>
          <w:szCs w:val="24"/>
        </w:rPr>
        <w:t xml:space="preserve">Source: </w:t>
      </w:r>
      <w:r>
        <w:rPr>
          <w:rFonts w:ascii="Arial" w:hAnsi="Arial" w:cs="Arial"/>
          <w:sz w:val="24"/>
          <w:szCs w:val="24"/>
        </w:rPr>
        <w:t>(Global Market Insights Inc, 2024)</w:t>
      </w:r>
    </w:p>
    <w:p w14:paraId="1E96397C">
      <w:pPr>
        <w:spacing w:line="360" w:lineRule="auto"/>
        <w:jc w:val="both"/>
        <w:rPr>
          <w:rFonts w:ascii="Arial" w:hAnsi="Arial" w:cs="Arial"/>
          <w:sz w:val="24"/>
          <w:szCs w:val="24"/>
        </w:rPr>
      </w:pPr>
      <w:r>
        <w:rPr>
          <w:rFonts w:ascii="Arial" w:hAnsi="Arial" w:cs="Arial"/>
          <w:b/>
          <w:bCs/>
          <w:sz w:val="24"/>
          <w:szCs w:val="24"/>
        </w:rPr>
        <w:t>Strategic HR planning for blended workforce:</w:t>
      </w:r>
      <w:r>
        <w:rPr>
          <w:rFonts w:ascii="Arial" w:hAnsi="Arial" w:cs="Arial"/>
          <w:sz w:val="24"/>
          <w:szCs w:val="24"/>
        </w:rPr>
        <w:t xml:space="preserve"> As digital and remote jobs increase, strategic HR planning would have to consider full-time, contract, and gig workers, allowing the organisation to utilise agile pools of talent and deploy workers flexibly.</w:t>
      </w:r>
    </w:p>
    <w:p w14:paraId="49A810C4">
      <w:pPr>
        <w:spacing w:line="360" w:lineRule="auto"/>
        <w:jc w:val="both"/>
        <w:rPr>
          <w:rFonts w:ascii="Arial" w:hAnsi="Arial" w:cs="Arial"/>
          <w:sz w:val="24"/>
          <w:szCs w:val="24"/>
        </w:rPr>
      </w:pPr>
      <w:r>
        <w:rPr>
          <w:rFonts w:ascii="Arial" w:hAnsi="Arial" w:cs="Arial"/>
          <w:b/>
          <w:bCs/>
          <w:sz w:val="24"/>
          <w:szCs w:val="24"/>
        </w:rPr>
        <w:t>IHRM challenges in managing global digital workforces (GDPR, compliance):</w:t>
      </w:r>
      <w:r>
        <w:rPr>
          <w:rFonts w:ascii="Arial" w:hAnsi="Arial" w:cs="Arial"/>
          <w:sz w:val="24"/>
          <w:szCs w:val="24"/>
        </w:rPr>
        <w:t xml:space="preserve"> With the growth of international digital workforce, global HR should find the way to address the laws of data protection, employment regulation across borders, tax/residency of a remote worker, and so on, and compliance is one of the strategic HR concerns.</w:t>
      </w:r>
    </w:p>
    <w:p w14:paraId="3E93885B">
      <w:pPr>
        <w:spacing w:line="360" w:lineRule="auto"/>
        <w:jc w:val="both"/>
        <w:rPr>
          <w:rFonts w:ascii="Arial" w:hAnsi="Arial" w:cs="Arial"/>
          <w:sz w:val="24"/>
          <w:szCs w:val="24"/>
        </w:rPr>
      </w:pPr>
      <w:r>
        <w:rPr>
          <w:rFonts w:ascii="Arial" w:hAnsi="Arial" w:cs="Arial"/>
          <w:sz w:val="24"/>
          <w:szCs w:val="24"/>
        </w:rPr>
        <w:br w:type="page"/>
      </w:r>
    </w:p>
    <w:p w14:paraId="7CA526DC">
      <w:pPr>
        <w:pStyle w:val="2"/>
        <w:spacing w:line="360" w:lineRule="auto"/>
        <w:jc w:val="both"/>
        <w:rPr>
          <w:rFonts w:ascii="Arial" w:hAnsi="Arial" w:cs="Arial"/>
          <w:b/>
          <w:bCs/>
          <w:color w:val="000000" w:themeColor="text1"/>
          <w:sz w:val="24"/>
          <w:szCs w:val="24"/>
          <w14:textFill>
            <w14:solidFill>
              <w14:schemeClr w14:val="tx1"/>
            </w14:solidFill>
          </w14:textFill>
        </w:rPr>
      </w:pPr>
      <w:bookmarkStart w:id="9" w:name="_Toc213587706"/>
      <w:r>
        <w:rPr>
          <w:rFonts w:ascii="Arial" w:hAnsi="Arial" w:cs="Arial"/>
          <w:b/>
          <w:bCs/>
          <w:color w:val="000000" w:themeColor="text1"/>
          <w:sz w:val="24"/>
          <w:szCs w:val="24"/>
          <w14:textFill>
            <w14:solidFill>
              <w14:schemeClr w14:val="tx1"/>
            </w14:solidFill>
          </w14:textFill>
        </w:rPr>
        <w:t>2.0 Question 2: Demographic &amp; Geopolitical Factors</w:t>
      </w:r>
      <w:bookmarkEnd w:id="9"/>
    </w:p>
    <w:p w14:paraId="015558C8">
      <w:pPr>
        <w:pStyle w:val="3"/>
        <w:rPr>
          <w:rFonts w:cs="Arial"/>
          <w:szCs w:val="24"/>
        </w:rPr>
      </w:pPr>
      <w:bookmarkStart w:id="10" w:name="_Toc213587707"/>
      <w:r>
        <w:rPr>
          <w:rFonts w:cs="Arial"/>
          <w:szCs w:val="24"/>
        </w:rPr>
        <w:t>2.1 Key Demographic Factors</w:t>
      </w:r>
      <w:bookmarkEnd w:id="10"/>
    </w:p>
    <w:p w14:paraId="4CB2C39A">
      <w:pPr>
        <w:spacing w:line="360" w:lineRule="auto"/>
        <w:jc w:val="both"/>
        <w:rPr>
          <w:rFonts w:ascii="Arial" w:hAnsi="Arial" w:cs="Arial"/>
          <w:b/>
          <w:bCs/>
          <w:sz w:val="24"/>
          <w:szCs w:val="24"/>
        </w:rPr>
      </w:pPr>
      <w:r>
        <w:rPr>
          <w:rFonts w:ascii="Arial" w:hAnsi="Arial" w:cs="Arial"/>
          <w:b/>
          <w:bCs/>
          <w:sz w:val="24"/>
          <w:szCs w:val="24"/>
        </w:rPr>
        <w:t>Ageing populations and multi-generational workforce management:</w:t>
      </w:r>
    </w:p>
    <w:p w14:paraId="1CF6CBA4">
      <w:pPr>
        <w:spacing w:line="360" w:lineRule="auto"/>
        <w:jc w:val="both"/>
        <w:rPr>
          <w:rFonts w:ascii="Arial" w:hAnsi="Arial" w:cs="Arial"/>
          <w:sz w:val="24"/>
          <w:szCs w:val="24"/>
        </w:rPr>
      </w:pPr>
      <w:r>
        <w:rPr>
          <w:rFonts w:ascii="Arial" w:hAnsi="Arial" w:cs="Arial"/>
          <w:sz w:val="24"/>
          <w:szCs w:val="24"/>
        </w:rPr>
        <w:t>In the world alone, the 60+ population has grown to 1.2 billion in 2024, and it is expected to be 2 billion in 2050 (Pereira, 2024). By 2030, it will have one in every three workers over 50 years old in the UK ( State of Ageing, 2024). This population change requires age-based HRM practises focused on tacit knowledge based on recruiting, flexible retirement, and never-ending reskilling to take advantage of the older generation to retain the tacit knowledge of older employees and remain productive in the workforce.</w:t>
      </w:r>
    </w:p>
    <w:p w14:paraId="00692580">
      <w:pPr>
        <w:spacing w:line="360" w:lineRule="auto"/>
        <w:jc w:val="both"/>
        <w:rPr>
          <w:rFonts w:ascii="Arial" w:hAnsi="Arial" w:cs="Arial"/>
          <w:b/>
          <w:bCs/>
          <w:sz w:val="24"/>
          <w:szCs w:val="24"/>
        </w:rPr>
      </w:pPr>
      <w:r>
        <w:rPr>
          <w:rFonts w:ascii="Arial" w:hAnsi="Arial" w:cs="Arial"/>
          <w:b/>
          <w:bCs/>
          <w:sz w:val="24"/>
          <w:szCs w:val="24"/>
        </w:rPr>
        <w:t>Migration patterns: brain drain vs brain gain</w:t>
      </w:r>
    </w:p>
    <w:p w14:paraId="318C8817">
      <w:pPr>
        <w:spacing w:line="360" w:lineRule="auto"/>
        <w:jc w:val="both"/>
        <w:rPr>
          <w:rFonts w:ascii="Arial" w:hAnsi="Arial" w:cs="Arial"/>
          <w:sz w:val="24"/>
          <w:szCs w:val="24"/>
        </w:rPr>
      </w:pPr>
      <w:r>
        <w:rPr>
          <w:rFonts w:ascii="Arial" w:hAnsi="Arial" w:cs="Arial"/>
          <w:sz w:val="24"/>
          <w:szCs w:val="24"/>
        </w:rPr>
        <w:t>As over 600,000 Indians emigrated to work in 2024, high-skilled emigration in developing countries reached record highs (Varun, 2025). HRM should improve global mobility, allow knowledge diffusion across boundaries, and return employees home to maintain vital skills to balance brain drain and brain gain.</w:t>
      </w:r>
    </w:p>
    <w:p w14:paraId="6E7C617D">
      <w:pPr>
        <w:spacing w:line="360" w:lineRule="auto"/>
        <w:jc w:val="both"/>
        <w:rPr>
          <w:rFonts w:ascii="Arial" w:hAnsi="Arial" w:cs="Arial"/>
          <w:b/>
          <w:bCs/>
          <w:sz w:val="24"/>
          <w:szCs w:val="24"/>
        </w:rPr>
      </w:pPr>
      <w:r>
        <w:rPr>
          <w:rFonts w:ascii="Arial" w:hAnsi="Arial" w:cs="Arial"/>
          <w:b/>
          <w:bCs/>
          <w:sz w:val="24"/>
          <w:szCs w:val="24"/>
        </w:rPr>
        <w:t>Workforce diversity and inclusion strategies:</w:t>
      </w:r>
    </w:p>
    <w:p w14:paraId="787EE47B">
      <w:pPr>
        <w:spacing w:line="360" w:lineRule="auto"/>
        <w:jc w:val="both"/>
        <w:rPr>
          <w:rFonts w:ascii="Arial" w:hAnsi="Arial" w:cs="Arial"/>
          <w:sz w:val="24"/>
          <w:szCs w:val="24"/>
        </w:rPr>
      </w:pPr>
      <w:r>
        <w:rPr>
          <w:rFonts w:ascii="Arial" w:hAnsi="Arial" w:cs="Arial"/>
          <w:sz w:val="24"/>
          <w:szCs w:val="24"/>
        </w:rPr>
        <w:t>In 2024, when women were joining the workforce at record rates, just 29% of C-suite positions were held by women worldwide (McKinsey and Company, 2024). HR directors must include bias-conscious hiring, inclusive leadership training, dynamic data-based D&amp;I measurements, and inclusion-aligned performance data in their organisational plan to address disparities.</w:t>
      </w:r>
    </w:p>
    <w:p w14:paraId="07D41CAD">
      <w:pPr>
        <w:spacing w:line="360" w:lineRule="auto"/>
        <w:jc w:val="center"/>
        <w:rPr>
          <w:rFonts w:ascii="Arial" w:hAnsi="Arial" w:cs="Arial"/>
          <w:sz w:val="24"/>
          <w:szCs w:val="24"/>
        </w:rPr>
      </w:pPr>
      <w:r>
        <w:rPr>
          <w:rFonts w:ascii="Arial" w:hAnsi="Arial" w:cs="Arial"/>
          <w:sz w:val="24"/>
          <w:szCs w:val="24"/>
        </w:rPr>
        <w:drawing>
          <wp:inline distT="0" distB="0" distL="0" distR="0">
            <wp:extent cx="4676775" cy="4429125"/>
            <wp:effectExtent l="76200" t="76200" r="142875" b="123825"/>
            <wp:docPr id="1397163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163385"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699130" cy="4449752"/>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563EC9B5">
      <w:pPr>
        <w:spacing w:line="360" w:lineRule="auto"/>
        <w:jc w:val="center"/>
        <w:rPr>
          <w:rFonts w:ascii="Arial" w:hAnsi="Arial" w:cs="Arial"/>
          <w:b/>
          <w:bCs/>
          <w:sz w:val="24"/>
          <w:szCs w:val="24"/>
        </w:rPr>
      </w:pPr>
      <w:r>
        <w:rPr>
          <w:rFonts w:ascii="Arial" w:hAnsi="Arial" w:cs="Arial"/>
          <w:b/>
          <w:bCs/>
          <w:sz w:val="24"/>
          <w:szCs w:val="24"/>
        </w:rPr>
        <w:t xml:space="preserve">Figure 04: </w:t>
      </w:r>
      <w:r>
        <w:rPr>
          <w:rFonts w:ascii="Arial" w:hAnsi="Arial" w:cs="Arial"/>
          <w:sz w:val="24"/>
          <w:szCs w:val="24"/>
        </w:rPr>
        <w:t>Representation in corporate roles by gender and race, percentage of employees</w:t>
      </w:r>
    </w:p>
    <w:p w14:paraId="7FD9816D">
      <w:pPr>
        <w:spacing w:line="360" w:lineRule="auto"/>
        <w:jc w:val="center"/>
        <w:rPr>
          <w:rFonts w:ascii="Arial" w:hAnsi="Arial" w:cs="Arial"/>
          <w:b/>
          <w:bCs/>
          <w:sz w:val="24"/>
          <w:szCs w:val="24"/>
        </w:rPr>
      </w:pPr>
      <w:r>
        <w:rPr>
          <w:rFonts w:ascii="Arial" w:hAnsi="Arial" w:cs="Arial"/>
          <w:b/>
          <w:bCs/>
          <w:sz w:val="24"/>
          <w:szCs w:val="24"/>
        </w:rPr>
        <w:t xml:space="preserve">Source: </w:t>
      </w:r>
      <w:r>
        <w:rPr>
          <w:rFonts w:ascii="Arial" w:hAnsi="Arial" w:cs="Arial"/>
          <w:sz w:val="24"/>
          <w:szCs w:val="24"/>
        </w:rPr>
        <w:t>(McKinsey &amp; Company, 2024).</w:t>
      </w:r>
    </w:p>
    <w:p w14:paraId="51807833">
      <w:pPr>
        <w:pStyle w:val="3"/>
        <w:rPr>
          <w:rFonts w:cs="Arial"/>
          <w:szCs w:val="24"/>
        </w:rPr>
      </w:pPr>
      <w:bookmarkStart w:id="11" w:name="_Toc213587708"/>
      <w:r>
        <w:rPr>
          <w:rFonts w:cs="Arial"/>
          <w:szCs w:val="24"/>
        </w:rPr>
        <w:t>2.2 Key Geopolitical Factors</w:t>
      </w:r>
      <w:bookmarkEnd w:id="11"/>
    </w:p>
    <w:p w14:paraId="5730DC6D">
      <w:pPr>
        <w:spacing w:line="360" w:lineRule="auto"/>
        <w:jc w:val="both"/>
        <w:rPr>
          <w:rFonts w:ascii="Arial" w:hAnsi="Arial" w:cs="Arial"/>
          <w:sz w:val="24"/>
          <w:szCs w:val="24"/>
        </w:rPr>
      </w:pPr>
      <w:r>
        <w:rPr>
          <w:rFonts w:ascii="Arial" w:hAnsi="Arial" w:cs="Arial"/>
          <w:b/>
          <w:bCs/>
          <w:sz w:val="24"/>
          <w:szCs w:val="24"/>
        </w:rPr>
        <w:t>Trade wars, protectionism, and global supply chain disruption:</w:t>
      </w:r>
      <w:r>
        <w:rPr>
          <w:rFonts w:ascii="Arial" w:hAnsi="Arial" w:cs="Arial"/>
          <w:sz w:val="24"/>
          <w:szCs w:val="24"/>
        </w:rPr>
        <w:t xml:space="preserve"> The World Trade Organisation 2024 study found that rising tariffs and protectionist measures have forced companies reevaluate trade cooperation and supply-chain resilience (Ruzicka, 2024). In 2024, developed-country enterprises report 34% supply-chain risk, up from 22% in 2022 (Mishra, 2025). Global corporations are localising production due to geopolitical tensions and reshoring, shifting talent mobility, cost structures, and HR deployment, according to The Economist (2025).</w:t>
      </w:r>
    </w:p>
    <w:p w14:paraId="4622EDED">
      <w:pPr>
        <w:spacing w:line="360" w:lineRule="auto"/>
        <w:jc w:val="both"/>
        <w:rPr>
          <w:rFonts w:ascii="Arial" w:hAnsi="Arial" w:cs="Arial"/>
          <w:sz w:val="24"/>
          <w:szCs w:val="24"/>
        </w:rPr>
      </w:pPr>
    </w:p>
    <w:p w14:paraId="6A32998B">
      <w:pPr>
        <w:spacing w:line="360" w:lineRule="auto"/>
        <w:jc w:val="both"/>
        <w:rPr>
          <w:rFonts w:ascii="Arial" w:hAnsi="Arial" w:cs="Arial"/>
          <w:sz w:val="24"/>
          <w:szCs w:val="24"/>
        </w:rPr>
      </w:pPr>
    </w:p>
    <w:p w14:paraId="62A7BDBE">
      <w:pPr>
        <w:spacing w:line="360" w:lineRule="auto"/>
        <w:jc w:val="both"/>
        <w:rPr>
          <w:rFonts w:ascii="Arial" w:hAnsi="Arial" w:cs="Arial"/>
          <w:sz w:val="24"/>
          <w:szCs w:val="24"/>
        </w:rPr>
      </w:pPr>
      <w:r>
        <w:rPr>
          <w:rFonts w:ascii="Arial" w:hAnsi="Arial" w:cs="Arial"/>
          <w:b/>
          <w:bCs/>
          <w:sz w:val="24"/>
          <w:szCs w:val="24"/>
        </w:rPr>
        <w:t>Political instability, sanctions, and international HR risks:</w:t>
      </w:r>
      <w:r>
        <w:rPr>
          <w:rFonts w:ascii="Arial" w:hAnsi="Arial" w:cs="Arial"/>
          <w:sz w:val="24"/>
          <w:szCs w:val="24"/>
        </w:rPr>
        <w:t xml:space="preserve"> Political instability, sanctions, and cross-border job disruptions plague global organisations (World Economic Forum, 2024). HR managers must comply with penalty regimes, site closures, and expatriate repatriation for global talent deployment. Dowling et al. (2017) recommend prioritising risk management, legal compliance, and employee well-being in international HRM for unexpected geopolitical conditions.</w:t>
      </w:r>
    </w:p>
    <w:p w14:paraId="4CF61B93">
      <w:pPr>
        <w:spacing w:line="360" w:lineRule="auto"/>
        <w:jc w:val="both"/>
        <w:rPr>
          <w:rFonts w:ascii="Arial" w:hAnsi="Arial" w:cs="Arial"/>
          <w:sz w:val="24"/>
          <w:szCs w:val="24"/>
        </w:rPr>
      </w:pPr>
      <w:r>
        <w:rPr>
          <w:rFonts w:ascii="Arial" w:hAnsi="Arial" w:cs="Arial"/>
          <w:b/>
          <w:bCs/>
          <w:sz w:val="24"/>
          <w:szCs w:val="24"/>
        </w:rPr>
        <w:t>Pandemics and health crises: remote work and safety policies:</w:t>
      </w:r>
      <w:r>
        <w:rPr>
          <w:rFonts w:ascii="Arial" w:hAnsi="Arial" w:cs="Arial"/>
          <w:sz w:val="24"/>
          <w:szCs w:val="24"/>
        </w:rPr>
        <w:t xml:space="preserve"> In 2024, 14% of full-time workers worldwide were remote and 29% hybrid (Ahmed, 2024). HR must develop excellent health-safety, remote-work, and cross-national employment procedures because many teams have embraced remote models due to the pandemic.</w:t>
      </w:r>
    </w:p>
    <w:p w14:paraId="26799292">
      <w:pPr>
        <w:pStyle w:val="3"/>
        <w:rPr>
          <w:rFonts w:cs="Arial"/>
          <w:szCs w:val="24"/>
        </w:rPr>
      </w:pPr>
      <w:bookmarkStart w:id="12" w:name="_Toc213587709"/>
      <w:r>
        <w:rPr>
          <w:rFonts w:cs="Arial"/>
          <w:szCs w:val="24"/>
        </w:rPr>
        <w:t>2.3 Challenges for HR Professionals</w:t>
      </w:r>
      <w:bookmarkEnd w:id="12"/>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0"/>
        <w:gridCol w:w="6742"/>
      </w:tblGrid>
      <w:tr w14:paraId="2D58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B1C6DA7">
            <w:pPr>
              <w:spacing w:after="160" w:line="360" w:lineRule="auto"/>
              <w:jc w:val="both"/>
              <w:rPr>
                <w:rFonts w:ascii="Arial" w:hAnsi="Arial" w:cs="Arial"/>
                <w:b/>
                <w:bCs/>
                <w:sz w:val="24"/>
                <w:szCs w:val="24"/>
              </w:rPr>
            </w:pPr>
            <w:r>
              <w:rPr>
                <w:rFonts w:ascii="Arial" w:hAnsi="Arial" w:cs="Arial"/>
                <w:b/>
                <w:bCs/>
                <w:sz w:val="24"/>
                <w:szCs w:val="24"/>
              </w:rPr>
              <w:t>Challenge</w:t>
            </w:r>
          </w:p>
        </w:tc>
        <w:tc>
          <w:tcPr>
            <w:tcW w:w="0" w:type="auto"/>
          </w:tcPr>
          <w:p w14:paraId="2CA76846">
            <w:pPr>
              <w:spacing w:after="160" w:line="360" w:lineRule="auto"/>
              <w:jc w:val="both"/>
              <w:rPr>
                <w:rFonts w:ascii="Arial" w:hAnsi="Arial" w:cs="Arial"/>
                <w:b/>
                <w:bCs/>
                <w:sz w:val="24"/>
                <w:szCs w:val="24"/>
              </w:rPr>
            </w:pPr>
            <w:r>
              <w:rPr>
                <w:rFonts w:ascii="Arial" w:hAnsi="Arial" w:cs="Arial"/>
                <w:b/>
                <w:bCs/>
                <w:sz w:val="24"/>
                <w:szCs w:val="24"/>
              </w:rPr>
              <w:t>Details</w:t>
            </w:r>
          </w:p>
        </w:tc>
      </w:tr>
      <w:tr w14:paraId="23B0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8C2CB18">
            <w:pPr>
              <w:spacing w:after="160" w:line="360" w:lineRule="auto"/>
              <w:jc w:val="both"/>
              <w:rPr>
                <w:rFonts w:ascii="Arial" w:hAnsi="Arial" w:cs="Arial"/>
                <w:sz w:val="24"/>
                <w:szCs w:val="24"/>
              </w:rPr>
            </w:pPr>
            <w:r>
              <w:rPr>
                <w:rFonts w:ascii="Arial" w:hAnsi="Arial" w:cs="Arial"/>
                <w:b/>
                <w:bCs/>
                <w:sz w:val="24"/>
                <w:szCs w:val="24"/>
              </w:rPr>
              <w:t>Talent mobility and complex visa regulations</w:t>
            </w:r>
          </w:p>
        </w:tc>
        <w:tc>
          <w:tcPr>
            <w:tcW w:w="0" w:type="auto"/>
          </w:tcPr>
          <w:p w14:paraId="53F61C81">
            <w:pPr>
              <w:spacing w:after="0" w:line="360" w:lineRule="auto"/>
              <w:jc w:val="both"/>
              <w:rPr>
                <w:rFonts w:ascii="Arial" w:hAnsi="Arial" w:cs="Arial"/>
                <w:sz w:val="24"/>
                <w:szCs w:val="24"/>
              </w:rPr>
            </w:pPr>
            <w:r>
              <w:rPr>
                <w:rFonts w:ascii="Arial" w:hAnsi="Arial" w:cs="Arial"/>
                <w:sz w:val="24"/>
                <w:szCs w:val="24"/>
              </w:rPr>
              <w:t>The 2024 Ernst &amp; Young Mobility Reimagined study indicated that 71% of firms expected higher cross-border regulatory concerns than in 2022, limiting global deployment and project timelines (Moss, 2024a).</w:t>
            </w:r>
          </w:p>
        </w:tc>
      </w:tr>
      <w:tr w14:paraId="5516E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E1ECDE0">
            <w:pPr>
              <w:spacing w:after="160" w:line="360" w:lineRule="auto"/>
              <w:jc w:val="both"/>
              <w:rPr>
                <w:rFonts w:ascii="Arial" w:hAnsi="Arial" w:cs="Arial"/>
                <w:sz w:val="24"/>
                <w:szCs w:val="24"/>
              </w:rPr>
            </w:pPr>
            <w:r>
              <w:rPr>
                <w:rFonts w:ascii="Arial" w:hAnsi="Arial" w:cs="Arial"/>
                <w:b/>
                <w:bCs/>
                <w:sz w:val="24"/>
                <w:szCs w:val="24"/>
              </w:rPr>
              <w:t>Risk management and duty of care</w:t>
            </w:r>
          </w:p>
        </w:tc>
        <w:tc>
          <w:tcPr>
            <w:tcW w:w="0" w:type="auto"/>
          </w:tcPr>
          <w:p w14:paraId="3ECCE26B">
            <w:pPr>
              <w:spacing w:after="0" w:line="360" w:lineRule="auto"/>
              <w:jc w:val="both"/>
              <w:rPr>
                <w:rFonts w:ascii="Arial" w:hAnsi="Arial" w:cs="Arial"/>
                <w:sz w:val="24"/>
                <w:szCs w:val="24"/>
              </w:rPr>
            </w:pPr>
            <w:r>
              <w:rPr>
                <w:rFonts w:ascii="Arial" w:hAnsi="Arial" w:cs="Arial"/>
                <w:sz w:val="24"/>
                <w:szCs w:val="24"/>
              </w:rPr>
              <w:t>Only 25% of multinationals have full mobility functions, even though 64% of international assignees feel overseas postings increase retention and engagement, underscoring the HRM gap in global risk preparedness (Moss, 2024b).</w:t>
            </w:r>
          </w:p>
        </w:tc>
      </w:tr>
      <w:tr w14:paraId="00B88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A9F69AE">
            <w:pPr>
              <w:spacing w:after="160" w:line="360" w:lineRule="auto"/>
              <w:jc w:val="both"/>
              <w:rPr>
                <w:rFonts w:ascii="Arial" w:hAnsi="Arial" w:cs="Arial"/>
                <w:sz w:val="24"/>
                <w:szCs w:val="24"/>
              </w:rPr>
            </w:pPr>
            <w:r>
              <w:rPr>
                <w:rFonts w:ascii="Arial" w:hAnsi="Arial" w:cs="Arial"/>
                <w:b/>
                <w:bCs/>
                <w:sz w:val="24"/>
                <w:szCs w:val="24"/>
              </w:rPr>
              <w:t>Global compliance and cultural integration</w:t>
            </w:r>
          </w:p>
        </w:tc>
        <w:tc>
          <w:tcPr>
            <w:tcW w:w="0" w:type="auto"/>
          </w:tcPr>
          <w:p w14:paraId="00A623D0">
            <w:pPr>
              <w:spacing w:after="160" w:line="360" w:lineRule="auto"/>
              <w:jc w:val="both"/>
              <w:rPr>
                <w:rFonts w:ascii="Arial" w:hAnsi="Arial" w:cs="Arial"/>
                <w:sz w:val="24"/>
                <w:szCs w:val="24"/>
              </w:rPr>
            </w:pPr>
            <w:r>
              <w:rPr>
                <w:rFonts w:ascii="Arial" w:hAnsi="Arial" w:cs="Arial"/>
                <w:sz w:val="24"/>
                <w:szCs w:val="24"/>
              </w:rPr>
              <w:t>The 2024 Cartus Global Talent Mobility survey found that 34% of businesses view immigration and compliance issues as important barriers to international team integration and cross-cultural staff cohesion (Cartus, 2024).</w:t>
            </w:r>
          </w:p>
        </w:tc>
      </w:tr>
    </w:tbl>
    <w:p w14:paraId="0F8323B6">
      <w:pPr>
        <w:spacing w:line="360" w:lineRule="auto"/>
        <w:jc w:val="both"/>
        <w:rPr>
          <w:rFonts w:ascii="Arial" w:hAnsi="Arial" w:cs="Arial"/>
          <w:sz w:val="24"/>
          <w:szCs w:val="24"/>
        </w:rPr>
      </w:pPr>
    </w:p>
    <w:p w14:paraId="2FEB59BF">
      <w:pPr>
        <w:spacing w:line="360" w:lineRule="auto"/>
        <w:jc w:val="both"/>
        <w:rPr>
          <w:rFonts w:ascii="Arial" w:hAnsi="Arial" w:cs="Arial"/>
          <w:sz w:val="24"/>
          <w:szCs w:val="24"/>
        </w:rPr>
      </w:pPr>
      <w:r>
        <w:rPr>
          <w:rFonts w:ascii="Arial" w:hAnsi="Arial" w:cs="Arial"/>
          <w:sz w:val="24"/>
          <w:szCs w:val="24"/>
        </w:rPr>
        <w:br w:type="page"/>
      </w:r>
    </w:p>
    <w:p w14:paraId="16C577F7">
      <w:pPr>
        <w:pStyle w:val="2"/>
        <w:spacing w:line="360" w:lineRule="auto"/>
        <w:jc w:val="both"/>
        <w:rPr>
          <w:rFonts w:ascii="Arial" w:hAnsi="Arial" w:cs="Arial"/>
          <w:b/>
          <w:bCs/>
          <w:color w:val="000000" w:themeColor="text1"/>
          <w:sz w:val="24"/>
          <w:szCs w:val="24"/>
          <w14:textFill>
            <w14:solidFill>
              <w14:schemeClr w14:val="tx1"/>
            </w14:solidFill>
          </w14:textFill>
        </w:rPr>
      </w:pPr>
      <w:bookmarkStart w:id="13" w:name="_Toc213587710"/>
      <w:r>
        <w:rPr>
          <w:rFonts w:ascii="Arial" w:hAnsi="Arial" w:cs="Arial"/>
          <w:b/>
          <w:bCs/>
          <w:color w:val="000000" w:themeColor="text1"/>
          <w:sz w:val="24"/>
          <w:szCs w:val="24"/>
          <w14:textFill>
            <w14:solidFill>
              <w14:schemeClr w14:val="tx1"/>
            </w14:solidFill>
          </w14:textFill>
        </w:rPr>
        <w:t>3.0 Question 3: Skills Gaps &amp; Strategic HRM</w:t>
      </w:r>
      <w:bookmarkEnd w:id="13"/>
    </w:p>
    <w:p w14:paraId="5B9F1C80">
      <w:pPr>
        <w:pStyle w:val="3"/>
        <w:spacing w:line="360" w:lineRule="auto"/>
        <w:rPr>
          <w:rFonts w:cs="Arial"/>
          <w:szCs w:val="24"/>
        </w:rPr>
      </w:pPr>
      <w:bookmarkStart w:id="14" w:name="_Toc213587711"/>
      <w:r>
        <w:rPr>
          <w:rFonts w:cs="Arial"/>
          <w:szCs w:val="24"/>
        </w:rPr>
        <w:t>3.1 Understanding the Causes of Skills Gaps</w:t>
      </w:r>
      <w:bookmarkEnd w:id="14"/>
    </w:p>
    <w:p w14:paraId="651820FB">
      <w:pPr>
        <w:spacing w:line="360" w:lineRule="auto"/>
        <w:jc w:val="both"/>
        <w:rPr>
          <w:rFonts w:ascii="Arial" w:hAnsi="Arial" w:cs="Arial"/>
          <w:sz w:val="24"/>
          <w:szCs w:val="24"/>
        </w:rPr>
      </w:pPr>
      <w:r>
        <w:rPr>
          <w:rFonts w:ascii="Arial" w:hAnsi="Arial" w:cs="Arial"/>
          <w:b/>
          <w:bCs/>
          <w:sz w:val="24"/>
          <w:szCs w:val="24"/>
        </w:rPr>
        <w:t>Rapid technological change:</w:t>
      </w:r>
      <w:r>
        <w:rPr>
          <w:rFonts w:ascii="Arial" w:hAnsi="Arial" w:cs="Arial"/>
          <w:sz w:val="24"/>
          <w:szCs w:val="24"/>
        </w:rPr>
        <w:t xml:space="preserve"> Over 50 percent of IT leaders indicated the lack of AI talent in 2024, which was 28 percent in 2023 (Torres, 2025). This is increasing the pace of AI and automation and existing skillsets are becoming obsolete more rapidly than organisations are reskilling.</w:t>
      </w:r>
    </w:p>
    <w:p w14:paraId="3FBC5096">
      <w:pPr>
        <w:spacing w:line="360" w:lineRule="auto"/>
        <w:jc w:val="center"/>
        <w:rPr>
          <w:rFonts w:ascii="Arial" w:hAnsi="Arial" w:cs="Arial"/>
          <w:sz w:val="24"/>
          <w:szCs w:val="24"/>
        </w:rPr>
      </w:pPr>
      <w:r>
        <w:rPr>
          <w:rFonts w:ascii="Arial" w:hAnsi="Arial" w:cs="Arial"/>
          <w:sz w:val="24"/>
          <w:szCs w:val="24"/>
        </w:rPr>
        <w:drawing>
          <wp:inline distT="0" distB="0" distL="0" distR="0">
            <wp:extent cx="5631180" cy="3168650"/>
            <wp:effectExtent l="76200" t="76200" r="140970" b="127000"/>
            <wp:docPr id="3157328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732837"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638453" cy="317280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745521D1">
      <w:pPr>
        <w:spacing w:line="360" w:lineRule="auto"/>
        <w:jc w:val="center"/>
        <w:rPr>
          <w:rFonts w:ascii="Arial" w:hAnsi="Arial" w:cs="Arial"/>
          <w:b/>
          <w:bCs/>
          <w:sz w:val="24"/>
          <w:szCs w:val="24"/>
        </w:rPr>
      </w:pPr>
      <w:r>
        <w:rPr>
          <w:rFonts w:ascii="Arial" w:hAnsi="Arial" w:cs="Arial"/>
          <w:b/>
          <w:bCs/>
          <w:sz w:val="24"/>
          <w:szCs w:val="24"/>
        </w:rPr>
        <w:t xml:space="preserve">Figure 05: </w:t>
      </w:r>
      <w:r>
        <w:rPr>
          <w:rFonts w:ascii="Arial" w:hAnsi="Arial" w:cs="Arial"/>
          <w:sz w:val="24"/>
          <w:szCs w:val="24"/>
        </w:rPr>
        <w:t>Global Talent Shortage Trends (2014–2024)</w:t>
      </w:r>
    </w:p>
    <w:p w14:paraId="016D4D02">
      <w:pPr>
        <w:spacing w:line="360" w:lineRule="auto"/>
        <w:jc w:val="center"/>
        <w:rPr>
          <w:rFonts w:ascii="Arial" w:hAnsi="Arial" w:cs="Arial"/>
          <w:b/>
          <w:bCs/>
          <w:sz w:val="24"/>
          <w:szCs w:val="24"/>
        </w:rPr>
      </w:pPr>
      <w:r>
        <w:rPr>
          <w:rFonts w:ascii="Arial" w:hAnsi="Arial" w:cs="Arial"/>
          <w:b/>
          <w:bCs/>
          <w:sz w:val="24"/>
          <w:szCs w:val="24"/>
        </w:rPr>
        <w:t xml:space="preserve">Source: </w:t>
      </w:r>
      <w:r>
        <w:rPr>
          <w:rFonts w:ascii="Arial" w:hAnsi="Arial" w:cs="Arial"/>
          <w:sz w:val="24"/>
          <w:szCs w:val="24"/>
        </w:rPr>
        <w:t>(UPC, 2024)</w:t>
      </w:r>
    </w:p>
    <w:p w14:paraId="30802129">
      <w:pPr>
        <w:spacing w:line="360" w:lineRule="auto"/>
        <w:jc w:val="both"/>
        <w:rPr>
          <w:rFonts w:ascii="Arial" w:hAnsi="Arial" w:cs="Arial"/>
          <w:sz w:val="24"/>
          <w:szCs w:val="24"/>
        </w:rPr>
      </w:pPr>
      <w:r>
        <w:rPr>
          <w:rFonts w:ascii="Arial" w:hAnsi="Arial" w:cs="Arial"/>
          <w:b/>
          <w:bCs/>
          <w:sz w:val="24"/>
          <w:szCs w:val="24"/>
        </w:rPr>
        <w:t>Education–industry misalignment:</w:t>
      </w:r>
      <w:r>
        <w:rPr>
          <w:rFonts w:ascii="Arial" w:hAnsi="Arial" w:cs="Arial"/>
          <w:sz w:val="24"/>
          <w:szCs w:val="24"/>
        </w:rPr>
        <w:t xml:space="preserve"> The Organisation for Economic Cooperation and Development (OECD) indicates that 41 percent of companies in manufacturing are on the list of skills gaps, 32 percent in services, which is important evidence of the lack of correspondence between academic outputs and technical requirements (OECD, 2024c).</w:t>
      </w:r>
    </w:p>
    <w:p w14:paraId="6D3AE6B4">
      <w:pPr>
        <w:spacing w:line="360" w:lineRule="auto"/>
        <w:jc w:val="both"/>
        <w:rPr>
          <w:rFonts w:ascii="Arial" w:hAnsi="Arial" w:cs="Arial"/>
          <w:sz w:val="24"/>
          <w:szCs w:val="24"/>
        </w:rPr>
      </w:pPr>
      <w:r>
        <w:rPr>
          <w:rFonts w:ascii="Arial" w:hAnsi="Arial" w:cs="Arial"/>
          <w:b/>
          <w:bCs/>
          <w:sz w:val="24"/>
          <w:szCs w:val="24"/>
        </w:rPr>
        <w:t>Insufficient investment in lifelong learning:</w:t>
      </w:r>
      <w:r>
        <w:rPr>
          <w:rFonts w:ascii="Arial" w:hAnsi="Arial" w:cs="Arial"/>
          <w:sz w:val="24"/>
          <w:szCs w:val="24"/>
        </w:rPr>
        <w:t xml:space="preserve"> In 2024, a survey of business leaders in the United Kingdom concluded that 84 percent of organisations experience a shortage of IT/tech skills and 31 percent of respondents cited inadequate training or applicant supply by academic institutions as a major source of the problem (Hyve, 2024).</w:t>
      </w:r>
    </w:p>
    <w:p w14:paraId="100E3E7F">
      <w:pPr>
        <w:pStyle w:val="3"/>
        <w:spacing w:line="360" w:lineRule="auto"/>
        <w:rPr>
          <w:rFonts w:cs="Arial"/>
          <w:szCs w:val="24"/>
        </w:rPr>
      </w:pPr>
      <w:bookmarkStart w:id="15" w:name="_Toc213587712"/>
      <w:r>
        <w:rPr>
          <w:rFonts w:cs="Arial"/>
          <w:szCs w:val="24"/>
        </w:rPr>
        <w:t>3.2 Strategic HRM Approaches</w:t>
      </w:r>
      <w:bookmarkEnd w:id="15"/>
    </w:p>
    <w:p w14:paraId="0D8038DE">
      <w:pPr>
        <w:spacing w:line="360" w:lineRule="auto"/>
        <w:jc w:val="both"/>
        <w:rPr>
          <w:rFonts w:ascii="Arial" w:hAnsi="Arial" w:cs="Arial"/>
          <w:sz w:val="24"/>
          <w:szCs w:val="24"/>
        </w:rPr>
      </w:pPr>
      <w:r>
        <w:rPr>
          <w:rFonts w:ascii="Arial" w:hAnsi="Arial" w:cs="Arial"/>
          <w:b/>
          <w:bCs/>
          <w:sz w:val="24"/>
          <w:szCs w:val="24"/>
        </w:rPr>
        <w:t>Build Strategies- Internal Development:</w:t>
      </w:r>
      <w:r>
        <w:rPr>
          <w:rFonts w:ascii="Arial" w:hAnsi="Arial" w:cs="Arial"/>
          <w:sz w:val="24"/>
          <w:szCs w:val="24"/>
        </w:rPr>
        <w:t xml:space="preserve"> Higher-level apprenticeships (Level 6 and 7) increased by 10.9 per cent to 25,490 higher-level apprenticeships in the UK during the 2023/24 academic year and represents an indication of organisations investing in upskilling their workforce (Skills for Health, 2025). Cappelli (2008)'s make-versus-buy talent management model balances internal development with external hiring to optimise worker potential, which aligns with strategic solutions to skills shortages.</w:t>
      </w:r>
    </w:p>
    <w:p w14:paraId="0B125CCF">
      <w:pPr>
        <w:spacing w:line="360" w:lineRule="auto"/>
        <w:jc w:val="both"/>
        <w:rPr>
          <w:rFonts w:ascii="Arial" w:hAnsi="Arial" w:cs="Arial"/>
          <w:sz w:val="24"/>
          <w:szCs w:val="24"/>
        </w:rPr>
      </w:pPr>
      <w:r>
        <w:rPr>
          <w:rFonts w:ascii="Arial" w:hAnsi="Arial" w:cs="Arial"/>
          <w:b/>
          <w:bCs/>
          <w:sz w:val="24"/>
          <w:szCs w:val="24"/>
        </w:rPr>
        <w:t>Buy Strategies- Strategic Recruitment:</w:t>
      </w:r>
      <w:r>
        <w:rPr>
          <w:rFonts w:ascii="Arial" w:hAnsi="Arial" w:cs="Arial"/>
          <w:sz w:val="24"/>
          <w:szCs w:val="24"/>
        </w:rPr>
        <w:t xml:space="preserve"> The 2024 study of employer branding NOW suggests that 68% of talent leaders believe that employer branding is a key device to recruit hard-to-find talent in the coming 12 months (Univer Sum, 2024). Also, two-thirds of businesses have widened their talent-analytics candidate pool in the recruitment (Symphony Talent, 2024).</w:t>
      </w:r>
    </w:p>
    <w:p w14:paraId="5A7F2F68">
      <w:pPr>
        <w:spacing w:line="360" w:lineRule="auto"/>
        <w:jc w:val="both"/>
        <w:rPr>
          <w:rFonts w:ascii="Arial" w:hAnsi="Arial" w:cs="Arial"/>
          <w:sz w:val="24"/>
          <w:szCs w:val="24"/>
        </w:rPr>
      </w:pPr>
      <w:r>
        <w:rPr>
          <w:rFonts w:ascii="Arial" w:hAnsi="Arial" w:cs="Arial"/>
          <w:b/>
          <w:bCs/>
          <w:sz w:val="24"/>
          <w:szCs w:val="24"/>
        </w:rPr>
        <w:t>Borrow Strategies- Accessing External Talent:</w:t>
      </w:r>
      <w:r>
        <w:rPr>
          <w:rFonts w:ascii="Arial" w:hAnsi="Arial" w:cs="Arial"/>
          <w:sz w:val="24"/>
          <w:szCs w:val="24"/>
        </w:rPr>
        <w:t xml:space="preserve"> Companies are turning to the temporary use of gig workers and specialist consultants to address temporary skills shortages with no long-term binding a flexible borrow-like approach to assume the position of build and buy.</w:t>
      </w:r>
    </w:p>
    <w:p w14:paraId="1133E3A5">
      <w:pPr>
        <w:spacing w:line="360" w:lineRule="auto"/>
        <w:jc w:val="both"/>
        <w:rPr>
          <w:rFonts w:ascii="Arial" w:hAnsi="Arial" w:cs="Arial"/>
          <w:sz w:val="24"/>
          <w:szCs w:val="24"/>
        </w:rPr>
      </w:pPr>
      <w:r>
        <w:rPr>
          <w:rFonts w:ascii="Arial" w:hAnsi="Arial" w:cs="Arial"/>
          <w:b/>
          <w:bCs/>
          <w:sz w:val="24"/>
          <w:szCs w:val="24"/>
        </w:rPr>
        <w:t>Bind Strategies:</w:t>
      </w:r>
      <w:r>
        <w:rPr>
          <w:rFonts w:ascii="Arial" w:hAnsi="Arial" w:cs="Arial"/>
          <w:sz w:val="24"/>
          <w:szCs w:val="24"/>
        </w:rPr>
        <w:t xml:space="preserve"> Companies that have well-established internal career structures and mentoring initiatives experience reduced turnover of developed talent. Employer-branding studies report that there is a 28 percent retention improvement in case of fascinating learning culture (Skowronski, 2024).</w:t>
      </w:r>
      <w:r>
        <w:rPr>
          <w:rFonts w:ascii="Arial" w:hAnsi="Arial" w:eastAsia="Times New Roman" w:cs="Arial"/>
          <w:sz w:val="24"/>
          <w:szCs w:val="24"/>
        </w:rPr>
        <w:t xml:space="preserve"> </w:t>
      </w:r>
      <w:r>
        <w:rPr>
          <w:rFonts w:ascii="Arial" w:hAnsi="Arial" w:cs="Arial"/>
          <w:sz w:val="24"/>
          <w:szCs w:val="24"/>
        </w:rPr>
        <w:t>Standardising HR analytical abilities improves evidence-based decision-making and data-driven workforce strategies, according to Kulikowski (2024).</w:t>
      </w:r>
    </w:p>
    <w:p w14:paraId="148D5E63">
      <w:pPr>
        <w:pStyle w:val="3"/>
        <w:spacing w:line="360" w:lineRule="auto"/>
        <w:rPr>
          <w:rFonts w:cs="Arial"/>
          <w:szCs w:val="24"/>
        </w:rPr>
      </w:pPr>
      <w:bookmarkStart w:id="16" w:name="_Toc213587713"/>
      <w:r>
        <w:rPr>
          <w:rFonts w:cs="Arial"/>
          <w:szCs w:val="24"/>
        </w:rPr>
        <w:t>3.3 Sector-Specific Examples</w:t>
      </w:r>
      <w:bookmarkEnd w:id="16"/>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3"/>
        <w:gridCol w:w="7559"/>
      </w:tblGrid>
      <w:tr w14:paraId="2458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7" w:type="dxa"/>
          </w:tcPr>
          <w:p w14:paraId="0E6AC71F">
            <w:pPr>
              <w:spacing w:after="0" w:line="360" w:lineRule="auto"/>
              <w:rPr>
                <w:rFonts w:ascii="Arial" w:hAnsi="Arial" w:cs="Arial"/>
                <w:b/>
                <w:bCs/>
                <w:sz w:val="24"/>
                <w:szCs w:val="24"/>
              </w:rPr>
            </w:pPr>
            <w:r>
              <w:rPr>
                <w:rFonts w:ascii="Arial" w:hAnsi="Arial" w:cs="Arial"/>
                <w:b/>
                <w:bCs/>
                <w:sz w:val="24"/>
                <w:szCs w:val="24"/>
              </w:rPr>
              <w:t>Sector</w:t>
            </w:r>
          </w:p>
        </w:tc>
        <w:tc>
          <w:tcPr>
            <w:tcW w:w="7559" w:type="dxa"/>
          </w:tcPr>
          <w:p w14:paraId="3165AADB">
            <w:pPr>
              <w:spacing w:after="0" w:line="360" w:lineRule="auto"/>
              <w:rPr>
                <w:rFonts w:ascii="Arial" w:hAnsi="Arial" w:cs="Arial"/>
                <w:b/>
                <w:bCs/>
                <w:sz w:val="24"/>
                <w:szCs w:val="24"/>
              </w:rPr>
            </w:pPr>
            <w:r>
              <w:rPr>
                <w:rFonts w:ascii="Arial" w:hAnsi="Arial" w:cs="Arial"/>
                <w:b/>
                <w:bCs/>
                <w:sz w:val="24"/>
                <w:szCs w:val="24"/>
              </w:rPr>
              <w:t xml:space="preserve">Example </w:t>
            </w:r>
          </w:p>
        </w:tc>
      </w:tr>
      <w:tr w14:paraId="5CFFF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7" w:type="dxa"/>
          </w:tcPr>
          <w:p w14:paraId="6FA8F0E1">
            <w:pPr>
              <w:spacing w:after="0" w:line="360" w:lineRule="auto"/>
              <w:rPr>
                <w:rFonts w:ascii="Arial" w:hAnsi="Arial" w:cs="Arial"/>
                <w:b/>
                <w:bCs/>
                <w:sz w:val="24"/>
                <w:szCs w:val="24"/>
              </w:rPr>
            </w:pPr>
            <w:r>
              <w:rPr>
                <w:rFonts w:ascii="Arial" w:hAnsi="Arial" w:cs="Arial"/>
                <w:b/>
                <w:bCs/>
                <w:sz w:val="24"/>
                <w:szCs w:val="24"/>
              </w:rPr>
              <w:t>Technology</w:t>
            </w:r>
          </w:p>
        </w:tc>
        <w:tc>
          <w:tcPr>
            <w:tcW w:w="7559" w:type="dxa"/>
          </w:tcPr>
          <w:p w14:paraId="3F2DD98E">
            <w:pPr>
              <w:spacing w:after="0" w:line="360" w:lineRule="auto"/>
              <w:jc w:val="both"/>
              <w:rPr>
                <w:rFonts w:ascii="Arial" w:hAnsi="Arial" w:cs="Arial"/>
                <w:sz w:val="24"/>
                <w:szCs w:val="24"/>
              </w:rPr>
            </w:pPr>
            <w:r>
              <w:rPr>
                <w:rFonts w:ascii="Arial" w:hAnsi="Arial" w:cs="Arial"/>
                <w:sz w:val="24"/>
                <w:szCs w:val="24"/>
              </w:rPr>
              <w:t>In 2024, companies' “Build” spending on internal training to quickly upskill staff drove the global coding boot-camp sector to USD 661.8 million (Group, 2024).</w:t>
            </w:r>
          </w:p>
        </w:tc>
      </w:tr>
      <w:tr w14:paraId="466B6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7" w:type="dxa"/>
          </w:tcPr>
          <w:p w14:paraId="621F0AF5">
            <w:pPr>
              <w:spacing w:after="0" w:line="360" w:lineRule="auto"/>
              <w:rPr>
                <w:rFonts w:ascii="Arial" w:hAnsi="Arial" w:cs="Arial"/>
                <w:b/>
                <w:bCs/>
                <w:sz w:val="24"/>
                <w:szCs w:val="24"/>
              </w:rPr>
            </w:pPr>
            <w:r>
              <w:rPr>
                <w:rFonts w:ascii="Arial" w:hAnsi="Arial" w:cs="Arial"/>
                <w:b/>
                <w:bCs/>
                <w:sz w:val="24"/>
                <w:szCs w:val="24"/>
              </w:rPr>
              <w:t>Healthcare</w:t>
            </w:r>
          </w:p>
        </w:tc>
        <w:tc>
          <w:tcPr>
            <w:tcW w:w="7559" w:type="dxa"/>
          </w:tcPr>
          <w:p w14:paraId="5BF44E44">
            <w:pPr>
              <w:spacing w:after="0" w:line="360" w:lineRule="auto"/>
              <w:jc w:val="both"/>
              <w:rPr>
                <w:rFonts w:ascii="Arial" w:hAnsi="Arial" w:cs="Arial"/>
                <w:sz w:val="24"/>
                <w:szCs w:val="24"/>
              </w:rPr>
            </w:pPr>
            <w:r>
              <w:rPr>
                <w:rFonts w:ascii="Arial" w:hAnsi="Arial" w:cs="Arial"/>
                <w:sz w:val="24"/>
                <w:szCs w:val="24"/>
              </w:rPr>
              <w:t>In March 2024, the UK nursing registry reported 778,340 nurses, emphasising “Buy” overseas recruitment to meet urgent needs (Cucumber Recruitment, 2025).</w:t>
            </w:r>
          </w:p>
        </w:tc>
      </w:tr>
      <w:tr w14:paraId="741AA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7" w:type="dxa"/>
          </w:tcPr>
          <w:p w14:paraId="21ED5474">
            <w:pPr>
              <w:spacing w:after="0" w:line="360" w:lineRule="auto"/>
              <w:rPr>
                <w:rFonts w:ascii="Arial" w:hAnsi="Arial" w:cs="Arial"/>
                <w:b/>
                <w:bCs/>
                <w:sz w:val="24"/>
                <w:szCs w:val="24"/>
              </w:rPr>
            </w:pPr>
            <w:r>
              <w:rPr>
                <w:rFonts w:ascii="Arial" w:hAnsi="Arial" w:cs="Arial"/>
                <w:b/>
                <w:bCs/>
                <w:sz w:val="24"/>
                <w:szCs w:val="24"/>
              </w:rPr>
              <w:t>Hospitality</w:t>
            </w:r>
          </w:p>
        </w:tc>
        <w:tc>
          <w:tcPr>
            <w:tcW w:w="7559" w:type="dxa"/>
          </w:tcPr>
          <w:p w14:paraId="28CDA408">
            <w:pPr>
              <w:spacing w:after="0" w:line="360" w:lineRule="auto"/>
              <w:jc w:val="both"/>
              <w:rPr>
                <w:rFonts w:ascii="Arial" w:hAnsi="Arial" w:cs="Arial"/>
                <w:sz w:val="24"/>
                <w:szCs w:val="24"/>
              </w:rPr>
            </w:pPr>
            <w:r>
              <w:rPr>
                <w:rFonts w:ascii="Arial" w:hAnsi="Arial" w:cs="Arial"/>
                <w:sz w:val="24"/>
                <w:szCs w:val="24"/>
              </w:rPr>
              <w:t>In 2024, 7% of UK jobs were in hospitality, which increasingly relies on “Build” (internal management training) and “Buy” (strong employer branding) to attract and retain people (Institute of Hospitality, 2024).</w:t>
            </w:r>
          </w:p>
        </w:tc>
      </w:tr>
    </w:tbl>
    <w:p w14:paraId="511D02BD">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br w:type="page"/>
      </w:r>
    </w:p>
    <w:p w14:paraId="23CEBC1F">
      <w:pPr>
        <w:pStyle w:val="2"/>
        <w:spacing w:line="360" w:lineRule="auto"/>
        <w:jc w:val="both"/>
        <w:rPr>
          <w:rFonts w:ascii="Arial" w:hAnsi="Arial" w:cs="Arial"/>
          <w:b/>
          <w:bCs/>
          <w:color w:val="000000" w:themeColor="text1"/>
          <w:sz w:val="24"/>
          <w:szCs w:val="24"/>
          <w14:textFill>
            <w14:solidFill>
              <w14:schemeClr w14:val="tx1"/>
            </w14:solidFill>
          </w14:textFill>
        </w:rPr>
      </w:pPr>
      <w:bookmarkStart w:id="17" w:name="_Toc213587714"/>
      <w:r>
        <w:rPr>
          <w:rFonts w:ascii="Arial" w:hAnsi="Arial" w:cs="Arial"/>
          <w:b/>
          <w:bCs/>
          <w:color w:val="000000" w:themeColor="text1"/>
          <w:sz w:val="24"/>
          <w:szCs w:val="24"/>
          <w14:textFill>
            <w14:solidFill>
              <w14:schemeClr w14:val="tx1"/>
            </w14:solidFill>
          </w14:textFill>
        </w:rPr>
        <w:t>4.0 Question 4: Reflective Report on Capabilities</w:t>
      </w:r>
      <w:bookmarkEnd w:id="17"/>
    </w:p>
    <w:p w14:paraId="0DF47AC7">
      <w:pPr>
        <w:pStyle w:val="3"/>
        <w:spacing w:line="360" w:lineRule="auto"/>
        <w:rPr>
          <w:rFonts w:cs="Arial"/>
          <w:szCs w:val="24"/>
        </w:rPr>
      </w:pPr>
      <w:bookmarkStart w:id="18" w:name="_Toc213587715"/>
      <w:r>
        <w:rPr>
          <w:rFonts w:cs="Arial"/>
          <w:szCs w:val="24"/>
        </w:rPr>
        <w:t>4.1 Introduction</w:t>
      </w:r>
      <w:bookmarkEnd w:id="18"/>
    </w:p>
    <w:p w14:paraId="0186ABDB">
      <w:pPr>
        <w:spacing w:line="360" w:lineRule="auto"/>
        <w:jc w:val="both"/>
        <w:rPr>
          <w:rFonts w:ascii="Arial" w:hAnsi="Arial" w:cs="Arial"/>
          <w:sz w:val="24"/>
          <w:szCs w:val="24"/>
        </w:rPr>
      </w:pPr>
      <w:r>
        <w:rPr>
          <w:rFonts w:ascii="Arial" w:hAnsi="Arial" w:cs="Arial"/>
          <w:sz w:val="24"/>
          <w:szCs w:val="24"/>
        </w:rPr>
        <w:t>MBA graduates can operate in turbulent multicultural and technology-driven environments due to global and adaptive competencies. They instil agility, ethical decision-making, and cross-cultural collaboration major qualities of successful leadership, innovation, and strategic adaptability in the modern-day globalised business environment.</w:t>
      </w:r>
    </w:p>
    <w:p w14:paraId="51C8DD82">
      <w:pPr>
        <w:pStyle w:val="3"/>
        <w:spacing w:line="360" w:lineRule="auto"/>
        <w:rPr>
          <w:rFonts w:cs="Arial"/>
          <w:szCs w:val="24"/>
        </w:rPr>
      </w:pPr>
      <w:bookmarkStart w:id="19" w:name="_Toc213587716"/>
      <w:r>
        <w:rPr>
          <w:rFonts w:cs="Arial"/>
          <w:szCs w:val="24"/>
        </w:rPr>
        <w:t>4.2 Self-Assessment(Gibbs Reflective Cycle)</w:t>
      </w:r>
      <w:bookmarkEnd w:id="19"/>
    </w:p>
    <w:p w14:paraId="22CA6A2E">
      <w:pPr>
        <w:spacing w:line="360" w:lineRule="auto"/>
        <w:jc w:val="center"/>
        <w:rPr>
          <w:rFonts w:ascii="Arial" w:hAnsi="Arial" w:cs="Arial"/>
          <w:sz w:val="24"/>
          <w:szCs w:val="24"/>
        </w:rPr>
      </w:pPr>
      <w:r>
        <w:rPr>
          <w:rFonts w:ascii="Arial" w:hAnsi="Arial" w:cs="Arial"/>
          <w:sz w:val="24"/>
          <w:szCs w:val="24"/>
        </w:rPr>
        <w:drawing>
          <wp:inline distT="0" distB="0" distL="0" distR="0">
            <wp:extent cx="5731510" cy="3221355"/>
            <wp:effectExtent l="76200" t="76200" r="135890" b="131445"/>
            <wp:docPr id="4210260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26001"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731510" cy="322135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14:paraId="79891173">
      <w:pPr>
        <w:spacing w:line="360" w:lineRule="auto"/>
        <w:jc w:val="center"/>
        <w:rPr>
          <w:rFonts w:ascii="Arial" w:hAnsi="Arial" w:cs="Arial"/>
          <w:b/>
          <w:bCs/>
          <w:sz w:val="24"/>
          <w:szCs w:val="24"/>
        </w:rPr>
      </w:pPr>
      <w:r>
        <w:rPr>
          <w:rFonts w:ascii="Arial" w:hAnsi="Arial" w:cs="Arial"/>
          <w:b/>
          <w:bCs/>
          <w:sz w:val="24"/>
          <w:szCs w:val="24"/>
        </w:rPr>
        <w:t xml:space="preserve">Figure 06: </w:t>
      </w:r>
      <w:r>
        <w:rPr>
          <w:rFonts w:ascii="Arial" w:hAnsi="Arial" w:cs="Arial"/>
          <w:sz w:val="24"/>
          <w:szCs w:val="24"/>
        </w:rPr>
        <w:t>Gibbs Reflective Cycle</w:t>
      </w:r>
    </w:p>
    <w:p w14:paraId="31A98484">
      <w:pPr>
        <w:spacing w:line="360" w:lineRule="auto"/>
        <w:jc w:val="center"/>
        <w:rPr>
          <w:rFonts w:ascii="Arial" w:hAnsi="Arial" w:cs="Arial"/>
          <w:b/>
          <w:bCs/>
          <w:sz w:val="24"/>
          <w:szCs w:val="24"/>
        </w:rPr>
      </w:pPr>
      <w:r>
        <w:rPr>
          <w:rFonts w:ascii="Arial" w:hAnsi="Arial" w:cs="Arial"/>
          <w:b/>
          <w:bCs/>
          <w:sz w:val="24"/>
          <w:szCs w:val="24"/>
        </w:rPr>
        <w:t xml:space="preserve">Source: </w:t>
      </w:r>
      <w:r>
        <w:rPr>
          <w:rFonts w:ascii="Arial" w:hAnsi="Arial" w:cs="Arial"/>
          <w:sz w:val="24"/>
          <w:szCs w:val="24"/>
        </w:rPr>
        <w:t>(Slide Salad, 2025)</w:t>
      </w:r>
    </w:p>
    <w:p w14:paraId="21E6A317">
      <w:pPr>
        <w:spacing w:line="360" w:lineRule="auto"/>
        <w:jc w:val="both"/>
        <w:rPr>
          <w:rFonts w:ascii="Arial" w:hAnsi="Arial" w:cs="Arial"/>
          <w:b/>
          <w:bCs/>
          <w:sz w:val="24"/>
          <w:szCs w:val="24"/>
        </w:rPr>
      </w:pPr>
      <w:r>
        <w:rPr>
          <w:rFonts w:ascii="Arial" w:hAnsi="Arial" w:cs="Arial"/>
          <w:b/>
          <w:bCs/>
          <w:sz w:val="24"/>
          <w:szCs w:val="24"/>
        </w:rPr>
        <w:t>Description:</w:t>
      </w:r>
      <w:r>
        <w:rPr>
          <w:rFonts w:ascii="Arial" w:hAnsi="Arial" w:cs="Arial"/>
          <w:b/>
          <w:bCs/>
          <w:sz w:val="24"/>
          <w:szCs w:val="24"/>
        </w:rPr>
        <w:br w:type="textWrapping"/>
      </w:r>
      <w:r>
        <w:rPr>
          <w:rFonts w:ascii="Arial" w:hAnsi="Arial" w:cs="Arial"/>
          <w:sz w:val="24"/>
          <w:szCs w:val="24"/>
        </w:rPr>
        <w:t>In this MBA module, I gained several professional skills, which included group work, information-based tasks, and using digital learning technologies. The experience of cross-cultural collaboration and analytics software use activities enhanced my knowledge of the global HRM practise.</w:t>
      </w:r>
    </w:p>
    <w:p w14:paraId="280B5B2F">
      <w:pPr>
        <w:spacing w:line="360" w:lineRule="auto"/>
        <w:jc w:val="both"/>
        <w:rPr>
          <w:rFonts w:ascii="Arial" w:hAnsi="Arial" w:cs="Arial"/>
          <w:sz w:val="24"/>
          <w:szCs w:val="24"/>
        </w:rPr>
      </w:pPr>
      <w:r>
        <w:rPr>
          <w:rFonts w:ascii="Arial" w:hAnsi="Arial" w:cs="Arial"/>
          <w:b/>
          <w:bCs/>
          <w:sz w:val="24"/>
          <w:szCs w:val="24"/>
        </w:rPr>
        <w:t>Feelings:</w:t>
      </w:r>
      <w:r>
        <w:rPr>
          <w:rFonts w:ascii="Arial" w:hAnsi="Arial" w:cs="Arial"/>
          <w:b/>
          <w:bCs/>
          <w:sz w:val="24"/>
          <w:szCs w:val="24"/>
        </w:rPr>
        <w:br w:type="textWrapping"/>
      </w:r>
      <w:r>
        <w:rPr>
          <w:rFonts w:ascii="Arial" w:hAnsi="Arial" w:cs="Arial"/>
          <w:sz w:val="24"/>
          <w:szCs w:val="24"/>
        </w:rPr>
        <w:t>First, I was confused with dealing with high-level software and different viewpoints but through reflective practice I gained confidence, flexibility, and value of collective problem-solving.</w:t>
      </w:r>
      <w:r>
        <w:rPr>
          <w:rFonts w:ascii="Arial" w:hAnsi="Arial" w:eastAsia="Times New Roman" w:cs="Arial"/>
          <w:sz w:val="24"/>
          <w:szCs w:val="24"/>
        </w:rPr>
        <w:t xml:space="preserve"> </w:t>
      </w:r>
      <w:r>
        <w:rPr>
          <w:rFonts w:ascii="Arial" w:hAnsi="Arial" w:cs="Arial"/>
          <w:sz w:val="24"/>
          <w:szCs w:val="24"/>
        </w:rPr>
        <w:t>Feng et al.(2025) say action learning and layered reflection in HRM education increase emotional awareness and self-efficacy, helping students turn uncertainty into professional growth.</w:t>
      </w:r>
    </w:p>
    <w:p w14:paraId="56B5EBE5">
      <w:pPr>
        <w:spacing w:line="360" w:lineRule="auto"/>
        <w:jc w:val="both"/>
        <w:rPr>
          <w:rFonts w:ascii="Arial" w:hAnsi="Arial" w:cs="Arial"/>
          <w:sz w:val="24"/>
          <w:szCs w:val="24"/>
        </w:rPr>
      </w:pPr>
      <w:r>
        <w:rPr>
          <w:rFonts w:ascii="Arial" w:hAnsi="Arial" w:cs="Arial"/>
          <w:b/>
          <w:bCs/>
          <w:sz w:val="24"/>
          <w:szCs w:val="24"/>
        </w:rPr>
        <w:t>Evaluation</w:t>
      </w:r>
      <w:r>
        <w:rPr>
          <w:rFonts w:ascii="Arial" w:hAnsi="Arial" w:cs="Arial"/>
          <w:b/>
          <w:bCs/>
          <w:sz w:val="24"/>
          <w:szCs w:val="24"/>
        </w:rPr>
        <w:br w:type="textWrapping"/>
      </w:r>
      <w:r>
        <w:rPr>
          <w:rFonts w:ascii="Arial" w:hAnsi="Arial" w:cs="Arial"/>
          <w:sz w:val="24"/>
          <w:szCs w:val="24"/>
        </w:rPr>
        <w:t>My level of tech expertise also increased by using MS Teams, excel dashboards, and applying AI technologies to synthesise the research. My level of tech expertise also increased by using MS Teams, excel dashboards, and applying AI technologies to synthesise the research. The social skills were enhanced by the positive feedback in presentation and the succinct writing in academics. Teamwork facilitated fair allocation of tasks and successful management of conflicts. Leadership was created by mentoring the peers on analysis of HR data. Independent research of OECD and CIPD reports outside of module content was a manifestation of self-directed learning.</w:t>
      </w:r>
    </w:p>
    <w:p w14:paraId="1C279785">
      <w:pPr>
        <w:spacing w:line="360" w:lineRule="auto"/>
        <w:jc w:val="both"/>
        <w:rPr>
          <w:rFonts w:ascii="Arial" w:hAnsi="Arial" w:cs="Arial"/>
          <w:sz w:val="24"/>
          <w:szCs w:val="24"/>
        </w:rPr>
      </w:pPr>
      <w:r>
        <w:rPr>
          <w:rFonts w:ascii="Arial" w:hAnsi="Arial" w:cs="Arial"/>
          <w:b/>
          <w:bCs/>
          <w:sz w:val="24"/>
          <w:szCs w:val="24"/>
        </w:rPr>
        <w:t>Analysis</w:t>
      </w:r>
      <w:r>
        <w:rPr>
          <w:rFonts w:ascii="Arial" w:hAnsi="Arial" w:cs="Arial"/>
          <w:b/>
          <w:bCs/>
          <w:sz w:val="24"/>
          <w:szCs w:val="24"/>
        </w:rPr>
        <w:br w:type="textWrapping"/>
      </w:r>
      <w:r>
        <w:rPr>
          <w:rFonts w:ascii="Arial" w:hAnsi="Arial" w:cs="Arial"/>
          <w:sz w:val="24"/>
          <w:szCs w:val="24"/>
        </w:rPr>
        <w:t>The model by Gibbs helped understand that the primary MBA skills are adaptability, digital literacy, and intercultural competence. Reflection was used to determine regularity of patterns of initiative and collaboration to be my major strengths (Gibbs, 1988).</w:t>
      </w:r>
    </w:p>
    <w:p w14:paraId="35EC8F4D">
      <w:pPr>
        <w:spacing w:line="360" w:lineRule="auto"/>
        <w:jc w:val="both"/>
        <w:rPr>
          <w:rFonts w:ascii="Arial" w:hAnsi="Arial" w:cs="Arial"/>
          <w:b/>
          <w:bCs/>
          <w:sz w:val="24"/>
          <w:szCs w:val="24"/>
        </w:rPr>
      </w:pPr>
      <w:r>
        <w:rPr>
          <w:rFonts w:ascii="Arial" w:hAnsi="Arial" w:cs="Arial"/>
          <w:b/>
          <w:bCs/>
          <w:sz w:val="24"/>
          <w:szCs w:val="24"/>
        </w:rPr>
        <w:t>Conclusion</w:t>
      </w:r>
      <w:r>
        <w:rPr>
          <w:rFonts w:ascii="Arial" w:hAnsi="Arial" w:cs="Arial"/>
          <w:b/>
          <w:bCs/>
          <w:sz w:val="24"/>
          <w:szCs w:val="24"/>
        </w:rPr>
        <w:br w:type="textWrapping"/>
      </w:r>
      <w:r>
        <w:rPr>
          <w:rFonts w:ascii="Arial" w:hAnsi="Arial" w:cs="Arial"/>
          <w:sz w:val="24"/>
          <w:szCs w:val="24"/>
        </w:rPr>
        <w:t>With the help of the repetitive reflection, I realised that I need to balance analytical and interpersonal competencies to become a whole-self leader.</w:t>
      </w:r>
    </w:p>
    <w:p w14:paraId="3E9AF859">
      <w:pPr>
        <w:spacing w:line="360" w:lineRule="auto"/>
        <w:jc w:val="both"/>
        <w:rPr>
          <w:rFonts w:ascii="Arial" w:hAnsi="Arial" w:cs="Arial"/>
          <w:b/>
          <w:bCs/>
          <w:sz w:val="24"/>
          <w:szCs w:val="24"/>
        </w:rPr>
      </w:pPr>
      <w:r>
        <w:rPr>
          <w:rFonts w:ascii="Arial" w:hAnsi="Arial" w:cs="Arial"/>
          <w:b/>
          <w:bCs/>
          <w:sz w:val="24"/>
          <w:szCs w:val="24"/>
        </w:rPr>
        <w:t xml:space="preserve">Action Plan </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6"/>
        <w:gridCol w:w="2016"/>
      </w:tblGrid>
      <w:tr w14:paraId="333CA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F424979">
            <w:pPr>
              <w:spacing w:after="160" w:line="360" w:lineRule="auto"/>
              <w:jc w:val="both"/>
              <w:rPr>
                <w:rFonts w:ascii="Arial" w:hAnsi="Arial" w:cs="Arial"/>
                <w:b/>
                <w:bCs/>
                <w:sz w:val="24"/>
                <w:szCs w:val="24"/>
              </w:rPr>
            </w:pPr>
            <w:r>
              <w:rPr>
                <w:rFonts w:ascii="Arial" w:hAnsi="Arial" w:cs="Arial"/>
                <w:b/>
                <w:bCs/>
                <w:sz w:val="24"/>
                <w:szCs w:val="24"/>
              </w:rPr>
              <w:t>Action Plan</w:t>
            </w:r>
          </w:p>
        </w:tc>
        <w:tc>
          <w:tcPr>
            <w:tcW w:w="0" w:type="auto"/>
          </w:tcPr>
          <w:p w14:paraId="3D099241">
            <w:pPr>
              <w:spacing w:after="160" w:line="360" w:lineRule="auto"/>
              <w:jc w:val="both"/>
              <w:rPr>
                <w:rFonts w:ascii="Arial" w:hAnsi="Arial" w:cs="Arial"/>
                <w:b/>
                <w:bCs/>
                <w:sz w:val="24"/>
                <w:szCs w:val="24"/>
              </w:rPr>
            </w:pPr>
            <w:r>
              <w:rPr>
                <w:rFonts w:ascii="Arial" w:hAnsi="Arial" w:cs="Arial"/>
                <w:b/>
                <w:bCs/>
                <w:sz w:val="24"/>
                <w:szCs w:val="24"/>
              </w:rPr>
              <w:t>Timeline</w:t>
            </w:r>
          </w:p>
        </w:tc>
      </w:tr>
      <w:tr w14:paraId="6FCC8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8ABA992">
            <w:pPr>
              <w:spacing w:after="160" w:line="360" w:lineRule="auto"/>
              <w:jc w:val="both"/>
              <w:rPr>
                <w:rFonts w:ascii="Arial" w:hAnsi="Arial" w:cs="Arial"/>
                <w:sz w:val="24"/>
                <w:szCs w:val="24"/>
              </w:rPr>
            </w:pPr>
            <w:r>
              <w:rPr>
                <w:rFonts w:ascii="Arial" w:hAnsi="Arial" w:cs="Arial"/>
                <w:sz w:val="24"/>
                <w:szCs w:val="24"/>
              </w:rPr>
              <w:t xml:space="preserve">Enrol in Coursera’s </w:t>
            </w:r>
            <w:r>
              <w:rPr>
                <w:rFonts w:ascii="Arial" w:hAnsi="Arial" w:cs="Arial"/>
                <w:i/>
                <w:iCs/>
                <w:sz w:val="24"/>
                <w:szCs w:val="24"/>
              </w:rPr>
              <w:t>Leading Global Teams</w:t>
            </w:r>
            <w:r>
              <w:rPr>
                <w:rFonts w:ascii="Arial" w:hAnsi="Arial" w:cs="Arial"/>
                <w:sz w:val="24"/>
                <w:szCs w:val="24"/>
              </w:rPr>
              <w:t xml:space="preserve"> course to improve cross-cultural leadership</w:t>
            </w:r>
          </w:p>
        </w:tc>
        <w:tc>
          <w:tcPr>
            <w:tcW w:w="0" w:type="auto"/>
          </w:tcPr>
          <w:p w14:paraId="2C951ED5">
            <w:pPr>
              <w:spacing w:after="160" w:line="360" w:lineRule="auto"/>
              <w:jc w:val="both"/>
              <w:rPr>
                <w:rFonts w:ascii="Arial" w:hAnsi="Arial" w:cs="Arial"/>
                <w:sz w:val="24"/>
                <w:szCs w:val="24"/>
              </w:rPr>
            </w:pPr>
            <w:r>
              <w:rPr>
                <w:rFonts w:ascii="Arial" w:hAnsi="Arial" w:cs="Arial"/>
                <w:sz w:val="24"/>
                <w:szCs w:val="24"/>
              </w:rPr>
              <w:t>By May 2026</w:t>
            </w:r>
          </w:p>
        </w:tc>
      </w:tr>
      <w:tr w14:paraId="2DBD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78E711">
            <w:pPr>
              <w:spacing w:after="160" w:line="360" w:lineRule="auto"/>
              <w:jc w:val="both"/>
              <w:rPr>
                <w:rFonts w:ascii="Arial" w:hAnsi="Arial" w:cs="Arial"/>
                <w:sz w:val="24"/>
                <w:szCs w:val="24"/>
              </w:rPr>
            </w:pPr>
            <w:r>
              <w:rPr>
                <w:rFonts w:ascii="Arial" w:hAnsi="Arial" w:cs="Arial"/>
                <w:sz w:val="24"/>
                <w:szCs w:val="24"/>
              </w:rPr>
              <w:t>Attend public-speaking workshops to strengthen presentation confidence</w:t>
            </w:r>
          </w:p>
        </w:tc>
        <w:tc>
          <w:tcPr>
            <w:tcW w:w="0" w:type="auto"/>
          </w:tcPr>
          <w:p w14:paraId="5A45403B">
            <w:pPr>
              <w:spacing w:after="160" w:line="360" w:lineRule="auto"/>
              <w:jc w:val="both"/>
              <w:rPr>
                <w:rFonts w:ascii="Arial" w:hAnsi="Arial" w:cs="Arial"/>
                <w:sz w:val="24"/>
                <w:szCs w:val="24"/>
              </w:rPr>
            </w:pPr>
            <w:r>
              <w:rPr>
                <w:rFonts w:ascii="Arial" w:hAnsi="Arial" w:cs="Arial"/>
                <w:sz w:val="24"/>
                <w:szCs w:val="24"/>
              </w:rPr>
              <w:t>Ongoing (quarterly)</w:t>
            </w:r>
          </w:p>
        </w:tc>
      </w:tr>
      <w:tr w14:paraId="6C47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B707581">
            <w:pPr>
              <w:spacing w:after="160" w:line="360" w:lineRule="auto"/>
              <w:jc w:val="both"/>
              <w:rPr>
                <w:rFonts w:ascii="Arial" w:hAnsi="Arial" w:cs="Arial"/>
                <w:sz w:val="24"/>
                <w:szCs w:val="24"/>
              </w:rPr>
            </w:pPr>
            <w:r>
              <w:rPr>
                <w:rFonts w:ascii="Arial" w:hAnsi="Arial" w:cs="Arial"/>
                <w:sz w:val="24"/>
                <w:szCs w:val="24"/>
              </w:rPr>
              <w:t>Complete LinkedIn Learning certification in HR analytics and Power BI</w:t>
            </w:r>
          </w:p>
        </w:tc>
        <w:tc>
          <w:tcPr>
            <w:tcW w:w="0" w:type="auto"/>
          </w:tcPr>
          <w:p w14:paraId="5458C342">
            <w:pPr>
              <w:spacing w:after="160" w:line="360" w:lineRule="auto"/>
              <w:jc w:val="both"/>
              <w:rPr>
                <w:rFonts w:ascii="Arial" w:hAnsi="Arial" w:cs="Arial"/>
                <w:sz w:val="24"/>
                <w:szCs w:val="24"/>
              </w:rPr>
            </w:pPr>
            <w:r>
              <w:rPr>
                <w:rFonts w:ascii="Arial" w:hAnsi="Arial" w:cs="Arial"/>
                <w:sz w:val="24"/>
                <w:szCs w:val="24"/>
              </w:rPr>
              <w:t>By August 2026</w:t>
            </w:r>
          </w:p>
        </w:tc>
      </w:tr>
    </w:tbl>
    <w:p w14:paraId="751371EF">
      <w:pPr>
        <w:spacing w:line="360" w:lineRule="auto"/>
        <w:jc w:val="both"/>
        <w:rPr>
          <w:rFonts w:ascii="Arial" w:hAnsi="Arial" w:cs="Arial"/>
          <w:b/>
          <w:bCs/>
          <w:sz w:val="24"/>
          <w:szCs w:val="24"/>
        </w:rPr>
      </w:pPr>
    </w:p>
    <w:p w14:paraId="1CB2E29C">
      <w:pPr>
        <w:spacing w:line="360" w:lineRule="auto"/>
        <w:jc w:val="both"/>
        <w:rPr>
          <w:rFonts w:ascii="Arial" w:hAnsi="Arial" w:cs="Arial"/>
          <w:sz w:val="24"/>
          <w:szCs w:val="24"/>
        </w:rPr>
      </w:pPr>
    </w:p>
    <w:p w14:paraId="3AEE2CB5">
      <w:pPr>
        <w:pStyle w:val="3"/>
        <w:spacing w:line="360" w:lineRule="auto"/>
        <w:rPr>
          <w:rFonts w:cs="Arial"/>
          <w:szCs w:val="24"/>
        </w:rPr>
      </w:pPr>
      <w:bookmarkStart w:id="20" w:name="_Toc213587717"/>
      <w:r>
        <w:rPr>
          <w:rFonts w:cs="Arial"/>
          <w:szCs w:val="24"/>
        </w:rPr>
        <w:t>4.3 Development Plan</w:t>
      </w:r>
      <w:bookmarkEnd w:id="20"/>
    </w:p>
    <w:p w14:paraId="3B44100C">
      <w:pPr>
        <w:spacing w:line="360" w:lineRule="auto"/>
        <w:jc w:val="both"/>
        <w:rPr>
          <w:rFonts w:ascii="Arial" w:hAnsi="Arial" w:cs="Arial"/>
          <w:b/>
          <w:bCs/>
          <w:sz w:val="24"/>
          <w:szCs w:val="24"/>
        </w:rPr>
      </w:pPr>
      <w:r>
        <w:rPr>
          <w:rFonts w:ascii="Arial" w:hAnsi="Arial" w:cs="Arial"/>
          <w:b/>
          <w:bCs/>
          <w:sz w:val="24"/>
          <w:szCs w:val="24"/>
        </w:rPr>
        <w:t>Leveraging Strengths for Employability</w:t>
      </w:r>
    </w:p>
    <w:p w14:paraId="63F20CFC">
      <w:pPr>
        <w:spacing w:line="360" w:lineRule="auto"/>
        <w:jc w:val="both"/>
        <w:rPr>
          <w:rFonts w:ascii="Arial" w:hAnsi="Arial" w:cs="Arial"/>
          <w:sz w:val="24"/>
          <w:szCs w:val="24"/>
        </w:rPr>
      </w:pPr>
      <w:r>
        <w:rPr>
          <w:rFonts w:ascii="Arial" w:hAnsi="Arial" w:cs="Arial"/>
          <w:sz w:val="24"/>
          <w:szCs w:val="24"/>
        </w:rPr>
        <w:t>Through providing the opportunity to make evidence-based decisions and plan the workforce based on the data, possessing a competent knowledge of the data analytics and AI-driven data analysis tools enhances employability in the strategic human resource management sector.  With good communication and collaboration skills, the ability to interact effectively with stakeholders and integrate with other business functional areas is another support in digitally adaptive businesses.</w:t>
      </w:r>
    </w:p>
    <w:p w14:paraId="52E047AC">
      <w:pPr>
        <w:spacing w:line="360" w:lineRule="auto"/>
        <w:jc w:val="both"/>
        <w:rPr>
          <w:rFonts w:ascii="Arial" w:hAnsi="Arial" w:cs="Arial"/>
          <w:sz w:val="24"/>
          <w:szCs w:val="24"/>
        </w:rPr>
      </w:pPr>
      <w:r>
        <w:rPr>
          <w:rFonts w:ascii="Arial" w:hAnsi="Arial" w:cs="Arial"/>
          <w:b/>
          <w:bCs/>
          <w:sz w:val="24"/>
          <w:szCs w:val="24"/>
        </w:rPr>
        <w:t>Addressing Weaknesses with Actionable Steps:</w:t>
      </w:r>
    </w:p>
    <w:p w14:paraId="77101E31">
      <w:pPr>
        <w:spacing w:line="360" w:lineRule="auto"/>
        <w:jc w:val="both"/>
        <w:rPr>
          <w:rFonts w:ascii="Arial" w:hAnsi="Arial" w:cs="Arial"/>
          <w:sz w:val="24"/>
          <w:szCs w:val="24"/>
        </w:rPr>
      </w:pPr>
      <w:r>
        <w:rPr>
          <w:rFonts w:ascii="Arial" w:hAnsi="Arial" w:cs="Arial"/>
          <w:sz w:val="24"/>
          <w:szCs w:val="24"/>
        </w:rPr>
        <w:t>To enhance leadership in multi-cultural backgrounds, one should seize chances of leading global projects teams and implementing cross-cultural management model. The ability to talk to people can be trained during the professional communication workshop, whereas the reliance on digital collaboration tools can be compensated by attending on-site networking events to strengthen the interpersonal and leadership presence.</w:t>
      </w:r>
      <w:r>
        <w:rPr>
          <w:rFonts w:ascii="Arial" w:hAnsi="Arial" w:cs="Arial"/>
          <w:sz w:val="24"/>
          <w:szCs w:val="24"/>
        </w:rPr>
        <w:br w:type="page"/>
      </w:r>
    </w:p>
    <w:p w14:paraId="0752FCD4">
      <w:pPr>
        <w:pStyle w:val="2"/>
        <w:spacing w:line="360" w:lineRule="auto"/>
        <w:jc w:val="both"/>
        <w:rPr>
          <w:rFonts w:ascii="Arial" w:hAnsi="Arial" w:cs="Arial"/>
          <w:b/>
          <w:bCs/>
          <w:color w:val="000000" w:themeColor="text1"/>
          <w:sz w:val="24"/>
          <w:szCs w:val="24"/>
          <w14:textFill>
            <w14:solidFill>
              <w14:schemeClr w14:val="tx1"/>
            </w14:solidFill>
          </w14:textFill>
        </w:rPr>
      </w:pPr>
      <w:bookmarkStart w:id="21" w:name="_Toc213587718"/>
      <w:r>
        <w:rPr>
          <w:rFonts w:ascii="Arial" w:hAnsi="Arial" w:cs="Arial"/>
          <w:b/>
          <w:bCs/>
          <w:color w:val="000000" w:themeColor="text1"/>
          <w:sz w:val="24"/>
          <w:szCs w:val="24"/>
          <w14:textFill>
            <w14:solidFill>
              <w14:schemeClr w14:val="tx1"/>
            </w14:solidFill>
          </w14:textFill>
        </w:rPr>
        <w:t>Conclusion</w:t>
      </w:r>
      <w:bookmarkEnd w:id="21"/>
    </w:p>
    <w:p w14:paraId="724B2BCE">
      <w:pPr>
        <w:spacing w:line="360" w:lineRule="auto"/>
        <w:jc w:val="both"/>
        <w:rPr>
          <w:rFonts w:ascii="Arial" w:hAnsi="Arial" w:cs="Arial" w:eastAsiaTheme="majorEastAsia"/>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This report has critically looked at how global labour markets and the management of human resources is being redefined by technological innovation, demographic changes, and geopolitical forces. The results have indicated that automation and AI are changing the nature of jobs and necessitate the constant reskilling and the hybrid approach to the labour force, ageing populations and the problem of international movement demand flexible HR policies. The strategic management of HRM including build-buy-borrow-bind is important in closing any skills knowledge gaps by using data-based planning of the workforce. The reflection showed that to be a successful leader in the rapidly changing world, future managers should have global and adaptive competencies such as digital literacy, leadership, and intercultural collaboration.</w:t>
      </w:r>
      <w:r>
        <w:rPr>
          <w:rFonts w:ascii="Arial" w:hAnsi="Arial" w:cs="Arial"/>
          <w:color w:val="000000" w:themeColor="text1"/>
          <w:sz w:val="24"/>
          <w:szCs w:val="24"/>
          <w14:textFill>
            <w14:solidFill>
              <w14:schemeClr w14:val="tx1"/>
            </w14:solidFill>
          </w14:textFill>
        </w:rPr>
        <w:br w:type="page"/>
      </w:r>
    </w:p>
    <w:p w14:paraId="638020BA">
      <w:pPr>
        <w:pStyle w:val="2"/>
        <w:spacing w:line="360" w:lineRule="auto"/>
        <w:jc w:val="both"/>
        <w:rPr>
          <w:rFonts w:ascii="Arial" w:hAnsi="Arial" w:cs="Arial"/>
          <w:b/>
          <w:bCs/>
          <w:color w:val="000000" w:themeColor="text1"/>
          <w:sz w:val="24"/>
          <w:szCs w:val="24"/>
          <w14:textFill>
            <w14:solidFill>
              <w14:schemeClr w14:val="tx1"/>
            </w14:solidFill>
          </w14:textFill>
        </w:rPr>
      </w:pPr>
      <w:bookmarkStart w:id="22" w:name="_Toc213587719"/>
      <w:r>
        <w:rPr>
          <w:rFonts w:ascii="Arial" w:hAnsi="Arial" w:cs="Arial"/>
          <w:b/>
          <w:bCs/>
          <w:color w:val="000000" w:themeColor="text1"/>
          <w:sz w:val="24"/>
          <w:szCs w:val="24"/>
          <w14:textFill>
            <w14:solidFill>
              <w14:schemeClr w14:val="tx1"/>
            </w14:solidFill>
          </w14:textFill>
        </w:rPr>
        <w:t>References</w:t>
      </w:r>
      <w:bookmarkEnd w:id="22"/>
    </w:p>
    <w:p w14:paraId="74690B69">
      <w:pPr>
        <w:spacing w:line="360" w:lineRule="auto"/>
        <w:jc w:val="both"/>
        <w:rPr>
          <w:rFonts w:ascii="Arial" w:hAnsi="Arial" w:cs="Arial"/>
          <w:sz w:val="24"/>
          <w:szCs w:val="24"/>
        </w:rPr>
      </w:pPr>
      <w:r>
        <w:rPr>
          <w:rFonts w:ascii="Arial" w:hAnsi="Arial" w:cs="Arial"/>
          <w:sz w:val="24"/>
          <w:szCs w:val="24"/>
        </w:rPr>
        <w:t xml:space="preserve">Ahmed, N. (2024). </w:t>
      </w:r>
      <w:r>
        <w:rPr>
          <w:rFonts w:ascii="Arial" w:hAnsi="Arial" w:cs="Arial"/>
          <w:i/>
          <w:iCs/>
          <w:sz w:val="24"/>
          <w:szCs w:val="24"/>
        </w:rPr>
        <w:t>Recent Trends and Statistics of Remote Work in 2024 - Interloop</w:t>
      </w:r>
      <w:r>
        <w:rPr>
          <w:rFonts w:ascii="Arial" w:hAnsi="Arial" w:cs="Arial"/>
          <w:sz w:val="24"/>
          <w:szCs w:val="24"/>
        </w:rPr>
        <w:t>. [online] Interloop. Available at: https://inlps-production.azurewebsites.net/recent-trends-and-statistics-of-remote-work-in-2024/ [Accessed 1 Nov. 2025].</w:t>
      </w:r>
    </w:p>
    <w:p w14:paraId="7CE7A8E9">
      <w:pPr>
        <w:spacing w:line="360" w:lineRule="auto"/>
        <w:jc w:val="both"/>
        <w:rPr>
          <w:rFonts w:ascii="Arial" w:hAnsi="Arial" w:cs="Arial"/>
          <w:sz w:val="24"/>
          <w:szCs w:val="24"/>
        </w:rPr>
      </w:pPr>
      <w:r>
        <w:rPr>
          <w:rFonts w:ascii="Arial" w:hAnsi="Arial" w:cs="Arial"/>
          <w:sz w:val="24"/>
          <w:szCs w:val="24"/>
        </w:rPr>
        <w:t>Altexsoft (2025). [online] Altexsoft.com. Available at: https://www.altexsoft.com/static/blog-post/2024/1/848fad12-bd06-4c3d-856e-87c3d4410c96.jpg [Accessed 5 Nov. 2025].</w:t>
      </w:r>
    </w:p>
    <w:p w14:paraId="5E47F6E4">
      <w:pPr>
        <w:spacing w:line="360" w:lineRule="auto"/>
        <w:jc w:val="both"/>
        <w:rPr>
          <w:rFonts w:ascii="Arial" w:hAnsi="Arial" w:cs="Arial"/>
          <w:sz w:val="24"/>
          <w:szCs w:val="24"/>
        </w:rPr>
      </w:pPr>
      <w:r>
        <w:rPr>
          <w:rFonts w:ascii="Arial" w:hAnsi="Arial" w:cs="Arial"/>
          <w:sz w:val="24"/>
          <w:szCs w:val="24"/>
        </w:rPr>
        <w:t xml:space="preserve">BCG Global (2025). </w:t>
      </w:r>
      <w:r>
        <w:rPr>
          <w:rFonts w:ascii="Arial" w:hAnsi="Arial" w:cs="Arial"/>
          <w:i/>
          <w:iCs/>
          <w:sz w:val="24"/>
          <w:szCs w:val="24"/>
        </w:rPr>
        <w:t>How AI Is Changing Recruitment</w:t>
      </w:r>
      <w:r>
        <w:rPr>
          <w:rFonts w:ascii="Arial" w:hAnsi="Arial" w:cs="Arial"/>
          <w:sz w:val="24"/>
          <w:szCs w:val="24"/>
        </w:rPr>
        <w:t>. [online] BCG Global. Available at: https://www.bcg.com/publications/2025/ai-changing-recruitment.</w:t>
      </w:r>
    </w:p>
    <w:p w14:paraId="09D77999">
      <w:pPr>
        <w:spacing w:line="360" w:lineRule="auto"/>
        <w:jc w:val="both"/>
        <w:rPr>
          <w:rFonts w:ascii="Arial" w:hAnsi="Arial" w:cs="Arial"/>
          <w:sz w:val="24"/>
          <w:szCs w:val="24"/>
        </w:rPr>
      </w:pPr>
      <w:r>
        <w:rPr>
          <w:rFonts w:ascii="Arial" w:hAnsi="Arial" w:cs="Arial"/>
          <w:sz w:val="24"/>
          <w:szCs w:val="24"/>
        </w:rPr>
        <w:t>Brynjolfsson, E., &amp;amp; McAfee, A. (2014). The Second Machine Age: Work, Progress, and Prosperity in a Time of Brilliant Technologies. W. W. Norton &amp;amp; Company. (A foundational text on the economic impact of technology).</w:t>
      </w:r>
    </w:p>
    <w:p w14:paraId="2A60A439">
      <w:pPr>
        <w:spacing w:line="360" w:lineRule="auto"/>
        <w:jc w:val="both"/>
        <w:rPr>
          <w:rFonts w:ascii="Arial" w:hAnsi="Arial" w:cs="Arial"/>
          <w:sz w:val="24"/>
          <w:szCs w:val="24"/>
        </w:rPr>
      </w:pPr>
      <w:r>
        <w:rPr>
          <w:rFonts w:ascii="Arial" w:hAnsi="Arial" w:cs="Arial"/>
          <w:sz w:val="24"/>
          <w:szCs w:val="24"/>
        </w:rPr>
        <w:t xml:space="preserve">Business Research Insight (2025). </w:t>
      </w:r>
      <w:r>
        <w:rPr>
          <w:rFonts w:ascii="Arial" w:hAnsi="Arial" w:cs="Arial"/>
          <w:i/>
          <w:iCs/>
          <w:sz w:val="24"/>
          <w:szCs w:val="24"/>
        </w:rPr>
        <w:t>Healthcare M2M Market 2025-2033 | Size, Share, Growth, Trend</w:t>
      </w:r>
      <w:r>
        <w:rPr>
          <w:rFonts w:ascii="Arial" w:hAnsi="Arial" w:cs="Arial"/>
          <w:sz w:val="24"/>
          <w:szCs w:val="24"/>
        </w:rPr>
        <w:t>. [online] Businessresearchinsights.com. Available at: https://www.businessresearchinsights.com/market-reports/healthcare-m2m-market-100162 [Accessed 4 Nov. 2025].</w:t>
      </w:r>
    </w:p>
    <w:p w14:paraId="5888D6AD">
      <w:pPr>
        <w:spacing w:line="360" w:lineRule="auto"/>
        <w:jc w:val="both"/>
        <w:rPr>
          <w:rFonts w:ascii="Arial" w:hAnsi="Arial" w:cs="Arial"/>
          <w:sz w:val="24"/>
          <w:szCs w:val="24"/>
        </w:rPr>
      </w:pPr>
      <w:r>
        <w:rPr>
          <w:rFonts w:ascii="Arial" w:hAnsi="Arial" w:cs="Arial"/>
          <w:sz w:val="24"/>
          <w:szCs w:val="24"/>
        </w:rPr>
        <w:t>Cappelli, P. H. (2008). Talent on Demand: Managing Talent in an Age of Uncertainty. Harvard Business Press. (The classic &amp;quot;Make vs. Buy&amp;quot; framework for talent management).</w:t>
      </w:r>
    </w:p>
    <w:p w14:paraId="14A09EFD">
      <w:pPr>
        <w:spacing w:line="360" w:lineRule="auto"/>
        <w:jc w:val="both"/>
        <w:rPr>
          <w:rFonts w:ascii="Arial" w:hAnsi="Arial" w:cs="Arial"/>
          <w:sz w:val="24"/>
          <w:szCs w:val="24"/>
        </w:rPr>
      </w:pPr>
      <w:r>
        <w:rPr>
          <w:rFonts w:ascii="Arial" w:hAnsi="Arial" w:cs="Arial"/>
          <w:sz w:val="24"/>
          <w:szCs w:val="24"/>
        </w:rPr>
        <w:t xml:space="preserve">Cartus (2024). </w:t>
      </w:r>
      <w:r>
        <w:rPr>
          <w:rFonts w:ascii="Arial" w:hAnsi="Arial" w:cs="Arial"/>
          <w:i/>
          <w:iCs/>
          <w:sz w:val="24"/>
          <w:szCs w:val="24"/>
        </w:rPr>
        <w:t>the great balancing act: optimizing the employee experience while controlling costs global talent mobility survey 2024</w:t>
      </w:r>
      <w:r>
        <w:rPr>
          <w:rFonts w:ascii="Arial" w:hAnsi="Arial" w:cs="Arial"/>
          <w:sz w:val="24"/>
          <w:szCs w:val="24"/>
        </w:rPr>
        <w:t>. [online] Available at: https://assets.ctfassets.net/2czxzrwels61/2DKMvHMfomwEmQmM4iiYjU/fa605e1f1372afce09d3506ab9180242/Cartus_Global-Talent-Mobility-Full-Report_2024-03.pdf [Accessed 2 Nov. 2025].</w:t>
      </w:r>
    </w:p>
    <w:p w14:paraId="71001837">
      <w:pPr>
        <w:spacing w:line="360" w:lineRule="auto"/>
        <w:jc w:val="both"/>
        <w:rPr>
          <w:rFonts w:ascii="Arial" w:hAnsi="Arial" w:cs="Arial"/>
          <w:sz w:val="24"/>
          <w:szCs w:val="24"/>
        </w:rPr>
      </w:pPr>
      <w:r>
        <w:rPr>
          <w:rFonts w:ascii="Arial" w:hAnsi="Arial" w:cs="Arial"/>
          <w:sz w:val="24"/>
          <w:szCs w:val="24"/>
        </w:rPr>
        <w:t xml:space="preserve">Chris (2025). </w:t>
      </w:r>
      <w:r>
        <w:rPr>
          <w:rFonts w:ascii="Arial" w:hAnsi="Arial" w:cs="Arial"/>
          <w:i/>
          <w:iCs/>
          <w:sz w:val="24"/>
          <w:szCs w:val="24"/>
        </w:rPr>
        <w:t>Lack of digital skills in workforce costing UK over £23 BILLION per year - FutureDotNow</w:t>
      </w:r>
      <w:r>
        <w:rPr>
          <w:rFonts w:ascii="Arial" w:hAnsi="Arial" w:cs="Arial"/>
          <w:sz w:val="24"/>
          <w:szCs w:val="24"/>
        </w:rPr>
        <w:t>. [online] FutureDotNow. Available at: https://futuredotnow.uk/lack-of-digital-skills-in-workforce-costing-uk-over-23-billion-per-year/ [Accessed 8 Nov. 2025].</w:t>
      </w:r>
    </w:p>
    <w:p w14:paraId="2BADDAB0">
      <w:pPr>
        <w:spacing w:line="360" w:lineRule="auto"/>
        <w:jc w:val="both"/>
        <w:rPr>
          <w:rFonts w:ascii="Arial" w:hAnsi="Arial" w:cs="Arial"/>
          <w:sz w:val="24"/>
          <w:szCs w:val="24"/>
        </w:rPr>
      </w:pPr>
      <w:r>
        <w:rPr>
          <w:rFonts w:ascii="Arial" w:hAnsi="Arial" w:cs="Arial"/>
          <w:sz w:val="24"/>
          <w:szCs w:val="24"/>
        </w:rPr>
        <w:t xml:space="preserve">CIPD (2024). </w:t>
      </w:r>
      <w:r>
        <w:rPr>
          <w:rFonts w:ascii="Arial" w:hAnsi="Arial" w:cs="Arial"/>
          <w:i/>
          <w:iCs/>
          <w:sz w:val="24"/>
          <w:szCs w:val="24"/>
        </w:rPr>
        <w:t>CIPD Good Work Index 2024</w:t>
      </w:r>
      <w:r>
        <w:rPr>
          <w:rFonts w:ascii="Arial" w:hAnsi="Arial" w:cs="Arial"/>
          <w:sz w:val="24"/>
          <w:szCs w:val="24"/>
        </w:rPr>
        <w:t>. [online] Available at: https://www.cipd.org/globalassets/media/knowledge/knowledge-hub/reports/2024-pdfs/8625-good-work-index-2024-survey-report-1-web.pdf.</w:t>
      </w:r>
    </w:p>
    <w:p w14:paraId="47AB4A35">
      <w:pPr>
        <w:spacing w:line="360" w:lineRule="auto"/>
        <w:jc w:val="both"/>
        <w:rPr>
          <w:rFonts w:ascii="Arial" w:hAnsi="Arial" w:cs="Arial"/>
          <w:sz w:val="24"/>
          <w:szCs w:val="24"/>
        </w:rPr>
      </w:pPr>
      <w:r>
        <w:rPr>
          <w:rFonts w:ascii="Arial" w:hAnsi="Arial" w:cs="Arial"/>
          <w:sz w:val="24"/>
          <w:szCs w:val="24"/>
        </w:rPr>
        <w:t xml:space="preserve">Cognitive Market Research (2022). </w:t>
      </w:r>
      <w:r>
        <w:rPr>
          <w:rFonts w:ascii="Arial" w:hAnsi="Arial" w:cs="Arial"/>
          <w:i/>
          <w:iCs/>
          <w:sz w:val="24"/>
          <w:szCs w:val="24"/>
        </w:rPr>
        <w:t>Global Gig Economy Market Report 2024 Edition, Market Size, Share, CAGR, Forecast, Revenue</w:t>
      </w:r>
      <w:r>
        <w:rPr>
          <w:rFonts w:ascii="Arial" w:hAnsi="Arial" w:cs="Arial"/>
          <w:sz w:val="24"/>
          <w:szCs w:val="24"/>
        </w:rPr>
        <w:t>. [online] Cognitive Market Research. Available at: https://www.cognitivemarketresearch.com/gig-economy-market-report.</w:t>
      </w:r>
    </w:p>
    <w:p w14:paraId="114ABCE8">
      <w:pPr>
        <w:spacing w:line="360" w:lineRule="auto"/>
        <w:jc w:val="both"/>
        <w:rPr>
          <w:rFonts w:ascii="Arial" w:hAnsi="Arial" w:cs="Arial"/>
          <w:sz w:val="24"/>
          <w:szCs w:val="24"/>
        </w:rPr>
      </w:pPr>
      <w:r>
        <w:rPr>
          <w:rFonts w:ascii="Arial" w:hAnsi="Arial" w:cs="Arial"/>
          <w:sz w:val="24"/>
          <w:szCs w:val="24"/>
        </w:rPr>
        <w:t xml:space="preserve">Cucumber Recruitment (2025). </w:t>
      </w:r>
      <w:r>
        <w:rPr>
          <w:rFonts w:ascii="Arial" w:hAnsi="Arial" w:cs="Arial"/>
          <w:i/>
          <w:iCs/>
          <w:sz w:val="24"/>
          <w:szCs w:val="24"/>
        </w:rPr>
        <w:t>NHS Nurse Employment Statistics 2024</w:t>
      </w:r>
      <w:r>
        <w:rPr>
          <w:rFonts w:ascii="Arial" w:hAnsi="Arial" w:cs="Arial"/>
          <w:sz w:val="24"/>
          <w:szCs w:val="24"/>
        </w:rPr>
        <w:t>. [online] Cucumber Recruitment. Available at: https://www.cucumber-recruitment.co.uk/resources/insights/nhs-nurse-employment-statistics-2024 [Accessed 30 Oct. 2025].</w:t>
      </w:r>
    </w:p>
    <w:p w14:paraId="7B3DC819">
      <w:pPr>
        <w:spacing w:line="360" w:lineRule="auto"/>
        <w:jc w:val="both"/>
        <w:rPr>
          <w:rFonts w:ascii="Arial" w:hAnsi="Arial" w:cs="Arial"/>
          <w:sz w:val="24"/>
          <w:szCs w:val="24"/>
        </w:rPr>
      </w:pPr>
      <w:r>
        <w:rPr>
          <w:rFonts w:ascii="Arial" w:hAnsi="Arial" w:cs="Arial"/>
          <w:sz w:val="24"/>
          <w:szCs w:val="24"/>
        </w:rPr>
        <w:t>Dowling, P. J., Festing, M., &amp;amp; Engle, A. D. (2017). International Human Resource Management. Cengage Learning. (A core IHRM textbook with chapters dedicated to the global context).</w:t>
      </w:r>
    </w:p>
    <w:p w14:paraId="0C3273A7">
      <w:pPr>
        <w:spacing w:line="360" w:lineRule="auto"/>
        <w:jc w:val="both"/>
        <w:rPr>
          <w:rFonts w:ascii="Arial" w:hAnsi="Arial" w:cs="Arial"/>
          <w:sz w:val="24"/>
          <w:szCs w:val="24"/>
        </w:rPr>
      </w:pPr>
      <w:r>
        <w:rPr>
          <w:rFonts w:ascii="Arial" w:hAnsi="Arial" w:cs="Arial"/>
          <w:sz w:val="24"/>
          <w:szCs w:val="24"/>
        </w:rPr>
        <w:t>Feng, L., Barry, P. and Eldridge, D., 2025. Applying action learning in democratic educational practices: using a triple-layered reflective approach in an MSc HRM Enhancement Programme (HRMEP). </w:t>
      </w:r>
      <w:r>
        <w:rPr>
          <w:rFonts w:ascii="Arial" w:hAnsi="Arial" w:cs="Arial"/>
          <w:i/>
          <w:iCs/>
          <w:sz w:val="24"/>
          <w:szCs w:val="24"/>
        </w:rPr>
        <w:t>Action Learning: Research and Practice</w:t>
      </w:r>
      <w:r>
        <w:rPr>
          <w:rFonts w:ascii="Arial" w:hAnsi="Arial" w:cs="Arial"/>
          <w:sz w:val="24"/>
          <w:szCs w:val="24"/>
        </w:rPr>
        <w:t>, pp.1-11.</w:t>
      </w:r>
    </w:p>
    <w:p w14:paraId="068B77DB">
      <w:pPr>
        <w:spacing w:line="360" w:lineRule="auto"/>
        <w:jc w:val="both"/>
        <w:rPr>
          <w:rFonts w:ascii="Arial" w:hAnsi="Arial" w:cs="Arial"/>
          <w:sz w:val="24"/>
          <w:szCs w:val="24"/>
        </w:rPr>
      </w:pPr>
      <w:r>
        <w:rPr>
          <w:rFonts w:ascii="Arial" w:hAnsi="Arial" w:cs="Arial"/>
          <w:sz w:val="24"/>
          <w:szCs w:val="24"/>
        </w:rPr>
        <w:t xml:space="preserve">Gibbs, G. (1988) </w:t>
      </w:r>
      <w:r>
        <w:rPr>
          <w:rFonts w:ascii="Arial" w:hAnsi="Arial" w:cs="Arial"/>
          <w:i/>
          <w:iCs/>
          <w:sz w:val="24"/>
          <w:szCs w:val="24"/>
        </w:rPr>
        <w:t>Learning by Doing: A Guide to Teaching and Learning Methods.</w:t>
      </w:r>
      <w:r>
        <w:rPr>
          <w:rFonts w:ascii="Arial" w:hAnsi="Arial" w:cs="Arial"/>
          <w:sz w:val="24"/>
          <w:szCs w:val="24"/>
        </w:rPr>
        <w:t xml:space="preserve"> Oxford: Oxford Polytechnic, Further Education Unit.</w:t>
      </w:r>
    </w:p>
    <w:p w14:paraId="2F81CA27">
      <w:pPr>
        <w:spacing w:line="360" w:lineRule="auto"/>
        <w:jc w:val="both"/>
        <w:rPr>
          <w:rFonts w:ascii="Arial" w:hAnsi="Arial" w:cs="Arial"/>
          <w:sz w:val="24"/>
          <w:szCs w:val="24"/>
        </w:rPr>
      </w:pPr>
      <w:r>
        <w:rPr>
          <w:rFonts w:ascii="Arial" w:hAnsi="Arial" w:cs="Arial"/>
          <w:sz w:val="24"/>
          <w:szCs w:val="24"/>
        </w:rPr>
        <w:t xml:space="preserve">Gig Economy Data (2025). </w:t>
      </w:r>
      <w:r>
        <w:rPr>
          <w:rFonts w:ascii="Arial" w:hAnsi="Arial" w:cs="Arial"/>
          <w:i/>
          <w:iCs/>
          <w:sz w:val="24"/>
          <w:szCs w:val="24"/>
        </w:rPr>
        <w:t>How many gig workers are there?</w:t>
      </w:r>
      <w:r>
        <w:rPr>
          <w:rFonts w:ascii="Arial" w:hAnsi="Arial" w:cs="Arial"/>
          <w:sz w:val="24"/>
          <w:szCs w:val="24"/>
        </w:rPr>
        <w:t xml:space="preserve"> [online] GigEconomyData.org. Available at: https://gigeconomydata.org/basics/how-many-gig-workers-are-there.html.</w:t>
      </w:r>
    </w:p>
    <w:p w14:paraId="2134F97C">
      <w:pPr>
        <w:spacing w:line="360" w:lineRule="auto"/>
        <w:jc w:val="both"/>
        <w:rPr>
          <w:rFonts w:ascii="Arial" w:hAnsi="Arial" w:cs="Arial"/>
          <w:sz w:val="24"/>
          <w:szCs w:val="24"/>
        </w:rPr>
      </w:pPr>
      <w:r>
        <w:rPr>
          <w:rFonts w:ascii="Arial" w:hAnsi="Arial" w:cs="Arial"/>
          <w:sz w:val="24"/>
          <w:szCs w:val="24"/>
        </w:rPr>
        <w:t xml:space="preserve">Global Market Insights Inc (2024). </w:t>
      </w:r>
      <w:r>
        <w:rPr>
          <w:rFonts w:ascii="Arial" w:hAnsi="Arial" w:cs="Arial"/>
          <w:i/>
          <w:iCs/>
          <w:sz w:val="24"/>
          <w:szCs w:val="24"/>
        </w:rPr>
        <w:t>Digital Badges Market Statistics| Global Analysis Report, 2032</w:t>
      </w:r>
      <w:r>
        <w:rPr>
          <w:rFonts w:ascii="Arial" w:hAnsi="Arial" w:cs="Arial"/>
          <w:sz w:val="24"/>
          <w:szCs w:val="24"/>
        </w:rPr>
        <w:t>. [online] Global Market Insights Inc. Available at: https://www.gminsights.com/industry-analysis/digital-badges-market.</w:t>
      </w:r>
    </w:p>
    <w:p w14:paraId="0853D02F">
      <w:pPr>
        <w:spacing w:line="360" w:lineRule="auto"/>
        <w:jc w:val="both"/>
        <w:rPr>
          <w:rFonts w:ascii="Arial" w:hAnsi="Arial" w:cs="Arial"/>
          <w:sz w:val="24"/>
          <w:szCs w:val="24"/>
        </w:rPr>
      </w:pPr>
      <w:r>
        <w:rPr>
          <w:rFonts w:ascii="Arial" w:hAnsi="Arial" w:cs="Arial"/>
          <w:sz w:val="24"/>
          <w:szCs w:val="24"/>
        </w:rPr>
        <w:t xml:space="preserve">Group, I. (2024). </w:t>
      </w:r>
      <w:r>
        <w:rPr>
          <w:rFonts w:ascii="Arial" w:hAnsi="Arial" w:cs="Arial"/>
          <w:i/>
          <w:iCs/>
          <w:sz w:val="24"/>
          <w:szCs w:val="24"/>
        </w:rPr>
        <w:t>Coding Bootcamp Market Size, Share, Growth and Industry Report</w:t>
      </w:r>
      <w:r>
        <w:rPr>
          <w:rFonts w:ascii="Arial" w:hAnsi="Arial" w:cs="Arial"/>
          <w:sz w:val="24"/>
          <w:szCs w:val="24"/>
        </w:rPr>
        <w:t>. [online] Imarcgroup.com. Available at: https://www.imarcgroup.com/coding-bootcamp-market [Accessed  6Nov. 2025].</w:t>
      </w:r>
    </w:p>
    <w:p w14:paraId="12664F27">
      <w:pPr>
        <w:spacing w:line="360" w:lineRule="auto"/>
        <w:jc w:val="both"/>
        <w:rPr>
          <w:rFonts w:ascii="Arial" w:hAnsi="Arial" w:cs="Arial"/>
          <w:sz w:val="24"/>
          <w:szCs w:val="24"/>
        </w:rPr>
      </w:pPr>
      <w:r>
        <w:rPr>
          <w:rFonts w:ascii="Arial" w:hAnsi="Arial" w:cs="Arial"/>
          <w:sz w:val="24"/>
          <w:szCs w:val="24"/>
        </w:rPr>
        <w:t xml:space="preserve">Hyve (2024). </w:t>
      </w:r>
      <w:r>
        <w:rPr>
          <w:rFonts w:ascii="Arial" w:hAnsi="Arial" w:cs="Arial"/>
          <w:i/>
          <w:iCs/>
          <w:sz w:val="24"/>
          <w:szCs w:val="24"/>
        </w:rPr>
        <w:t>IT and Tech Skills Gap Report 2024 | Hyve Managed Hosting</w:t>
      </w:r>
      <w:r>
        <w:rPr>
          <w:rFonts w:ascii="Arial" w:hAnsi="Arial" w:cs="Arial"/>
          <w:sz w:val="24"/>
          <w:szCs w:val="24"/>
        </w:rPr>
        <w:t>. [online] Hyve Managed Hosting. Available at: https://www.hyve.com/insights/downloads/it-and-tech-skills-gap-report/.</w:t>
      </w:r>
    </w:p>
    <w:p w14:paraId="79F747DB">
      <w:pPr>
        <w:spacing w:line="360" w:lineRule="auto"/>
        <w:jc w:val="both"/>
        <w:rPr>
          <w:rFonts w:ascii="Arial" w:hAnsi="Arial" w:cs="Arial"/>
          <w:sz w:val="24"/>
          <w:szCs w:val="24"/>
        </w:rPr>
      </w:pPr>
      <w:r>
        <w:rPr>
          <w:rFonts w:ascii="Arial" w:hAnsi="Arial" w:cs="Arial"/>
          <w:sz w:val="24"/>
          <w:szCs w:val="24"/>
        </w:rPr>
        <w:t xml:space="preserve">Institute of Hospitality (2024). </w:t>
      </w:r>
      <w:r>
        <w:rPr>
          <w:rFonts w:ascii="Arial" w:hAnsi="Arial" w:cs="Arial"/>
          <w:i/>
          <w:iCs/>
          <w:sz w:val="24"/>
          <w:szCs w:val="24"/>
        </w:rPr>
        <w:t>Labour and skills market in the UK economy</w:t>
      </w:r>
      <w:r>
        <w:rPr>
          <w:rFonts w:ascii="Arial" w:hAnsi="Arial" w:cs="Arial"/>
          <w:sz w:val="24"/>
          <w:szCs w:val="24"/>
        </w:rPr>
        <w:t>. [online] Available at: https://www.instituteofhospitality.org/wp-content/uploads/2024/04/MarketIntelligenceApril2024.pdf.</w:t>
      </w:r>
    </w:p>
    <w:p w14:paraId="1E8CA1B5">
      <w:pPr>
        <w:spacing w:line="360" w:lineRule="auto"/>
        <w:jc w:val="both"/>
        <w:rPr>
          <w:rFonts w:ascii="Arial" w:hAnsi="Arial" w:cs="Arial"/>
          <w:sz w:val="24"/>
          <w:szCs w:val="24"/>
        </w:rPr>
      </w:pPr>
      <w:r>
        <w:rPr>
          <w:rFonts w:ascii="Arial" w:hAnsi="Arial" w:cs="Arial"/>
          <w:sz w:val="24"/>
          <w:szCs w:val="24"/>
        </w:rPr>
        <w:t xml:space="preserve">Kulikowski, K. (2024). Defining analytical skills for human resources analytics: A call for standardization. </w:t>
      </w:r>
      <w:r>
        <w:rPr>
          <w:rFonts w:ascii="Arial" w:hAnsi="Arial" w:cs="Arial"/>
          <w:i/>
          <w:iCs/>
          <w:sz w:val="24"/>
          <w:szCs w:val="24"/>
        </w:rPr>
        <w:t>Journal of Entrepreneurship Management and Innovation</w:t>
      </w:r>
      <w:r>
        <w:rPr>
          <w:rFonts w:ascii="Arial" w:hAnsi="Arial" w:cs="Arial"/>
          <w:sz w:val="24"/>
          <w:szCs w:val="24"/>
        </w:rPr>
        <w:t>, 20(4), pp.88–103. doi:https://doi.org/10.7341/20242045.</w:t>
      </w:r>
    </w:p>
    <w:p w14:paraId="14246E0E">
      <w:pPr>
        <w:spacing w:line="360" w:lineRule="auto"/>
        <w:jc w:val="both"/>
        <w:rPr>
          <w:rFonts w:ascii="Arial" w:hAnsi="Arial" w:cs="Arial"/>
          <w:sz w:val="24"/>
          <w:szCs w:val="24"/>
        </w:rPr>
      </w:pPr>
      <w:r>
        <w:rPr>
          <w:rFonts w:ascii="Arial" w:hAnsi="Arial" w:cs="Arial"/>
          <w:sz w:val="24"/>
          <w:szCs w:val="24"/>
        </w:rPr>
        <w:t xml:space="preserve">McKinsey &amp; Company (2024). </w:t>
      </w:r>
      <w:r>
        <w:rPr>
          <w:rFonts w:ascii="Arial" w:hAnsi="Arial" w:cs="Arial"/>
          <w:i/>
          <w:iCs/>
          <w:sz w:val="24"/>
          <w:szCs w:val="24"/>
        </w:rPr>
        <w:t>Women in the Workplace</w:t>
      </w:r>
      <w:r>
        <w:rPr>
          <w:rFonts w:ascii="Arial" w:hAnsi="Arial" w:cs="Arial"/>
          <w:sz w:val="24"/>
          <w:szCs w:val="24"/>
        </w:rPr>
        <w:t>. [online] McKinsey. Available at: https://www.mckinsey.com/featured-insights/diversity-and-inclusion/women-in-the-workplace.</w:t>
      </w:r>
    </w:p>
    <w:p w14:paraId="549EC5A2">
      <w:pPr>
        <w:spacing w:line="360" w:lineRule="auto"/>
        <w:jc w:val="both"/>
        <w:rPr>
          <w:rFonts w:ascii="Arial" w:hAnsi="Arial" w:cs="Arial"/>
          <w:sz w:val="24"/>
          <w:szCs w:val="24"/>
        </w:rPr>
      </w:pPr>
      <w:r>
        <w:rPr>
          <w:rFonts w:ascii="Arial" w:hAnsi="Arial" w:cs="Arial"/>
          <w:sz w:val="24"/>
          <w:szCs w:val="24"/>
        </w:rPr>
        <w:t xml:space="preserve">Mishra, V. (2025). Global Supply Chain Shocks and Trade Resilience: A Review Post-Covid and Ukraine Crisis. </w:t>
      </w:r>
      <w:r>
        <w:rPr>
          <w:rFonts w:ascii="Arial" w:hAnsi="Arial" w:cs="Arial"/>
          <w:i/>
          <w:iCs/>
          <w:sz w:val="24"/>
          <w:szCs w:val="24"/>
        </w:rPr>
        <w:t>Journal of Marketing &amp; Social Research</w:t>
      </w:r>
      <w:r>
        <w:rPr>
          <w:rFonts w:ascii="Arial" w:hAnsi="Arial" w:cs="Arial"/>
          <w:sz w:val="24"/>
          <w:szCs w:val="24"/>
        </w:rPr>
        <w:t>, [online] 2(5), pp.336–348. doi:https://doi.org/10.61336/jmsr/25-05-38.</w:t>
      </w:r>
    </w:p>
    <w:p w14:paraId="6A10BAAE">
      <w:pPr>
        <w:spacing w:line="360" w:lineRule="auto"/>
        <w:jc w:val="both"/>
        <w:rPr>
          <w:rFonts w:ascii="Arial" w:hAnsi="Arial" w:cs="Arial"/>
          <w:sz w:val="24"/>
          <w:szCs w:val="24"/>
        </w:rPr>
      </w:pPr>
      <w:r>
        <w:rPr>
          <w:rFonts w:ascii="Arial" w:hAnsi="Arial" w:cs="Arial"/>
          <w:sz w:val="24"/>
          <w:szCs w:val="24"/>
        </w:rPr>
        <w:t xml:space="preserve">Moss, R. (2024a). </w:t>
      </w:r>
      <w:r>
        <w:rPr>
          <w:rFonts w:ascii="Arial" w:hAnsi="Arial" w:cs="Arial"/>
          <w:i/>
          <w:iCs/>
          <w:sz w:val="24"/>
          <w:szCs w:val="24"/>
        </w:rPr>
        <w:t>Global mobility failures risk loss of talent</w:t>
      </w:r>
      <w:r>
        <w:rPr>
          <w:rFonts w:ascii="Arial" w:hAnsi="Arial" w:cs="Arial"/>
          <w:sz w:val="24"/>
          <w:szCs w:val="24"/>
        </w:rPr>
        <w:t>. [online] Personnel Today. Available at: https://www.personneltoday.com/hr/global-mobility-ey-survey-2024/ [Accessed 2 Nov. 2025].</w:t>
      </w:r>
    </w:p>
    <w:p w14:paraId="1ED69575">
      <w:pPr>
        <w:spacing w:line="360" w:lineRule="auto"/>
        <w:jc w:val="both"/>
        <w:rPr>
          <w:rFonts w:ascii="Arial" w:hAnsi="Arial" w:cs="Arial"/>
          <w:sz w:val="24"/>
          <w:szCs w:val="24"/>
        </w:rPr>
      </w:pPr>
      <w:r>
        <w:rPr>
          <w:rFonts w:ascii="Arial" w:hAnsi="Arial" w:cs="Arial"/>
          <w:sz w:val="24"/>
          <w:szCs w:val="24"/>
        </w:rPr>
        <w:t xml:space="preserve">Moss, R. (2024b). </w:t>
      </w:r>
      <w:r>
        <w:rPr>
          <w:rFonts w:ascii="Arial" w:hAnsi="Arial" w:cs="Arial"/>
          <w:i/>
          <w:iCs/>
          <w:sz w:val="24"/>
          <w:szCs w:val="24"/>
        </w:rPr>
        <w:t>Global mobility failures risk loss of talent</w:t>
      </w:r>
      <w:r>
        <w:rPr>
          <w:rFonts w:ascii="Arial" w:hAnsi="Arial" w:cs="Arial"/>
          <w:sz w:val="24"/>
          <w:szCs w:val="24"/>
        </w:rPr>
        <w:t>. [online] Personnel Today. Available at: https://www.personneltoday.com/hr/global-mobility-ey-survey-2024/ [Accessed 1 Nov. 2025].</w:t>
      </w:r>
    </w:p>
    <w:p w14:paraId="293060BA">
      <w:pPr>
        <w:spacing w:line="360" w:lineRule="auto"/>
        <w:jc w:val="both"/>
        <w:rPr>
          <w:rFonts w:ascii="Arial" w:hAnsi="Arial" w:cs="Arial"/>
          <w:sz w:val="24"/>
          <w:szCs w:val="24"/>
        </w:rPr>
      </w:pPr>
      <w:r>
        <w:rPr>
          <w:rFonts w:ascii="Arial" w:hAnsi="Arial" w:cs="Arial"/>
          <w:sz w:val="24"/>
          <w:szCs w:val="24"/>
        </w:rPr>
        <w:t xml:space="preserve">OECD (2023). </w:t>
      </w:r>
      <w:r>
        <w:rPr>
          <w:rFonts w:ascii="Arial" w:hAnsi="Arial" w:cs="Arial"/>
          <w:i/>
          <w:iCs/>
          <w:sz w:val="24"/>
          <w:szCs w:val="24"/>
        </w:rPr>
        <w:t>OECD Employment Outlook 2023</w:t>
      </w:r>
      <w:r>
        <w:rPr>
          <w:rFonts w:ascii="Arial" w:hAnsi="Arial" w:cs="Arial"/>
          <w:sz w:val="24"/>
          <w:szCs w:val="24"/>
        </w:rPr>
        <w:t>. [online] OECD. Available at: https://www.oecd.org/en/publications/oecd-employment-outlook-2023_08785bba-en.html.</w:t>
      </w:r>
    </w:p>
    <w:p w14:paraId="3FFB9464">
      <w:pPr>
        <w:spacing w:line="360" w:lineRule="auto"/>
        <w:jc w:val="both"/>
        <w:rPr>
          <w:rFonts w:ascii="Arial" w:hAnsi="Arial" w:cs="Arial"/>
          <w:sz w:val="24"/>
          <w:szCs w:val="24"/>
        </w:rPr>
      </w:pPr>
      <w:r>
        <w:rPr>
          <w:rFonts w:ascii="Arial" w:hAnsi="Arial" w:cs="Arial"/>
          <w:sz w:val="24"/>
          <w:szCs w:val="24"/>
        </w:rPr>
        <w:t xml:space="preserve">OECD (2024a). </w:t>
      </w:r>
      <w:r>
        <w:rPr>
          <w:rFonts w:ascii="Arial" w:hAnsi="Arial" w:cs="Arial"/>
          <w:i/>
          <w:iCs/>
          <w:sz w:val="24"/>
          <w:szCs w:val="24"/>
        </w:rPr>
        <w:t>ARTIFICIAL INTELLIGENCE AND THE CHANGING DEMAND FOR SKILLS IN THE LABOUR MARKET OECD ARTIFICIAL INTELLIGENCE PAPERS</w:t>
      </w:r>
      <w:r>
        <w:rPr>
          <w:rFonts w:ascii="Arial" w:hAnsi="Arial" w:cs="Arial"/>
          <w:sz w:val="24"/>
          <w:szCs w:val="24"/>
        </w:rPr>
        <w:t>. [online] Available at: https://www.oecd.org/content/dam/oecd/en/publications/reports/2024/04/artificial-intelligence-and-the-changing-demand-for-skills-in-the-labour-market_861a23ea/88684e36-en.pdf.</w:t>
      </w:r>
    </w:p>
    <w:p w14:paraId="31788B7B">
      <w:pPr>
        <w:spacing w:line="360" w:lineRule="auto"/>
        <w:jc w:val="both"/>
        <w:rPr>
          <w:rFonts w:ascii="Arial" w:hAnsi="Arial" w:cs="Arial"/>
          <w:sz w:val="24"/>
          <w:szCs w:val="24"/>
        </w:rPr>
      </w:pPr>
      <w:r>
        <w:rPr>
          <w:rFonts w:ascii="Arial" w:hAnsi="Arial" w:cs="Arial"/>
          <w:sz w:val="24"/>
          <w:szCs w:val="24"/>
        </w:rPr>
        <w:t xml:space="preserve">OECD (2024b). </w:t>
      </w:r>
      <w:r>
        <w:rPr>
          <w:rFonts w:ascii="Arial" w:hAnsi="Arial" w:cs="Arial"/>
          <w:i/>
          <w:iCs/>
          <w:sz w:val="24"/>
          <w:szCs w:val="24"/>
        </w:rPr>
        <w:t>Employment</w:t>
      </w:r>
      <w:r>
        <w:rPr>
          <w:rFonts w:ascii="Arial" w:hAnsi="Arial" w:cs="Arial"/>
          <w:sz w:val="24"/>
          <w:szCs w:val="24"/>
        </w:rPr>
        <w:t>. [online] OECD. Available at: https://www.oecd.org/en/topics/employment.html.</w:t>
      </w:r>
    </w:p>
    <w:p w14:paraId="788BCEA3">
      <w:pPr>
        <w:spacing w:line="360" w:lineRule="auto"/>
        <w:jc w:val="both"/>
        <w:rPr>
          <w:rFonts w:ascii="Arial" w:hAnsi="Arial" w:cs="Arial"/>
          <w:sz w:val="24"/>
          <w:szCs w:val="24"/>
        </w:rPr>
      </w:pPr>
      <w:r>
        <w:rPr>
          <w:rFonts w:ascii="Arial" w:hAnsi="Arial" w:cs="Arial"/>
          <w:sz w:val="24"/>
          <w:szCs w:val="24"/>
        </w:rPr>
        <w:t xml:space="preserve">OECD (2024c). </w:t>
      </w:r>
      <w:r>
        <w:rPr>
          <w:rFonts w:ascii="Arial" w:hAnsi="Arial" w:cs="Arial"/>
          <w:i/>
          <w:iCs/>
          <w:sz w:val="24"/>
          <w:szCs w:val="24"/>
        </w:rPr>
        <w:t>Understanding Skill Gaps in Firms</w:t>
      </w:r>
      <w:r>
        <w:rPr>
          <w:rFonts w:ascii="Arial" w:hAnsi="Arial" w:cs="Arial"/>
          <w:sz w:val="24"/>
          <w:szCs w:val="24"/>
        </w:rPr>
        <w:t>. [online] OECD. Available at: https://www.oecd.org/en/publications/understanding-skill-gaps-in-firms_b388d1da-en.html.</w:t>
      </w:r>
    </w:p>
    <w:p w14:paraId="26834511">
      <w:pPr>
        <w:spacing w:line="360" w:lineRule="auto"/>
        <w:jc w:val="both"/>
        <w:rPr>
          <w:rFonts w:ascii="Arial" w:hAnsi="Arial" w:cs="Arial"/>
          <w:sz w:val="24"/>
          <w:szCs w:val="24"/>
        </w:rPr>
      </w:pPr>
      <w:r>
        <w:rPr>
          <w:rFonts w:ascii="Arial" w:hAnsi="Arial" w:cs="Arial"/>
          <w:sz w:val="24"/>
          <w:szCs w:val="24"/>
        </w:rPr>
        <w:t xml:space="preserve">Pereira, R. (2024). </w:t>
      </w:r>
      <w:r>
        <w:rPr>
          <w:rFonts w:ascii="Arial" w:hAnsi="Arial" w:cs="Arial"/>
          <w:i/>
          <w:iCs/>
          <w:sz w:val="24"/>
          <w:szCs w:val="24"/>
        </w:rPr>
        <w:t>Improving the visibility of older people in global statistics | National Statistical</w:t>
      </w:r>
      <w:r>
        <w:rPr>
          <w:rFonts w:ascii="Arial" w:hAnsi="Arial" w:cs="Arial"/>
          <w:sz w:val="24"/>
          <w:szCs w:val="24"/>
        </w:rPr>
        <w:t>. [online] Ons.gov.uk. Available at: https://blog.ons.gov.uk/2024/10/01/improving-the-visibility-of-older-people-in-global-statistics/.</w:t>
      </w:r>
    </w:p>
    <w:p w14:paraId="14FD6EC7">
      <w:pPr>
        <w:spacing w:line="360" w:lineRule="auto"/>
        <w:jc w:val="both"/>
        <w:rPr>
          <w:rFonts w:ascii="Arial" w:hAnsi="Arial" w:cs="Arial"/>
          <w:sz w:val="24"/>
          <w:szCs w:val="24"/>
        </w:rPr>
      </w:pPr>
      <w:r>
        <w:rPr>
          <w:rFonts w:ascii="Arial" w:hAnsi="Arial" w:cs="Arial"/>
          <w:sz w:val="24"/>
          <w:szCs w:val="24"/>
        </w:rPr>
        <w:t xml:space="preserve">Ruzicka, J. (2024). </w:t>
      </w:r>
      <w:r>
        <w:rPr>
          <w:rFonts w:ascii="Arial" w:hAnsi="Arial" w:cs="Arial"/>
          <w:i/>
          <w:iCs/>
          <w:sz w:val="24"/>
          <w:szCs w:val="24"/>
        </w:rPr>
        <w:t>Rethinking trade and cooperation to navigate global shocks</w:t>
      </w:r>
      <w:r>
        <w:rPr>
          <w:rFonts w:ascii="Arial" w:hAnsi="Arial" w:cs="Arial"/>
          <w:sz w:val="24"/>
          <w:szCs w:val="24"/>
        </w:rPr>
        <w:t>. [online] World Economic Forum. Available at: https://www.weforum.org/stories/2024/11/rethinking-trade-cooperation-navigate-global-shocks/.</w:t>
      </w:r>
    </w:p>
    <w:p w14:paraId="598F7459">
      <w:pPr>
        <w:spacing w:line="360" w:lineRule="auto"/>
        <w:jc w:val="both"/>
        <w:rPr>
          <w:rFonts w:ascii="Arial" w:hAnsi="Arial" w:cs="Arial"/>
          <w:sz w:val="24"/>
          <w:szCs w:val="24"/>
        </w:rPr>
      </w:pPr>
      <w:r>
        <w:rPr>
          <w:rFonts w:ascii="Arial" w:hAnsi="Arial" w:cs="Arial"/>
          <w:sz w:val="24"/>
          <w:szCs w:val="24"/>
        </w:rPr>
        <w:t xml:space="preserve">Skills for Health (2025). </w:t>
      </w:r>
      <w:r>
        <w:rPr>
          <w:rFonts w:ascii="Arial" w:hAnsi="Arial" w:cs="Arial"/>
          <w:i/>
          <w:iCs/>
          <w:sz w:val="24"/>
          <w:szCs w:val="24"/>
        </w:rPr>
        <w:t>HASO | Skills for Health</w:t>
      </w:r>
      <w:r>
        <w:rPr>
          <w:rFonts w:ascii="Arial" w:hAnsi="Arial" w:cs="Arial"/>
          <w:sz w:val="24"/>
          <w:szCs w:val="24"/>
        </w:rPr>
        <w:t>. [online] Skills for Health. Available at: https://www.skillsforhealth.org.uk/haso/.</w:t>
      </w:r>
    </w:p>
    <w:p w14:paraId="6F6F730A">
      <w:pPr>
        <w:spacing w:line="360" w:lineRule="auto"/>
        <w:jc w:val="both"/>
        <w:rPr>
          <w:rFonts w:ascii="Arial" w:hAnsi="Arial" w:cs="Arial"/>
          <w:sz w:val="24"/>
          <w:szCs w:val="24"/>
        </w:rPr>
      </w:pPr>
      <w:r>
        <w:rPr>
          <w:rFonts w:ascii="Arial" w:hAnsi="Arial" w:cs="Arial"/>
          <w:sz w:val="24"/>
          <w:szCs w:val="24"/>
        </w:rPr>
        <w:t xml:space="preserve">Skowronski, B. (2024). </w:t>
      </w:r>
      <w:r>
        <w:rPr>
          <w:rFonts w:ascii="Arial" w:hAnsi="Arial" w:cs="Arial"/>
          <w:i/>
          <w:iCs/>
          <w:sz w:val="24"/>
          <w:szCs w:val="24"/>
        </w:rPr>
        <w:t>How to Turn Acquisitions into Real Growth</w:t>
      </w:r>
      <w:r>
        <w:rPr>
          <w:rFonts w:ascii="Arial" w:hAnsi="Arial" w:cs="Arial"/>
          <w:sz w:val="24"/>
          <w:szCs w:val="24"/>
        </w:rPr>
        <w:t>. [online] Red Caffeine. Available at: https://www.redcaffeine.com/uncategorized/how-your-employer-brand-influences-recruitment-and-employee-retention/ [Accessed 5 Nov. 2025].</w:t>
      </w:r>
    </w:p>
    <w:p w14:paraId="219D3860">
      <w:pPr>
        <w:spacing w:line="360" w:lineRule="auto"/>
        <w:jc w:val="both"/>
        <w:rPr>
          <w:rFonts w:ascii="Arial" w:hAnsi="Arial" w:cs="Arial"/>
          <w:sz w:val="24"/>
          <w:szCs w:val="24"/>
        </w:rPr>
      </w:pPr>
      <w:r>
        <w:rPr>
          <w:rFonts w:ascii="Arial" w:hAnsi="Arial" w:cs="Arial"/>
          <w:sz w:val="24"/>
          <w:szCs w:val="24"/>
        </w:rPr>
        <w:t>Slide Salad (2025). [online] Slidesalad.com. Available at: https://www.slidesalad.com/wp-content/uploads/2020/10/Gibbs-Reflective-Cycle-PowerPoint-Templates-Diagrams-0001.jpg [Accessed 2 Nov. 2025].</w:t>
      </w:r>
    </w:p>
    <w:p w14:paraId="27888A87">
      <w:pPr>
        <w:spacing w:line="360" w:lineRule="auto"/>
        <w:jc w:val="both"/>
        <w:rPr>
          <w:rFonts w:ascii="Arial" w:hAnsi="Arial" w:cs="Arial"/>
          <w:sz w:val="24"/>
          <w:szCs w:val="24"/>
        </w:rPr>
      </w:pPr>
      <w:r>
        <w:rPr>
          <w:rFonts w:ascii="Arial" w:hAnsi="Arial" w:cs="Arial"/>
          <w:sz w:val="24"/>
          <w:szCs w:val="24"/>
        </w:rPr>
        <w:t xml:space="preserve">State of Ageing (2024). </w:t>
      </w:r>
      <w:r>
        <w:rPr>
          <w:rFonts w:ascii="Arial" w:hAnsi="Arial" w:cs="Arial"/>
          <w:i/>
          <w:iCs/>
          <w:sz w:val="24"/>
          <w:szCs w:val="24"/>
        </w:rPr>
        <w:t>Work | The State of Ageing 2023-24 | Centre for Ageing Better</w:t>
      </w:r>
      <w:r>
        <w:rPr>
          <w:rFonts w:ascii="Arial" w:hAnsi="Arial" w:cs="Arial"/>
          <w:sz w:val="24"/>
          <w:szCs w:val="24"/>
        </w:rPr>
        <w:t>. [online] ageing-better.org.uk. Available at: https://ageing-better.org.uk/work-state-ageing-2023-4.</w:t>
      </w:r>
    </w:p>
    <w:p w14:paraId="3C3713BE">
      <w:pPr>
        <w:spacing w:line="360" w:lineRule="auto"/>
        <w:jc w:val="both"/>
        <w:rPr>
          <w:rFonts w:ascii="Arial" w:hAnsi="Arial" w:cs="Arial"/>
          <w:sz w:val="24"/>
          <w:szCs w:val="24"/>
        </w:rPr>
      </w:pPr>
      <w:r>
        <w:rPr>
          <w:rFonts w:ascii="Arial" w:hAnsi="Arial" w:cs="Arial"/>
          <w:sz w:val="24"/>
          <w:szCs w:val="24"/>
        </w:rPr>
        <w:t xml:space="preserve">Symphony Talent (2024). </w:t>
      </w:r>
      <w:r>
        <w:rPr>
          <w:rFonts w:ascii="Arial" w:hAnsi="Arial" w:cs="Arial"/>
          <w:i/>
          <w:iCs/>
          <w:sz w:val="24"/>
          <w:szCs w:val="24"/>
        </w:rPr>
        <w:t>The State of Recruitment Marketing in 2024 - Symphony Talent</w:t>
      </w:r>
      <w:r>
        <w:rPr>
          <w:rFonts w:ascii="Arial" w:hAnsi="Arial" w:cs="Arial"/>
          <w:sz w:val="24"/>
          <w:szCs w:val="24"/>
        </w:rPr>
        <w:t>. [online] Symphony Talent. Available at: https://www.symphonytalent.com/resources/reports/the-state-of-recruitment-marketing-in-2024/ [Accessed 1 Nov. 2025].</w:t>
      </w:r>
    </w:p>
    <w:p w14:paraId="27FD2A6E">
      <w:pPr>
        <w:spacing w:line="360" w:lineRule="auto"/>
        <w:jc w:val="both"/>
        <w:rPr>
          <w:rFonts w:ascii="Arial" w:hAnsi="Arial" w:cs="Arial"/>
          <w:sz w:val="24"/>
          <w:szCs w:val="24"/>
        </w:rPr>
      </w:pPr>
      <w:r>
        <w:rPr>
          <w:rFonts w:ascii="Arial" w:hAnsi="Arial" w:cs="Arial"/>
          <w:sz w:val="24"/>
          <w:szCs w:val="24"/>
        </w:rPr>
        <w:t xml:space="preserve">The Economist (2025). </w:t>
      </w:r>
      <w:r>
        <w:rPr>
          <w:rFonts w:ascii="Arial" w:hAnsi="Arial" w:cs="Arial"/>
          <w:i/>
          <w:iCs/>
          <w:sz w:val="24"/>
          <w:szCs w:val="24"/>
        </w:rPr>
        <w:t>Trade in Transition 2025 Global Report</w:t>
      </w:r>
      <w:r>
        <w:rPr>
          <w:rFonts w:ascii="Arial" w:hAnsi="Arial" w:cs="Arial"/>
          <w:sz w:val="24"/>
          <w:szCs w:val="24"/>
        </w:rPr>
        <w:t>. [online] Available at: https://impact.economist.com/projects/trade-in-transition/pdfs/Trade_in_Transition_Global_Report_2025.pdf.</w:t>
      </w:r>
    </w:p>
    <w:p w14:paraId="36517F99">
      <w:pPr>
        <w:spacing w:line="360" w:lineRule="auto"/>
        <w:jc w:val="both"/>
        <w:rPr>
          <w:rFonts w:ascii="Arial" w:hAnsi="Arial" w:cs="Arial"/>
          <w:sz w:val="24"/>
          <w:szCs w:val="24"/>
        </w:rPr>
      </w:pPr>
      <w:r>
        <w:rPr>
          <w:rFonts w:ascii="Arial" w:hAnsi="Arial" w:cs="Arial"/>
          <w:sz w:val="24"/>
          <w:szCs w:val="24"/>
        </w:rPr>
        <w:t xml:space="preserve">Torres, R. (2025). </w:t>
      </w:r>
      <w:r>
        <w:rPr>
          <w:rFonts w:ascii="Arial" w:hAnsi="Arial" w:cs="Arial"/>
          <w:i/>
          <w:iCs/>
          <w:sz w:val="24"/>
          <w:szCs w:val="24"/>
        </w:rPr>
        <w:t>AI skills shortage surpasses big data, cybersecurity</w:t>
      </w:r>
      <w:r>
        <w:rPr>
          <w:rFonts w:ascii="Arial" w:hAnsi="Arial" w:cs="Arial"/>
          <w:sz w:val="24"/>
          <w:szCs w:val="24"/>
        </w:rPr>
        <w:t>. [online] CIO Dive. Available at: https://www.ciodive.com/news/AI-skill-shortage-adoption-enterprise/750106/.</w:t>
      </w:r>
    </w:p>
    <w:p w14:paraId="6F98EEEA">
      <w:pPr>
        <w:spacing w:line="360" w:lineRule="auto"/>
        <w:jc w:val="both"/>
        <w:rPr>
          <w:rFonts w:ascii="Arial" w:hAnsi="Arial" w:cs="Arial"/>
          <w:sz w:val="24"/>
          <w:szCs w:val="24"/>
        </w:rPr>
      </w:pPr>
      <w:r>
        <w:rPr>
          <w:rFonts w:ascii="Arial" w:hAnsi="Arial" w:cs="Arial"/>
          <w:sz w:val="24"/>
          <w:szCs w:val="24"/>
        </w:rPr>
        <w:t xml:space="preserve">Trisca, L. (2024). </w:t>
      </w:r>
      <w:r>
        <w:rPr>
          <w:rFonts w:ascii="Arial" w:hAnsi="Arial" w:cs="Arial"/>
          <w:i/>
          <w:iCs/>
          <w:sz w:val="24"/>
          <w:szCs w:val="24"/>
        </w:rPr>
        <w:t>Employee Development Statistics You Need to Know in 2024</w:t>
      </w:r>
      <w:r>
        <w:rPr>
          <w:rFonts w:ascii="Arial" w:hAnsi="Arial" w:cs="Arial"/>
          <w:sz w:val="24"/>
          <w:szCs w:val="24"/>
        </w:rPr>
        <w:t>. [online] www.deel.com. Available at: https://www.deel.com/blog/employee-development-statistics/.</w:t>
      </w:r>
    </w:p>
    <w:p w14:paraId="59127B25">
      <w:pPr>
        <w:spacing w:line="360" w:lineRule="auto"/>
        <w:jc w:val="both"/>
        <w:rPr>
          <w:rFonts w:ascii="Arial" w:hAnsi="Arial" w:cs="Arial"/>
          <w:sz w:val="24"/>
          <w:szCs w:val="24"/>
        </w:rPr>
      </w:pPr>
      <w:r>
        <w:rPr>
          <w:rFonts w:ascii="Arial" w:hAnsi="Arial" w:cs="Arial"/>
          <w:sz w:val="24"/>
          <w:szCs w:val="24"/>
        </w:rPr>
        <w:t xml:space="preserve">Universum (2024). </w:t>
      </w:r>
      <w:r>
        <w:rPr>
          <w:rFonts w:ascii="Arial" w:hAnsi="Arial" w:cs="Arial"/>
          <w:i/>
          <w:iCs/>
          <w:sz w:val="24"/>
          <w:szCs w:val="24"/>
        </w:rPr>
        <w:t>Employer Branding NOW 2024 | Universum</w:t>
      </w:r>
      <w:r>
        <w:rPr>
          <w:rFonts w:ascii="Arial" w:hAnsi="Arial" w:cs="Arial"/>
          <w:sz w:val="24"/>
          <w:szCs w:val="24"/>
        </w:rPr>
        <w:t>. [online] Universumglobal.com. Available at: https://universumglobal.com/resources/news-press/employer-branding-now-2024/.</w:t>
      </w:r>
    </w:p>
    <w:p w14:paraId="350B2943">
      <w:pPr>
        <w:spacing w:line="360" w:lineRule="auto"/>
        <w:jc w:val="both"/>
        <w:rPr>
          <w:rFonts w:ascii="Arial" w:hAnsi="Arial" w:cs="Arial"/>
          <w:sz w:val="24"/>
          <w:szCs w:val="24"/>
        </w:rPr>
      </w:pPr>
      <w:r>
        <w:rPr>
          <w:rFonts w:ascii="Arial" w:hAnsi="Arial" w:cs="Arial"/>
          <w:sz w:val="24"/>
          <w:szCs w:val="24"/>
        </w:rPr>
        <w:t>UPC (2024). [online] Linkedin.com. Available at: https://www.linkedin.com/pulse/global-talent-trends-navigating-through-shortage-qrrce/ [Accessed 2 Nov. 2025].</w:t>
      </w:r>
    </w:p>
    <w:p w14:paraId="083ABB9F">
      <w:pPr>
        <w:spacing w:line="360" w:lineRule="auto"/>
        <w:jc w:val="both"/>
        <w:rPr>
          <w:rFonts w:ascii="Arial" w:hAnsi="Arial" w:cs="Arial"/>
          <w:sz w:val="24"/>
          <w:szCs w:val="24"/>
        </w:rPr>
      </w:pPr>
      <w:r>
        <w:rPr>
          <w:rFonts w:ascii="Arial" w:hAnsi="Arial" w:cs="Arial"/>
          <w:sz w:val="24"/>
          <w:szCs w:val="24"/>
        </w:rPr>
        <w:t xml:space="preserve">varun (2025). </w:t>
      </w:r>
      <w:r>
        <w:rPr>
          <w:rFonts w:ascii="Arial" w:hAnsi="Arial" w:cs="Arial"/>
          <w:i/>
          <w:iCs/>
          <w:sz w:val="24"/>
          <w:szCs w:val="24"/>
        </w:rPr>
        <w:t>Brain Drain: How many People Left India from 1960 to 2025 - FactoData</w:t>
      </w:r>
      <w:r>
        <w:rPr>
          <w:rFonts w:ascii="Arial" w:hAnsi="Arial" w:cs="Arial"/>
          <w:sz w:val="24"/>
          <w:szCs w:val="24"/>
        </w:rPr>
        <w:t>. [online] FactoData. Available at: https://factodata.com/brain-drain-how-many-people-left-india-from-1960-to-2025/.</w:t>
      </w:r>
    </w:p>
    <w:p w14:paraId="503C72CA">
      <w:pPr>
        <w:spacing w:line="360" w:lineRule="auto"/>
        <w:jc w:val="both"/>
        <w:rPr>
          <w:rFonts w:ascii="Arial" w:hAnsi="Arial" w:cs="Arial"/>
          <w:sz w:val="24"/>
          <w:szCs w:val="24"/>
        </w:rPr>
      </w:pPr>
      <w:r>
        <w:rPr>
          <w:rFonts w:ascii="Arial" w:hAnsi="Arial" w:cs="Arial"/>
          <w:sz w:val="24"/>
          <w:szCs w:val="24"/>
        </w:rPr>
        <w:t xml:space="preserve">World Economic Forum (2025). </w:t>
      </w:r>
      <w:r>
        <w:rPr>
          <w:rFonts w:ascii="Arial" w:hAnsi="Arial" w:cs="Arial"/>
          <w:i/>
          <w:iCs/>
          <w:sz w:val="24"/>
          <w:szCs w:val="24"/>
        </w:rPr>
        <w:t>The Future of Jobs Report 2025</w:t>
      </w:r>
      <w:r>
        <w:rPr>
          <w:rFonts w:ascii="Arial" w:hAnsi="Arial" w:cs="Arial"/>
          <w:sz w:val="24"/>
          <w:szCs w:val="24"/>
        </w:rPr>
        <w:t>. [online] World Economic Forum. Available at: https://www.weforum.org/publications/the-future-of-jobs-report-2025/in-full/4-workforce-strategies/.</w:t>
      </w:r>
    </w:p>
    <w:p w14:paraId="3A0C99C8">
      <w:pPr>
        <w:spacing w:line="360" w:lineRule="auto"/>
        <w:jc w:val="both"/>
        <w:rPr>
          <w:rFonts w:ascii="Arial" w:hAnsi="Arial" w:cs="Arial"/>
          <w:sz w:val="24"/>
          <w:szCs w:val="24"/>
        </w:rPr>
      </w:pPr>
      <w:r>
        <w:rPr>
          <w:rFonts w:ascii="Arial" w:hAnsi="Arial" w:cs="Arial"/>
          <w:sz w:val="24"/>
          <w:szCs w:val="24"/>
        </w:rPr>
        <w:t xml:space="preserve">World Economic Forum. 2024. </w:t>
      </w:r>
      <w:r>
        <w:rPr>
          <w:rFonts w:ascii="Arial" w:hAnsi="Arial" w:cs="Arial"/>
          <w:i/>
          <w:iCs/>
          <w:sz w:val="24"/>
          <w:szCs w:val="24"/>
        </w:rPr>
        <w:t>The Global Risks Report 2024.</w:t>
      </w:r>
      <w:r>
        <w:rPr>
          <w:rFonts w:ascii="Arial" w:hAnsi="Arial" w:cs="Arial"/>
          <w:sz w:val="24"/>
          <w:szCs w:val="24"/>
        </w:rPr>
        <w:t xml:space="preserve"> Geneva: World Economic Forum. Available at: </w:t>
      </w:r>
      <w:r>
        <w:fldChar w:fldCharType="begin"/>
      </w:r>
      <w:r>
        <w:instrText xml:space="preserve"> HYPERLINK "https://www3.weforum.org/docs/WEF_The_Global_Risks_Report_2024.pdf?utm_source=chatgpt.com" \t "_new" </w:instrText>
      </w:r>
      <w:r>
        <w:fldChar w:fldCharType="separate"/>
      </w:r>
      <w:r>
        <w:rPr>
          <w:rStyle w:val="15"/>
          <w:rFonts w:ascii="Arial" w:hAnsi="Arial" w:cs="Arial"/>
          <w:sz w:val="24"/>
          <w:szCs w:val="24"/>
        </w:rPr>
        <w:t>https://www3.weforum.org/docs/WEF_The_Global_Risks_Report_2024.pdf</w:t>
      </w:r>
      <w:r>
        <w:rPr>
          <w:rStyle w:val="15"/>
          <w:rFonts w:ascii="Arial" w:hAnsi="Arial" w:cs="Arial"/>
          <w:sz w:val="24"/>
          <w:szCs w:val="24"/>
        </w:rPr>
        <w:fldChar w:fldCharType="end"/>
      </w:r>
      <w:r>
        <w:rPr>
          <w:rFonts w:ascii="Arial" w:hAnsi="Arial" w:cs="Arial"/>
          <w:sz w:val="24"/>
          <w:szCs w:val="24"/>
        </w:rPr>
        <w:t xml:space="preserve"> (Accessed: 7 November 2025).</w:t>
      </w:r>
    </w:p>
    <w:p w14:paraId="1AC79719">
      <w:pPr>
        <w:spacing w:line="360" w:lineRule="auto"/>
        <w:rPr>
          <w:rFonts w:ascii="Arial" w:hAnsi="Arial" w:cs="Arial"/>
          <w:sz w:val="24"/>
          <w:szCs w:val="24"/>
        </w:rPr>
      </w:pPr>
      <w:r>
        <w:rPr>
          <w:rFonts w:ascii="Arial" w:hAnsi="Arial" w:cs="Arial"/>
          <w:sz w:val="24"/>
          <w:szCs w:val="24"/>
        </w:rPr>
        <w:br w:type="page"/>
      </w:r>
    </w:p>
    <w:p w14:paraId="497B0022">
      <w:pPr>
        <w:pStyle w:val="2"/>
        <w:spacing w:line="360" w:lineRule="auto"/>
        <w:rPr>
          <w:rFonts w:ascii="Arial" w:hAnsi="Arial" w:cs="Arial"/>
          <w:b/>
          <w:bCs/>
          <w:color w:val="auto"/>
          <w:sz w:val="24"/>
          <w:szCs w:val="24"/>
        </w:rPr>
      </w:pPr>
      <w:bookmarkStart w:id="23" w:name="_Toc213587720"/>
      <w:r>
        <w:rPr>
          <w:rFonts w:ascii="Arial" w:hAnsi="Arial" w:cs="Arial"/>
          <w:b/>
          <w:bCs/>
          <w:color w:val="auto"/>
          <w:sz w:val="24"/>
          <w:szCs w:val="24"/>
        </w:rPr>
        <w:t>Appendix</w:t>
      </w:r>
      <w:bookmarkEnd w:id="23"/>
    </w:p>
    <w:p w14:paraId="4E499D88">
      <w:pPr>
        <w:spacing w:line="360" w:lineRule="auto"/>
        <w:jc w:val="both"/>
        <w:rPr>
          <w:rFonts w:ascii="Arial" w:hAnsi="Arial" w:cs="Arial"/>
          <w:sz w:val="24"/>
          <w:szCs w:val="24"/>
        </w:rPr>
      </w:pPr>
      <w:r>
        <w:rPr>
          <w:rFonts w:ascii="Arial" w:hAnsi="Arial" w:cs="Arial"/>
          <w:b/>
          <w:bCs/>
          <w:sz w:val="24"/>
          <w:szCs w:val="24"/>
        </w:rPr>
        <w:t>SWOT Analysis</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5"/>
        <w:gridCol w:w="2152"/>
        <w:gridCol w:w="2369"/>
        <w:gridCol w:w="2356"/>
      </w:tblGrid>
      <w:tr w14:paraId="70CAA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92D44C4">
            <w:pPr>
              <w:spacing w:after="160" w:line="360" w:lineRule="auto"/>
              <w:jc w:val="both"/>
              <w:rPr>
                <w:rFonts w:ascii="Arial" w:hAnsi="Arial" w:cs="Arial"/>
                <w:b/>
                <w:bCs/>
                <w:sz w:val="24"/>
                <w:szCs w:val="24"/>
              </w:rPr>
            </w:pPr>
            <w:r>
              <w:rPr>
                <w:rFonts w:ascii="Arial" w:hAnsi="Arial" w:cs="Arial"/>
                <w:b/>
                <w:bCs/>
                <w:sz w:val="24"/>
                <w:szCs w:val="24"/>
              </w:rPr>
              <w:t>Strengths</w:t>
            </w:r>
          </w:p>
        </w:tc>
        <w:tc>
          <w:tcPr>
            <w:tcW w:w="0" w:type="auto"/>
          </w:tcPr>
          <w:p w14:paraId="58B415A7">
            <w:pPr>
              <w:spacing w:after="160" w:line="360" w:lineRule="auto"/>
              <w:jc w:val="both"/>
              <w:rPr>
                <w:rFonts w:ascii="Arial" w:hAnsi="Arial" w:cs="Arial"/>
                <w:b/>
                <w:bCs/>
                <w:sz w:val="24"/>
                <w:szCs w:val="24"/>
              </w:rPr>
            </w:pPr>
            <w:r>
              <w:rPr>
                <w:rFonts w:ascii="Arial" w:hAnsi="Arial" w:cs="Arial"/>
                <w:b/>
                <w:bCs/>
                <w:sz w:val="24"/>
                <w:szCs w:val="24"/>
              </w:rPr>
              <w:t>Weaknesses</w:t>
            </w:r>
          </w:p>
        </w:tc>
        <w:tc>
          <w:tcPr>
            <w:tcW w:w="0" w:type="auto"/>
          </w:tcPr>
          <w:p w14:paraId="0FAF8AA7">
            <w:pPr>
              <w:spacing w:after="160" w:line="360" w:lineRule="auto"/>
              <w:jc w:val="both"/>
              <w:rPr>
                <w:rFonts w:ascii="Arial" w:hAnsi="Arial" w:cs="Arial"/>
                <w:b/>
                <w:bCs/>
                <w:sz w:val="24"/>
                <w:szCs w:val="24"/>
              </w:rPr>
            </w:pPr>
            <w:r>
              <w:rPr>
                <w:rFonts w:ascii="Arial" w:hAnsi="Arial" w:cs="Arial"/>
                <w:b/>
                <w:bCs/>
                <w:sz w:val="24"/>
                <w:szCs w:val="24"/>
              </w:rPr>
              <w:t>Opportunities</w:t>
            </w:r>
          </w:p>
        </w:tc>
        <w:tc>
          <w:tcPr>
            <w:tcW w:w="0" w:type="auto"/>
          </w:tcPr>
          <w:p w14:paraId="5C66DA1F">
            <w:pPr>
              <w:spacing w:after="160" w:line="360" w:lineRule="auto"/>
              <w:jc w:val="both"/>
              <w:rPr>
                <w:rFonts w:ascii="Arial" w:hAnsi="Arial" w:cs="Arial"/>
                <w:b/>
                <w:bCs/>
                <w:sz w:val="24"/>
                <w:szCs w:val="24"/>
              </w:rPr>
            </w:pPr>
            <w:r>
              <w:rPr>
                <w:rFonts w:ascii="Arial" w:hAnsi="Arial" w:cs="Arial"/>
                <w:b/>
                <w:bCs/>
                <w:sz w:val="24"/>
                <w:szCs w:val="24"/>
              </w:rPr>
              <w:t>Threats</w:t>
            </w:r>
          </w:p>
        </w:tc>
      </w:tr>
      <w:tr w14:paraId="45C0F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A4C8BE1">
            <w:pPr>
              <w:spacing w:after="160" w:line="360" w:lineRule="auto"/>
              <w:jc w:val="both"/>
              <w:rPr>
                <w:rFonts w:ascii="Arial" w:hAnsi="Arial" w:cs="Arial"/>
                <w:sz w:val="24"/>
                <w:szCs w:val="24"/>
              </w:rPr>
            </w:pPr>
            <w:r>
              <w:rPr>
                <w:rFonts w:ascii="Arial" w:hAnsi="Arial" w:cs="Arial"/>
                <w:sz w:val="24"/>
                <w:szCs w:val="24"/>
              </w:rPr>
              <w:t xml:space="preserve">• Proficient in AI tools, MS Teams, and data analytics </w:t>
            </w:r>
          </w:p>
          <w:p w14:paraId="559EFAFF">
            <w:pPr>
              <w:spacing w:after="160" w:line="360" w:lineRule="auto"/>
              <w:jc w:val="both"/>
              <w:rPr>
                <w:rFonts w:ascii="Arial" w:hAnsi="Arial" w:cs="Arial"/>
                <w:sz w:val="24"/>
                <w:szCs w:val="24"/>
              </w:rPr>
            </w:pPr>
            <w:r>
              <w:rPr>
                <w:rFonts w:ascii="Arial" w:hAnsi="Arial" w:cs="Arial"/>
                <w:sz w:val="24"/>
                <w:szCs w:val="24"/>
              </w:rPr>
              <w:t xml:space="preserve">• Strong written and verbal communication </w:t>
            </w:r>
          </w:p>
          <w:p w14:paraId="4F0FF4AF">
            <w:pPr>
              <w:spacing w:after="160" w:line="360" w:lineRule="auto"/>
              <w:jc w:val="both"/>
              <w:rPr>
                <w:rFonts w:ascii="Arial" w:hAnsi="Arial" w:cs="Arial"/>
                <w:sz w:val="24"/>
                <w:szCs w:val="24"/>
              </w:rPr>
            </w:pPr>
            <w:r>
              <w:rPr>
                <w:rFonts w:ascii="Arial" w:hAnsi="Arial" w:cs="Arial"/>
                <w:sz w:val="24"/>
                <w:szCs w:val="24"/>
              </w:rPr>
              <w:t>•Effective teamwork and conflict management</w:t>
            </w:r>
          </w:p>
        </w:tc>
        <w:tc>
          <w:tcPr>
            <w:tcW w:w="0" w:type="auto"/>
          </w:tcPr>
          <w:p w14:paraId="322AB491">
            <w:pPr>
              <w:spacing w:after="160" w:line="360" w:lineRule="auto"/>
              <w:jc w:val="both"/>
              <w:rPr>
                <w:rFonts w:ascii="Arial" w:hAnsi="Arial" w:cs="Arial"/>
                <w:sz w:val="24"/>
                <w:szCs w:val="24"/>
              </w:rPr>
            </w:pPr>
            <w:r>
              <w:rPr>
                <w:rFonts w:ascii="Arial" w:hAnsi="Arial" w:cs="Arial"/>
                <w:sz w:val="24"/>
                <w:szCs w:val="24"/>
              </w:rPr>
              <w:t xml:space="preserve">•Limited multicultural leadership experience </w:t>
            </w:r>
          </w:p>
          <w:p w14:paraId="2B5DF418">
            <w:pPr>
              <w:spacing w:after="160" w:line="360" w:lineRule="auto"/>
              <w:jc w:val="both"/>
              <w:rPr>
                <w:rFonts w:ascii="Arial" w:hAnsi="Arial" w:cs="Arial"/>
                <w:sz w:val="24"/>
                <w:szCs w:val="24"/>
              </w:rPr>
            </w:pPr>
            <w:r>
              <w:rPr>
                <w:rFonts w:ascii="Arial" w:hAnsi="Arial" w:cs="Arial"/>
                <w:sz w:val="24"/>
                <w:szCs w:val="24"/>
              </w:rPr>
              <w:t xml:space="preserve">•Occasional overreliance on digital tools </w:t>
            </w:r>
          </w:p>
          <w:p w14:paraId="4E6A1941">
            <w:pPr>
              <w:spacing w:after="160" w:line="360" w:lineRule="auto"/>
              <w:jc w:val="both"/>
              <w:rPr>
                <w:rFonts w:ascii="Arial" w:hAnsi="Arial" w:cs="Arial"/>
                <w:sz w:val="24"/>
                <w:szCs w:val="24"/>
              </w:rPr>
            </w:pPr>
            <w:r>
              <w:rPr>
                <w:rFonts w:ascii="Arial" w:hAnsi="Arial" w:cs="Arial"/>
                <w:sz w:val="24"/>
                <w:szCs w:val="24"/>
              </w:rPr>
              <w:t>•Public-speaking confidence needs development</w:t>
            </w:r>
          </w:p>
        </w:tc>
        <w:tc>
          <w:tcPr>
            <w:tcW w:w="0" w:type="auto"/>
          </w:tcPr>
          <w:p w14:paraId="5757B8F7">
            <w:pPr>
              <w:spacing w:after="160" w:line="360" w:lineRule="auto"/>
              <w:jc w:val="both"/>
              <w:rPr>
                <w:rFonts w:ascii="Arial" w:hAnsi="Arial" w:cs="Arial"/>
                <w:sz w:val="24"/>
                <w:szCs w:val="24"/>
              </w:rPr>
            </w:pPr>
            <w:r>
              <w:rPr>
                <w:rFonts w:ascii="Arial" w:hAnsi="Arial" w:cs="Arial"/>
                <w:sz w:val="24"/>
                <w:szCs w:val="24"/>
              </w:rPr>
              <w:t xml:space="preserve">• Global networking through professional associations </w:t>
            </w:r>
          </w:p>
          <w:p w14:paraId="5B5FBA37">
            <w:pPr>
              <w:spacing w:after="160" w:line="360" w:lineRule="auto"/>
              <w:jc w:val="both"/>
              <w:rPr>
                <w:rFonts w:ascii="Arial" w:hAnsi="Arial" w:cs="Arial"/>
                <w:sz w:val="24"/>
                <w:szCs w:val="24"/>
              </w:rPr>
            </w:pPr>
            <w:r>
              <w:rPr>
                <w:rFonts w:ascii="Arial" w:hAnsi="Arial" w:cs="Arial"/>
                <w:sz w:val="24"/>
                <w:szCs w:val="24"/>
              </w:rPr>
              <w:t xml:space="preserve">• Advanced certifications in HR analytics and leadership </w:t>
            </w:r>
          </w:p>
          <w:p w14:paraId="0277ABB2">
            <w:pPr>
              <w:spacing w:after="160" w:line="360" w:lineRule="auto"/>
              <w:jc w:val="both"/>
              <w:rPr>
                <w:rFonts w:ascii="Arial" w:hAnsi="Arial" w:cs="Arial"/>
                <w:sz w:val="24"/>
                <w:szCs w:val="24"/>
              </w:rPr>
            </w:pPr>
            <w:r>
              <w:rPr>
                <w:rFonts w:ascii="Arial" w:hAnsi="Arial" w:cs="Arial"/>
                <w:sz w:val="24"/>
                <w:szCs w:val="24"/>
              </w:rPr>
              <w:t>• Expanding job markets in data-driven HRM</w:t>
            </w:r>
          </w:p>
        </w:tc>
        <w:tc>
          <w:tcPr>
            <w:tcW w:w="0" w:type="auto"/>
          </w:tcPr>
          <w:p w14:paraId="44028BBA">
            <w:pPr>
              <w:spacing w:after="160" w:line="360" w:lineRule="auto"/>
              <w:jc w:val="both"/>
              <w:rPr>
                <w:rFonts w:ascii="Arial" w:hAnsi="Arial" w:cs="Arial"/>
                <w:sz w:val="24"/>
                <w:szCs w:val="24"/>
              </w:rPr>
            </w:pPr>
            <w:r>
              <w:rPr>
                <w:rFonts w:ascii="Arial" w:hAnsi="Arial" w:cs="Arial"/>
                <w:sz w:val="24"/>
                <w:szCs w:val="24"/>
              </w:rPr>
              <w:t xml:space="preserve">• Rapid AI evolution outpacing current skills </w:t>
            </w:r>
          </w:p>
          <w:p w14:paraId="30B74407">
            <w:pPr>
              <w:spacing w:after="160" w:line="360" w:lineRule="auto"/>
              <w:jc w:val="both"/>
              <w:rPr>
                <w:rFonts w:ascii="Arial" w:hAnsi="Arial" w:cs="Arial"/>
                <w:sz w:val="24"/>
                <w:szCs w:val="24"/>
              </w:rPr>
            </w:pPr>
            <w:r>
              <w:rPr>
                <w:rFonts w:ascii="Arial" w:hAnsi="Arial" w:cs="Arial"/>
                <w:sz w:val="24"/>
                <w:szCs w:val="24"/>
              </w:rPr>
              <w:t xml:space="preserve">• Economic uncertainty in international markets </w:t>
            </w:r>
          </w:p>
          <w:p w14:paraId="01B988C7">
            <w:pPr>
              <w:spacing w:after="160" w:line="360" w:lineRule="auto"/>
              <w:jc w:val="both"/>
              <w:rPr>
                <w:rFonts w:ascii="Arial" w:hAnsi="Arial" w:cs="Arial"/>
                <w:sz w:val="24"/>
                <w:szCs w:val="24"/>
              </w:rPr>
            </w:pPr>
            <w:r>
              <w:rPr>
                <w:rFonts w:ascii="Arial" w:hAnsi="Arial" w:cs="Arial"/>
                <w:sz w:val="24"/>
                <w:szCs w:val="24"/>
              </w:rPr>
              <w:t>• High competition within management consulting and HR sectors</w:t>
            </w:r>
          </w:p>
        </w:tc>
      </w:tr>
    </w:tbl>
    <w:p w14:paraId="23222294">
      <w:pPr>
        <w:spacing w:line="360" w:lineRule="auto"/>
        <w:jc w:val="both"/>
        <w:rPr>
          <w:rFonts w:ascii="Arial" w:hAnsi="Arial" w:cs="Arial"/>
          <w:sz w:val="24"/>
          <w:szCs w:val="24"/>
        </w:rPr>
      </w:pPr>
    </w:p>
    <w:p w14:paraId="468D8292">
      <w:pPr>
        <w:spacing w:line="360" w:lineRule="auto"/>
        <w:jc w:val="both"/>
        <w:rPr>
          <w:rFonts w:ascii="Arial" w:hAnsi="Arial" w:cs="Arial"/>
          <w:sz w:val="24"/>
          <w:szCs w:val="24"/>
        </w:rPr>
      </w:pPr>
    </w:p>
    <w:sectPr>
      <w:headerReference r:id="rId5" w:type="default"/>
      <w:footerReference r:id="rId6"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Arial" w:hAnsi="Arial" w:cs="Arial"/>
        <w:sz w:val="24"/>
        <w:szCs w:val="24"/>
      </w:rPr>
      <w:id w:val="1098834008"/>
      <w:docPartObj>
        <w:docPartGallery w:val="AutoText"/>
      </w:docPartObj>
    </w:sdtPr>
    <w:sdtEndPr>
      <w:rPr>
        <w:rFonts w:ascii="Arial" w:hAnsi="Arial" w:cs="Arial"/>
        <w:sz w:val="24"/>
        <w:szCs w:val="24"/>
      </w:rPr>
    </w:sdtEndPr>
    <w:sdtContent>
      <w:p w14:paraId="5D5FC37E">
        <w:pPr>
          <w:pStyle w:val="13"/>
          <w:jc w:val="right"/>
          <w:rPr>
            <w:rFonts w:ascii="Arial" w:hAnsi="Arial" w:cs="Arial"/>
            <w:sz w:val="24"/>
            <w:szCs w:val="24"/>
          </w:rPr>
        </w:pPr>
        <w:r>
          <w:rPr>
            <w:rFonts w:ascii="Arial" w:hAnsi="Arial" w:cs="Arial"/>
            <w:sz w:val="24"/>
            <w:szCs w:val="24"/>
          </w:rPr>
          <w:t xml:space="preserve">Page | </w:t>
        </w:r>
        <w:r>
          <w:rPr>
            <w:rFonts w:ascii="Arial" w:hAnsi="Arial" w:cs="Arial"/>
            <w:sz w:val="24"/>
            <w:szCs w:val="24"/>
          </w:rPr>
          <w:fldChar w:fldCharType="begin"/>
        </w:r>
        <w:r>
          <w:rPr>
            <w:rFonts w:ascii="Arial" w:hAnsi="Arial" w:cs="Arial"/>
            <w:sz w:val="24"/>
            <w:szCs w:val="24"/>
          </w:rPr>
          <w:instrText xml:space="preserve"> PAGE   \* MERGEFORMAT </w:instrText>
        </w:r>
        <w:r>
          <w:rPr>
            <w:rFonts w:ascii="Arial" w:hAnsi="Arial" w:cs="Arial"/>
            <w:sz w:val="24"/>
            <w:szCs w:val="24"/>
          </w:rPr>
          <w:fldChar w:fldCharType="separate"/>
        </w:r>
        <w:r>
          <w:rPr>
            <w:rFonts w:ascii="Arial" w:hAnsi="Arial" w:cs="Arial"/>
            <w:sz w:val="24"/>
            <w:szCs w:val="24"/>
          </w:rPr>
          <w:t>2</w:t>
        </w:r>
        <w:r>
          <w:rPr>
            <w:rFonts w:ascii="Arial" w:hAnsi="Arial" w:cs="Arial"/>
            <w:sz w:val="24"/>
            <w:szCs w:val="24"/>
          </w:rPr>
          <w:fldChar w:fldCharType="end"/>
        </w:r>
        <w:r>
          <w:rPr>
            <w:rFonts w:ascii="Arial" w:hAnsi="Arial" w:cs="Arial"/>
            <w:sz w:val="24"/>
            <w:szCs w:val="24"/>
          </w:rPr>
          <w:t xml:space="preserve"> </w:t>
        </w:r>
      </w:p>
    </w:sdtContent>
  </w:sdt>
  <w:p w14:paraId="5EC771A2">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EA34B">
    <w:pPr>
      <w:pStyle w:val="14"/>
    </w:pPr>
    <w:r>
      <w:rPr>
        <w:rFonts w:ascii="Arial" w:hAnsi="Arial" w:cs="Arial"/>
        <w:color w:val="000000"/>
      </w:rPr>
      <w:drawing>
        <wp:anchor distT="0" distB="0" distL="114300" distR="114300" simplePos="0" relativeHeight="251659264" behindDoc="0" locked="0" layoutInCell="1" allowOverlap="1">
          <wp:simplePos x="0" y="0"/>
          <wp:positionH relativeFrom="column">
            <wp:posOffset>-689610</wp:posOffset>
          </wp:positionH>
          <wp:positionV relativeFrom="paragraph">
            <wp:posOffset>-379730</wp:posOffset>
          </wp:positionV>
          <wp:extent cx="1659890" cy="655955"/>
          <wp:effectExtent l="0" t="0" r="0" b="0"/>
          <wp:wrapThrough wrapText="bothSides">
            <wp:wrapPolygon>
              <wp:start x="0" y="0"/>
              <wp:lineTo x="0" y="19446"/>
              <wp:lineTo x="8428" y="20701"/>
              <wp:lineTo x="9668" y="20701"/>
              <wp:lineTo x="21319" y="19446"/>
              <wp:lineTo x="21319" y="11291"/>
              <wp:lineTo x="20080" y="11291"/>
              <wp:lineTo x="20575" y="3764"/>
              <wp:lineTo x="19336" y="1255"/>
              <wp:lineTo x="15370" y="0"/>
              <wp:lineTo x="0" y="0"/>
            </wp:wrapPolygon>
          </wp:wrapThrough>
          <wp:docPr id="7242166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16613"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59890" cy="65595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614"/>
    <w:rsid w:val="00004907"/>
    <w:rsid w:val="000413B0"/>
    <w:rsid w:val="000624DF"/>
    <w:rsid w:val="0006400A"/>
    <w:rsid w:val="000651E5"/>
    <w:rsid w:val="00075946"/>
    <w:rsid w:val="00080700"/>
    <w:rsid w:val="000840E1"/>
    <w:rsid w:val="000A7F1B"/>
    <w:rsid w:val="000B1840"/>
    <w:rsid w:val="000B6064"/>
    <w:rsid w:val="000C3725"/>
    <w:rsid w:val="000D0AA6"/>
    <w:rsid w:val="000D6982"/>
    <w:rsid w:val="000D73DF"/>
    <w:rsid w:val="000E40FD"/>
    <w:rsid w:val="000F1614"/>
    <w:rsid w:val="00103E03"/>
    <w:rsid w:val="00105EAB"/>
    <w:rsid w:val="00137671"/>
    <w:rsid w:val="0014680E"/>
    <w:rsid w:val="001553EE"/>
    <w:rsid w:val="001B3B7A"/>
    <w:rsid w:val="001C7905"/>
    <w:rsid w:val="001D6B50"/>
    <w:rsid w:val="001F39BF"/>
    <w:rsid w:val="002004D7"/>
    <w:rsid w:val="00211606"/>
    <w:rsid w:val="0022046E"/>
    <w:rsid w:val="0023758C"/>
    <w:rsid w:val="00264D50"/>
    <w:rsid w:val="002B2E67"/>
    <w:rsid w:val="002D4F2F"/>
    <w:rsid w:val="002E7FB3"/>
    <w:rsid w:val="00323EC8"/>
    <w:rsid w:val="0034609A"/>
    <w:rsid w:val="003A2B27"/>
    <w:rsid w:val="003A5FF8"/>
    <w:rsid w:val="003A7284"/>
    <w:rsid w:val="003D3979"/>
    <w:rsid w:val="003E0D38"/>
    <w:rsid w:val="003E411F"/>
    <w:rsid w:val="00421A88"/>
    <w:rsid w:val="004241E9"/>
    <w:rsid w:val="00445CFD"/>
    <w:rsid w:val="00457C2A"/>
    <w:rsid w:val="00474C72"/>
    <w:rsid w:val="004766C9"/>
    <w:rsid w:val="00487EAC"/>
    <w:rsid w:val="004927E0"/>
    <w:rsid w:val="004B1394"/>
    <w:rsid w:val="004C0CC6"/>
    <w:rsid w:val="004C5D9C"/>
    <w:rsid w:val="004C5DFD"/>
    <w:rsid w:val="004D3A9C"/>
    <w:rsid w:val="004D4971"/>
    <w:rsid w:val="004F234E"/>
    <w:rsid w:val="004F746E"/>
    <w:rsid w:val="0053300D"/>
    <w:rsid w:val="005469DF"/>
    <w:rsid w:val="005557AB"/>
    <w:rsid w:val="00561ACE"/>
    <w:rsid w:val="00562DB9"/>
    <w:rsid w:val="00564E1D"/>
    <w:rsid w:val="00565A0C"/>
    <w:rsid w:val="00567C8E"/>
    <w:rsid w:val="005828F0"/>
    <w:rsid w:val="00584D87"/>
    <w:rsid w:val="005852C4"/>
    <w:rsid w:val="005908B1"/>
    <w:rsid w:val="005923D4"/>
    <w:rsid w:val="005A5E87"/>
    <w:rsid w:val="005B19D1"/>
    <w:rsid w:val="005B5BC0"/>
    <w:rsid w:val="005F7F73"/>
    <w:rsid w:val="006043F0"/>
    <w:rsid w:val="0061336D"/>
    <w:rsid w:val="00642476"/>
    <w:rsid w:val="006608C7"/>
    <w:rsid w:val="006745FA"/>
    <w:rsid w:val="00675B64"/>
    <w:rsid w:val="00686ED2"/>
    <w:rsid w:val="00687E1A"/>
    <w:rsid w:val="00694634"/>
    <w:rsid w:val="006A0C6A"/>
    <w:rsid w:val="006B220D"/>
    <w:rsid w:val="006B3454"/>
    <w:rsid w:val="006C4C18"/>
    <w:rsid w:val="006D329E"/>
    <w:rsid w:val="006D7879"/>
    <w:rsid w:val="006F5D79"/>
    <w:rsid w:val="00757C77"/>
    <w:rsid w:val="00762567"/>
    <w:rsid w:val="00765E9F"/>
    <w:rsid w:val="00771940"/>
    <w:rsid w:val="00772080"/>
    <w:rsid w:val="00791176"/>
    <w:rsid w:val="00791B70"/>
    <w:rsid w:val="007A07F4"/>
    <w:rsid w:val="007D44F6"/>
    <w:rsid w:val="007D682C"/>
    <w:rsid w:val="007E59AC"/>
    <w:rsid w:val="007F73F5"/>
    <w:rsid w:val="00807722"/>
    <w:rsid w:val="00863575"/>
    <w:rsid w:val="00875661"/>
    <w:rsid w:val="008E7C74"/>
    <w:rsid w:val="008F1A68"/>
    <w:rsid w:val="008F3022"/>
    <w:rsid w:val="008F32D1"/>
    <w:rsid w:val="00902ED1"/>
    <w:rsid w:val="00910BC9"/>
    <w:rsid w:val="0094398C"/>
    <w:rsid w:val="00953BE3"/>
    <w:rsid w:val="00955D35"/>
    <w:rsid w:val="00962F20"/>
    <w:rsid w:val="00992503"/>
    <w:rsid w:val="009A1083"/>
    <w:rsid w:val="009B361E"/>
    <w:rsid w:val="009B738D"/>
    <w:rsid w:val="009C3121"/>
    <w:rsid w:val="00A06E1E"/>
    <w:rsid w:val="00A2226B"/>
    <w:rsid w:val="00A319AD"/>
    <w:rsid w:val="00A47A7C"/>
    <w:rsid w:val="00A50300"/>
    <w:rsid w:val="00A531C7"/>
    <w:rsid w:val="00A60726"/>
    <w:rsid w:val="00A63BA2"/>
    <w:rsid w:val="00A87EA6"/>
    <w:rsid w:val="00AA0384"/>
    <w:rsid w:val="00AA1C35"/>
    <w:rsid w:val="00AB2681"/>
    <w:rsid w:val="00AB4A15"/>
    <w:rsid w:val="00AC6BF6"/>
    <w:rsid w:val="00AE0EC0"/>
    <w:rsid w:val="00AF1824"/>
    <w:rsid w:val="00B54396"/>
    <w:rsid w:val="00B922CA"/>
    <w:rsid w:val="00B94F1E"/>
    <w:rsid w:val="00BD44E0"/>
    <w:rsid w:val="00BE38AE"/>
    <w:rsid w:val="00BF58F1"/>
    <w:rsid w:val="00C026E5"/>
    <w:rsid w:val="00C17D7B"/>
    <w:rsid w:val="00C26557"/>
    <w:rsid w:val="00C3188D"/>
    <w:rsid w:val="00C318E1"/>
    <w:rsid w:val="00C6353A"/>
    <w:rsid w:val="00C66E03"/>
    <w:rsid w:val="00C7231F"/>
    <w:rsid w:val="00C74323"/>
    <w:rsid w:val="00CA0298"/>
    <w:rsid w:val="00CA1908"/>
    <w:rsid w:val="00CA45F6"/>
    <w:rsid w:val="00CA6064"/>
    <w:rsid w:val="00CA7C29"/>
    <w:rsid w:val="00CB2EDB"/>
    <w:rsid w:val="00CD78AA"/>
    <w:rsid w:val="00CE1417"/>
    <w:rsid w:val="00CE459E"/>
    <w:rsid w:val="00CE4D33"/>
    <w:rsid w:val="00CF39B5"/>
    <w:rsid w:val="00CF5964"/>
    <w:rsid w:val="00D05C60"/>
    <w:rsid w:val="00D31A4D"/>
    <w:rsid w:val="00D5285C"/>
    <w:rsid w:val="00D55663"/>
    <w:rsid w:val="00D628C0"/>
    <w:rsid w:val="00D63AC4"/>
    <w:rsid w:val="00D84B38"/>
    <w:rsid w:val="00DA3AD3"/>
    <w:rsid w:val="00DB121F"/>
    <w:rsid w:val="00DB1472"/>
    <w:rsid w:val="00DB26B9"/>
    <w:rsid w:val="00DC22A7"/>
    <w:rsid w:val="00DC5E9F"/>
    <w:rsid w:val="00DD743D"/>
    <w:rsid w:val="00DE691D"/>
    <w:rsid w:val="00DF0F84"/>
    <w:rsid w:val="00DF220E"/>
    <w:rsid w:val="00DF53C4"/>
    <w:rsid w:val="00E12E50"/>
    <w:rsid w:val="00E66C9B"/>
    <w:rsid w:val="00E83F4D"/>
    <w:rsid w:val="00EB1281"/>
    <w:rsid w:val="00EC160A"/>
    <w:rsid w:val="00EC5753"/>
    <w:rsid w:val="00ED045E"/>
    <w:rsid w:val="00ED28D9"/>
    <w:rsid w:val="00EE21E1"/>
    <w:rsid w:val="00EE557B"/>
    <w:rsid w:val="00F0349C"/>
    <w:rsid w:val="00F247F0"/>
    <w:rsid w:val="00F401D6"/>
    <w:rsid w:val="00F46883"/>
    <w:rsid w:val="00F6568D"/>
    <w:rsid w:val="00FA565B"/>
    <w:rsid w:val="00FA7D0E"/>
    <w:rsid w:val="00FB04D5"/>
    <w:rsid w:val="00FB2F9A"/>
    <w:rsid w:val="00FB7BB7"/>
    <w:rsid w:val="00FE7B1A"/>
    <w:rsid w:val="0BFE057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22"/>
    <w:qFormat/>
    <w:uiPriority w:val="9"/>
    <w:pPr>
      <w:keepNext/>
      <w:keepLines/>
      <w:spacing w:before="360" w:after="80"/>
      <w:outlineLvl w:val="0"/>
    </w:pPr>
    <w:rPr>
      <w:rFonts w:asciiTheme="majorHAnsi" w:hAnsiTheme="majorHAnsi" w:eastAsiaTheme="majorEastAsia" w:cstheme="majorBidi"/>
      <w:color w:val="2E75B6" w:themeColor="accent1" w:themeShade="BF"/>
      <w:sz w:val="40"/>
      <w:szCs w:val="40"/>
    </w:rPr>
  </w:style>
  <w:style w:type="paragraph" w:styleId="3">
    <w:name w:val="heading 2"/>
    <w:basedOn w:val="1"/>
    <w:next w:val="1"/>
    <w:link w:val="23"/>
    <w:unhideWhenUsed/>
    <w:qFormat/>
    <w:uiPriority w:val="9"/>
    <w:pPr>
      <w:keepNext/>
      <w:keepLines/>
      <w:spacing w:before="160" w:after="80"/>
      <w:outlineLvl w:val="1"/>
    </w:pPr>
    <w:rPr>
      <w:rFonts w:ascii="Arial" w:hAnsi="Arial" w:eastAsiaTheme="majorEastAsia" w:cstheme="majorBidi"/>
      <w:b/>
      <w:color w:val="000000" w:themeColor="text1"/>
      <w:sz w:val="24"/>
      <w:szCs w:val="32"/>
      <w14:textFill>
        <w14:solidFill>
          <w14:schemeClr w14:val="tx1"/>
        </w14:solidFill>
      </w14:textFill>
    </w:rPr>
  </w:style>
  <w:style w:type="paragraph" w:styleId="4">
    <w:name w:val="heading 3"/>
    <w:basedOn w:val="1"/>
    <w:next w:val="1"/>
    <w:link w:val="24"/>
    <w:semiHidden/>
    <w:unhideWhenUsed/>
    <w:qFormat/>
    <w:uiPriority w:val="9"/>
    <w:pPr>
      <w:keepNext/>
      <w:keepLines/>
      <w:spacing w:before="160" w:after="80"/>
      <w:outlineLvl w:val="2"/>
    </w:pPr>
    <w:rPr>
      <w:rFonts w:eastAsiaTheme="majorEastAsia" w:cstheme="majorBidi"/>
      <w:color w:val="2E75B6" w:themeColor="accent1" w:themeShade="BF"/>
      <w:sz w:val="28"/>
      <w:szCs w:val="28"/>
    </w:rPr>
  </w:style>
  <w:style w:type="paragraph" w:styleId="5">
    <w:name w:val="heading 4"/>
    <w:basedOn w:val="1"/>
    <w:next w:val="1"/>
    <w:link w:val="25"/>
    <w:semiHidden/>
    <w:unhideWhenUsed/>
    <w:qFormat/>
    <w:uiPriority w:val="9"/>
    <w:pPr>
      <w:keepNext/>
      <w:keepLines/>
      <w:spacing w:before="80" w:after="40"/>
      <w:outlineLvl w:val="3"/>
    </w:pPr>
    <w:rPr>
      <w:rFonts w:eastAsiaTheme="majorEastAsia" w:cstheme="majorBidi"/>
      <w:i/>
      <w:iCs/>
      <w:color w:val="2E75B6"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eastAsiaTheme="majorEastAsia" w:cstheme="majorBidi"/>
      <w:color w:val="2E75B6"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3"/>
    <w:unhideWhenUsed/>
    <w:uiPriority w:val="99"/>
    <w:pPr>
      <w:tabs>
        <w:tab w:val="center" w:pos="4513"/>
        <w:tab w:val="right" w:pos="9026"/>
      </w:tabs>
      <w:spacing w:after="0" w:line="240" w:lineRule="auto"/>
    </w:pPr>
  </w:style>
  <w:style w:type="paragraph" w:styleId="14">
    <w:name w:val="header"/>
    <w:basedOn w:val="1"/>
    <w:link w:val="42"/>
    <w:unhideWhenUsed/>
    <w:uiPriority w:val="99"/>
    <w:pPr>
      <w:tabs>
        <w:tab w:val="center" w:pos="4513"/>
        <w:tab w:val="right" w:pos="9026"/>
      </w:tabs>
      <w:spacing w:after="0" w:line="240" w:lineRule="auto"/>
    </w:pPr>
  </w:style>
  <w:style w:type="character" w:styleId="15">
    <w:name w:val="Hyperlink"/>
    <w:basedOn w:val="11"/>
    <w:unhideWhenUsed/>
    <w:uiPriority w:val="99"/>
    <w:rPr>
      <w:color w:val="0563C1" w:themeColor="hyperlink"/>
      <w:u w:val="single"/>
      <w14:textFill>
        <w14:solidFill>
          <w14:schemeClr w14:val="hlink"/>
        </w14:solidFill>
      </w14:textFill>
    </w:rPr>
  </w:style>
  <w:style w:type="paragraph" w:styleId="16">
    <w:name w:val="Normal (Web)"/>
    <w:basedOn w:val="1"/>
    <w:semiHidden/>
    <w:unhideWhenUsed/>
    <w:uiPriority w:val="99"/>
    <w:rPr>
      <w:rFonts w:ascii="Times New Roman" w:hAnsi="Times New Roman" w:cs="Times New Roman"/>
      <w:sz w:val="24"/>
      <w:szCs w:val="24"/>
    </w:rPr>
  </w:style>
  <w:style w:type="paragraph" w:styleId="17">
    <w:name w:val="Subtitle"/>
    <w:basedOn w:val="1"/>
    <w:next w:val="1"/>
    <w:link w:val="32"/>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8">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uiPriority w:val="39"/>
    <w:pPr>
      <w:spacing w:after="100"/>
    </w:pPr>
  </w:style>
  <w:style w:type="paragraph" w:styleId="21">
    <w:name w:val="toc 2"/>
    <w:basedOn w:val="1"/>
    <w:next w:val="1"/>
    <w:autoRedefine/>
    <w:unhideWhenUsed/>
    <w:uiPriority w:val="39"/>
    <w:pPr>
      <w:spacing w:after="100"/>
      <w:ind w:left="220"/>
    </w:pPr>
  </w:style>
  <w:style w:type="character" w:customStyle="1" w:styleId="22">
    <w:name w:val="Heading 1 Char"/>
    <w:basedOn w:val="11"/>
    <w:link w:val="2"/>
    <w:qFormat/>
    <w:uiPriority w:val="9"/>
    <w:rPr>
      <w:rFonts w:asciiTheme="majorHAnsi" w:hAnsiTheme="majorHAnsi" w:eastAsiaTheme="majorEastAsia" w:cstheme="majorBidi"/>
      <w:color w:val="2E75B6" w:themeColor="accent1" w:themeShade="BF"/>
      <w:sz w:val="40"/>
      <w:szCs w:val="40"/>
    </w:rPr>
  </w:style>
  <w:style w:type="character" w:customStyle="1" w:styleId="23">
    <w:name w:val="Heading 2 Char"/>
    <w:basedOn w:val="11"/>
    <w:link w:val="3"/>
    <w:qFormat/>
    <w:uiPriority w:val="9"/>
    <w:rPr>
      <w:rFonts w:ascii="Arial" w:hAnsi="Arial" w:eastAsiaTheme="majorEastAsia" w:cstheme="majorBidi"/>
      <w:b/>
      <w:color w:val="000000" w:themeColor="text1"/>
      <w:sz w:val="24"/>
      <w:szCs w:val="32"/>
      <w:lang w:val="en-GB"/>
      <w14:textFill>
        <w14:solidFill>
          <w14:schemeClr w14:val="tx1"/>
        </w14:solidFill>
      </w14:textFill>
    </w:rPr>
  </w:style>
  <w:style w:type="character" w:customStyle="1" w:styleId="24">
    <w:name w:val="Heading 3 Char"/>
    <w:basedOn w:val="11"/>
    <w:link w:val="4"/>
    <w:semiHidden/>
    <w:qFormat/>
    <w:uiPriority w:val="9"/>
    <w:rPr>
      <w:rFonts w:eastAsiaTheme="majorEastAsia" w:cstheme="majorBidi"/>
      <w:color w:val="2E75B6" w:themeColor="accent1" w:themeShade="BF"/>
      <w:sz w:val="28"/>
      <w:szCs w:val="28"/>
    </w:rPr>
  </w:style>
  <w:style w:type="character" w:customStyle="1" w:styleId="25">
    <w:name w:val="Heading 4 Char"/>
    <w:basedOn w:val="11"/>
    <w:link w:val="5"/>
    <w:semiHidden/>
    <w:qFormat/>
    <w:uiPriority w:val="9"/>
    <w:rPr>
      <w:rFonts w:eastAsiaTheme="majorEastAsia" w:cstheme="majorBidi"/>
      <w:i/>
      <w:iCs/>
      <w:color w:val="2E75B6" w:themeColor="accent1" w:themeShade="BF"/>
    </w:rPr>
  </w:style>
  <w:style w:type="character" w:customStyle="1" w:styleId="26">
    <w:name w:val="Heading 5 Char"/>
    <w:basedOn w:val="11"/>
    <w:link w:val="6"/>
    <w:semiHidden/>
    <w:qFormat/>
    <w:uiPriority w:val="9"/>
    <w:rPr>
      <w:rFonts w:eastAsiaTheme="majorEastAsia" w:cstheme="majorBidi"/>
      <w:color w:val="2E75B6" w:themeColor="accent1" w:themeShade="BF"/>
    </w:rPr>
  </w:style>
  <w:style w:type="character" w:customStyle="1" w:styleId="27">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8">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0">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1">
    <w:name w:val="Title Char"/>
    <w:basedOn w:val="11"/>
    <w:link w:val="19"/>
    <w:qFormat/>
    <w:uiPriority w:val="10"/>
    <w:rPr>
      <w:rFonts w:asciiTheme="majorHAnsi" w:hAnsiTheme="majorHAnsi" w:eastAsiaTheme="majorEastAsia" w:cstheme="majorBidi"/>
      <w:spacing w:val="-10"/>
      <w:kern w:val="28"/>
      <w:sz w:val="56"/>
      <w:szCs w:val="56"/>
    </w:rPr>
  </w:style>
  <w:style w:type="character" w:customStyle="1" w:styleId="32">
    <w:name w:val="Subtitle Char"/>
    <w:basedOn w:val="11"/>
    <w:link w:val="1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Quote Char"/>
    <w:basedOn w:val="11"/>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2E75B6" w:themeColor="accent1" w:themeShade="BF"/>
    </w:rPr>
  </w:style>
  <w:style w:type="paragraph" w:styleId="37">
    <w:name w:val="Intense Quote"/>
    <w:basedOn w:val="1"/>
    <w:next w:val="1"/>
    <w:link w:val="38"/>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38">
    <w:name w:val="Intense Quote Char"/>
    <w:basedOn w:val="11"/>
    <w:link w:val="37"/>
    <w:uiPriority w:val="30"/>
    <w:rPr>
      <w:i/>
      <w:iCs/>
      <w:color w:val="2E75B6" w:themeColor="accent1" w:themeShade="BF"/>
    </w:rPr>
  </w:style>
  <w:style w:type="character" w:customStyle="1" w:styleId="39">
    <w:name w:val="Intense Reference"/>
    <w:basedOn w:val="11"/>
    <w:qFormat/>
    <w:uiPriority w:val="32"/>
    <w:rPr>
      <w:b/>
      <w:bCs/>
      <w:smallCaps/>
      <w:color w:val="2E75B6" w:themeColor="accent1" w:themeShade="BF"/>
      <w:spacing w:val="5"/>
    </w:rPr>
  </w:style>
  <w:style w:type="character" w:customStyle="1" w:styleId="40">
    <w:name w:val="Unresolved Mention"/>
    <w:basedOn w:val="11"/>
    <w:semiHidden/>
    <w:unhideWhenUsed/>
    <w:uiPriority w:val="99"/>
    <w:rPr>
      <w:color w:val="605E5C"/>
      <w:shd w:val="clear" w:color="auto" w:fill="E1DFDD"/>
    </w:rPr>
  </w:style>
  <w:style w:type="paragraph" w:customStyle="1" w:styleId="41">
    <w:name w:val="TOC Heading"/>
    <w:basedOn w:val="2"/>
    <w:next w:val="1"/>
    <w:unhideWhenUsed/>
    <w:qFormat/>
    <w:uiPriority w:val="39"/>
    <w:pPr>
      <w:spacing w:before="240" w:after="0"/>
      <w:outlineLvl w:val="9"/>
    </w:pPr>
    <w:rPr>
      <w:sz w:val="32"/>
      <w:szCs w:val="32"/>
      <w:lang w:val="en-US"/>
    </w:rPr>
  </w:style>
  <w:style w:type="character" w:customStyle="1" w:styleId="42">
    <w:name w:val="Header Char"/>
    <w:basedOn w:val="11"/>
    <w:link w:val="14"/>
    <w:uiPriority w:val="99"/>
    <w:rPr>
      <w:lang w:val="en-GB"/>
    </w:rPr>
  </w:style>
  <w:style w:type="character" w:customStyle="1" w:styleId="43">
    <w:name w:val="Footer Char"/>
    <w:basedOn w:val="11"/>
    <w:link w:val="13"/>
    <w:uiPriority w:val="99"/>
    <w:rPr>
      <w:lang w:val="en-GB"/>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8.jpe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23D38-EB1A-4061-BE80-A6D11FFD616E}">
  <ds:schemaRefs/>
</ds:datastoreItem>
</file>

<file path=docProps/app.xml><?xml version="1.0" encoding="utf-8"?>
<Properties xmlns="http://schemas.openxmlformats.org/officeDocument/2006/extended-properties" xmlns:vt="http://schemas.openxmlformats.org/officeDocument/2006/docPropsVTypes">
  <Template>Normal</Template>
  <Pages>23</Pages>
  <Words>4413</Words>
  <Characters>25160</Characters>
  <Lines>209</Lines>
  <Paragraphs>59</Paragraphs>
  <TotalTime>3</TotalTime>
  <ScaleCrop>false</ScaleCrop>
  <LinksUpToDate>false</LinksUpToDate>
  <CharactersWithSpaces>29514</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2025-11-08T21:42:00Z</dcterms:created>
  <dc:creator>mt360daysservice@gmail.com</dc:creator>
  <cp:lastModifiedBy>DELL</cp:lastModifiedBy>
  <dcterms:modified xsi:type="dcterms:W3CDTF">2025-11-10T13:29:42Z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7523C5ED2F654A4F8D559D2BAA5B144D_12</vt:lpwstr>
  </property>
</Properties>
</file>