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0930596"/>
        <w:docPartObj>
          <w:docPartGallery w:val="Cover Pages"/>
          <w:docPartUnique/>
        </w:docPartObj>
      </w:sdtPr>
      <w:sdtContent>
        <w:p w14:paraId="48F33B8D" w14:textId="4DF9F763" w:rsidR="00DA20F1" w:rsidRDefault="00DA20F1">
          <w:r>
            <w:rPr>
              <w:noProof/>
            </w:rPr>
            <mc:AlternateContent>
              <mc:Choice Requires="wpg">
                <w:drawing>
                  <wp:anchor distT="0" distB="0" distL="114300" distR="114300" simplePos="0" relativeHeight="251659264" behindDoc="0" locked="0" layoutInCell="1" allowOverlap="1" wp14:anchorId="6211C3E3" wp14:editId="33B996E8">
                    <wp:simplePos x="0" y="0"/>
                    <wp:positionH relativeFrom="page">
                      <wp:align>right</wp:align>
                    </wp:positionH>
                    <wp:positionV relativeFrom="page">
                      <wp:align>top</wp:align>
                    </wp:positionV>
                    <wp:extent cx="3096491" cy="10058400"/>
                    <wp:effectExtent l="0" t="0" r="8890" b="0"/>
                    <wp:wrapNone/>
                    <wp:docPr id="453" name="Group 78"/>
                    <wp:cNvGraphicFramePr/>
                    <a:graphic xmlns:a="http://schemas.openxmlformats.org/drawingml/2006/main">
                      <a:graphicData uri="http://schemas.microsoft.com/office/word/2010/wordprocessingGroup">
                        <wpg:wgp>
                          <wpg:cNvGrpSpPr/>
                          <wpg:grpSpPr>
                            <a:xfrm>
                              <a:off x="0" y="0"/>
                              <a:ext cx="3096491" cy="10058400"/>
                              <a:chOff x="0" y="0"/>
                              <a:chExt cx="3096491"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36"/>
                                      <w:szCs w:val="36"/>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56FC7224" w14:textId="50B0EEA5" w:rsidR="00DA20F1" w:rsidRPr="00701909" w:rsidRDefault="00701909">
                                      <w:pPr>
                                        <w:pStyle w:val="NoSpacing"/>
                                        <w:spacing w:line="360" w:lineRule="auto"/>
                                        <w:rPr>
                                          <w:color w:val="FFFFFF" w:themeColor="background1"/>
                                          <w:sz w:val="36"/>
                                          <w:szCs w:val="36"/>
                                        </w:rPr>
                                      </w:pPr>
                                      <w:proofErr w:type="spellStart"/>
                                      <w:r w:rsidRPr="00701909">
                                        <w:rPr>
                                          <w:color w:val="FFFFFF" w:themeColor="background1"/>
                                          <w:sz w:val="36"/>
                                          <w:szCs w:val="36"/>
                                        </w:rPr>
                                        <w:t>Visan</w:t>
                                      </w:r>
                                      <w:proofErr w:type="spellEnd"/>
                                      <w:r w:rsidRPr="00701909">
                                        <w:rPr>
                                          <w:color w:val="FFFFFF" w:themeColor="background1"/>
                                          <w:sz w:val="36"/>
                                          <w:szCs w:val="36"/>
                                        </w:rPr>
                                        <w:t xml:space="preserve"> Bianca Elena</w:t>
                                      </w:r>
                                      <w:r>
                                        <w:rPr>
                                          <w:color w:val="FFFFFF" w:themeColor="background1"/>
                                          <w:sz w:val="36"/>
                                          <w:szCs w:val="36"/>
                                        </w:rPr>
                                        <w:t xml:space="preserve"> Student ID: </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62AE76A9" w14:textId="79BF3B3B" w:rsidR="00DA20F1" w:rsidRDefault="00701909">
                                      <w:pPr>
                                        <w:pStyle w:val="NoSpacing"/>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6211C3E3" id="Group 78" o:spid="_x0000_s1026" style="position:absolute;margin-left:192.6pt;margin-top:0;width:243.8pt;height:11in;z-index:251659264;mso-height-percent:1000;mso-position-horizontal:right;mso-position-horizontal-relative:page;mso-position-vertical:top;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9" o:spid="_x0000_s1029"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36"/>
                                <w:szCs w:val="36"/>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56FC7224" w14:textId="50B0EEA5" w:rsidR="00DA20F1" w:rsidRPr="00701909" w:rsidRDefault="00701909">
                                <w:pPr>
                                  <w:pStyle w:val="NoSpacing"/>
                                  <w:spacing w:line="360" w:lineRule="auto"/>
                                  <w:rPr>
                                    <w:color w:val="FFFFFF" w:themeColor="background1"/>
                                    <w:sz w:val="36"/>
                                    <w:szCs w:val="36"/>
                                  </w:rPr>
                                </w:pPr>
                                <w:proofErr w:type="spellStart"/>
                                <w:r w:rsidRPr="00701909">
                                  <w:rPr>
                                    <w:color w:val="FFFFFF" w:themeColor="background1"/>
                                    <w:sz w:val="36"/>
                                    <w:szCs w:val="36"/>
                                  </w:rPr>
                                  <w:t>Visan</w:t>
                                </w:r>
                                <w:proofErr w:type="spellEnd"/>
                                <w:r w:rsidRPr="00701909">
                                  <w:rPr>
                                    <w:color w:val="FFFFFF" w:themeColor="background1"/>
                                    <w:sz w:val="36"/>
                                    <w:szCs w:val="36"/>
                                  </w:rPr>
                                  <w:t xml:space="preserve"> Bianca Elena</w:t>
                                </w:r>
                                <w:r>
                                  <w:rPr>
                                    <w:color w:val="FFFFFF" w:themeColor="background1"/>
                                    <w:sz w:val="36"/>
                                    <w:szCs w:val="36"/>
                                  </w:rPr>
                                  <w:t xml:space="preserve"> Student ID: </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62AE76A9" w14:textId="79BF3B3B" w:rsidR="00DA20F1" w:rsidRDefault="00701909">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0A441FC7" wp14:editId="7283D461">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7528098D" w14:textId="331C531C" w:rsidR="00DA20F1" w:rsidRDefault="00701909">
                                    <w:pPr>
                                      <w:pStyle w:val="NoSpacing"/>
                                      <w:jc w:val="right"/>
                                      <w:rPr>
                                        <w:color w:val="FFFFFF" w:themeColor="background1"/>
                                        <w:sz w:val="72"/>
                                        <w:szCs w:val="72"/>
                                      </w:rPr>
                                    </w:pPr>
                                    <w:r w:rsidRPr="00701909">
                                      <w:rPr>
                                        <w:color w:val="FFFFFF" w:themeColor="background1"/>
                                        <w:sz w:val="72"/>
                                        <w:szCs w:val="72"/>
                                      </w:rPr>
                                      <w:t xml:space="preserve">ASSESSMENT COMPONENT 1 – COMMUNITY ENGAGEMENT  </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0A441FC7" id="Rectangle 16" o:spid="_x0000_s1030"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tydFg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7528098D" w14:textId="331C531C" w:rsidR="00DA20F1" w:rsidRDefault="00701909">
                              <w:pPr>
                                <w:pStyle w:val="NoSpacing"/>
                                <w:jc w:val="right"/>
                                <w:rPr>
                                  <w:color w:val="FFFFFF" w:themeColor="background1"/>
                                  <w:sz w:val="72"/>
                                  <w:szCs w:val="72"/>
                                </w:rPr>
                              </w:pPr>
                              <w:r w:rsidRPr="00701909">
                                <w:rPr>
                                  <w:color w:val="FFFFFF" w:themeColor="background1"/>
                                  <w:sz w:val="72"/>
                                  <w:szCs w:val="72"/>
                                </w:rPr>
                                <w:t xml:space="preserve">ASSESSMENT COMPONENT 1 – COMMUNITY ENGAGEMENT  </w:t>
                              </w:r>
                            </w:p>
                          </w:sdtContent>
                        </w:sdt>
                      </w:txbxContent>
                    </v:textbox>
                    <w10:wrap anchorx="page" anchory="page"/>
                  </v:rect>
                </w:pict>
              </mc:Fallback>
            </mc:AlternateContent>
          </w:r>
        </w:p>
        <w:p w14:paraId="4B9A015A" w14:textId="099472FA" w:rsidR="00DA20F1" w:rsidRDefault="00701909">
          <w:r>
            <w:rPr>
              <w:noProof/>
            </w:rPr>
            <w:drawing>
              <wp:anchor distT="0" distB="0" distL="114300" distR="114300" simplePos="0" relativeHeight="251662336" behindDoc="0" locked="0" layoutInCell="1" allowOverlap="1" wp14:anchorId="434ED494" wp14:editId="5D959FA2">
                <wp:simplePos x="0" y="0"/>
                <wp:positionH relativeFrom="page">
                  <wp:posOffset>1778635</wp:posOffset>
                </wp:positionH>
                <wp:positionV relativeFrom="paragraph">
                  <wp:posOffset>3228975</wp:posOffset>
                </wp:positionV>
                <wp:extent cx="5731510" cy="3228975"/>
                <wp:effectExtent l="0" t="0" r="2540" b="9525"/>
                <wp:wrapThrough wrapText="bothSides">
                  <wp:wrapPolygon edited="0">
                    <wp:start x="0" y="0"/>
                    <wp:lineTo x="0" y="21536"/>
                    <wp:lineTo x="21538" y="21536"/>
                    <wp:lineTo x="21538" y="0"/>
                    <wp:lineTo x="0" y="0"/>
                  </wp:wrapPolygon>
                </wp:wrapThrough>
                <wp:docPr id="2834210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421016" name="Picture 28342101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8975"/>
                        </a:xfrm>
                        <a:prstGeom prst="rect">
                          <a:avLst/>
                        </a:prstGeom>
                      </pic:spPr>
                    </pic:pic>
                  </a:graphicData>
                </a:graphic>
              </wp:anchor>
            </w:drawing>
          </w:r>
          <w:r w:rsidR="00DA20F1">
            <w:br w:type="page"/>
          </w:r>
        </w:p>
      </w:sdtContent>
    </w:sdt>
    <w:p w14:paraId="7C7ECF86" w14:textId="77777777" w:rsidR="00DA20F1" w:rsidRPr="00701909" w:rsidRDefault="00DA20F1">
      <w:pPr>
        <w:rPr>
          <w:rFonts w:ascii="Arial" w:hAnsi="Arial" w:cs="Arial"/>
          <w:b/>
          <w:bCs/>
        </w:rPr>
      </w:pPr>
      <w:r w:rsidRPr="00701909">
        <w:rPr>
          <w:rFonts w:ascii="Arial" w:hAnsi="Arial" w:cs="Arial"/>
          <w:b/>
          <w:bCs/>
        </w:rPr>
        <w:lastRenderedPageBreak/>
        <w:t>Summary:</w:t>
      </w:r>
    </w:p>
    <w:p w14:paraId="5AC1E0EA" w14:textId="5BB8B072" w:rsidR="00DA20F1" w:rsidRPr="00701909" w:rsidRDefault="00DA20F1" w:rsidP="00DA20F1">
      <w:pPr>
        <w:jc w:val="both"/>
        <w:rPr>
          <w:rFonts w:ascii="Arial" w:hAnsi="Arial" w:cs="Arial"/>
        </w:rPr>
      </w:pPr>
      <w:r w:rsidRPr="00701909">
        <w:rPr>
          <w:rFonts w:ascii="Arial" w:hAnsi="Arial" w:cs="Arial"/>
        </w:rPr>
        <w:t>This report aims to evaluate the "Green Spaces for All" initiative of Groundwork, a charity organization commissioned by the local council in a UK town. The project's goal is to transform unused public spaces into green areas accessible to all residents, promoting environmental sustainability, community well-being, and social cohesion. This report will assess the project's adherence to community engagement principles, planning and design strategies, adherence to standards, and overall impact.</w:t>
      </w:r>
      <w:r w:rsidRPr="00701909">
        <w:rPr>
          <w:rFonts w:ascii="Arial" w:hAnsi="Arial" w:cs="Arial"/>
        </w:rPr>
        <w:t xml:space="preserve"> </w:t>
      </w:r>
      <w:r w:rsidRPr="00701909">
        <w:rPr>
          <w:rFonts w:ascii="Arial" w:hAnsi="Arial" w:cs="Arial"/>
        </w:rPr>
        <w:t>Community engagement plays a crucial role in driving positive change and fostering a sense of ownership and empowerment among residents, as highlighted by numerous community engagement projects implemented in the United Kingdom. The project chosen for analysis, the "Green Spaces for All" project, demonstrates a strong adherence to community engagement principles. It actively involves a diverse range of community members in the decision-making process, ensuring inclusivity and transparency. The project organizers have employed various tools and platforms to communicate these principles, such as public meetings, online surveys, and social media campaigns.</w:t>
      </w:r>
    </w:p>
    <w:p w14:paraId="5ADE53FD" w14:textId="77777777" w:rsidR="00DA20F1" w:rsidRPr="00701909" w:rsidRDefault="00DA20F1" w:rsidP="00DA20F1">
      <w:pPr>
        <w:rPr>
          <w:rFonts w:ascii="Arial" w:hAnsi="Arial" w:cs="Arial"/>
        </w:rPr>
      </w:pPr>
    </w:p>
    <w:p w14:paraId="36377294" w14:textId="60D6513B" w:rsidR="00DA20F1" w:rsidRPr="00701909" w:rsidRDefault="00DA20F1" w:rsidP="00DA20F1">
      <w:pPr>
        <w:rPr>
          <w:rFonts w:ascii="Arial" w:hAnsi="Arial" w:cs="Arial"/>
        </w:rPr>
      </w:pPr>
      <w:r w:rsidRPr="00701909">
        <w:rPr>
          <w:rFonts w:ascii="Arial" w:hAnsi="Arial" w:cs="Arial"/>
        </w:rPr>
        <w:t>.</w:t>
      </w:r>
    </w:p>
    <w:p w14:paraId="08335C07" w14:textId="77777777" w:rsidR="00DA20F1" w:rsidRPr="00701909" w:rsidRDefault="00DA20F1" w:rsidP="00DA20F1">
      <w:pPr>
        <w:rPr>
          <w:rFonts w:ascii="Arial" w:hAnsi="Arial" w:cs="Arial"/>
        </w:rPr>
      </w:pPr>
    </w:p>
    <w:p w14:paraId="6FE92EDA" w14:textId="7B860E0F" w:rsidR="00DA20F1" w:rsidRPr="00701909" w:rsidRDefault="00DA20F1" w:rsidP="00DA20F1">
      <w:pPr>
        <w:rPr>
          <w:rFonts w:ascii="Arial" w:hAnsi="Arial" w:cs="Arial"/>
        </w:rPr>
      </w:pPr>
      <w:r w:rsidRPr="00701909">
        <w:rPr>
          <w:rFonts w:ascii="Arial" w:hAnsi="Arial" w:cs="Arial"/>
        </w:rPr>
        <w:br w:type="page"/>
      </w:r>
    </w:p>
    <w:sdt>
      <w:sdtPr>
        <w:rPr>
          <w:rFonts w:ascii="Arial" w:hAnsi="Arial" w:cs="Arial"/>
          <w:sz w:val="22"/>
          <w:szCs w:val="22"/>
        </w:rPr>
        <w:id w:val="696426016"/>
        <w:docPartObj>
          <w:docPartGallery w:val="Table of Contents"/>
          <w:docPartUnique/>
        </w:docPartObj>
      </w:sdtPr>
      <w:sdtEndPr>
        <w:rPr>
          <w:rFonts w:eastAsiaTheme="minorHAnsi"/>
          <w:b/>
          <w:bCs/>
          <w:noProof/>
          <w:color w:val="auto"/>
          <w:kern w:val="2"/>
          <w:lang w:val="en-GB"/>
          <w14:ligatures w14:val="standardContextual"/>
        </w:rPr>
      </w:sdtEndPr>
      <w:sdtContent>
        <w:p w14:paraId="137B36CF" w14:textId="49AD346D" w:rsidR="00DA20F1" w:rsidRPr="00701909" w:rsidRDefault="00DA20F1">
          <w:pPr>
            <w:pStyle w:val="TOCHeading"/>
            <w:rPr>
              <w:rFonts w:ascii="Arial" w:hAnsi="Arial" w:cs="Arial"/>
              <w:sz w:val="22"/>
              <w:szCs w:val="22"/>
            </w:rPr>
          </w:pPr>
          <w:r w:rsidRPr="00701909">
            <w:rPr>
              <w:rFonts w:ascii="Arial" w:hAnsi="Arial" w:cs="Arial"/>
              <w:sz w:val="22"/>
              <w:szCs w:val="22"/>
            </w:rPr>
            <w:t>Table of Contents</w:t>
          </w:r>
        </w:p>
        <w:p w14:paraId="1281AD1C" w14:textId="091D0F29" w:rsidR="002443D4" w:rsidRDefault="00DA20F1">
          <w:pPr>
            <w:pStyle w:val="TOC1"/>
            <w:tabs>
              <w:tab w:val="right" w:leader="dot" w:pos="9016"/>
            </w:tabs>
            <w:rPr>
              <w:rFonts w:eastAsiaTheme="minorEastAsia"/>
              <w:noProof/>
              <w:lang w:eastAsia="en-GB"/>
            </w:rPr>
          </w:pPr>
          <w:r w:rsidRPr="00701909">
            <w:rPr>
              <w:rFonts w:ascii="Arial" w:hAnsi="Arial" w:cs="Arial"/>
            </w:rPr>
            <w:fldChar w:fldCharType="begin"/>
          </w:r>
          <w:r w:rsidRPr="00701909">
            <w:rPr>
              <w:rFonts w:ascii="Arial" w:hAnsi="Arial" w:cs="Arial"/>
            </w:rPr>
            <w:instrText xml:space="preserve"> TOC \o "1-3" \h \z \u </w:instrText>
          </w:r>
          <w:r w:rsidRPr="00701909">
            <w:rPr>
              <w:rFonts w:ascii="Arial" w:hAnsi="Arial" w:cs="Arial"/>
            </w:rPr>
            <w:fldChar w:fldCharType="separate"/>
          </w:r>
          <w:hyperlink w:anchor="_Toc139204689" w:history="1">
            <w:r w:rsidR="002443D4" w:rsidRPr="008A36F7">
              <w:rPr>
                <w:rStyle w:val="Hyperlink"/>
                <w:rFonts w:ascii="Arial" w:hAnsi="Arial" w:cs="Arial"/>
                <w:noProof/>
              </w:rPr>
              <w:t>Introduction:</w:t>
            </w:r>
            <w:r w:rsidR="002443D4">
              <w:rPr>
                <w:noProof/>
                <w:webHidden/>
              </w:rPr>
              <w:tab/>
            </w:r>
            <w:r w:rsidR="002443D4">
              <w:rPr>
                <w:noProof/>
                <w:webHidden/>
              </w:rPr>
              <w:fldChar w:fldCharType="begin"/>
            </w:r>
            <w:r w:rsidR="002443D4">
              <w:rPr>
                <w:noProof/>
                <w:webHidden/>
              </w:rPr>
              <w:instrText xml:space="preserve"> PAGEREF _Toc139204689 \h </w:instrText>
            </w:r>
            <w:r w:rsidR="002443D4">
              <w:rPr>
                <w:noProof/>
                <w:webHidden/>
              </w:rPr>
            </w:r>
            <w:r w:rsidR="002443D4">
              <w:rPr>
                <w:noProof/>
                <w:webHidden/>
              </w:rPr>
              <w:fldChar w:fldCharType="separate"/>
            </w:r>
            <w:r w:rsidR="002443D4">
              <w:rPr>
                <w:noProof/>
                <w:webHidden/>
              </w:rPr>
              <w:t>3</w:t>
            </w:r>
            <w:r w:rsidR="002443D4">
              <w:rPr>
                <w:noProof/>
                <w:webHidden/>
              </w:rPr>
              <w:fldChar w:fldCharType="end"/>
            </w:r>
          </w:hyperlink>
        </w:p>
        <w:p w14:paraId="13DABD3A" w14:textId="74209C55" w:rsidR="002443D4" w:rsidRDefault="002443D4">
          <w:pPr>
            <w:pStyle w:val="TOC1"/>
            <w:tabs>
              <w:tab w:val="right" w:leader="dot" w:pos="9016"/>
            </w:tabs>
            <w:rPr>
              <w:rFonts w:eastAsiaTheme="minorEastAsia"/>
              <w:noProof/>
              <w:lang w:eastAsia="en-GB"/>
            </w:rPr>
          </w:pPr>
          <w:hyperlink w:anchor="_Toc139204690" w:history="1">
            <w:r w:rsidRPr="008A36F7">
              <w:rPr>
                <w:rStyle w:val="Hyperlink"/>
                <w:rFonts w:ascii="Arial" w:hAnsi="Arial" w:cs="Arial"/>
                <w:noProof/>
              </w:rPr>
              <w:t>Main Body:</w:t>
            </w:r>
            <w:r>
              <w:rPr>
                <w:noProof/>
                <w:webHidden/>
              </w:rPr>
              <w:tab/>
            </w:r>
            <w:r>
              <w:rPr>
                <w:noProof/>
                <w:webHidden/>
              </w:rPr>
              <w:fldChar w:fldCharType="begin"/>
            </w:r>
            <w:r>
              <w:rPr>
                <w:noProof/>
                <w:webHidden/>
              </w:rPr>
              <w:instrText xml:space="preserve"> PAGEREF _Toc139204690 \h </w:instrText>
            </w:r>
            <w:r>
              <w:rPr>
                <w:noProof/>
                <w:webHidden/>
              </w:rPr>
            </w:r>
            <w:r>
              <w:rPr>
                <w:noProof/>
                <w:webHidden/>
              </w:rPr>
              <w:fldChar w:fldCharType="separate"/>
            </w:r>
            <w:r>
              <w:rPr>
                <w:noProof/>
                <w:webHidden/>
              </w:rPr>
              <w:t>3</w:t>
            </w:r>
            <w:r>
              <w:rPr>
                <w:noProof/>
                <w:webHidden/>
              </w:rPr>
              <w:fldChar w:fldCharType="end"/>
            </w:r>
          </w:hyperlink>
        </w:p>
        <w:p w14:paraId="499A1A6F" w14:textId="48F8F4AD" w:rsidR="002443D4" w:rsidRDefault="002443D4">
          <w:pPr>
            <w:pStyle w:val="TOC2"/>
            <w:tabs>
              <w:tab w:val="right" w:leader="dot" w:pos="9016"/>
            </w:tabs>
            <w:rPr>
              <w:rFonts w:eastAsiaTheme="minorEastAsia"/>
              <w:noProof/>
              <w:lang w:eastAsia="en-GB"/>
            </w:rPr>
          </w:pPr>
          <w:hyperlink w:anchor="_Toc139204691" w:history="1">
            <w:r w:rsidRPr="008A36F7">
              <w:rPr>
                <w:rStyle w:val="Hyperlink"/>
                <w:rFonts w:ascii="Arial" w:hAnsi="Arial" w:cs="Arial"/>
                <w:noProof/>
              </w:rPr>
              <w:t>Community engagement principles:</w:t>
            </w:r>
            <w:r>
              <w:rPr>
                <w:noProof/>
                <w:webHidden/>
              </w:rPr>
              <w:tab/>
            </w:r>
            <w:r>
              <w:rPr>
                <w:noProof/>
                <w:webHidden/>
              </w:rPr>
              <w:fldChar w:fldCharType="begin"/>
            </w:r>
            <w:r>
              <w:rPr>
                <w:noProof/>
                <w:webHidden/>
              </w:rPr>
              <w:instrText xml:space="preserve"> PAGEREF _Toc139204691 \h </w:instrText>
            </w:r>
            <w:r>
              <w:rPr>
                <w:noProof/>
                <w:webHidden/>
              </w:rPr>
            </w:r>
            <w:r>
              <w:rPr>
                <w:noProof/>
                <w:webHidden/>
              </w:rPr>
              <w:fldChar w:fldCharType="separate"/>
            </w:r>
            <w:r>
              <w:rPr>
                <w:noProof/>
                <w:webHidden/>
              </w:rPr>
              <w:t>3</w:t>
            </w:r>
            <w:r>
              <w:rPr>
                <w:noProof/>
                <w:webHidden/>
              </w:rPr>
              <w:fldChar w:fldCharType="end"/>
            </w:r>
          </w:hyperlink>
        </w:p>
        <w:p w14:paraId="37F4EF4A" w14:textId="3D3A3EAB" w:rsidR="002443D4" w:rsidRDefault="002443D4">
          <w:pPr>
            <w:pStyle w:val="TOC2"/>
            <w:tabs>
              <w:tab w:val="right" w:leader="dot" w:pos="9016"/>
            </w:tabs>
            <w:rPr>
              <w:rFonts w:eastAsiaTheme="minorEastAsia"/>
              <w:noProof/>
              <w:lang w:eastAsia="en-GB"/>
            </w:rPr>
          </w:pPr>
          <w:hyperlink w:anchor="_Toc139204692" w:history="1">
            <w:r w:rsidRPr="008A36F7">
              <w:rPr>
                <w:rStyle w:val="Hyperlink"/>
                <w:rFonts w:ascii="Arial" w:hAnsi="Arial" w:cs="Arial"/>
                <w:noProof/>
              </w:rPr>
              <w:t>Planning and design:</w:t>
            </w:r>
            <w:r>
              <w:rPr>
                <w:noProof/>
                <w:webHidden/>
              </w:rPr>
              <w:tab/>
            </w:r>
            <w:r>
              <w:rPr>
                <w:noProof/>
                <w:webHidden/>
              </w:rPr>
              <w:fldChar w:fldCharType="begin"/>
            </w:r>
            <w:r>
              <w:rPr>
                <w:noProof/>
                <w:webHidden/>
              </w:rPr>
              <w:instrText xml:space="preserve"> PAGEREF _Toc139204692 \h </w:instrText>
            </w:r>
            <w:r>
              <w:rPr>
                <w:noProof/>
                <w:webHidden/>
              </w:rPr>
            </w:r>
            <w:r>
              <w:rPr>
                <w:noProof/>
                <w:webHidden/>
              </w:rPr>
              <w:fldChar w:fldCharType="separate"/>
            </w:r>
            <w:r>
              <w:rPr>
                <w:noProof/>
                <w:webHidden/>
              </w:rPr>
              <w:t>4</w:t>
            </w:r>
            <w:r>
              <w:rPr>
                <w:noProof/>
                <w:webHidden/>
              </w:rPr>
              <w:fldChar w:fldCharType="end"/>
            </w:r>
          </w:hyperlink>
        </w:p>
        <w:p w14:paraId="4A8CB0FD" w14:textId="7F67A201" w:rsidR="002443D4" w:rsidRDefault="002443D4">
          <w:pPr>
            <w:pStyle w:val="TOC2"/>
            <w:tabs>
              <w:tab w:val="right" w:leader="dot" w:pos="9016"/>
            </w:tabs>
            <w:rPr>
              <w:rFonts w:eastAsiaTheme="minorEastAsia"/>
              <w:noProof/>
              <w:lang w:eastAsia="en-GB"/>
            </w:rPr>
          </w:pPr>
          <w:hyperlink w:anchor="_Toc139204693" w:history="1">
            <w:r w:rsidRPr="008A36F7">
              <w:rPr>
                <w:rStyle w:val="Hyperlink"/>
                <w:rFonts w:ascii="Arial" w:hAnsi="Arial" w:cs="Arial"/>
                <w:noProof/>
              </w:rPr>
              <w:t>Standards:</w:t>
            </w:r>
            <w:r>
              <w:rPr>
                <w:noProof/>
                <w:webHidden/>
              </w:rPr>
              <w:tab/>
            </w:r>
            <w:r>
              <w:rPr>
                <w:noProof/>
                <w:webHidden/>
              </w:rPr>
              <w:fldChar w:fldCharType="begin"/>
            </w:r>
            <w:r>
              <w:rPr>
                <w:noProof/>
                <w:webHidden/>
              </w:rPr>
              <w:instrText xml:space="preserve"> PAGEREF _Toc139204693 \h </w:instrText>
            </w:r>
            <w:r>
              <w:rPr>
                <w:noProof/>
                <w:webHidden/>
              </w:rPr>
            </w:r>
            <w:r>
              <w:rPr>
                <w:noProof/>
                <w:webHidden/>
              </w:rPr>
              <w:fldChar w:fldCharType="separate"/>
            </w:r>
            <w:r>
              <w:rPr>
                <w:noProof/>
                <w:webHidden/>
              </w:rPr>
              <w:t>4</w:t>
            </w:r>
            <w:r>
              <w:rPr>
                <w:noProof/>
                <w:webHidden/>
              </w:rPr>
              <w:fldChar w:fldCharType="end"/>
            </w:r>
          </w:hyperlink>
        </w:p>
        <w:p w14:paraId="126EC237" w14:textId="712882DF" w:rsidR="002443D4" w:rsidRDefault="002443D4">
          <w:pPr>
            <w:pStyle w:val="TOC2"/>
            <w:tabs>
              <w:tab w:val="right" w:leader="dot" w:pos="9016"/>
            </w:tabs>
            <w:rPr>
              <w:rFonts w:eastAsiaTheme="minorEastAsia"/>
              <w:noProof/>
              <w:lang w:eastAsia="en-GB"/>
            </w:rPr>
          </w:pPr>
          <w:hyperlink w:anchor="_Toc139204694" w:history="1">
            <w:r w:rsidRPr="008A36F7">
              <w:rPr>
                <w:rStyle w:val="Hyperlink"/>
                <w:rFonts w:ascii="Arial" w:hAnsi="Arial" w:cs="Arial"/>
                <w:noProof/>
              </w:rPr>
              <w:t>Evaluation and Impact:</w:t>
            </w:r>
            <w:r>
              <w:rPr>
                <w:noProof/>
                <w:webHidden/>
              </w:rPr>
              <w:tab/>
            </w:r>
            <w:r>
              <w:rPr>
                <w:noProof/>
                <w:webHidden/>
              </w:rPr>
              <w:fldChar w:fldCharType="begin"/>
            </w:r>
            <w:r>
              <w:rPr>
                <w:noProof/>
                <w:webHidden/>
              </w:rPr>
              <w:instrText xml:space="preserve"> PAGEREF _Toc139204694 \h </w:instrText>
            </w:r>
            <w:r>
              <w:rPr>
                <w:noProof/>
                <w:webHidden/>
              </w:rPr>
            </w:r>
            <w:r>
              <w:rPr>
                <w:noProof/>
                <w:webHidden/>
              </w:rPr>
              <w:fldChar w:fldCharType="separate"/>
            </w:r>
            <w:r>
              <w:rPr>
                <w:noProof/>
                <w:webHidden/>
              </w:rPr>
              <w:t>5</w:t>
            </w:r>
            <w:r>
              <w:rPr>
                <w:noProof/>
                <w:webHidden/>
              </w:rPr>
              <w:fldChar w:fldCharType="end"/>
            </w:r>
          </w:hyperlink>
        </w:p>
        <w:p w14:paraId="3E1D6576" w14:textId="71CFD749" w:rsidR="002443D4" w:rsidRDefault="002443D4">
          <w:pPr>
            <w:pStyle w:val="TOC2"/>
            <w:tabs>
              <w:tab w:val="right" w:leader="dot" w:pos="9016"/>
            </w:tabs>
            <w:rPr>
              <w:rFonts w:eastAsiaTheme="minorEastAsia"/>
              <w:noProof/>
              <w:lang w:eastAsia="en-GB"/>
            </w:rPr>
          </w:pPr>
          <w:hyperlink w:anchor="_Toc139204695" w:history="1">
            <w:r w:rsidRPr="008A36F7">
              <w:rPr>
                <w:rStyle w:val="Hyperlink"/>
                <w:rFonts w:ascii="Arial" w:hAnsi="Arial" w:cs="Arial"/>
                <w:noProof/>
              </w:rPr>
              <w:t>Strengths and Weaknesses:</w:t>
            </w:r>
            <w:r>
              <w:rPr>
                <w:noProof/>
                <w:webHidden/>
              </w:rPr>
              <w:tab/>
            </w:r>
            <w:r>
              <w:rPr>
                <w:noProof/>
                <w:webHidden/>
              </w:rPr>
              <w:fldChar w:fldCharType="begin"/>
            </w:r>
            <w:r>
              <w:rPr>
                <w:noProof/>
                <w:webHidden/>
              </w:rPr>
              <w:instrText xml:space="preserve"> PAGEREF _Toc139204695 \h </w:instrText>
            </w:r>
            <w:r>
              <w:rPr>
                <w:noProof/>
                <w:webHidden/>
              </w:rPr>
            </w:r>
            <w:r>
              <w:rPr>
                <w:noProof/>
                <w:webHidden/>
              </w:rPr>
              <w:fldChar w:fldCharType="separate"/>
            </w:r>
            <w:r>
              <w:rPr>
                <w:noProof/>
                <w:webHidden/>
              </w:rPr>
              <w:t>5</w:t>
            </w:r>
            <w:r>
              <w:rPr>
                <w:noProof/>
                <w:webHidden/>
              </w:rPr>
              <w:fldChar w:fldCharType="end"/>
            </w:r>
          </w:hyperlink>
        </w:p>
        <w:p w14:paraId="08CA4387" w14:textId="2BDDEDD8" w:rsidR="002443D4" w:rsidRDefault="002443D4">
          <w:pPr>
            <w:pStyle w:val="TOC1"/>
            <w:tabs>
              <w:tab w:val="right" w:leader="dot" w:pos="9016"/>
            </w:tabs>
            <w:rPr>
              <w:rFonts w:eastAsiaTheme="minorEastAsia"/>
              <w:noProof/>
              <w:lang w:eastAsia="en-GB"/>
            </w:rPr>
          </w:pPr>
          <w:hyperlink w:anchor="_Toc139204696" w:history="1">
            <w:r w:rsidRPr="008A36F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_Toc139204696 \h </w:instrText>
            </w:r>
            <w:r>
              <w:rPr>
                <w:noProof/>
                <w:webHidden/>
              </w:rPr>
            </w:r>
            <w:r>
              <w:rPr>
                <w:noProof/>
                <w:webHidden/>
              </w:rPr>
              <w:fldChar w:fldCharType="separate"/>
            </w:r>
            <w:r>
              <w:rPr>
                <w:noProof/>
                <w:webHidden/>
              </w:rPr>
              <w:t>6</w:t>
            </w:r>
            <w:r>
              <w:rPr>
                <w:noProof/>
                <w:webHidden/>
              </w:rPr>
              <w:fldChar w:fldCharType="end"/>
            </w:r>
          </w:hyperlink>
        </w:p>
        <w:p w14:paraId="528D357C" w14:textId="12D6713E" w:rsidR="002443D4" w:rsidRDefault="002443D4">
          <w:pPr>
            <w:pStyle w:val="TOC1"/>
            <w:tabs>
              <w:tab w:val="right" w:leader="dot" w:pos="9016"/>
            </w:tabs>
            <w:rPr>
              <w:rFonts w:eastAsiaTheme="minorEastAsia"/>
              <w:noProof/>
              <w:lang w:eastAsia="en-GB"/>
            </w:rPr>
          </w:pPr>
          <w:hyperlink w:anchor="_Toc139204697" w:history="1">
            <w:r w:rsidRPr="008A36F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_Toc139204697 \h </w:instrText>
            </w:r>
            <w:r>
              <w:rPr>
                <w:noProof/>
                <w:webHidden/>
              </w:rPr>
            </w:r>
            <w:r>
              <w:rPr>
                <w:noProof/>
                <w:webHidden/>
              </w:rPr>
              <w:fldChar w:fldCharType="separate"/>
            </w:r>
            <w:r>
              <w:rPr>
                <w:noProof/>
                <w:webHidden/>
              </w:rPr>
              <w:t>7</w:t>
            </w:r>
            <w:r>
              <w:rPr>
                <w:noProof/>
                <w:webHidden/>
              </w:rPr>
              <w:fldChar w:fldCharType="end"/>
            </w:r>
          </w:hyperlink>
        </w:p>
        <w:p w14:paraId="0E49ACAB" w14:textId="291CA56B" w:rsidR="002443D4" w:rsidRDefault="002443D4">
          <w:pPr>
            <w:pStyle w:val="TOC1"/>
            <w:tabs>
              <w:tab w:val="right" w:leader="dot" w:pos="9016"/>
            </w:tabs>
            <w:rPr>
              <w:rFonts w:eastAsiaTheme="minorEastAsia"/>
              <w:noProof/>
              <w:lang w:eastAsia="en-GB"/>
            </w:rPr>
          </w:pPr>
          <w:hyperlink w:anchor="_Toc139204698" w:history="1">
            <w:r w:rsidRPr="008A36F7">
              <w:rPr>
                <w:rStyle w:val="Hyperlink"/>
                <w:rFonts w:ascii="Arial" w:hAnsi="Arial" w:cs="Arial"/>
                <w:noProof/>
              </w:rPr>
              <w:t>Appendix 1:</w:t>
            </w:r>
            <w:r>
              <w:rPr>
                <w:noProof/>
                <w:webHidden/>
              </w:rPr>
              <w:tab/>
            </w:r>
            <w:r>
              <w:rPr>
                <w:noProof/>
                <w:webHidden/>
              </w:rPr>
              <w:fldChar w:fldCharType="begin"/>
            </w:r>
            <w:r>
              <w:rPr>
                <w:noProof/>
                <w:webHidden/>
              </w:rPr>
              <w:instrText xml:space="preserve"> PAGEREF _Toc139204698 \h </w:instrText>
            </w:r>
            <w:r>
              <w:rPr>
                <w:noProof/>
                <w:webHidden/>
              </w:rPr>
            </w:r>
            <w:r>
              <w:rPr>
                <w:noProof/>
                <w:webHidden/>
              </w:rPr>
              <w:fldChar w:fldCharType="separate"/>
            </w:r>
            <w:r>
              <w:rPr>
                <w:noProof/>
                <w:webHidden/>
              </w:rPr>
              <w:t>8</w:t>
            </w:r>
            <w:r>
              <w:rPr>
                <w:noProof/>
                <w:webHidden/>
              </w:rPr>
              <w:fldChar w:fldCharType="end"/>
            </w:r>
          </w:hyperlink>
        </w:p>
        <w:p w14:paraId="78F256AC" w14:textId="3B71CEB3" w:rsidR="00DA20F1" w:rsidRPr="00701909" w:rsidRDefault="00DA20F1">
          <w:pPr>
            <w:rPr>
              <w:rFonts w:ascii="Arial" w:hAnsi="Arial" w:cs="Arial"/>
            </w:rPr>
          </w:pPr>
          <w:r w:rsidRPr="00701909">
            <w:rPr>
              <w:rFonts w:ascii="Arial" w:hAnsi="Arial" w:cs="Arial"/>
              <w:b/>
              <w:bCs/>
              <w:noProof/>
            </w:rPr>
            <w:fldChar w:fldCharType="end"/>
          </w:r>
        </w:p>
      </w:sdtContent>
    </w:sdt>
    <w:p w14:paraId="4563A184" w14:textId="44A8BB93" w:rsidR="00DA20F1" w:rsidRPr="00701909" w:rsidRDefault="00DA20F1">
      <w:pPr>
        <w:rPr>
          <w:rFonts w:ascii="Arial" w:hAnsi="Arial" w:cs="Arial"/>
        </w:rPr>
      </w:pPr>
      <w:r w:rsidRPr="00701909">
        <w:rPr>
          <w:rFonts w:ascii="Arial" w:hAnsi="Arial" w:cs="Arial"/>
        </w:rPr>
        <w:br w:type="page"/>
      </w:r>
    </w:p>
    <w:p w14:paraId="74B4B26B" w14:textId="77777777" w:rsidR="00DA20F1" w:rsidRPr="00701909" w:rsidRDefault="00DA20F1" w:rsidP="00DA20F1">
      <w:pPr>
        <w:rPr>
          <w:rFonts w:ascii="Arial" w:hAnsi="Arial" w:cs="Arial"/>
        </w:rPr>
      </w:pPr>
    </w:p>
    <w:p w14:paraId="1BB54C05" w14:textId="6C2AEA19" w:rsidR="00C87316" w:rsidRPr="00701909" w:rsidRDefault="00C87316" w:rsidP="00DA20F1">
      <w:pPr>
        <w:pStyle w:val="Heading1"/>
        <w:rPr>
          <w:rFonts w:ascii="Arial" w:hAnsi="Arial" w:cs="Arial"/>
          <w:sz w:val="22"/>
          <w:szCs w:val="22"/>
        </w:rPr>
      </w:pPr>
      <w:bookmarkStart w:id="0" w:name="_Toc139204689"/>
      <w:r w:rsidRPr="00701909">
        <w:rPr>
          <w:rFonts w:ascii="Arial" w:hAnsi="Arial" w:cs="Arial"/>
          <w:sz w:val="22"/>
          <w:szCs w:val="22"/>
        </w:rPr>
        <w:t>Introduction:</w:t>
      </w:r>
      <w:bookmarkEnd w:id="0"/>
    </w:p>
    <w:p w14:paraId="3DA31CE8" w14:textId="5A3E4015" w:rsidR="00C87316" w:rsidRPr="00701909" w:rsidRDefault="00C87316" w:rsidP="00701909">
      <w:pPr>
        <w:jc w:val="both"/>
        <w:rPr>
          <w:rFonts w:ascii="Arial" w:hAnsi="Arial" w:cs="Arial"/>
        </w:rPr>
      </w:pPr>
      <w:r w:rsidRPr="00701909">
        <w:rPr>
          <w:rFonts w:ascii="Arial" w:hAnsi="Arial" w:cs="Arial"/>
        </w:rPr>
        <w:t xml:space="preserve">This report aims to </w:t>
      </w:r>
      <w:r w:rsidR="000F0E8A" w:rsidRPr="00701909">
        <w:rPr>
          <w:rFonts w:ascii="Arial" w:hAnsi="Arial" w:cs="Arial"/>
        </w:rPr>
        <w:t>analyse</w:t>
      </w:r>
      <w:r w:rsidRPr="00701909">
        <w:rPr>
          <w:rFonts w:ascii="Arial" w:hAnsi="Arial" w:cs="Arial"/>
        </w:rPr>
        <w:t xml:space="preserve"> a community engagement project within the United Kingdom and assess its adherence to appropriate community engagement principles, planning and design, standards, and impact. The selected project will be discussed based on published articles, relevant literature, and personal experience to provide an in-depth evaluation.</w:t>
      </w:r>
      <w:r w:rsidR="000F0E8A" w:rsidRPr="00701909">
        <w:rPr>
          <w:rFonts w:ascii="Arial" w:hAnsi="Arial" w:cs="Arial"/>
        </w:rPr>
        <w:t xml:space="preserve"> </w:t>
      </w:r>
      <w:r w:rsidR="000F0E8A" w:rsidRPr="00701909">
        <w:rPr>
          <w:rFonts w:ascii="Arial" w:hAnsi="Arial" w:cs="Arial"/>
        </w:rPr>
        <w:t>Community engagement plays a crucial role in driving positive change and fostering a sense of ownership and empowerment among residents. In the United Kingdom, numerous community engagement projects have been implemented to address various social, environmental, and cultural challenges. This report will focus on one such project and examine its alignment with community engagement principles, planning and design strategies, adherence to standards, and overall impac</w:t>
      </w:r>
      <w:r w:rsidR="00143801" w:rsidRPr="00701909">
        <w:rPr>
          <w:rFonts w:ascii="Arial" w:hAnsi="Arial" w:cs="Arial"/>
        </w:rPr>
        <w:t>t</w:t>
      </w:r>
      <w:r w:rsidR="000F0E8A" w:rsidRPr="00701909">
        <w:rPr>
          <w:rFonts w:ascii="Arial" w:hAnsi="Arial" w:cs="Arial"/>
        </w:rPr>
        <w:t>, a comprehensive evaluation of the selected project will be provided</w:t>
      </w:r>
      <w:sdt>
        <w:sdtPr>
          <w:rPr>
            <w:rFonts w:ascii="Arial" w:hAnsi="Arial" w:cs="Arial"/>
          </w:rPr>
          <w:id w:val="-432677179"/>
          <w:citation/>
        </w:sdtPr>
        <w:sdtContent>
          <w:r w:rsidR="009C7EDA" w:rsidRPr="00701909">
            <w:rPr>
              <w:rFonts w:ascii="Arial" w:hAnsi="Arial" w:cs="Arial"/>
            </w:rPr>
            <w:fldChar w:fldCharType="begin"/>
          </w:r>
          <w:r w:rsidR="009C7EDA" w:rsidRPr="00701909">
            <w:rPr>
              <w:rFonts w:ascii="Arial" w:hAnsi="Arial" w:cs="Arial"/>
            </w:rPr>
            <w:instrText xml:space="preserve"> CITATION Gro22 \l 2057 </w:instrText>
          </w:r>
          <w:r w:rsidR="009C7EDA" w:rsidRPr="00701909">
            <w:rPr>
              <w:rFonts w:ascii="Arial" w:hAnsi="Arial" w:cs="Arial"/>
            </w:rPr>
            <w:fldChar w:fldCharType="separate"/>
          </w:r>
          <w:r w:rsidR="001C558F">
            <w:rPr>
              <w:rFonts w:ascii="Arial" w:hAnsi="Arial" w:cs="Arial"/>
              <w:noProof/>
            </w:rPr>
            <w:t xml:space="preserve"> </w:t>
          </w:r>
          <w:r w:rsidR="001C558F" w:rsidRPr="001C558F">
            <w:rPr>
              <w:rFonts w:ascii="Arial" w:hAnsi="Arial" w:cs="Arial"/>
              <w:noProof/>
            </w:rPr>
            <w:t>(GroundWork, 2022)</w:t>
          </w:r>
          <w:r w:rsidR="009C7EDA" w:rsidRPr="00701909">
            <w:rPr>
              <w:rFonts w:ascii="Arial" w:hAnsi="Arial" w:cs="Arial"/>
            </w:rPr>
            <w:fldChar w:fldCharType="end"/>
          </w:r>
        </w:sdtContent>
      </w:sdt>
      <w:r w:rsidR="000F0E8A" w:rsidRPr="00701909">
        <w:rPr>
          <w:rFonts w:ascii="Arial" w:hAnsi="Arial" w:cs="Arial"/>
        </w:rPr>
        <w:t>.</w:t>
      </w:r>
    </w:p>
    <w:p w14:paraId="76A59A28" w14:textId="4A17EEB6" w:rsidR="00701909" w:rsidRPr="00701909" w:rsidRDefault="00143801" w:rsidP="00701909">
      <w:pPr>
        <w:pStyle w:val="Heading1"/>
        <w:rPr>
          <w:rFonts w:ascii="Arial" w:hAnsi="Arial" w:cs="Arial"/>
          <w:sz w:val="22"/>
          <w:szCs w:val="22"/>
        </w:rPr>
      </w:pPr>
      <w:bookmarkStart w:id="1" w:name="_Toc139204690"/>
      <w:r w:rsidRPr="00701909">
        <w:rPr>
          <w:rFonts w:ascii="Arial" w:hAnsi="Arial" w:cs="Arial"/>
          <w:sz w:val="22"/>
          <w:szCs w:val="22"/>
        </w:rPr>
        <w:t xml:space="preserve">Main </w:t>
      </w:r>
      <w:r w:rsidR="00C87316" w:rsidRPr="00701909">
        <w:rPr>
          <w:rFonts w:ascii="Arial" w:hAnsi="Arial" w:cs="Arial"/>
          <w:sz w:val="22"/>
          <w:szCs w:val="22"/>
        </w:rPr>
        <w:t>Body:</w:t>
      </w:r>
      <w:bookmarkEnd w:id="1"/>
    </w:p>
    <w:p w14:paraId="5DBF28E2" w14:textId="59F36008" w:rsidR="00701909" w:rsidRPr="00701909" w:rsidRDefault="00C87316" w:rsidP="00701909">
      <w:pPr>
        <w:jc w:val="both"/>
        <w:rPr>
          <w:rFonts w:ascii="Arial" w:hAnsi="Arial" w:cs="Arial"/>
        </w:rPr>
      </w:pPr>
      <w:r w:rsidRPr="00701909">
        <w:rPr>
          <w:rFonts w:ascii="Arial" w:hAnsi="Arial" w:cs="Arial"/>
        </w:rPr>
        <w:t>The chosen project for analysis is the "Green Spaces for All" initiative</w:t>
      </w:r>
      <w:r w:rsidR="00143801" w:rsidRPr="00701909">
        <w:rPr>
          <w:rFonts w:ascii="Arial" w:hAnsi="Arial" w:cs="Arial"/>
        </w:rPr>
        <w:t xml:space="preserve"> of Groundwork; a charity </w:t>
      </w:r>
      <w:proofErr w:type="gramStart"/>
      <w:r w:rsidR="00143801" w:rsidRPr="00701909">
        <w:rPr>
          <w:rFonts w:ascii="Arial" w:hAnsi="Arial" w:cs="Arial"/>
        </w:rPr>
        <w:t xml:space="preserve">organization </w:t>
      </w:r>
      <w:r w:rsidRPr="00701909">
        <w:rPr>
          <w:rFonts w:ascii="Arial" w:hAnsi="Arial" w:cs="Arial"/>
        </w:rPr>
        <w:t>,</w:t>
      </w:r>
      <w:proofErr w:type="gramEnd"/>
      <w:r w:rsidRPr="00701909">
        <w:rPr>
          <w:rFonts w:ascii="Arial" w:hAnsi="Arial" w:cs="Arial"/>
        </w:rPr>
        <w:t xml:space="preserve"> a community-led project commissioned by the local council in a UK town. This project aims to transform unused public spaces into green areas accessible to all residents, promoting environmental sustainability, community well-being, and social cohesion.</w:t>
      </w:r>
      <w:r w:rsidR="00143801" w:rsidRPr="00701909">
        <w:rPr>
          <w:rFonts w:ascii="Arial" w:hAnsi="Arial" w:cs="Arial"/>
        </w:rPr>
        <w:t xml:space="preserve"> In more words, a</w:t>
      </w:r>
      <w:r w:rsidR="00143801" w:rsidRPr="00701909">
        <w:rPr>
          <w:rFonts w:ascii="Arial" w:hAnsi="Arial" w:cs="Arial"/>
        </w:rPr>
        <w:t>ccessible green spaces play a vital role in promoting physical and mental well-being among individuals of all ages and backgrounds. They provide opportunities for recreation, exercise, relaxation, and social interaction, which are essential for maintaining a healthy lifestyle and improving overall quality of life. Furthermore, green spaces offer respite from urban environments, allowing people to connect with nature and experience its therapeutic effects. Accessible green spaces also have the potential to foster environmental awareness and encourage sustainable practices within communities.</w:t>
      </w:r>
    </w:p>
    <w:p w14:paraId="2FD03C1B" w14:textId="3D70F20C" w:rsidR="00C87316" w:rsidRPr="00701909" w:rsidRDefault="00C87316" w:rsidP="00DA20F1">
      <w:pPr>
        <w:pStyle w:val="Heading2"/>
        <w:rPr>
          <w:rFonts w:ascii="Arial" w:hAnsi="Arial" w:cs="Arial"/>
          <w:sz w:val="22"/>
          <w:szCs w:val="22"/>
        </w:rPr>
      </w:pPr>
      <w:bookmarkStart w:id="2" w:name="_Toc139204691"/>
      <w:r w:rsidRPr="00701909">
        <w:rPr>
          <w:rFonts w:ascii="Arial" w:hAnsi="Arial" w:cs="Arial"/>
          <w:sz w:val="22"/>
          <w:szCs w:val="22"/>
        </w:rPr>
        <w:t>Community engagement principles:</w:t>
      </w:r>
      <w:bookmarkEnd w:id="2"/>
    </w:p>
    <w:p w14:paraId="7B741199" w14:textId="5251A1C6" w:rsidR="00C87316" w:rsidRPr="00701909" w:rsidRDefault="00701909" w:rsidP="00701909">
      <w:pPr>
        <w:jc w:val="both"/>
        <w:rPr>
          <w:rFonts w:ascii="Arial" w:hAnsi="Arial" w:cs="Arial"/>
        </w:rPr>
      </w:pPr>
      <w:r>
        <w:rPr>
          <w:rFonts w:ascii="Arial" w:hAnsi="Arial" w:cs="Arial"/>
          <w:noProof/>
        </w:rPr>
        <w:drawing>
          <wp:anchor distT="0" distB="0" distL="114300" distR="114300" simplePos="0" relativeHeight="251665408" behindDoc="0" locked="0" layoutInCell="1" allowOverlap="1" wp14:anchorId="138FC459" wp14:editId="23EDBC99">
            <wp:simplePos x="0" y="0"/>
            <wp:positionH relativeFrom="margin">
              <wp:align>right</wp:align>
            </wp:positionH>
            <wp:positionV relativeFrom="paragraph">
              <wp:posOffset>1424305</wp:posOffset>
            </wp:positionV>
            <wp:extent cx="2252980" cy="2252980"/>
            <wp:effectExtent l="0" t="0" r="0" b="0"/>
            <wp:wrapSquare wrapText="bothSides"/>
            <wp:docPr id="11344885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488560" name="Picture 1134488560"/>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52980" cy="2252980"/>
                    </a:xfrm>
                    <a:prstGeom prst="rect">
                      <a:avLst/>
                    </a:prstGeom>
                  </pic:spPr>
                </pic:pic>
              </a:graphicData>
            </a:graphic>
            <wp14:sizeRelH relativeFrom="margin">
              <wp14:pctWidth>0</wp14:pctWidth>
            </wp14:sizeRelH>
            <wp14:sizeRelV relativeFrom="margin">
              <wp14:pctHeight>0</wp14:pctHeight>
            </wp14:sizeRelV>
          </wp:anchor>
        </w:drawing>
      </w:r>
      <w:r w:rsidR="00143801" w:rsidRPr="00701909">
        <w:rPr>
          <w:rFonts w:ascii="Arial" w:hAnsi="Arial" w:cs="Arial"/>
        </w:rPr>
        <w:t>According with Community Psychology Journal</w:t>
      </w:r>
      <w:sdt>
        <w:sdtPr>
          <w:rPr>
            <w:rFonts w:ascii="Arial" w:hAnsi="Arial" w:cs="Arial"/>
          </w:rPr>
          <w:id w:val="570003391"/>
          <w:citation/>
        </w:sdtPr>
        <w:sdtContent>
          <w:r w:rsidR="00143801" w:rsidRPr="00701909">
            <w:rPr>
              <w:rFonts w:ascii="Arial" w:hAnsi="Arial" w:cs="Arial"/>
            </w:rPr>
            <w:fldChar w:fldCharType="begin"/>
          </w:r>
          <w:r w:rsidR="00143801" w:rsidRPr="00701909">
            <w:rPr>
              <w:rFonts w:ascii="Arial" w:hAnsi="Arial" w:cs="Arial"/>
            </w:rPr>
            <w:instrText xml:space="preserve"> CITATION Mel17 \l 2057 </w:instrText>
          </w:r>
          <w:r w:rsidR="00143801" w:rsidRPr="00701909">
            <w:rPr>
              <w:rFonts w:ascii="Arial" w:hAnsi="Arial" w:cs="Arial"/>
            </w:rPr>
            <w:fldChar w:fldCharType="separate"/>
          </w:r>
          <w:r w:rsidR="001C558F">
            <w:rPr>
              <w:rFonts w:ascii="Arial" w:hAnsi="Arial" w:cs="Arial"/>
              <w:noProof/>
            </w:rPr>
            <w:t xml:space="preserve"> </w:t>
          </w:r>
          <w:r w:rsidR="001C558F" w:rsidRPr="001C558F">
            <w:rPr>
              <w:rFonts w:ascii="Arial" w:hAnsi="Arial" w:cs="Arial"/>
              <w:noProof/>
            </w:rPr>
            <w:t>(Melody S. Goodman, 2017)</w:t>
          </w:r>
          <w:r w:rsidR="00143801" w:rsidRPr="00701909">
            <w:rPr>
              <w:rFonts w:ascii="Arial" w:hAnsi="Arial" w:cs="Arial"/>
            </w:rPr>
            <w:fldChar w:fldCharType="end"/>
          </w:r>
        </w:sdtContent>
      </w:sdt>
      <w:r w:rsidR="00143801" w:rsidRPr="00701909">
        <w:rPr>
          <w:rFonts w:ascii="Arial" w:hAnsi="Arial" w:cs="Arial"/>
        </w:rPr>
        <w:t xml:space="preserve"> t</w:t>
      </w:r>
      <w:r w:rsidR="00143801" w:rsidRPr="00701909">
        <w:rPr>
          <w:rFonts w:ascii="Arial" w:hAnsi="Arial" w:cs="Arial"/>
        </w:rPr>
        <w:t xml:space="preserve">he 3 </w:t>
      </w:r>
      <w:proofErr w:type="gramStart"/>
      <w:r w:rsidR="00143801" w:rsidRPr="00701909">
        <w:rPr>
          <w:rFonts w:ascii="Arial" w:hAnsi="Arial" w:cs="Arial"/>
        </w:rPr>
        <w:t>C's</w:t>
      </w:r>
      <w:proofErr w:type="gramEnd"/>
      <w:r w:rsidR="00143801" w:rsidRPr="00701909">
        <w:rPr>
          <w:rFonts w:ascii="Arial" w:hAnsi="Arial" w:cs="Arial"/>
        </w:rPr>
        <w:t xml:space="preserve"> of community engagement principles refer to the core principles that guide effective community engagement practices. These principles are often considered essential elements in fostering meaningful and inclusive community involvement. The 3 C's stand for</w:t>
      </w:r>
      <w:r w:rsidR="00143801" w:rsidRPr="00701909">
        <w:rPr>
          <w:rFonts w:ascii="Arial" w:hAnsi="Arial" w:cs="Arial"/>
        </w:rPr>
        <w:t xml:space="preserve"> </w:t>
      </w:r>
      <w:r w:rsidR="00143801" w:rsidRPr="00701909">
        <w:rPr>
          <w:rFonts w:ascii="Arial" w:hAnsi="Arial" w:cs="Arial"/>
        </w:rPr>
        <w:t>Consultation</w:t>
      </w:r>
      <w:r w:rsidR="00143801" w:rsidRPr="00701909">
        <w:rPr>
          <w:rFonts w:ascii="Arial" w:hAnsi="Arial" w:cs="Arial"/>
        </w:rPr>
        <w:t xml:space="preserve">; Collaboration and Communication. </w:t>
      </w:r>
      <w:r w:rsidR="00143801" w:rsidRPr="00701909">
        <w:rPr>
          <w:rFonts w:ascii="Arial" w:hAnsi="Arial" w:cs="Arial"/>
        </w:rPr>
        <w:t>The 3 C's community engagement principles provide a framework for engaging communities in a way that respects their knowledge, values, and experiences. By incorporating consultation, collaboration, and communication into community engagement practices, projects and initiatives are more likely to achieve positive outcomes, empower community members, and build stronger, more resilient communities.</w:t>
      </w:r>
      <w:r w:rsidR="00143801" w:rsidRPr="00701909">
        <w:rPr>
          <w:rFonts w:ascii="Arial" w:hAnsi="Arial" w:cs="Arial"/>
        </w:rPr>
        <w:t xml:space="preserve"> </w:t>
      </w:r>
      <w:r w:rsidR="00C87316" w:rsidRPr="00701909">
        <w:rPr>
          <w:rFonts w:ascii="Arial" w:hAnsi="Arial" w:cs="Arial"/>
        </w:rPr>
        <w:t>The "Green Spaces for All" project demonstrates a strong adherence to community engagement principles. Firstly, it emphasizes inclusivity by actively involving a diverse range of community members, including residents, local businesses, and community organizations, in the decision-making process. The project organizers have employed various tools and platforms to communicate these principles, such as public meetings, online surveys, and social media campaigns</w:t>
      </w:r>
      <w:r w:rsidR="00143801" w:rsidRPr="00701909">
        <w:rPr>
          <w:rFonts w:ascii="Arial" w:hAnsi="Arial" w:cs="Arial"/>
        </w:rPr>
        <w:t xml:space="preserve"> which can be found in the appendix 1</w:t>
      </w:r>
      <w:r w:rsidR="00C87316" w:rsidRPr="00701909">
        <w:rPr>
          <w:rFonts w:ascii="Arial" w:hAnsi="Arial" w:cs="Arial"/>
        </w:rPr>
        <w:t xml:space="preserve">. Clear and transparent communication has ensured that community members </w:t>
      </w:r>
      <w:r w:rsidR="00C87316" w:rsidRPr="00701909">
        <w:rPr>
          <w:rFonts w:ascii="Arial" w:hAnsi="Arial" w:cs="Arial"/>
        </w:rPr>
        <w:lastRenderedPageBreak/>
        <w:t>are aware of the project's objectives, progress, and opportunities for involvement</w:t>
      </w:r>
      <w:sdt>
        <w:sdtPr>
          <w:rPr>
            <w:rFonts w:ascii="Arial" w:hAnsi="Arial" w:cs="Arial"/>
          </w:rPr>
          <w:id w:val="583645918"/>
          <w:citation/>
        </w:sdtPr>
        <w:sdtContent>
          <w:r w:rsidR="009C7EDA" w:rsidRPr="00701909">
            <w:rPr>
              <w:rFonts w:ascii="Arial" w:hAnsi="Arial" w:cs="Arial"/>
            </w:rPr>
            <w:fldChar w:fldCharType="begin"/>
          </w:r>
          <w:r w:rsidR="009C7EDA" w:rsidRPr="00701909">
            <w:rPr>
              <w:rFonts w:ascii="Arial" w:hAnsi="Arial" w:cs="Arial"/>
            </w:rPr>
            <w:instrText xml:space="preserve"> CITATION Gro23 \l 2057 </w:instrText>
          </w:r>
          <w:r w:rsidR="009C7EDA" w:rsidRPr="00701909">
            <w:rPr>
              <w:rFonts w:ascii="Arial" w:hAnsi="Arial" w:cs="Arial"/>
            </w:rPr>
            <w:fldChar w:fldCharType="separate"/>
          </w:r>
          <w:r w:rsidR="001C558F">
            <w:rPr>
              <w:rFonts w:ascii="Arial" w:hAnsi="Arial" w:cs="Arial"/>
              <w:noProof/>
            </w:rPr>
            <w:t xml:space="preserve"> </w:t>
          </w:r>
          <w:r w:rsidR="001C558F" w:rsidRPr="001C558F">
            <w:rPr>
              <w:rFonts w:ascii="Arial" w:hAnsi="Arial" w:cs="Arial"/>
              <w:noProof/>
            </w:rPr>
            <w:t>(Groundwork, 2023)</w:t>
          </w:r>
          <w:r w:rsidR="009C7EDA" w:rsidRPr="00701909">
            <w:rPr>
              <w:rFonts w:ascii="Arial" w:hAnsi="Arial" w:cs="Arial"/>
            </w:rPr>
            <w:fldChar w:fldCharType="end"/>
          </w:r>
        </w:sdtContent>
      </w:sdt>
      <w:sdt>
        <w:sdtPr>
          <w:rPr>
            <w:rFonts w:ascii="Arial" w:hAnsi="Arial" w:cs="Arial"/>
          </w:rPr>
          <w:id w:val="983971511"/>
          <w:citation/>
        </w:sdtPr>
        <w:sdtContent>
          <w:r w:rsidR="009C7EDA" w:rsidRPr="00701909">
            <w:rPr>
              <w:rFonts w:ascii="Arial" w:hAnsi="Arial" w:cs="Arial"/>
            </w:rPr>
            <w:fldChar w:fldCharType="begin"/>
          </w:r>
          <w:r w:rsidR="009C7EDA" w:rsidRPr="00701909">
            <w:rPr>
              <w:rFonts w:ascii="Arial" w:hAnsi="Arial" w:cs="Arial"/>
            </w:rPr>
            <w:instrText xml:space="preserve"> CITATION Gro22 \l 2057 </w:instrText>
          </w:r>
          <w:r w:rsidR="009C7EDA" w:rsidRPr="00701909">
            <w:rPr>
              <w:rFonts w:ascii="Arial" w:hAnsi="Arial" w:cs="Arial"/>
            </w:rPr>
            <w:fldChar w:fldCharType="separate"/>
          </w:r>
          <w:r w:rsidR="001C558F">
            <w:rPr>
              <w:rFonts w:ascii="Arial" w:hAnsi="Arial" w:cs="Arial"/>
              <w:noProof/>
            </w:rPr>
            <w:t xml:space="preserve"> </w:t>
          </w:r>
          <w:r w:rsidR="001C558F" w:rsidRPr="001C558F">
            <w:rPr>
              <w:rFonts w:ascii="Arial" w:hAnsi="Arial" w:cs="Arial"/>
              <w:noProof/>
            </w:rPr>
            <w:t>(GroundWork, 2022)</w:t>
          </w:r>
          <w:r w:rsidR="009C7EDA" w:rsidRPr="00701909">
            <w:rPr>
              <w:rFonts w:ascii="Arial" w:hAnsi="Arial" w:cs="Arial"/>
            </w:rPr>
            <w:fldChar w:fldCharType="end"/>
          </w:r>
        </w:sdtContent>
      </w:sdt>
      <w:r w:rsidR="00C87316" w:rsidRPr="00701909">
        <w:rPr>
          <w:rFonts w:ascii="Arial" w:hAnsi="Arial" w:cs="Arial"/>
        </w:rPr>
        <w:t>.</w:t>
      </w:r>
    </w:p>
    <w:p w14:paraId="2ED405F5" w14:textId="13A972E4" w:rsidR="00C87316" w:rsidRPr="00701909" w:rsidRDefault="00C87316" w:rsidP="00DA20F1">
      <w:pPr>
        <w:pStyle w:val="Heading2"/>
        <w:rPr>
          <w:rFonts w:ascii="Arial" w:hAnsi="Arial" w:cs="Arial"/>
          <w:sz w:val="22"/>
          <w:szCs w:val="22"/>
        </w:rPr>
      </w:pPr>
      <w:bookmarkStart w:id="3" w:name="_Toc139204692"/>
      <w:r w:rsidRPr="00701909">
        <w:rPr>
          <w:rFonts w:ascii="Arial" w:hAnsi="Arial" w:cs="Arial"/>
          <w:sz w:val="22"/>
          <w:szCs w:val="22"/>
        </w:rPr>
        <w:t>Planning and design:</w:t>
      </w:r>
      <w:bookmarkEnd w:id="3"/>
    </w:p>
    <w:p w14:paraId="5AA6DBF5" w14:textId="5DA87564" w:rsidR="00C87316" w:rsidRPr="00701909" w:rsidRDefault="002443D4" w:rsidP="00B444E6">
      <w:pPr>
        <w:jc w:val="both"/>
        <w:rPr>
          <w:rFonts w:ascii="Arial" w:hAnsi="Arial" w:cs="Arial"/>
        </w:rPr>
      </w:pPr>
      <w:r>
        <w:rPr>
          <w:rFonts w:ascii="Arial" w:hAnsi="Arial" w:cs="Arial"/>
          <w:noProof/>
        </w:rPr>
        <w:drawing>
          <wp:anchor distT="0" distB="0" distL="114300" distR="114300" simplePos="0" relativeHeight="251664384" behindDoc="1" locked="0" layoutInCell="1" allowOverlap="1" wp14:anchorId="005710E3" wp14:editId="31718DC4">
            <wp:simplePos x="0" y="0"/>
            <wp:positionH relativeFrom="margin">
              <wp:align>right</wp:align>
            </wp:positionH>
            <wp:positionV relativeFrom="paragraph">
              <wp:posOffset>3165475</wp:posOffset>
            </wp:positionV>
            <wp:extent cx="2118995" cy="2118995"/>
            <wp:effectExtent l="0" t="0" r="0" b="0"/>
            <wp:wrapTight wrapText="bothSides">
              <wp:wrapPolygon edited="0">
                <wp:start x="0" y="0"/>
                <wp:lineTo x="0" y="21361"/>
                <wp:lineTo x="21361" y="21361"/>
                <wp:lineTo x="21361" y="0"/>
                <wp:lineTo x="0" y="0"/>
              </wp:wrapPolygon>
            </wp:wrapTight>
            <wp:docPr id="19982271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227114" name="Picture 199822711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18995" cy="2118995"/>
                    </a:xfrm>
                    <a:prstGeom prst="rect">
                      <a:avLst/>
                    </a:prstGeom>
                  </pic:spPr>
                </pic:pic>
              </a:graphicData>
            </a:graphic>
            <wp14:sizeRelH relativeFrom="margin">
              <wp14:pctWidth>0</wp14:pctWidth>
            </wp14:sizeRelH>
            <wp14:sizeRelV relativeFrom="margin">
              <wp14:pctHeight>0</wp14:pctHeight>
            </wp14:sizeRelV>
          </wp:anchor>
        </w:drawing>
      </w:r>
      <w:r w:rsidR="009C7EDA" w:rsidRPr="00701909">
        <w:rPr>
          <w:rFonts w:ascii="Arial" w:hAnsi="Arial" w:cs="Arial"/>
        </w:rPr>
        <w:t>The 'Green Spaces for All' project is a testament to the value of community involvement in the design process. It is a well-planned and thoughtful project that underwent multiple stages to ensure that it meets the community's aspirations and addresses their specific needs.</w:t>
      </w:r>
      <w:r w:rsidR="009C7EDA" w:rsidRPr="00701909">
        <w:rPr>
          <w:rFonts w:ascii="Arial" w:hAnsi="Arial" w:cs="Arial"/>
        </w:rPr>
        <w:t xml:space="preserve"> </w:t>
      </w:r>
      <w:r w:rsidR="009C7EDA" w:rsidRPr="00701909">
        <w:rPr>
          <w:rFonts w:ascii="Arial" w:hAnsi="Arial" w:cs="Arial"/>
        </w:rPr>
        <w:t>The project organizers started by conducting initial community consultations to assess the needs and preferences of the community. This allowed them to get a clear understanding of what the community wanted and what their priorities were. By doing this, the project organizers were able to ensure that the project met the needs of the community at every stage of the design process.</w:t>
      </w:r>
      <w:r w:rsidR="009C7EDA" w:rsidRPr="00701909">
        <w:rPr>
          <w:rFonts w:ascii="Arial" w:hAnsi="Arial" w:cs="Arial"/>
        </w:rPr>
        <w:t xml:space="preserve"> </w:t>
      </w:r>
      <w:r w:rsidR="009C7EDA" w:rsidRPr="00701909">
        <w:rPr>
          <w:rFonts w:ascii="Arial" w:hAnsi="Arial" w:cs="Arial"/>
        </w:rPr>
        <w:t>The collaborative design workshops were the next step in the project's design process. These workshops involved stakeholders from the community, including residents, local businesses, and community organizations. The design workshops were a way for the community to provide input into the design process and to ensure that their voices were heard. The organizers used this feedback to create a design that reflected the community's vision for the project.</w:t>
      </w:r>
      <w:r w:rsidR="009C7EDA" w:rsidRPr="00701909">
        <w:rPr>
          <w:rFonts w:ascii="Arial" w:hAnsi="Arial" w:cs="Arial"/>
        </w:rPr>
        <w:t xml:space="preserve"> </w:t>
      </w:r>
      <w:r w:rsidR="009C7EDA" w:rsidRPr="00701909">
        <w:rPr>
          <w:rFonts w:ascii="Arial" w:hAnsi="Arial" w:cs="Arial"/>
        </w:rPr>
        <w:t>Regular feedback sessions were also an essential part of the design process. These sessions allowed the project organizers to keep the community informed about the design process and to make changes based on the community's feedback. This ensured that the final design met the community's aspirations and addressed their specific needs.</w:t>
      </w:r>
      <w:r w:rsidR="009C7EDA" w:rsidRPr="00701909">
        <w:rPr>
          <w:rFonts w:ascii="Arial" w:hAnsi="Arial" w:cs="Arial"/>
        </w:rPr>
        <w:t xml:space="preserve"> </w:t>
      </w:r>
      <w:r w:rsidR="009C7EDA" w:rsidRPr="00701909">
        <w:rPr>
          <w:rFonts w:ascii="Arial" w:hAnsi="Arial" w:cs="Arial"/>
        </w:rPr>
        <w:t>In addition to involving the community in the design process, the project also incorporated sustainable practices. The project organizers used native plants in the design, which helped to reduce water usage and support local ecosystems. They also installed renewable energy sources, such as solar panels, to reduce the project's carbon footprint. Finally, the organizers used eco-friendly construction materials to reduce waste and minimize the project's impact on the environment.</w:t>
      </w:r>
      <w:r w:rsidR="009C7EDA" w:rsidRPr="00701909">
        <w:rPr>
          <w:rFonts w:ascii="Arial" w:hAnsi="Arial" w:cs="Arial"/>
        </w:rPr>
        <w:t xml:space="preserve"> </w:t>
      </w:r>
      <w:r w:rsidR="009C7EDA" w:rsidRPr="00701909">
        <w:rPr>
          <w:rFonts w:ascii="Arial" w:hAnsi="Arial" w:cs="Arial"/>
        </w:rPr>
        <w:t>Finally, the project considered accessibility requirements. The organizers provided wheelchair-friendly paths, seating areas, and sensory gardens to ensure that the project was accessible to everyone in the community. This was an essential part of the project's design, and it reflects the organizers' commitment to creating a project that is inclusive and accessible to all</w:t>
      </w:r>
      <w:sdt>
        <w:sdtPr>
          <w:rPr>
            <w:rFonts w:ascii="Arial" w:hAnsi="Arial" w:cs="Arial"/>
          </w:rPr>
          <w:id w:val="-1971967787"/>
          <w:citation/>
        </w:sdtPr>
        <w:sdtContent>
          <w:r>
            <w:rPr>
              <w:rFonts w:ascii="Arial" w:hAnsi="Arial" w:cs="Arial"/>
            </w:rPr>
            <w:fldChar w:fldCharType="begin"/>
          </w:r>
          <w:r>
            <w:rPr>
              <w:rFonts w:ascii="Arial" w:hAnsi="Arial" w:cs="Arial"/>
            </w:rPr>
            <w:instrText xml:space="preserve"> CITATION Gro22 \l 2057 </w:instrText>
          </w:r>
          <w:r>
            <w:rPr>
              <w:rFonts w:ascii="Arial" w:hAnsi="Arial" w:cs="Arial"/>
            </w:rPr>
            <w:fldChar w:fldCharType="separate"/>
          </w:r>
          <w:r w:rsidR="001C558F">
            <w:rPr>
              <w:rFonts w:ascii="Arial" w:hAnsi="Arial" w:cs="Arial"/>
              <w:noProof/>
            </w:rPr>
            <w:t xml:space="preserve"> </w:t>
          </w:r>
          <w:r w:rsidR="001C558F" w:rsidRPr="001C558F">
            <w:rPr>
              <w:rFonts w:ascii="Arial" w:hAnsi="Arial" w:cs="Arial"/>
              <w:noProof/>
            </w:rPr>
            <w:t>(GroundWork, 2022)</w:t>
          </w:r>
          <w:r>
            <w:rPr>
              <w:rFonts w:ascii="Arial" w:hAnsi="Arial" w:cs="Arial"/>
            </w:rPr>
            <w:fldChar w:fldCharType="end"/>
          </w:r>
        </w:sdtContent>
      </w:sdt>
      <w:sdt>
        <w:sdtPr>
          <w:rPr>
            <w:rFonts w:ascii="Arial" w:hAnsi="Arial" w:cs="Arial"/>
          </w:rPr>
          <w:id w:val="713241652"/>
          <w:citation/>
        </w:sdtPr>
        <w:sdtContent>
          <w:r>
            <w:rPr>
              <w:rFonts w:ascii="Arial" w:hAnsi="Arial" w:cs="Arial"/>
            </w:rPr>
            <w:fldChar w:fldCharType="begin"/>
          </w:r>
          <w:r>
            <w:rPr>
              <w:rFonts w:ascii="Arial" w:hAnsi="Arial" w:cs="Arial"/>
            </w:rPr>
            <w:instrText xml:space="preserve"> CITATION Amy08 \l 2057 </w:instrText>
          </w:r>
          <w:r>
            <w:rPr>
              <w:rFonts w:ascii="Arial" w:hAnsi="Arial" w:cs="Arial"/>
            </w:rPr>
            <w:fldChar w:fldCharType="separate"/>
          </w:r>
          <w:r w:rsidR="001C558F">
            <w:rPr>
              <w:rFonts w:ascii="Arial" w:hAnsi="Arial" w:cs="Arial"/>
              <w:noProof/>
            </w:rPr>
            <w:t xml:space="preserve"> </w:t>
          </w:r>
          <w:r w:rsidR="001C558F" w:rsidRPr="001C558F">
            <w:rPr>
              <w:rFonts w:ascii="Arial" w:hAnsi="Arial" w:cs="Arial"/>
              <w:noProof/>
            </w:rPr>
            <w:t>(Driscoll, 2008)</w:t>
          </w:r>
          <w:r>
            <w:rPr>
              <w:rFonts w:ascii="Arial" w:hAnsi="Arial" w:cs="Arial"/>
            </w:rPr>
            <w:fldChar w:fldCharType="end"/>
          </w:r>
        </w:sdtContent>
      </w:sdt>
      <w:r w:rsidR="009C7EDA" w:rsidRPr="00701909">
        <w:rPr>
          <w:rFonts w:ascii="Arial" w:hAnsi="Arial" w:cs="Arial"/>
        </w:rPr>
        <w:t>.</w:t>
      </w:r>
    </w:p>
    <w:p w14:paraId="4E511B0C" w14:textId="0FB7A970" w:rsidR="00C87316" w:rsidRPr="00701909" w:rsidRDefault="00C87316" w:rsidP="00DA20F1">
      <w:pPr>
        <w:pStyle w:val="Heading2"/>
        <w:rPr>
          <w:rFonts w:ascii="Arial" w:hAnsi="Arial" w:cs="Arial"/>
          <w:sz w:val="22"/>
          <w:szCs w:val="22"/>
        </w:rPr>
      </w:pPr>
      <w:bookmarkStart w:id="4" w:name="_Toc139204693"/>
      <w:r w:rsidRPr="00701909">
        <w:rPr>
          <w:rFonts w:ascii="Arial" w:hAnsi="Arial" w:cs="Arial"/>
          <w:sz w:val="22"/>
          <w:szCs w:val="22"/>
        </w:rPr>
        <w:t>Standards:</w:t>
      </w:r>
      <w:bookmarkEnd w:id="4"/>
    </w:p>
    <w:p w14:paraId="20968C78" w14:textId="7396FF08" w:rsidR="00C87316" w:rsidRPr="00701909" w:rsidRDefault="00B444E6" w:rsidP="00B444E6">
      <w:pPr>
        <w:jc w:val="both"/>
        <w:rPr>
          <w:rFonts w:ascii="Arial" w:hAnsi="Arial" w:cs="Arial"/>
        </w:rPr>
      </w:pPr>
      <w:r w:rsidRPr="00701909">
        <w:rPr>
          <w:rFonts w:ascii="Arial" w:hAnsi="Arial" w:cs="Arial"/>
        </w:rPr>
        <w:t>The "Green Spaces for All" project is committed to following the highest standards to ensure that it aligns with best practices. The project adheres to local council guidelines on public space development, incorporates safety regulations, environmental sustainability criteria, and community engagement benchmarks.</w:t>
      </w:r>
      <w:r w:rsidRPr="00701909">
        <w:rPr>
          <w:rFonts w:ascii="Arial" w:hAnsi="Arial" w:cs="Arial"/>
        </w:rPr>
        <w:t xml:space="preserve"> </w:t>
      </w:r>
      <w:r w:rsidRPr="00701909">
        <w:rPr>
          <w:rFonts w:ascii="Arial" w:hAnsi="Arial" w:cs="Arial"/>
        </w:rPr>
        <w:t>The project team has carefully researched and studied the standards required for developing green spaces that will provide maximum benefits to the community. They have also taken into consideration the unique characteristics of the local environment and the needs of the community.</w:t>
      </w:r>
      <w:r w:rsidRPr="00701909">
        <w:rPr>
          <w:rFonts w:ascii="Arial" w:hAnsi="Arial" w:cs="Arial"/>
        </w:rPr>
        <w:t xml:space="preserve"> </w:t>
      </w:r>
      <w:r w:rsidRPr="00701909">
        <w:rPr>
          <w:rFonts w:ascii="Arial" w:hAnsi="Arial" w:cs="Arial"/>
        </w:rPr>
        <w:t>To ensure that the project meets all relevant standards, the team has created a comprehensive project documentation that outlines the goals, objectives, and strategies for developing the green spaces. This document is available to the public and can be accessed through the project's website.</w:t>
      </w:r>
      <w:r w:rsidRPr="00701909">
        <w:rPr>
          <w:rFonts w:ascii="Arial" w:hAnsi="Arial" w:cs="Arial"/>
        </w:rPr>
        <w:t xml:space="preserve"> </w:t>
      </w:r>
      <w:r w:rsidRPr="00701909">
        <w:rPr>
          <w:rFonts w:ascii="Arial" w:hAnsi="Arial" w:cs="Arial"/>
        </w:rPr>
        <w:t xml:space="preserve">In addition, the project team has placed signage within the green spaces to inform visitors of the project's adherence to established standards. This helps to </w:t>
      </w:r>
      <w:proofErr w:type="spellStart"/>
      <w:r w:rsidRPr="00701909">
        <w:rPr>
          <w:rFonts w:ascii="Arial" w:hAnsi="Arial" w:cs="Arial"/>
        </w:rPr>
        <w:t>instill</w:t>
      </w:r>
      <w:proofErr w:type="spellEnd"/>
      <w:r w:rsidRPr="00701909">
        <w:rPr>
          <w:rFonts w:ascii="Arial" w:hAnsi="Arial" w:cs="Arial"/>
        </w:rPr>
        <w:t xml:space="preserve"> confidence in community members and demonstrates a commitment to quality and professionalism.</w:t>
      </w:r>
      <w:r w:rsidRPr="00701909">
        <w:rPr>
          <w:rFonts w:ascii="Arial" w:hAnsi="Arial" w:cs="Arial"/>
        </w:rPr>
        <w:t xml:space="preserve"> </w:t>
      </w:r>
      <w:r w:rsidRPr="00701909">
        <w:rPr>
          <w:rFonts w:ascii="Arial" w:hAnsi="Arial" w:cs="Arial"/>
        </w:rPr>
        <w:t xml:space="preserve">The "Green Spaces for All" project also incorporates safety regulations into its design. The team has taken measures to ensure </w:t>
      </w:r>
      <w:r w:rsidRPr="00701909">
        <w:rPr>
          <w:rFonts w:ascii="Arial" w:hAnsi="Arial" w:cs="Arial"/>
        </w:rPr>
        <w:lastRenderedPageBreak/>
        <w:t>that the green spaces are safe for visitors of all ages and abilities. This includes the installation of lighting, signage, and other safety features.</w:t>
      </w:r>
      <w:r w:rsidRPr="00701909">
        <w:rPr>
          <w:rFonts w:ascii="Arial" w:hAnsi="Arial" w:cs="Arial"/>
        </w:rPr>
        <w:t xml:space="preserve"> </w:t>
      </w:r>
      <w:r w:rsidRPr="00701909">
        <w:rPr>
          <w:rFonts w:ascii="Arial" w:hAnsi="Arial" w:cs="Arial"/>
        </w:rPr>
        <w:t>Environmental sustainability is also a key consideration for the project team. The team has implemented measures to reduce the environmental impact of the project, such as using native plants and minimizing the use of pesticides and fertilizers.</w:t>
      </w:r>
      <w:r w:rsidRPr="00701909">
        <w:rPr>
          <w:rFonts w:ascii="Arial" w:hAnsi="Arial" w:cs="Arial"/>
        </w:rPr>
        <w:t xml:space="preserve"> </w:t>
      </w:r>
      <w:r w:rsidRPr="00701909">
        <w:rPr>
          <w:rFonts w:ascii="Arial" w:hAnsi="Arial" w:cs="Arial"/>
        </w:rPr>
        <w:t>Finally, the project team is committed to engaging with the community throughout the development process. They have established community engagement benchmarks to ensure that the community is informed and involved in the project. This includes holding public meetings, conducting surveys, and providing regular updates through the project's website.</w:t>
      </w:r>
      <w:r w:rsidRPr="00701909">
        <w:rPr>
          <w:rFonts w:ascii="Arial" w:hAnsi="Arial" w:cs="Arial"/>
        </w:rPr>
        <w:t xml:space="preserve"> </w:t>
      </w:r>
      <w:r w:rsidRPr="00701909">
        <w:rPr>
          <w:rFonts w:ascii="Arial" w:hAnsi="Arial" w:cs="Arial"/>
        </w:rPr>
        <w:t>By adhering to established standards, the "Green Spaces for All" project is committed to providing high-quality green spaces that benefit the community. The project team's dedication to safety, sustainability, and community engagement ensures that the green spaces will be enjoyed by generations to come</w:t>
      </w:r>
      <w:sdt>
        <w:sdtPr>
          <w:rPr>
            <w:rFonts w:ascii="Arial" w:hAnsi="Arial" w:cs="Arial"/>
          </w:rPr>
          <w:id w:val="-1946528154"/>
          <w:citation/>
        </w:sdtPr>
        <w:sdtContent>
          <w:r w:rsidR="002443D4">
            <w:rPr>
              <w:rFonts w:ascii="Arial" w:hAnsi="Arial" w:cs="Arial"/>
            </w:rPr>
            <w:fldChar w:fldCharType="begin"/>
          </w:r>
          <w:r w:rsidR="002443D4">
            <w:rPr>
              <w:rFonts w:ascii="Arial" w:hAnsi="Arial" w:cs="Arial"/>
            </w:rPr>
            <w:instrText xml:space="preserve"> CITATION Pop07 \l 2057 </w:instrText>
          </w:r>
          <w:r w:rsidR="002443D4">
            <w:rPr>
              <w:rFonts w:ascii="Arial" w:hAnsi="Arial" w:cs="Arial"/>
            </w:rPr>
            <w:fldChar w:fldCharType="separate"/>
          </w:r>
          <w:r w:rsidR="001C558F">
            <w:rPr>
              <w:rFonts w:ascii="Arial" w:hAnsi="Arial" w:cs="Arial"/>
              <w:noProof/>
            </w:rPr>
            <w:t xml:space="preserve"> </w:t>
          </w:r>
          <w:r w:rsidR="001C558F" w:rsidRPr="001C558F">
            <w:rPr>
              <w:rFonts w:ascii="Arial" w:hAnsi="Arial" w:cs="Arial"/>
              <w:noProof/>
            </w:rPr>
            <w:t>(Popay, 2007)</w:t>
          </w:r>
          <w:r w:rsidR="002443D4">
            <w:rPr>
              <w:rFonts w:ascii="Arial" w:hAnsi="Arial" w:cs="Arial"/>
            </w:rPr>
            <w:fldChar w:fldCharType="end"/>
          </w:r>
        </w:sdtContent>
      </w:sdt>
      <w:r w:rsidRPr="00701909">
        <w:rPr>
          <w:rFonts w:ascii="Arial" w:hAnsi="Arial" w:cs="Arial"/>
        </w:rPr>
        <w:t>.</w:t>
      </w:r>
    </w:p>
    <w:p w14:paraId="5345E7AA" w14:textId="0198A23B" w:rsidR="00B444E6" w:rsidRPr="00701909" w:rsidRDefault="00B444E6" w:rsidP="00DA20F1">
      <w:pPr>
        <w:pStyle w:val="Heading2"/>
        <w:rPr>
          <w:rFonts w:ascii="Arial" w:hAnsi="Arial" w:cs="Arial"/>
          <w:sz w:val="22"/>
          <w:szCs w:val="22"/>
        </w:rPr>
      </w:pPr>
      <w:bookmarkStart w:id="5" w:name="_Toc139204694"/>
      <w:r w:rsidRPr="00701909">
        <w:rPr>
          <w:rFonts w:ascii="Arial" w:hAnsi="Arial" w:cs="Arial"/>
          <w:sz w:val="22"/>
          <w:szCs w:val="22"/>
        </w:rPr>
        <w:t>Evaluation and Impact:</w:t>
      </w:r>
      <w:bookmarkEnd w:id="5"/>
    </w:p>
    <w:p w14:paraId="551855F6" w14:textId="615F5E31" w:rsidR="00C87316" w:rsidRPr="00701909" w:rsidRDefault="00701909" w:rsidP="00B444E6">
      <w:pPr>
        <w:jc w:val="both"/>
        <w:rPr>
          <w:rFonts w:ascii="Arial" w:hAnsi="Arial" w:cs="Arial"/>
        </w:rPr>
      </w:pPr>
      <w:r>
        <w:rPr>
          <w:rFonts w:ascii="Arial" w:hAnsi="Arial" w:cs="Arial"/>
          <w:noProof/>
        </w:rPr>
        <w:drawing>
          <wp:anchor distT="0" distB="0" distL="114300" distR="114300" simplePos="0" relativeHeight="251663360" behindDoc="1" locked="0" layoutInCell="1" allowOverlap="1" wp14:anchorId="63304ABD" wp14:editId="38E3042C">
            <wp:simplePos x="0" y="0"/>
            <wp:positionH relativeFrom="margin">
              <wp:align>right</wp:align>
            </wp:positionH>
            <wp:positionV relativeFrom="paragraph">
              <wp:posOffset>1404075</wp:posOffset>
            </wp:positionV>
            <wp:extent cx="2286000" cy="2286000"/>
            <wp:effectExtent l="0" t="0" r="0" b="0"/>
            <wp:wrapTight wrapText="bothSides">
              <wp:wrapPolygon edited="0">
                <wp:start x="0" y="0"/>
                <wp:lineTo x="0" y="21420"/>
                <wp:lineTo x="21420" y="21420"/>
                <wp:lineTo x="21420" y="0"/>
                <wp:lineTo x="0" y="0"/>
              </wp:wrapPolygon>
            </wp:wrapTight>
            <wp:docPr id="2751748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174867" name="Picture 27517486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86000" cy="2286000"/>
                    </a:xfrm>
                    <a:prstGeom prst="rect">
                      <a:avLst/>
                    </a:prstGeom>
                  </pic:spPr>
                </pic:pic>
              </a:graphicData>
            </a:graphic>
            <wp14:sizeRelH relativeFrom="margin">
              <wp14:pctWidth>0</wp14:pctWidth>
            </wp14:sizeRelH>
            <wp14:sizeRelV relativeFrom="margin">
              <wp14:pctHeight>0</wp14:pctHeight>
            </wp14:sizeRelV>
          </wp:anchor>
        </w:drawing>
      </w:r>
      <w:r w:rsidR="00B444E6" w:rsidRPr="00701909">
        <w:rPr>
          <w:rFonts w:ascii="Arial" w:hAnsi="Arial" w:cs="Arial"/>
        </w:rPr>
        <w:t>The impact of the project is crucial in determining its success. Therefore, the project's impact is evaluated through various methods and tools to ensure that the project is achieving its goals and objectives.</w:t>
      </w:r>
      <w:r w:rsidR="00B444E6" w:rsidRPr="00701909">
        <w:rPr>
          <w:rFonts w:ascii="Arial" w:hAnsi="Arial" w:cs="Arial"/>
        </w:rPr>
        <w:t xml:space="preserve"> </w:t>
      </w:r>
      <w:r w:rsidR="00B444E6" w:rsidRPr="00701909">
        <w:rPr>
          <w:rFonts w:ascii="Arial" w:hAnsi="Arial" w:cs="Arial"/>
        </w:rPr>
        <w:t>One of the evaluation methods used is regular community feedback surveys. These surveys are conducted at different stages of the project to allow participants to share their experiences, suggestions, and overall satisfaction with the project. Participants are encouraged to provide honest feedback to help improve the project and ensure it meets their needs.</w:t>
      </w:r>
      <w:r w:rsidR="00B444E6" w:rsidRPr="00701909">
        <w:rPr>
          <w:rFonts w:ascii="Arial" w:hAnsi="Arial" w:cs="Arial"/>
        </w:rPr>
        <w:t xml:space="preserve"> </w:t>
      </w:r>
      <w:r w:rsidR="00B444E6" w:rsidRPr="00701909">
        <w:rPr>
          <w:rFonts w:ascii="Arial" w:hAnsi="Arial" w:cs="Arial"/>
        </w:rPr>
        <w:t>In addition to community feedback surveys, the project organizers also conduct site observations to evaluate the impact of the project. Site observations involve visiting the project site and monitoring key performance indicators such as visitor numbers, frequency of community events, and ecological improvements. These observations help to determine the effectiveness of the project and identify areas that require improvement.</w:t>
      </w:r>
      <w:r w:rsidR="00B444E6" w:rsidRPr="00701909">
        <w:rPr>
          <w:rFonts w:ascii="Arial" w:hAnsi="Arial" w:cs="Arial"/>
        </w:rPr>
        <w:t xml:space="preserve"> </w:t>
      </w:r>
      <w:r w:rsidR="00B444E6" w:rsidRPr="00701909">
        <w:rPr>
          <w:rFonts w:ascii="Arial" w:hAnsi="Arial" w:cs="Arial"/>
        </w:rPr>
        <w:t>However, it is worth noting that the evaluation tools used could be further enhanced by incorporating more qualitative measures. Examples of such measures include in-depth interviews or focus groups to capture the project's social and emotional impact on the community. These qualitative measures can provide a deeper understanding of how the project is impacting the community and help to identify areas that require further attention</w:t>
      </w:r>
      <w:sdt>
        <w:sdtPr>
          <w:rPr>
            <w:rFonts w:ascii="Arial" w:hAnsi="Arial" w:cs="Arial"/>
          </w:rPr>
          <w:id w:val="-240248357"/>
          <w:citation/>
        </w:sdtPr>
        <w:sdtContent>
          <w:r w:rsidR="002443D4">
            <w:rPr>
              <w:rFonts w:ascii="Arial" w:hAnsi="Arial" w:cs="Arial"/>
            </w:rPr>
            <w:fldChar w:fldCharType="begin"/>
          </w:r>
          <w:r w:rsidR="002443D4">
            <w:rPr>
              <w:rFonts w:ascii="Arial" w:hAnsi="Arial" w:cs="Arial"/>
            </w:rPr>
            <w:instrText xml:space="preserve"> CITATION Bet12 \l 2057 </w:instrText>
          </w:r>
          <w:r w:rsidR="002443D4">
            <w:rPr>
              <w:rFonts w:ascii="Arial" w:hAnsi="Arial" w:cs="Arial"/>
            </w:rPr>
            <w:fldChar w:fldCharType="separate"/>
          </w:r>
          <w:r w:rsidR="001C558F">
            <w:rPr>
              <w:rFonts w:ascii="Arial" w:hAnsi="Arial" w:cs="Arial"/>
              <w:noProof/>
            </w:rPr>
            <w:t xml:space="preserve"> </w:t>
          </w:r>
          <w:r w:rsidR="001C558F" w:rsidRPr="001C558F">
            <w:rPr>
              <w:rFonts w:ascii="Arial" w:hAnsi="Arial" w:cs="Arial"/>
              <w:noProof/>
            </w:rPr>
            <w:t>(Beth Milton, 2012)</w:t>
          </w:r>
          <w:r w:rsidR="002443D4">
            <w:rPr>
              <w:rFonts w:ascii="Arial" w:hAnsi="Arial" w:cs="Arial"/>
            </w:rPr>
            <w:fldChar w:fldCharType="end"/>
          </w:r>
        </w:sdtContent>
      </w:sdt>
      <w:r w:rsidR="00B444E6" w:rsidRPr="00701909">
        <w:rPr>
          <w:rFonts w:ascii="Arial" w:hAnsi="Arial" w:cs="Arial"/>
        </w:rPr>
        <w:t>.</w:t>
      </w:r>
    </w:p>
    <w:p w14:paraId="21A69A75" w14:textId="77777777" w:rsidR="00C87316" w:rsidRPr="00701909" w:rsidRDefault="00C87316" w:rsidP="00DA20F1">
      <w:pPr>
        <w:pStyle w:val="Heading2"/>
        <w:rPr>
          <w:rFonts w:ascii="Arial" w:hAnsi="Arial" w:cs="Arial"/>
          <w:sz w:val="22"/>
          <w:szCs w:val="22"/>
        </w:rPr>
      </w:pPr>
      <w:bookmarkStart w:id="6" w:name="_Toc139204695"/>
      <w:r w:rsidRPr="00701909">
        <w:rPr>
          <w:rFonts w:ascii="Arial" w:hAnsi="Arial" w:cs="Arial"/>
          <w:sz w:val="22"/>
          <w:szCs w:val="22"/>
        </w:rPr>
        <w:t>Strengths and Weaknesses:</w:t>
      </w:r>
      <w:bookmarkEnd w:id="6"/>
    </w:p>
    <w:p w14:paraId="4C197E0D" w14:textId="1FA80215" w:rsidR="00DA20F1" w:rsidRPr="00701909" w:rsidRDefault="00DA20F1" w:rsidP="00DA20F1">
      <w:pPr>
        <w:jc w:val="both"/>
        <w:rPr>
          <w:rFonts w:ascii="Arial" w:hAnsi="Arial" w:cs="Arial"/>
        </w:rPr>
      </w:pPr>
      <w:r w:rsidRPr="00701909">
        <w:rPr>
          <w:rFonts w:ascii="Arial" w:hAnsi="Arial" w:cs="Arial"/>
        </w:rPr>
        <w:t>The "Green Spaces for All" project has been noted for its comprehensive community engagement strategy, which has contributed to one of its notable strengths. By actively involving community members and incorporating their input throughout the planning and design process, the project fosters a sense of ownership and ensures that the green spaces truly reflect the community's desires. This approach has resulted in a positive response from the community, who feel that their voices are heard, and their needs are met. The project has been successful in creating a sense of community ownership, which is essential for the sustainability of the project.</w:t>
      </w:r>
      <w:r w:rsidRPr="00701909">
        <w:rPr>
          <w:rFonts w:ascii="Arial" w:hAnsi="Arial" w:cs="Arial"/>
        </w:rPr>
        <w:t xml:space="preserve"> </w:t>
      </w:r>
      <w:r w:rsidRPr="00701909">
        <w:rPr>
          <w:rFonts w:ascii="Arial" w:hAnsi="Arial" w:cs="Arial"/>
        </w:rPr>
        <w:t xml:space="preserve">Another strength of the </w:t>
      </w:r>
      <w:r w:rsidRPr="00701909">
        <w:rPr>
          <w:rFonts w:ascii="Arial" w:hAnsi="Arial" w:cs="Arial"/>
        </w:rPr>
        <w:t>“</w:t>
      </w:r>
      <w:r w:rsidRPr="00701909">
        <w:rPr>
          <w:rFonts w:ascii="Arial" w:hAnsi="Arial" w:cs="Arial"/>
        </w:rPr>
        <w:t>Green Spaces for All</w:t>
      </w:r>
      <w:r w:rsidRPr="00701909">
        <w:rPr>
          <w:rFonts w:ascii="Arial" w:hAnsi="Arial" w:cs="Arial"/>
        </w:rPr>
        <w:t>”</w:t>
      </w:r>
      <w:r w:rsidRPr="00701909">
        <w:rPr>
          <w:rFonts w:ascii="Arial" w:hAnsi="Arial" w:cs="Arial"/>
        </w:rPr>
        <w:t xml:space="preserve"> project is its adherence to established standards and its emphasis on sustainability. The project</w:t>
      </w:r>
      <w:r w:rsidRPr="00701909">
        <w:rPr>
          <w:rFonts w:ascii="Arial" w:hAnsi="Arial" w:cs="Arial"/>
        </w:rPr>
        <w:t>’</w:t>
      </w:r>
      <w:r w:rsidRPr="00701909">
        <w:rPr>
          <w:rFonts w:ascii="Arial" w:hAnsi="Arial" w:cs="Arial"/>
        </w:rPr>
        <w:t>s design and planning process follow established standards, which ensure that the green spaces are safe and accessible to everyone, including people with disabilities. The project</w:t>
      </w:r>
      <w:r w:rsidRPr="00701909">
        <w:rPr>
          <w:rFonts w:ascii="Arial" w:hAnsi="Arial" w:cs="Arial"/>
        </w:rPr>
        <w:t>’</w:t>
      </w:r>
      <w:r w:rsidRPr="00701909">
        <w:rPr>
          <w:rFonts w:ascii="Arial" w:hAnsi="Arial" w:cs="Arial"/>
        </w:rPr>
        <w:t>s emphasis on sustainability is also a significant strength, as it ensures that the green spaces will have a positive impact on the environment and the community in the long run.</w:t>
      </w:r>
    </w:p>
    <w:p w14:paraId="1C2CFF56" w14:textId="7F711B75" w:rsidR="00DA20F1" w:rsidRPr="00701909" w:rsidRDefault="00DA20F1" w:rsidP="002443D4">
      <w:pPr>
        <w:jc w:val="both"/>
        <w:rPr>
          <w:rFonts w:ascii="Arial" w:hAnsi="Arial" w:cs="Arial"/>
        </w:rPr>
      </w:pPr>
      <w:r w:rsidRPr="00701909">
        <w:rPr>
          <w:rFonts w:ascii="Arial" w:hAnsi="Arial" w:cs="Arial"/>
        </w:rPr>
        <w:lastRenderedPageBreak/>
        <w:t xml:space="preserve"> </w:t>
      </w:r>
      <w:r w:rsidRPr="00701909">
        <w:rPr>
          <w:rFonts w:ascii="Arial" w:hAnsi="Arial" w:cs="Arial"/>
        </w:rPr>
        <w:t xml:space="preserve">However, one potential weakness of the </w:t>
      </w:r>
      <w:r w:rsidRPr="00701909">
        <w:rPr>
          <w:rFonts w:ascii="Arial" w:hAnsi="Arial" w:cs="Arial"/>
        </w:rPr>
        <w:t>“</w:t>
      </w:r>
      <w:r w:rsidRPr="00701909">
        <w:rPr>
          <w:rFonts w:ascii="Arial" w:hAnsi="Arial" w:cs="Arial"/>
        </w:rPr>
        <w:t>Green Spaces for All</w:t>
      </w:r>
      <w:r w:rsidRPr="00701909">
        <w:rPr>
          <w:rFonts w:ascii="Arial" w:hAnsi="Arial" w:cs="Arial"/>
        </w:rPr>
        <w:t>”</w:t>
      </w:r>
      <w:r w:rsidRPr="00701909">
        <w:rPr>
          <w:rFonts w:ascii="Arial" w:hAnsi="Arial" w:cs="Arial"/>
        </w:rPr>
        <w:t xml:space="preserve"> project is its communication channels. While the project utilizes various tools and platforms to engage with the community, such as public meetings and online surveys, there may be community members who are less likely to engage through these means. It would be beneficial for the project organizers to explore additional channels, such as door-to-door visits or partnerships with local community </w:t>
      </w:r>
      <w:r w:rsidRPr="00701909">
        <w:rPr>
          <w:rFonts w:ascii="Arial" w:hAnsi="Arial" w:cs="Arial"/>
        </w:rPr>
        <w:t>centres</w:t>
      </w:r>
      <w:r w:rsidRPr="00701909">
        <w:rPr>
          <w:rFonts w:ascii="Arial" w:hAnsi="Arial" w:cs="Arial"/>
        </w:rPr>
        <w:t>, to reach a wider audience and ensure diverse representation.</w:t>
      </w:r>
      <w:r w:rsidRPr="00701909">
        <w:rPr>
          <w:rFonts w:ascii="Arial" w:hAnsi="Arial" w:cs="Arial"/>
        </w:rPr>
        <w:t xml:space="preserve"> T</w:t>
      </w:r>
      <w:r w:rsidRPr="00701909">
        <w:rPr>
          <w:rFonts w:ascii="Arial" w:hAnsi="Arial" w:cs="Arial"/>
        </w:rPr>
        <w:t xml:space="preserve">he </w:t>
      </w:r>
      <w:r w:rsidRPr="00701909">
        <w:rPr>
          <w:rFonts w:ascii="Arial" w:hAnsi="Arial" w:cs="Arial"/>
        </w:rPr>
        <w:t>“</w:t>
      </w:r>
      <w:r w:rsidRPr="00701909">
        <w:rPr>
          <w:rFonts w:ascii="Arial" w:hAnsi="Arial" w:cs="Arial"/>
        </w:rPr>
        <w:t>Green Spaces for All</w:t>
      </w:r>
      <w:r w:rsidRPr="00701909">
        <w:rPr>
          <w:rFonts w:ascii="Arial" w:hAnsi="Arial" w:cs="Arial"/>
        </w:rPr>
        <w:t>”</w:t>
      </w:r>
      <w:r w:rsidRPr="00701909">
        <w:rPr>
          <w:rFonts w:ascii="Arial" w:hAnsi="Arial" w:cs="Arial"/>
        </w:rPr>
        <w:t xml:space="preserve"> project has several strengths, including its comprehensive community engagement strategy, adherence to established standards, and emphasis on sustainability. However, it also has a potential weakness in its communication channels. By exploring additional channels of communication, the project organizers can ensure that the project has diverse representation and continues to be successful in meeting the needs of the community.</w:t>
      </w:r>
    </w:p>
    <w:p w14:paraId="415FA157" w14:textId="5C71FE13" w:rsidR="00C87316" w:rsidRPr="00701909" w:rsidRDefault="00C87316" w:rsidP="00DA20F1">
      <w:pPr>
        <w:pStyle w:val="Heading1"/>
        <w:rPr>
          <w:rFonts w:ascii="Arial" w:hAnsi="Arial" w:cs="Arial"/>
          <w:sz w:val="22"/>
          <w:szCs w:val="22"/>
        </w:rPr>
      </w:pPr>
      <w:bookmarkStart w:id="7" w:name="_Toc139204696"/>
      <w:r w:rsidRPr="00701909">
        <w:rPr>
          <w:rFonts w:ascii="Arial" w:hAnsi="Arial" w:cs="Arial"/>
          <w:sz w:val="22"/>
          <w:szCs w:val="22"/>
        </w:rPr>
        <w:t>Conclusion:</w:t>
      </w:r>
      <w:bookmarkEnd w:id="7"/>
    </w:p>
    <w:p w14:paraId="6524F048" w14:textId="34B91AF0" w:rsidR="00DA20F1" w:rsidRPr="00701909" w:rsidRDefault="00DA20F1" w:rsidP="00DA20F1">
      <w:pPr>
        <w:jc w:val="both"/>
        <w:rPr>
          <w:rFonts w:ascii="Arial" w:hAnsi="Arial" w:cs="Arial"/>
        </w:rPr>
      </w:pPr>
      <w:r w:rsidRPr="00701909">
        <w:rPr>
          <w:rFonts w:ascii="Arial" w:hAnsi="Arial" w:cs="Arial"/>
        </w:rPr>
        <w:t>In conclusion, the "Green Spaces for All" project of Groundwork in the United Kingdom is a successful example of community engagement and sustainable development. The project demonstrates a strong adherence to community engagement principles, planning and design strategies, adherence to standards, and overall impact. The project involves a diverse range of community members, including residents, local businesses, and community organizations, in the decision-making process, ensuring inclusivity and transparency. The project's design process involves community consultations, collaborative design workshops, regular feedback sessions, and incorporates sustainable practices and accessibility requirements. The project adheres to local council guidelines on public space development, incorporates safety regulations, environmental sustainability criteria, and community engagement benchmarks. The project's impact is evaluated through community feedback surveys and site observations. The project's strengths lie in its comprehensive community engagement strategy, adherence to established standards, and emphasis on sustainability. However, the project could benefit from exploring additional channels of communication to ensure diverse representation. Overall, the "Green Spaces for All" project is a successful example of community engagement and sustainable development, promoting environmental sustainability, community well-being, and social cohesion.</w:t>
      </w:r>
    </w:p>
    <w:p w14:paraId="1DB7F184" w14:textId="2C578C3D" w:rsidR="00DA20F1" w:rsidRPr="00701909" w:rsidRDefault="00DA20F1" w:rsidP="00DA20F1">
      <w:pPr>
        <w:rPr>
          <w:rFonts w:ascii="Arial" w:hAnsi="Arial" w:cs="Arial"/>
        </w:rPr>
      </w:pPr>
      <w:r w:rsidRPr="00701909">
        <w:rPr>
          <w:rFonts w:ascii="Arial" w:hAnsi="Arial" w:cs="Arial"/>
        </w:rPr>
        <w:br w:type="page"/>
      </w:r>
    </w:p>
    <w:bookmarkStart w:id="8" w:name="_Toc139204697" w:displacedByCustomXml="next"/>
    <w:sdt>
      <w:sdtPr>
        <w:rPr>
          <w:rFonts w:ascii="Arial" w:hAnsi="Arial" w:cs="Arial"/>
          <w:sz w:val="22"/>
          <w:szCs w:val="22"/>
        </w:rPr>
        <w:id w:val="1760325169"/>
        <w:docPartObj>
          <w:docPartGallery w:val="Bibliographies"/>
          <w:docPartUnique/>
        </w:docPartObj>
      </w:sdtPr>
      <w:sdtEndPr>
        <w:rPr>
          <w:rFonts w:eastAsiaTheme="minorHAnsi"/>
          <w:color w:val="auto"/>
        </w:rPr>
      </w:sdtEndPr>
      <w:sdtContent>
        <w:p w14:paraId="3BE7C30D" w14:textId="34E0F07A" w:rsidR="00DA20F1" w:rsidRPr="00701909" w:rsidRDefault="00DA20F1">
          <w:pPr>
            <w:pStyle w:val="Heading1"/>
            <w:rPr>
              <w:rFonts w:ascii="Arial" w:hAnsi="Arial" w:cs="Arial"/>
              <w:sz w:val="22"/>
              <w:szCs w:val="22"/>
            </w:rPr>
          </w:pPr>
          <w:r w:rsidRPr="00701909">
            <w:rPr>
              <w:rFonts w:ascii="Arial" w:hAnsi="Arial" w:cs="Arial"/>
              <w:sz w:val="22"/>
              <w:szCs w:val="22"/>
            </w:rPr>
            <w:t>References</w:t>
          </w:r>
          <w:bookmarkEnd w:id="8"/>
        </w:p>
        <w:sdt>
          <w:sdtPr>
            <w:rPr>
              <w:rFonts w:ascii="Arial" w:hAnsi="Arial" w:cs="Arial"/>
            </w:rPr>
            <w:id w:val="-573587230"/>
            <w:bibliography/>
          </w:sdtPr>
          <w:sdtContent>
            <w:p w14:paraId="15D2D985" w14:textId="77777777" w:rsidR="001C558F" w:rsidRDefault="00DA20F1" w:rsidP="001C558F">
              <w:pPr>
                <w:pStyle w:val="Bibliography"/>
                <w:rPr>
                  <w:noProof/>
                  <w:kern w:val="0"/>
                  <w:sz w:val="24"/>
                  <w:szCs w:val="24"/>
                  <w14:ligatures w14:val="none"/>
                </w:rPr>
              </w:pPr>
              <w:r w:rsidRPr="00701909">
                <w:rPr>
                  <w:rFonts w:ascii="Arial" w:hAnsi="Arial" w:cs="Arial"/>
                </w:rPr>
                <w:fldChar w:fldCharType="begin"/>
              </w:r>
              <w:r w:rsidRPr="00701909">
                <w:rPr>
                  <w:rFonts w:ascii="Arial" w:hAnsi="Arial" w:cs="Arial"/>
                </w:rPr>
                <w:instrText xml:space="preserve"> BIBLIOGRAPHY </w:instrText>
              </w:r>
              <w:r w:rsidRPr="00701909">
                <w:rPr>
                  <w:rFonts w:ascii="Arial" w:hAnsi="Arial" w:cs="Arial"/>
                </w:rPr>
                <w:fldChar w:fldCharType="separate"/>
              </w:r>
              <w:r w:rsidR="001C558F">
                <w:rPr>
                  <w:noProof/>
                </w:rPr>
                <w:t xml:space="preserve">Beth Milton, P. A. B. F. S. P. M. W. J. P., 2012. The impact of community engagement on health and social outcomes: a systematic review. </w:t>
              </w:r>
              <w:r w:rsidR="001C558F">
                <w:rPr>
                  <w:i/>
                  <w:iCs/>
                  <w:noProof/>
                </w:rPr>
                <w:t xml:space="preserve">Community Development Journal, </w:t>
              </w:r>
              <w:r w:rsidR="001C558F">
                <w:rPr>
                  <w:noProof/>
                </w:rPr>
                <w:t>47(3), pp. 316-333.</w:t>
              </w:r>
            </w:p>
            <w:p w14:paraId="54EF87CD" w14:textId="77777777" w:rsidR="001C558F" w:rsidRDefault="001C558F" w:rsidP="001C558F">
              <w:pPr>
                <w:pStyle w:val="Bibliography"/>
                <w:rPr>
                  <w:noProof/>
                </w:rPr>
              </w:pPr>
              <w:r>
                <w:rPr>
                  <w:noProof/>
                </w:rPr>
                <w:t xml:space="preserve">Driscoll, A., 2008. Carnegie's Community-Engagement Classification: Intentions and Insights. </w:t>
              </w:r>
              <w:r>
                <w:rPr>
                  <w:i/>
                  <w:iCs/>
                  <w:noProof/>
                </w:rPr>
                <w:t xml:space="preserve">Change: The Magazine of Higher Learning , </w:t>
              </w:r>
              <w:r>
                <w:rPr>
                  <w:noProof/>
                </w:rPr>
                <w:t>40(1), pp. 38-41.</w:t>
              </w:r>
            </w:p>
            <w:p w14:paraId="04399E11" w14:textId="77777777" w:rsidR="001C558F" w:rsidRDefault="001C558F" w:rsidP="001C558F">
              <w:pPr>
                <w:pStyle w:val="Bibliography"/>
                <w:rPr>
                  <w:noProof/>
                </w:rPr>
              </w:pPr>
              <w:r>
                <w:rPr>
                  <w:noProof/>
                </w:rPr>
                <w:t xml:space="preserve">GroundWork, 2022. </w:t>
              </w:r>
              <w:r>
                <w:rPr>
                  <w:i/>
                  <w:iCs/>
                  <w:noProof/>
                </w:rPr>
                <w:t xml:space="preserve">BLOG: Green spaces for all. </w:t>
              </w:r>
              <w:r>
                <w:rPr>
                  <w:noProof/>
                </w:rPr>
                <w:t xml:space="preserve">[Online] </w:t>
              </w:r>
              <w:r>
                <w:rPr>
                  <w:noProof/>
                </w:rPr>
                <w:br/>
                <w:t xml:space="preserve">Available at: </w:t>
              </w:r>
              <w:r>
                <w:rPr>
                  <w:noProof/>
                  <w:u w:val="single"/>
                </w:rPr>
                <w:t>https://www.groundwork.org.uk/blog-green-spaces-for-all/</w:t>
              </w:r>
              <w:r>
                <w:rPr>
                  <w:noProof/>
                </w:rPr>
                <w:br/>
                <w:t>[Accessed 28 06 2023].</w:t>
              </w:r>
            </w:p>
            <w:p w14:paraId="31719671" w14:textId="77777777" w:rsidR="001C558F" w:rsidRDefault="001C558F" w:rsidP="001C558F">
              <w:pPr>
                <w:pStyle w:val="Bibliography"/>
                <w:rPr>
                  <w:noProof/>
                </w:rPr>
              </w:pPr>
              <w:r>
                <w:rPr>
                  <w:noProof/>
                </w:rPr>
                <w:t xml:space="preserve">Groundwork, 2023. </w:t>
              </w:r>
              <w:r>
                <w:rPr>
                  <w:i/>
                  <w:iCs/>
                  <w:noProof/>
                </w:rPr>
                <w:t xml:space="preserve">Facebook Page. </w:t>
              </w:r>
              <w:r>
                <w:rPr>
                  <w:noProof/>
                </w:rPr>
                <w:t xml:space="preserve">[Online] </w:t>
              </w:r>
              <w:r>
                <w:rPr>
                  <w:noProof/>
                </w:rPr>
                <w:br/>
                <w:t xml:space="preserve">Available at: </w:t>
              </w:r>
              <w:r>
                <w:rPr>
                  <w:noProof/>
                  <w:u w:val="single"/>
                </w:rPr>
                <w:t>https://en-gb.facebook.com/groundworkuk</w:t>
              </w:r>
              <w:r>
                <w:rPr>
                  <w:noProof/>
                </w:rPr>
                <w:br/>
                <w:t>[Accessed 01 07 2023].</w:t>
              </w:r>
            </w:p>
            <w:p w14:paraId="6DA54397" w14:textId="77777777" w:rsidR="001C558F" w:rsidRDefault="001C558F" w:rsidP="001C558F">
              <w:pPr>
                <w:pStyle w:val="Bibliography"/>
                <w:rPr>
                  <w:noProof/>
                </w:rPr>
              </w:pPr>
              <w:r>
                <w:rPr>
                  <w:noProof/>
                </w:rPr>
                <w:t xml:space="preserve">Melody S. Goodman, V. L. S. T. C. A. J. R. G. B. F. D. P. B. M. W. D. B., 2017. EVALUATING COMMUNITY ENGAGEMENT IN RESEARCH: QUANTITATIVE MEASURE DEVELOPMENT. </w:t>
              </w:r>
              <w:r>
                <w:rPr>
                  <w:i/>
                  <w:iCs/>
                  <w:noProof/>
                </w:rPr>
                <w:t xml:space="preserve">Journal of Community Psychology , </w:t>
              </w:r>
              <w:r>
                <w:rPr>
                  <w:noProof/>
                </w:rPr>
                <w:t>45(1), pp. 17-32.</w:t>
              </w:r>
            </w:p>
            <w:p w14:paraId="781EF030" w14:textId="77777777" w:rsidR="001C558F" w:rsidRDefault="001C558F" w:rsidP="001C558F">
              <w:pPr>
                <w:pStyle w:val="Bibliography"/>
                <w:rPr>
                  <w:noProof/>
                </w:rPr>
              </w:pPr>
              <w:r>
                <w:rPr>
                  <w:noProof/>
                </w:rPr>
                <w:t xml:space="preserve">Popay, J. A. P. H. D. M. B. W. M. F. B. K. U. S. N. a. P. S., 2007. </w:t>
              </w:r>
              <w:r>
                <w:rPr>
                  <w:i/>
                  <w:iCs/>
                  <w:noProof/>
                </w:rPr>
                <w:t xml:space="preserve">Community engagement in initiatives addressing the wider social determinants of health: a rapid review of evidence on impact, experience and process., </w:t>
              </w:r>
              <w:r>
                <w:rPr>
                  <w:noProof/>
                </w:rPr>
                <w:t>Lancaster: University of Landcaster.</w:t>
              </w:r>
            </w:p>
            <w:p w14:paraId="453296C0" w14:textId="33ED624D" w:rsidR="00DA20F1" w:rsidRPr="00701909" w:rsidRDefault="00DA20F1" w:rsidP="001C558F">
              <w:pPr>
                <w:rPr>
                  <w:rFonts w:ascii="Arial" w:hAnsi="Arial" w:cs="Arial"/>
                </w:rPr>
              </w:pPr>
              <w:r w:rsidRPr="00701909">
                <w:rPr>
                  <w:rFonts w:ascii="Arial" w:hAnsi="Arial" w:cs="Arial"/>
                  <w:b/>
                  <w:bCs/>
                  <w:noProof/>
                </w:rPr>
                <w:fldChar w:fldCharType="end"/>
              </w:r>
            </w:p>
          </w:sdtContent>
        </w:sdt>
      </w:sdtContent>
    </w:sdt>
    <w:p w14:paraId="1876F000" w14:textId="77777777" w:rsidR="007F4552" w:rsidRPr="00701909" w:rsidRDefault="007F4552">
      <w:pPr>
        <w:rPr>
          <w:rFonts w:ascii="Arial" w:hAnsi="Arial" w:cs="Arial"/>
        </w:rPr>
      </w:pPr>
      <w:r w:rsidRPr="00701909">
        <w:rPr>
          <w:rFonts w:ascii="Arial" w:hAnsi="Arial" w:cs="Arial"/>
        </w:rPr>
        <w:br w:type="page"/>
      </w:r>
    </w:p>
    <w:p w14:paraId="0F3863AB" w14:textId="65F152F4" w:rsidR="007F4552" w:rsidRPr="00701909" w:rsidRDefault="007F4552" w:rsidP="00DA20F1">
      <w:pPr>
        <w:pStyle w:val="Heading1"/>
        <w:rPr>
          <w:rFonts w:ascii="Arial" w:hAnsi="Arial" w:cs="Arial"/>
          <w:sz w:val="22"/>
          <w:szCs w:val="22"/>
        </w:rPr>
      </w:pPr>
      <w:bookmarkStart w:id="9" w:name="_Toc139204698"/>
      <w:r w:rsidRPr="00701909">
        <w:rPr>
          <w:rFonts w:ascii="Arial" w:hAnsi="Arial" w:cs="Arial"/>
          <w:sz w:val="22"/>
          <w:szCs w:val="22"/>
        </w:rPr>
        <w:lastRenderedPageBreak/>
        <w:t>Appendix 1:</w:t>
      </w:r>
      <w:bookmarkEnd w:id="9"/>
    </w:p>
    <w:p w14:paraId="382D722E" w14:textId="0A3C897B" w:rsidR="007F4552" w:rsidRDefault="007F4552" w:rsidP="00C87316">
      <w:r>
        <w:rPr>
          <w:noProof/>
        </w:rPr>
        <w:drawing>
          <wp:inline distT="0" distB="0" distL="0" distR="0" wp14:anchorId="4F72DE51" wp14:editId="7BA140C7">
            <wp:extent cx="5731510" cy="3293110"/>
            <wp:effectExtent l="0" t="0" r="2540" b="2540"/>
            <wp:docPr id="1987852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852332" name="Picture 198785233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93110"/>
                    </a:xfrm>
                    <a:prstGeom prst="rect">
                      <a:avLst/>
                    </a:prstGeom>
                  </pic:spPr>
                </pic:pic>
              </a:graphicData>
            </a:graphic>
          </wp:inline>
        </w:drawing>
      </w:r>
    </w:p>
    <w:p w14:paraId="2F262CF5" w14:textId="1EC0DDF4" w:rsidR="007F4552" w:rsidRDefault="007F4552" w:rsidP="00C87316">
      <w:sdt>
        <w:sdtPr>
          <w:id w:val="287868786"/>
          <w:citation/>
        </w:sdtPr>
        <w:sdtContent>
          <w:r>
            <w:fldChar w:fldCharType="begin"/>
          </w:r>
          <w:r>
            <w:instrText xml:space="preserve"> CITATION Gro22 \l 2057 </w:instrText>
          </w:r>
          <w:r>
            <w:fldChar w:fldCharType="separate"/>
          </w:r>
          <w:r w:rsidR="001C558F" w:rsidRPr="001C558F">
            <w:rPr>
              <w:noProof/>
            </w:rPr>
            <w:t>(GroundWork, 2022)</w:t>
          </w:r>
          <w:r>
            <w:fldChar w:fldCharType="end"/>
          </w:r>
        </w:sdtContent>
      </w:sdt>
    </w:p>
    <w:p w14:paraId="0A4EFB4C" w14:textId="337E00CD" w:rsidR="007F4552" w:rsidRDefault="007F4552" w:rsidP="00C87316">
      <w:r>
        <w:rPr>
          <w:noProof/>
        </w:rPr>
        <w:drawing>
          <wp:inline distT="0" distB="0" distL="0" distR="0" wp14:anchorId="03F190F8" wp14:editId="48DA6560">
            <wp:extent cx="5632145" cy="4529328"/>
            <wp:effectExtent l="0" t="0" r="6985" b="5080"/>
            <wp:docPr id="9155670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567075" name="Picture 91556707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56179" cy="4548656"/>
                    </a:xfrm>
                    <a:prstGeom prst="rect">
                      <a:avLst/>
                    </a:prstGeom>
                  </pic:spPr>
                </pic:pic>
              </a:graphicData>
            </a:graphic>
          </wp:inline>
        </w:drawing>
      </w:r>
    </w:p>
    <w:p w14:paraId="2482F223" w14:textId="1499351E" w:rsidR="007F4552" w:rsidRDefault="007F4552" w:rsidP="00C87316">
      <w:sdt>
        <w:sdtPr>
          <w:id w:val="-1816947854"/>
          <w:citation/>
        </w:sdtPr>
        <w:sdtContent>
          <w:r>
            <w:fldChar w:fldCharType="begin"/>
          </w:r>
          <w:r>
            <w:instrText xml:space="preserve"> CITATION Gro23 \l 2057 </w:instrText>
          </w:r>
          <w:r>
            <w:fldChar w:fldCharType="separate"/>
          </w:r>
          <w:r w:rsidR="001C558F" w:rsidRPr="001C558F">
            <w:rPr>
              <w:noProof/>
            </w:rPr>
            <w:t>(Groundwork, 2023)</w:t>
          </w:r>
          <w:r>
            <w:fldChar w:fldCharType="end"/>
          </w:r>
        </w:sdtContent>
      </w:sdt>
    </w:p>
    <w:sectPr w:rsidR="007F4552" w:rsidSect="001C558F">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9D91BB" w14:textId="77777777" w:rsidR="001656B7" w:rsidRDefault="001656B7" w:rsidP="001C558F">
      <w:pPr>
        <w:spacing w:after="0" w:line="240" w:lineRule="auto"/>
      </w:pPr>
      <w:r>
        <w:separator/>
      </w:r>
    </w:p>
  </w:endnote>
  <w:endnote w:type="continuationSeparator" w:id="0">
    <w:p w14:paraId="121A28FA" w14:textId="77777777" w:rsidR="001656B7" w:rsidRDefault="001656B7" w:rsidP="001C55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9658823"/>
      <w:docPartObj>
        <w:docPartGallery w:val="Page Numbers (Bottom of Page)"/>
        <w:docPartUnique/>
      </w:docPartObj>
    </w:sdtPr>
    <w:sdtEndPr>
      <w:rPr>
        <w:noProof/>
      </w:rPr>
    </w:sdtEndPr>
    <w:sdtContent>
      <w:p w14:paraId="01860F5E" w14:textId="4C749BFE" w:rsidR="001C558F" w:rsidRDefault="001C55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83AB01" w14:textId="77777777" w:rsidR="001C558F" w:rsidRDefault="001C55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BF187" w14:textId="77777777" w:rsidR="001656B7" w:rsidRDefault="001656B7" w:rsidP="001C558F">
      <w:pPr>
        <w:spacing w:after="0" w:line="240" w:lineRule="auto"/>
      </w:pPr>
      <w:r>
        <w:separator/>
      </w:r>
    </w:p>
  </w:footnote>
  <w:footnote w:type="continuationSeparator" w:id="0">
    <w:p w14:paraId="50399BC2" w14:textId="77777777" w:rsidR="001656B7" w:rsidRDefault="001656B7" w:rsidP="001C55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5AC"/>
    <w:rsid w:val="000F0E8A"/>
    <w:rsid w:val="00143801"/>
    <w:rsid w:val="001656B7"/>
    <w:rsid w:val="001C558F"/>
    <w:rsid w:val="002443D4"/>
    <w:rsid w:val="003755AC"/>
    <w:rsid w:val="00530254"/>
    <w:rsid w:val="0065744B"/>
    <w:rsid w:val="00701909"/>
    <w:rsid w:val="007F4552"/>
    <w:rsid w:val="009C7EDA"/>
    <w:rsid w:val="00B444E6"/>
    <w:rsid w:val="00C87316"/>
    <w:rsid w:val="00D81151"/>
    <w:rsid w:val="00DA20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327AC"/>
  <w15:chartTrackingRefBased/>
  <w15:docId w15:val="{4B0DC420-5D3C-47A0-B7A0-59E670039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38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20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3801"/>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DA20F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A20F1"/>
    <w:rPr>
      <w:rFonts w:eastAsiaTheme="minorEastAsia"/>
      <w:kern w:val="0"/>
      <w:lang w:val="en-US"/>
      <w14:ligatures w14:val="none"/>
    </w:rPr>
  </w:style>
  <w:style w:type="character" w:customStyle="1" w:styleId="Heading2Char">
    <w:name w:val="Heading 2 Char"/>
    <w:basedOn w:val="DefaultParagraphFont"/>
    <w:link w:val="Heading2"/>
    <w:uiPriority w:val="9"/>
    <w:rsid w:val="00DA20F1"/>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DA20F1"/>
  </w:style>
  <w:style w:type="paragraph" w:styleId="TOCHeading">
    <w:name w:val="TOC Heading"/>
    <w:basedOn w:val="Heading1"/>
    <w:next w:val="Normal"/>
    <w:uiPriority w:val="39"/>
    <w:unhideWhenUsed/>
    <w:qFormat/>
    <w:rsid w:val="00DA20F1"/>
    <w:pPr>
      <w:outlineLvl w:val="9"/>
    </w:pPr>
    <w:rPr>
      <w:kern w:val="0"/>
      <w:lang w:val="en-US"/>
      <w14:ligatures w14:val="none"/>
    </w:rPr>
  </w:style>
  <w:style w:type="paragraph" w:styleId="TOC1">
    <w:name w:val="toc 1"/>
    <w:basedOn w:val="Normal"/>
    <w:next w:val="Normal"/>
    <w:autoRedefine/>
    <w:uiPriority w:val="39"/>
    <w:unhideWhenUsed/>
    <w:rsid w:val="00DA20F1"/>
    <w:pPr>
      <w:spacing w:after="100"/>
    </w:pPr>
  </w:style>
  <w:style w:type="paragraph" w:styleId="TOC2">
    <w:name w:val="toc 2"/>
    <w:basedOn w:val="Normal"/>
    <w:next w:val="Normal"/>
    <w:autoRedefine/>
    <w:uiPriority w:val="39"/>
    <w:unhideWhenUsed/>
    <w:rsid w:val="00DA20F1"/>
    <w:pPr>
      <w:spacing w:after="100"/>
      <w:ind w:left="220"/>
    </w:pPr>
  </w:style>
  <w:style w:type="character" w:styleId="Hyperlink">
    <w:name w:val="Hyperlink"/>
    <w:basedOn w:val="DefaultParagraphFont"/>
    <w:uiPriority w:val="99"/>
    <w:unhideWhenUsed/>
    <w:rsid w:val="00DA20F1"/>
    <w:rPr>
      <w:color w:val="0563C1" w:themeColor="hyperlink"/>
      <w:u w:val="single"/>
    </w:rPr>
  </w:style>
  <w:style w:type="paragraph" w:styleId="Header">
    <w:name w:val="header"/>
    <w:basedOn w:val="Normal"/>
    <w:link w:val="HeaderChar"/>
    <w:uiPriority w:val="99"/>
    <w:unhideWhenUsed/>
    <w:rsid w:val="001C55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558F"/>
  </w:style>
  <w:style w:type="paragraph" w:styleId="Footer">
    <w:name w:val="footer"/>
    <w:basedOn w:val="Normal"/>
    <w:link w:val="FooterChar"/>
    <w:uiPriority w:val="99"/>
    <w:unhideWhenUsed/>
    <w:rsid w:val="001C55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55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57436">
      <w:bodyDiv w:val="1"/>
      <w:marLeft w:val="0"/>
      <w:marRight w:val="0"/>
      <w:marTop w:val="0"/>
      <w:marBottom w:val="0"/>
      <w:divBdr>
        <w:top w:val="none" w:sz="0" w:space="0" w:color="auto"/>
        <w:left w:val="none" w:sz="0" w:space="0" w:color="auto"/>
        <w:bottom w:val="none" w:sz="0" w:space="0" w:color="auto"/>
        <w:right w:val="none" w:sz="0" w:space="0" w:color="auto"/>
      </w:divBdr>
    </w:div>
    <w:div w:id="225920452">
      <w:bodyDiv w:val="1"/>
      <w:marLeft w:val="0"/>
      <w:marRight w:val="0"/>
      <w:marTop w:val="0"/>
      <w:marBottom w:val="0"/>
      <w:divBdr>
        <w:top w:val="none" w:sz="0" w:space="0" w:color="auto"/>
        <w:left w:val="none" w:sz="0" w:space="0" w:color="auto"/>
        <w:bottom w:val="none" w:sz="0" w:space="0" w:color="auto"/>
        <w:right w:val="none" w:sz="0" w:space="0" w:color="auto"/>
      </w:divBdr>
    </w:div>
    <w:div w:id="255552906">
      <w:bodyDiv w:val="1"/>
      <w:marLeft w:val="0"/>
      <w:marRight w:val="0"/>
      <w:marTop w:val="0"/>
      <w:marBottom w:val="0"/>
      <w:divBdr>
        <w:top w:val="none" w:sz="0" w:space="0" w:color="auto"/>
        <w:left w:val="none" w:sz="0" w:space="0" w:color="auto"/>
        <w:bottom w:val="none" w:sz="0" w:space="0" w:color="auto"/>
        <w:right w:val="none" w:sz="0" w:space="0" w:color="auto"/>
      </w:divBdr>
    </w:div>
    <w:div w:id="272904666">
      <w:bodyDiv w:val="1"/>
      <w:marLeft w:val="0"/>
      <w:marRight w:val="0"/>
      <w:marTop w:val="0"/>
      <w:marBottom w:val="0"/>
      <w:divBdr>
        <w:top w:val="none" w:sz="0" w:space="0" w:color="auto"/>
        <w:left w:val="none" w:sz="0" w:space="0" w:color="auto"/>
        <w:bottom w:val="none" w:sz="0" w:space="0" w:color="auto"/>
        <w:right w:val="none" w:sz="0" w:space="0" w:color="auto"/>
      </w:divBdr>
    </w:div>
    <w:div w:id="435711947">
      <w:bodyDiv w:val="1"/>
      <w:marLeft w:val="0"/>
      <w:marRight w:val="0"/>
      <w:marTop w:val="0"/>
      <w:marBottom w:val="0"/>
      <w:divBdr>
        <w:top w:val="none" w:sz="0" w:space="0" w:color="auto"/>
        <w:left w:val="none" w:sz="0" w:space="0" w:color="auto"/>
        <w:bottom w:val="none" w:sz="0" w:space="0" w:color="auto"/>
        <w:right w:val="none" w:sz="0" w:space="0" w:color="auto"/>
      </w:divBdr>
    </w:div>
    <w:div w:id="516383096">
      <w:bodyDiv w:val="1"/>
      <w:marLeft w:val="0"/>
      <w:marRight w:val="0"/>
      <w:marTop w:val="0"/>
      <w:marBottom w:val="0"/>
      <w:divBdr>
        <w:top w:val="none" w:sz="0" w:space="0" w:color="auto"/>
        <w:left w:val="none" w:sz="0" w:space="0" w:color="auto"/>
        <w:bottom w:val="none" w:sz="0" w:space="0" w:color="auto"/>
        <w:right w:val="none" w:sz="0" w:space="0" w:color="auto"/>
      </w:divBdr>
    </w:div>
    <w:div w:id="527640751">
      <w:bodyDiv w:val="1"/>
      <w:marLeft w:val="0"/>
      <w:marRight w:val="0"/>
      <w:marTop w:val="0"/>
      <w:marBottom w:val="0"/>
      <w:divBdr>
        <w:top w:val="none" w:sz="0" w:space="0" w:color="auto"/>
        <w:left w:val="none" w:sz="0" w:space="0" w:color="auto"/>
        <w:bottom w:val="none" w:sz="0" w:space="0" w:color="auto"/>
        <w:right w:val="none" w:sz="0" w:space="0" w:color="auto"/>
      </w:divBdr>
    </w:div>
    <w:div w:id="562102524">
      <w:bodyDiv w:val="1"/>
      <w:marLeft w:val="0"/>
      <w:marRight w:val="0"/>
      <w:marTop w:val="0"/>
      <w:marBottom w:val="0"/>
      <w:divBdr>
        <w:top w:val="none" w:sz="0" w:space="0" w:color="auto"/>
        <w:left w:val="none" w:sz="0" w:space="0" w:color="auto"/>
        <w:bottom w:val="none" w:sz="0" w:space="0" w:color="auto"/>
        <w:right w:val="none" w:sz="0" w:space="0" w:color="auto"/>
      </w:divBdr>
    </w:div>
    <w:div w:id="582491598">
      <w:bodyDiv w:val="1"/>
      <w:marLeft w:val="0"/>
      <w:marRight w:val="0"/>
      <w:marTop w:val="0"/>
      <w:marBottom w:val="0"/>
      <w:divBdr>
        <w:top w:val="none" w:sz="0" w:space="0" w:color="auto"/>
        <w:left w:val="none" w:sz="0" w:space="0" w:color="auto"/>
        <w:bottom w:val="none" w:sz="0" w:space="0" w:color="auto"/>
        <w:right w:val="none" w:sz="0" w:space="0" w:color="auto"/>
      </w:divBdr>
    </w:div>
    <w:div w:id="596788600">
      <w:bodyDiv w:val="1"/>
      <w:marLeft w:val="0"/>
      <w:marRight w:val="0"/>
      <w:marTop w:val="0"/>
      <w:marBottom w:val="0"/>
      <w:divBdr>
        <w:top w:val="none" w:sz="0" w:space="0" w:color="auto"/>
        <w:left w:val="none" w:sz="0" w:space="0" w:color="auto"/>
        <w:bottom w:val="none" w:sz="0" w:space="0" w:color="auto"/>
        <w:right w:val="none" w:sz="0" w:space="0" w:color="auto"/>
      </w:divBdr>
    </w:div>
    <w:div w:id="651445524">
      <w:bodyDiv w:val="1"/>
      <w:marLeft w:val="0"/>
      <w:marRight w:val="0"/>
      <w:marTop w:val="0"/>
      <w:marBottom w:val="0"/>
      <w:divBdr>
        <w:top w:val="none" w:sz="0" w:space="0" w:color="auto"/>
        <w:left w:val="none" w:sz="0" w:space="0" w:color="auto"/>
        <w:bottom w:val="none" w:sz="0" w:space="0" w:color="auto"/>
        <w:right w:val="none" w:sz="0" w:space="0" w:color="auto"/>
      </w:divBdr>
    </w:div>
    <w:div w:id="809051643">
      <w:bodyDiv w:val="1"/>
      <w:marLeft w:val="0"/>
      <w:marRight w:val="0"/>
      <w:marTop w:val="0"/>
      <w:marBottom w:val="0"/>
      <w:divBdr>
        <w:top w:val="none" w:sz="0" w:space="0" w:color="auto"/>
        <w:left w:val="none" w:sz="0" w:space="0" w:color="auto"/>
        <w:bottom w:val="none" w:sz="0" w:space="0" w:color="auto"/>
        <w:right w:val="none" w:sz="0" w:space="0" w:color="auto"/>
      </w:divBdr>
    </w:div>
    <w:div w:id="866062045">
      <w:bodyDiv w:val="1"/>
      <w:marLeft w:val="0"/>
      <w:marRight w:val="0"/>
      <w:marTop w:val="0"/>
      <w:marBottom w:val="0"/>
      <w:divBdr>
        <w:top w:val="none" w:sz="0" w:space="0" w:color="auto"/>
        <w:left w:val="none" w:sz="0" w:space="0" w:color="auto"/>
        <w:bottom w:val="none" w:sz="0" w:space="0" w:color="auto"/>
        <w:right w:val="none" w:sz="0" w:space="0" w:color="auto"/>
      </w:divBdr>
    </w:div>
    <w:div w:id="893856805">
      <w:bodyDiv w:val="1"/>
      <w:marLeft w:val="0"/>
      <w:marRight w:val="0"/>
      <w:marTop w:val="0"/>
      <w:marBottom w:val="0"/>
      <w:divBdr>
        <w:top w:val="none" w:sz="0" w:space="0" w:color="auto"/>
        <w:left w:val="none" w:sz="0" w:space="0" w:color="auto"/>
        <w:bottom w:val="none" w:sz="0" w:space="0" w:color="auto"/>
        <w:right w:val="none" w:sz="0" w:space="0" w:color="auto"/>
      </w:divBdr>
    </w:div>
    <w:div w:id="979774142">
      <w:bodyDiv w:val="1"/>
      <w:marLeft w:val="0"/>
      <w:marRight w:val="0"/>
      <w:marTop w:val="0"/>
      <w:marBottom w:val="0"/>
      <w:divBdr>
        <w:top w:val="none" w:sz="0" w:space="0" w:color="auto"/>
        <w:left w:val="none" w:sz="0" w:space="0" w:color="auto"/>
        <w:bottom w:val="none" w:sz="0" w:space="0" w:color="auto"/>
        <w:right w:val="none" w:sz="0" w:space="0" w:color="auto"/>
      </w:divBdr>
    </w:div>
    <w:div w:id="1084447680">
      <w:bodyDiv w:val="1"/>
      <w:marLeft w:val="0"/>
      <w:marRight w:val="0"/>
      <w:marTop w:val="0"/>
      <w:marBottom w:val="0"/>
      <w:divBdr>
        <w:top w:val="none" w:sz="0" w:space="0" w:color="auto"/>
        <w:left w:val="none" w:sz="0" w:space="0" w:color="auto"/>
        <w:bottom w:val="none" w:sz="0" w:space="0" w:color="auto"/>
        <w:right w:val="none" w:sz="0" w:space="0" w:color="auto"/>
      </w:divBdr>
    </w:div>
    <w:div w:id="1087192256">
      <w:bodyDiv w:val="1"/>
      <w:marLeft w:val="0"/>
      <w:marRight w:val="0"/>
      <w:marTop w:val="0"/>
      <w:marBottom w:val="0"/>
      <w:divBdr>
        <w:top w:val="none" w:sz="0" w:space="0" w:color="auto"/>
        <w:left w:val="none" w:sz="0" w:space="0" w:color="auto"/>
        <w:bottom w:val="none" w:sz="0" w:space="0" w:color="auto"/>
        <w:right w:val="none" w:sz="0" w:space="0" w:color="auto"/>
      </w:divBdr>
    </w:div>
    <w:div w:id="1186136742">
      <w:bodyDiv w:val="1"/>
      <w:marLeft w:val="0"/>
      <w:marRight w:val="0"/>
      <w:marTop w:val="0"/>
      <w:marBottom w:val="0"/>
      <w:divBdr>
        <w:top w:val="none" w:sz="0" w:space="0" w:color="auto"/>
        <w:left w:val="none" w:sz="0" w:space="0" w:color="auto"/>
        <w:bottom w:val="none" w:sz="0" w:space="0" w:color="auto"/>
        <w:right w:val="none" w:sz="0" w:space="0" w:color="auto"/>
      </w:divBdr>
    </w:div>
    <w:div w:id="1281373856">
      <w:bodyDiv w:val="1"/>
      <w:marLeft w:val="0"/>
      <w:marRight w:val="0"/>
      <w:marTop w:val="0"/>
      <w:marBottom w:val="0"/>
      <w:divBdr>
        <w:top w:val="none" w:sz="0" w:space="0" w:color="auto"/>
        <w:left w:val="none" w:sz="0" w:space="0" w:color="auto"/>
        <w:bottom w:val="none" w:sz="0" w:space="0" w:color="auto"/>
        <w:right w:val="none" w:sz="0" w:space="0" w:color="auto"/>
      </w:divBdr>
    </w:div>
    <w:div w:id="1360741218">
      <w:bodyDiv w:val="1"/>
      <w:marLeft w:val="0"/>
      <w:marRight w:val="0"/>
      <w:marTop w:val="0"/>
      <w:marBottom w:val="0"/>
      <w:divBdr>
        <w:top w:val="none" w:sz="0" w:space="0" w:color="auto"/>
        <w:left w:val="none" w:sz="0" w:space="0" w:color="auto"/>
        <w:bottom w:val="none" w:sz="0" w:space="0" w:color="auto"/>
        <w:right w:val="none" w:sz="0" w:space="0" w:color="auto"/>
      </w:divBdr>
    </w:div>
    <w:div w:id="1369719978">
      <w:bodyDiv w:val="1"/>
      <w:marLeft w:val="0"/>
      <w:marRight w:val="0"/>
      <w:marTop w:val="0"/>
      <w:marBottom w:val="0"/>
      <w:divBdr>
        <w:top w:val="none" w:sz="0" w:space="0" w:color="auto"/>
        <w:left w:val="none" w:sz="0" w:space="0" w:color="auto"/>
        <w:bottom w:val="none" w:sz="0" w:space="0" w:color="auto"/>
        <w:right w:val="none" w:sz="0" w:space="0" w:color="auto"/>
      </w:divBdr>
    </w:div>
    <w:div w:id="1384789405">
      <w:bodyDiv w:val="1"/>
      <w:marLeft w:val="0"/>
      <w:marRight w:val="0"/>
      <w:marTop w:val="0"/>
      <w:marBottom w:val="0"/>
      <w:divBdr>
        <w:top w:val="none" w:sz="0" w:space="0" w:color="auto"/>
        <w:left w:val="none" w:sz="0" w:space="0" w:color="auto"/>
        <w:bottom w:val="none" w:sz="0" w:space="0" w:color="auto"/>
        <w:right w:val="none" w:sz="0" w:space="0" w:color="auto"/>
      </w:divBdr>
    </w:div>
    <w:div w:id="1460494927">
      <w:bodyDiv w:val="1"/>
      <w:marLeft w:val="0"/>
      <w:marRight w:val="0"/>
      <w:marTop w:val="0"/>
      <w:marBottom w:val="0"/>
      <w:divBdr>
        <w:top w:val="none" w:sz="0" w:space="0" w:color="auto"/>
        <w:left w:val="none" w:sz="0" w:space="0" w:color="auto"/>
        <w:bottom w:val="none" w:sz="0" w:space="0" w:color="auto"/>
        <w:right w:val="none" w:sz="0" w:space="0" w:color="auto"/>
      </w:divBdr>
    </w:div>
    <w:div w:id="1527449203">
      <w:bodyDiv w:val="1"/>
      <w:marLeft w:val="0"/>
      <w:marRight w:val="0"/>
      <w:marTop w:val="0"/>
      <w:marBottom w:val="0"/>
      <w:divBdr>
        <w:top w:val="none" w:sz="0" w:space="0" w:color="auto"/>
        <w:left w:val="none" w:sz="0" w:space="0" w:color="auto"/>
        <w:bottom w:val="none" w:sz="0" w:space="0" w:color="auto"/>
        <w:right w:val="none" w:sz="0" w:space="0" w:color="auto"/>
      </w:divBdr>
    </w:div>
    <w:div w:id="1601599116">
      <w:bodyDiv w:val="1"/>
      <w:marLeft w:val="0"/>
      <w:marRight w:val="0"/>
      <w:marTop w:val="0"/>
      <w:marBottom w:val="0"/>
      <w:divBdr>
        <w:top w:val="none" w:sz="0" w:space="0" w:color="auto"/>
        <w:left w:val="none" w:sz="0" w:space="0" w:color="auto"/>
        <w:bottom w:val="none" w:sz="0" w:space="0" w:color="auto"/>
        <w:right w:val="none" w:sz="0" w:space="0" w:color="auto"/>
      </w:divBdr>
      <w:divsChild>
        <w:div w:id="2126270659">
          <w:marLeft w:val="0"/>
          <w:marRight w:val="0"/>
          <w:marTop w:val="0"/>
          <w:marBottom w:val="0"/>
          <w:divBdr>
            <w:top w:val="single" w:sz="2" w:space="0" w:color="auto"/>
            <w:left w:val="single" w:sz="2" w:space="0" w:color="auto"/>
            <w:bottom w:val="single" w:sz="6" w:space="0" w:color="auto"/>
            <w:right w:val="single" w:sz="2" w:space="0" w:color="auto"/>
          </w:divBdr>
          <w:divsChild>
            <w:div w:id="1026104829">
              <w:marLeft w:val="0"/>
              <w:marRight w:val="0"/>
              <w:marTop w:val="100"/>
              <w:marBottom w:val="100"/>
              <w:divBdr>
                <w:top w:val="single" w:sz="2" w:space="0" w:color="D9D9E3"/>
                <w:left w:val="single" w:sz="2" w:space="0" w:color="D9D9E3"/>
                <w:bottom w:val="single" w:sz="2" w:space="0" w:color="D9D9E3"/>
                <w:right w:val="single" w:sz="2" w:space="0" w:color="D9D9E3"/>
              </w:divBdr>
              <w:divsChild>
                <w:div w:id="760758171">
                  <w:marLeft w:val="0"/>
                  <w:marRight w:val="0"/>
                  <w:marTop w:val="0"/>
                  <w:marBottom w:val="0"/>
                  <w:divBdr>
                    <w:top w:val="single" w:sz="2" w:space="0" w:color="D9D9E3"/>
                    <w:left w:val="single" w:sz="2" w:space="0" w:color="D9D9E3"/>
                    <w:bottom w:val="single" w:sz="2" w:space="0" w:color="D9D9E3"/>
                    <w:right w:val="single" w:sz="2" w:space="0" w:color="D9D9E3"/>
                  </w:divBdr>
                  <w:divsChild>
                    <w:div w:id="1623655058">
                      <w:marLeft w:val="0"/>
                      <w:marRight w:val="0"/>
                      <w:marTop w:val="0"/>
                      <w:marBottom w:val="0"/>
                      <w:divBdr>
                        <w:top w:val="single" w:sz="2" w:space="0" w:color="D9D9E3"/>
                        <w:left w:val="single" w:sz="2" w:space="0" w:color="D9D9E3"/>
                        <w:bottom w:val="single" w:sz="2" w:space="0" w:color="D9D9E3"/>
                        <w:right w:val="single" w:sz="2" w:space="0" w:color="D9D9E3"/>
                      </w:divBdr>
                      <w:divsChild>
                        <w:div w:id="2037583255">
                          <w:marLeft w:val="0"/>
                          <w:marRight w:val="0"/>
                          <w:marTop w:val="0"/>
                          <w:marBottom w:val="0"/>
                          <w:divBdr>
                            <w:top w:val="single" w:sz="2" w:space="0" w:color="D9D9E3"/>
                            <w:left w:val="single" w:sz="2" w:space="0" w:color="D9D9E3"/>
                            <w:bottom w:val="single" w:sz="2" w:space="0" w:color="D9D9E3"/>
                            <w:right w:val="single" w:sz="2" w:space="0" w:color="D9D9E3"/>
                          </w:divBdr>
                          <w:divsChild>
                            <w:div w:id="14092315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06902107">
      <w:bodyDiv w:val="1"/>
      <w:marLeft w:val="0"/>
      <w:marRight w:val="0"/>
      <w:marTop w:val="0"/>
      <w:marBottom w:val="0"/>
      <w:divBdr>
        <w:top w:val="none" w:sz="0" w:space="0" w:color="auto"/>
        <w:left w:val="none" w:sz="0" w:space="0" w:color="auto"/>
        <w:bottom w:val="none" w:sz="0" w:space="0" w:color="auto"/>
        <w:right w:val="none" w:sz="0" w:space="0" w:color="auto"/>
      </w:divBdr>
    </w:div>
    <w:div w:id="1722291024">
      <w:bodyDiv w:val="1"/>
      <w:marLeft w:val="0"/>
      <w:marRight w:val="0"/>
      <w:marTop w:val="0"/>
      <w:marBottom w:val="0"/>
      <w:divBdr>
        <w:top w:val="none" w:sz="0" w:space="0" w:color="auto"/>
        <w:left w:val="none" w:sz="0" w:space="0" w:color="auto"/>
        <w:bottom w:val="none" w:sz="0" w:space="0" w:color="auto"/>
        <w:right w:val="none" w:sz="0" w:space="0" w:color="auto"/>
      </w:divBdr>
    </w:div>
    <w:div w:id="1766149128">
      <w:bodyDiv w:val="1"/>
      <w:marLeft w:val="0"/>
      <w:marRight w:val="0"/>
      <w:marTop w:val="0"/>
      <w:marBottom w:val="0"/>
      <w:divBdr>
        <w:top w:val="none" w:sz="0" w:space="0" w:color="auto"/>
        <w:left w:val="none" w:sz="0" w:space="0" w:color="auto"/>
        <w:bottom w:val="none" w:sz="0" w:space="0" w:color="auto"/>
        <w:right w:val="none" w:sz="0" w:space="0" w:color="auto"/>
      </w:divBdr>
    </w:div>
    <w:div w:id="1994487747">
      <w:bodyDiv w:val="1"/>
      <w:marLeft w:val="0"/>
      <w:marRight w:val="0"/>
      <w:marTop w:val="0"/>
      <w:marBottom w:val="0"/>
      <w:divBdr>
        <w:top w:val="none" w:sz="0" w:space="0" w:color="auto"/>
        <w:left w:val="none" w:sz="0" w:space="0" w:color="auto"/>
        <w:bottom w:val="none" w:sz="0" w:space="0" w:color="auto"/>
        <w:right w:val="none" w:sz="0" w:space="0" w:color="auto"/>
      </w:divBdr>
    </w:div>
    <w:div w:id="2013213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Mel17</b:Tag>
    <b:SourceType>JournalArticle</b:SourceType>
    <b:Guid>{A935F761-4E69-4E4C-8D06-B0FC486F68AE}</b:Guid>
    <b:Author>
      <b:Author>
        <b:NameList>
          <b:Person>
            <b:Last>Melody S. Goodman</b:Last>
            <b:First>Vetta</b:First>
            <b:Middle>L. Sanders Thompson, Cassandra Arroyo Johnson, Renee Gennarelli, Bettina F. Drake, Pravleen Bajwa, Maranda Witherspoon, Deborah Bowen</b:Middle>
          </b:Person>
        </b:NameList>
      </b:Author>
    </b:Author>
    <b:Title>EVALUATING COMMUNITY ENGAGEMENT IN RESEARCH: QUANTITATIVE MEASURE DEVELOPMENT</b:Title>
    <b:JournalName>Journal of Community Psychology </b:JournalName>
    <b:Year>2017</b:Year>
    <b:Pages>17-32</b:Pages>
    <b:Volume>45</b:Volume>
    <b:Issue>1</b:Issue>
    <b:RefOrder>2</b:RefOrder>
  </b:Source>
  <b:Source>
    <b:Tag>Gro22</b:Tag>
    <b:SourceType>InternetSite</b:SourceType>
    <b:Guid>{0FA043C3-BE7F-422B-AC16-18D9A195E828}</b:Guid>
    <b:Title>BLOG: Green spaces for all</b:Title>
    <b:Year>2022</b:Year>
    <b:Author>
      <b:Author>
        <b:NameList>
          <b:Person>
            <b:Last>GroundWork</b:Last>
          </b:Person>
        </b:NameList>
      </b:Author>
    </b:Author>
    <b:YearAccessed>2023</b:YearAccessed>
    <b:MonthAccessed>06</b:MonthAccessed>
    <b:DayAccessed>28</b:DayAccessed>
    <b:URL>https://www.groundwork.org.uk/blog-green-spaces-for-all/</b:URL>
    <b:RefOrder>1</b:RefOrder>
  </b:Source>
  <b:Source>
    <b:Tag>Gro23</b:Tag>
    <b:SourceType>InternetSite</b:SourceType>
    <b:Guid>{7FAEF0CF-9FC0-4106-B0CD-B272006DF8FE}</b:Guid>
    <b:Author>
      <b:Author>
        <b:NameList>
          <b:Person>
            <b:Last>Groundwork</b:Last>
          </b:Person>
        </b:NameList>
      </b:Author>
    </b:Author>
    <b:Title>Facebook Page</b:Title>
    <b:Year>2023</b:Year>
    <b:YearAccessed>2023</b:YearAccessed>
    <b:MonthAccessed>07</b:MonthAccessed>
    <b:DayAccessed>01</b:DayAccessed>
    <b:URL>https://en-gb.facebook.com/groundworkuk</b:URL>
    <b:RefOrder>3</b:RefOrder>
  </b:Source>
  <b:Source>
    <b:Tag>Amy08</b:Tag>
    <b:SourceType>JournalArticle</b:SourceType>
    <b:Guid>{E81D9540-03B9-4AB2-9488-9C0EE02E27B8}</b:Guid>
    <b:Title>Carnegie's Community-Engagement Classification: Intentions and Insights</b:Title>
    <b:Year>2008</b:Year>
    <b:Author>
      <b:Author>
        <b:NameList>
          <b:Person>
            <b:Last>Driscoll</b:Last>
            <b:First>Amy</b:First>
          </b:Person>
        </b:NameList>
      </b:Author>
    </b:Author>
    <b:JournalName>Change: The Magazine of Higher Learning </b:JournalName>
    <b:Pages>38-41</b:Pages>
    <b:Volume>40</b:Volume>
    <b:Issue>1</b:Issue>
    <b:RefOrder>4</b:RefOrder>
  </b:Source>
  <b:Source>
    <b:Tag>Bet12</b:Tag>
    <b:SourceType>JournalArticle</b:SourceType>
    <b:Guid>{84415566-9AE0-483B-A6A9-E107A2FA5253}</b:Guid>
    <b:Author>
      <b:Author>
        <b:NameList>
          <b:Person>
            <b:Last>Beth Milton</b:Last>
            <b:First>Pamela</b:First>
            <b:Middle>Attree, Beverley French, Sue Povall, Margaret Whitehead, Jennie Popay</b:Middle>
          </b:Person>
        </b:NameList>
      </b:Author>
    </b:Author>
    <b:Title>The impact of community engagement on health and social outcomes: a systematic review </b:Title>
    <b:JournalName>Community Development Journal</b:JournalName>
    <b:Year>2012</b:Year>
    <b:Pages>316-333</b:Pages>
    <b:Volume>47</b:Volume>
    <b:Issue>3</b:Issue>
    <b:RefOrder>6</b:RefOrder>
  </b:Source>
  <b:Source>
    <b:Tag>Pop07</b:Tag>
    <b:SourceType>Report</b:SourceType>
    <b:Guid>{ABB27929-0A81-43B9-881E-1D41830B1595}</b:Guid>
    <b:Author>
      <b:Author>
        <b:NameList>
          <b:Person>
            <b:Last>Popay</b:Last>
            <b:First>J.,</b:First>
            <b:Middle>Attree, P., Hornby, D., Milton, B., Whitehead, M., French, B., Kowarzik, U., Simpson, N. and Povall, S.</b:Middle>
          </b:Person>
        </b:NameList>
      </b:Author>
    </b:Author>
    <b:Title>Community engagement in initiatives addressing the wider social determinants of health: a rapid review of evidence on impact, experience and process.</b:Title>
    <b:JournalName>Lancaster: University of Lancaster</b:JournalName>
    <b:Year>2007</b:Year>
    <b:Publisher>University of Landcaster</b:Publisher>
    <b:City>Lancaster</b:City>
    <b:RefOrder>5</b:RefOrder>
  </b:Source>
</b:Sources>
</file>

<file path=customXml/itemProps1.xml><?xml version="1.0" encoding="utf-8"?>
<ds:datastoreItem xmlns:ds="http://schemas.openxmlformats.org/officeDocument/2006/customXml" ds:itemID="{16284726-9E8D-46BB-B2B5-E6A6F18CC2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9</Pages>
  <Words>2506</Words>
  <Characters>14288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COMPONENT 1 – COMMUNITY ENGAGEMENT</dc:title>
  <dc:subject/>
  <dc:creator>Visan Bianca Elena Student ID:</dc:creator>
  <cp:keywords/>
  <dc:description/>
  <cp:lastModifiedBy>nikki Dinca</cp:lastModifiedBy>
  <cp:revision>2</cp:revision>
  <dcterms:created xsi:type="dcterms:W3CDTF">2023-06-30T21:49:00Z</dcterms:created>
  <dcterms:modified xsi:type="dcterms:W3CDTF">2023-07-02T14:57:00Z</dcterms:modified>
</cp:coreProperties>
</file>