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1524C" w14:textId="77777777" w:rsidR="00174C06" w:rsidRPr="00967454" w:rsidRDefault="00822331">
      <w:r w:rsidRPr="00967454">
        <w:rPr>
          <w:noProof/>
        </w:rPr>
        <w:drawing>
          <wp:anchor distT="0" distB="0" distL="114300" distR="114300" simplePos="0" relativeHeight="251658240" behindDoc="0" locked="0" layoutInCell="1" hidden="0" allowOverlap="1" wp14:anchorId="0A58720F" wp14:editId="7E1C63E4">
            <wp:simplePos x="0" y="0"/>
            <wp:positionH relativeFrom="column">
              <wp:posOffset>3</wp:posOffset>
            </wp:positionH>
            <wp:positionV relativeFrom="paragraph">
              <wp:posOffset>292100</wp:posOffset>
            </wp:positionV>
            <wp:extent cx="1809750" cy="723900"/>
            <wp:effectExtent l="0" t="0" r="0" b="0"/>
            <wp:wrapSquare wrapText="bothSides" distT="0" distB="0" distL="114300" distR="114300"/>
            <wp:docPr id="1566670334"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EEEEAE6" w14:textId="77777777" w:rsidR="00174C06" w:rsidRPr="00967454" w:rsidRDefault="00174C06"/>
    <w:p w14:paraId="2EB669BA" w14:textId="77777777" w:rsidR="00174C06" w:rsidRPr="00967454" w:rsidRDefault="00174C06"/>
    <w:p w14:paraId="2702CBD4" w14:textId="77777777" w:rsidR="00174C06" w:rsidRPr="00967454" w:rsidRDefault="00174C06"/>
    <w:p w14:paraId="315253E4" w14:textId="77777777" w:rsidR="00174C06" w:rsidRPr="00967454" w:rsidRDefault="00174C06">
      <w:pPr>
        <w:tabs>
          <w:tab w:val="left" w:pos="6540"/>
        </w:tabs>
      </w:pPr>
    </w:p>
    <w:p w14:paraId="3E691D6E" w14:textId="77777777" w:rsidR="00174C06" w:rsidRPr="00967454" w:rsidRDefault="00174C06">
      <w:pPr>
        <w:tabs>
          <w:tab w:val="left" w:pos="6540"/>
        </w:tabs>
        <w:rPr>
          <w:b/>
          <w:sz w:val="28"/>
          <w:szCs w:val="28"/>
        </w:rPr>
      </w:pPr>
      <w:bookmarkStart w:id="0" w:name="_heading=h.68dmihf9bhle" w:colFirst="0" w:colLast="0"/>
      <w:bookmarkEnd w:id="0"/>
    </w:p>
    <w:p w14:paraId="619AE95D" w14:textId="77777777" w:rsidR="00174C06" w:rsidRPr="00967454" w:rsidRDefault="00174C06" w:rsidP="003024B6">
      <w:pPr>
        <w:tabs>
          <w:tab w:val="left" w:pos="6540"/>
        </w:tabs>
        <w:jc w:val="center"/>
        <w:rPr>
          <w:b/>
          <w:sz w:val="28"/>
          <w:szCs w:val="28"/>
        </w:rPr>
      </w:pPr>
    </w:p>
    <w:p w14:paraId="0EF77DEA" w14:textId="3DD11D48" w:rsidR="00174C06" w:rsidRPr="00967454" w:rsidRDefault="00822331" w:rsidP="003024B6">
      <w:pPr>
        <w:tabs>
          <w:tab w:val="left" w:pos="6540"/>
        </w:tabs>
        <w:jc w:val="center"/>
        <w:rPr>
          <w:b/>
          <w:sz w:val="28"/>
          <w:szCs w:val="28"/>
        </w:rPr>
      </w:pPr>
      <w:r w:rsidRPr="00967454">
        <w:rPr>
          <w:b/>
          <w:sz w:val="28"/>
          <w:szCs w:val="28"/>
        </w:rPr>
        <w:t>Student name: Ionela</w:t>
      </w:r>
      <w:r w:rsidR="003053A2">
        <w:rPr>
          <w:b/>
          <w:sz w:val="28"/>
          <w:szCs w:val="28"/>
        </w:rPr>
        <w:t xml:space="preserve"> Velichi</w:t>
      </w:r>
    </w:p>
    <w:p w14:paraId="47A6276A" w14:textId="3266D8ED" w:rsidR="00174C06" w:rsidRPr="00967454" w:rsidRDefault="00822331" w:rsidP="003024B6">
      <w:pPr>
        <w:tabs>
          <w:tab w:val="left" w:pos="6540"/>
        </w:tabs>
        <w:jc w:val="center"/>
        <w:rPr>
          <w:b/>
          <w:sz w:val="28"/>
          <w:szCs w:val="28"/>
        </w:rPr>
      </w:pPr>
      <w:r w:rsidRPr="00967454">
        <w:rPr>
          <w:b/>
          <w:sz w:val="28"/>
          <w:szCs w:val="28"/>
        </w:rPr>
        <w:t>Student ID:</w:t>
      </w:r>
      <w:r w:rsidR="003053A2">
        <w:rPr>
          <w:b/>
          <w:sz w:val="28"/>
          <w:szCs w:val="28"/>
        </w:rPr>
        <w:t xml:space="preserve"> 2438802</w:t>
      </w:r>
    </w:p>
    <w:p w14:paraId="4C42EA32" w14:textId="77777777" w:rsidR="00174C06" w:rsidRPr="00967454" w:rsidRDefault="00174C06" w:rsidP="003024B6">
      <w:pPr>
        <w:tabs>
          <w:tab w:val="left" w:pos="6540"/>
        </w:tabs>
        <w:jc w:val="center"/>
        <w:rPr>
          <w:b/>
          <w:sz w:val="28"/>
          <w:szCs w:val="28"/>
        </w:rPr>
      </w:pPr>
    </w:p>
    <w:p w14:paraId="3E1F4E17" w14:textId="77777777" w:rsidR="00174C06" w:rsidRPr="00967454" w:rsidRDefault="00822331" w:rsidP="003024B6">
      <w:pPr>
        <w:tabs>
          <w:tab w:val="left" w:pos="6540"/>
        </w:tabs>
        <w:jc w:val="center"/>
        <w:rPr>
          <w:b/>
          <w:sz w:val="28"/>
          <w:szCs w:val="28"/>
        </w:rPr>
      </w:pPr>
      <w:r w:rsidRPr="00967454">
        <w:rPr>
          <w:b/>
          <w:sz w:val="28"/>
          <w:szCs w:val="28"/>
        </w:rPr>
        <w:t>Module name: Introduction to Health and Social Care</w:t>
      </w:r>
    </w:p>
    <w:p w14:paraId="52039E99" w14:textId="77777777" w:rsidR="00174C06" w:rsidRPr="00967454" w:rsidRDefault="00822331" w:rsidP="003024B6">
      <w:pPr>
        <w:tabs>
          <w:tab w:val="left" w:pos="6540"/>
        </w:tabs>
        <w:jc w:val="center"/>
        <w:rPr>
          <w:b/>
          <w:sz w:val="28"/>
          <w:szCs w:val="28"/>
        </w:rPr>
      </w:pPr>
      <w:r w:rsidRPr="00967454">
        <w:rPr>
          <w:b/>
          <w:sz w:val="28"/>
          <w:szCs w:val="28"/>
        </w:rPr>
        <w:t>Module code: LCHS4003</w:t>
      </w:r>
    </w:p>
    <w:p w14:paraId="4490EC36" w14:textId="77777777" w:rsidR="00174C06" w:rsidRDefault="00822331" w:rsidP="003024B6">
      <w:pPr>
        <w:jc w:val="center"/>
        <w:rPr>
          <w:b/>
          <w:sz w:val="28"/>
          <w:szCs w:val="28"/>
        </w:rPr>
      </w:pPr>
      <w:r w:rsidRPr="00967454">
        <w:rPr>
          <w:b/>
          <w:sz w:val="28"/>
          <w:szCs w:val="28"/>
        </w:rPr>
        <w:t>Lecturer name</w:t>
      </w:r>
      <w:r w:rsidR="003053A2">
        <w:rPr>
          <w:b/>
          <w:sz w:val="28"/>
          <w:szCs w:val="28"/>
        </w:rPr>
        <w:t>: Mark Kane</w:t>
      </w:r>
      <w:r w:rsidRPr="00967454">
        <w:rPr>
          <w:b/>
          <w:sz w:val="28"/>
          <w:szCs w:val="28"/>
        </w:rPr>
        <w:t xml:space="preserve"> </w:t>
      </w:r>
    </w:p>
    <w:p w14:paraId="02DF246E" w14:textId="77777777" w:rsidR="00586911" w:rsidRDefault="00586911" w:rsidP="003024B6">
      <w:pPr>
        <w:jc w:val="center"/>
        <w:rPr>
          <w:b/>
          <w:sz w:val="28"/>
          <w:szCs w:val="28"/>
        </w:rPr>
      </w:pPr>
    </w:p>
    <w:p w14:paraId="667CC354" w14:textId="77777777" w:rsidR="00586911" w:rsidRDefault="00586911" w:rsidP="003024B6">
      <w:pPr>
        <w:jc w:val="center"/>
        <w:rPr>
          <w:b/>
          <w:sz w:val="28"/>
          <w:szCs w:val="28"/>
        </w:rPr>
      </w:pPr>
      <w:r>
        <w:rPr>
          <w:b/>
          <w:sz w:val="28"/>
          <w:szCs w:val="28"/>
        </w:rPr>
        <w:br/>
      </w:r>
    </w:p>
    <w:p w14:paraId="4C401015" w14:textId="77777777" w:rsidR="00586911" w:rsidRDefault="00586911" w:rsidP="003024B6">
      <w:pPr>
        <w:jc w:val="center"/>
        <w:rPr>
          <w:b/>
          <w:sz w:val="28"/>
          <w:szCs w:val="28"/>
        </w:rPr>
      </w:pPr>
    </w:p>
    <w:p w14:paraId="69D6A0E9" w14:textId="77777777" w:rsidR="00586911" w:rsidRDefault="00586911" w:rsidP="00586911">
      <w:pPr>
        <w:jc w:val="left"/>
        <w:rPr>
          <w:b/>
          <w:sz w:val="28"/>
          <w:szCs w:val="28"/>
        </w:rPr>
      </w:pPr>
    </w:p>
    <w:p w14:paraId="033A77EF" w14:textId="77777777" w:rsidR="00586911" w:rsidRDefault="00586911" w:rsidP="00586911">
      <w:pPr>
        <w:jc w:val="left"/>
        <w:rPr>
          <w:b/>
          <w:sz w:val="28"/>
          <w:szCs w:val="28"/>
        </w:rPr>
      </w:pPr>
    </w:p>
    <w:p w14:paraId="2B99D892" w14:textId="77777777" w:rsidR="00586911" w:rsidRDefault="00586911" w:rsidP="00586911">
      <w:pPr>
        <w:jc w:val="left"/>
        <w:rPr>
          <w:b/>
          <w:sz w:val="28"/>
          <w:szCs w:val="28"/>
        </w:rPr>
      </w:pPr>
    </w:p>
    <w:p w14:paraId="140451EF" w14:textId="77777777" w:rsidR="00586911" w:rsidRDefault="00586911" w:rsidP="00586911">
      <w:pPr>
        <w:jc w:val="left"/>
        <w:rPr>
          <w:b/>
          <w:sz w:val="28"/>
          <w:szCs w:val="28"/>
        </w:rPr>
      </w:pPr>
    </w:p>
    <w:p w14:paraId="07751225" w14:textId="77777777" w:rsidR="00586911" w:rsidRDefault="00586911" w:rsidP="00586911">
      <w:pPr>
        <w:jc w:val="left"/>
        <w:rPr>
          <w:b/>
          <w:sz w:val="28"/>
          <w:szCs w:val="28"/>
        </w:rPr>
      </w:pPr>
    </w:p>
    <w:p w14:paraId="5EEE9D62" w14:textId="77777777" w:rsidR="00586911" w:rsidRDefault="00586911" w:rsidP="00586911">
      <w:pPr>
        <w:jc w:val="left"/>
        <w:rPr>
          <w:b/>
          <w:sz w:val="28"/>
          <w:szCs w:val="28"/>
        </w:rPr>
      </w:pPr>
    </w:p>
    <w:p w14:paraId="64825F02" w14:textId="77777777" w:rsidR="00586911" w:rsidRDefault="00586911" w:rsidP="00586911">
      <w:pPr>
        <w:jc w:val="left"/>
        <w:rPr>
          <w:b/>
          <w:sz w:val="28"/>
          <w:szCs w:val="28"/>
        </w:rPr>
      </w:pPr>
    </w:p>
    <w:p w14:paraId="71F55B58" w14:textId="77777777" w:rsidR="00586911" w:rsidRDefault="00586911" w:rsidP="00586911">
      <w:pPr>
        <w:jc w:val="left"/>
        <w:rPr>
          <w:b/>
          <w:sz w:val="28"/>
          <w:szCs w:val="28"/>
        </w:rPr>
      </w:pPr>
    </w:p>
    <w:p w14:paraId="6FE8300A" w14:textId="458541B7" w:rsidR="00586911" w:rsidRPr="00967454" w:rsidRDefault="00586911" w:rsidP="00586911">
      <w:pPr>
        <w:jc w:val="left"/>
        <w:rPr>
          <w:b/>
          <w:sz w:val="28"/>
          <w:szCs w:val="28"/>
        </w:rPr>
        <w:sectPr w:rsidR="00586911" w:rsidRPr="00967454" w:rsidSect="00586911">
          <w:headerReference w:type="default" r:id="rId9"/>
          <w:footerReference w:type="default" r:id="rId10"/>
          <w:pgSz w:w="11906" w:h="16838"/>
          <w:pgMar w:top="1440" w:right="1440" w:bottom="1440" w:left="1440" w:header="709" w:footer="709" w:gutter="0"/>
          <w:pgNumType w:start="1"/>
          <w:cols w:space="720"/>
        </w:sectPr>
      </w:pPr>
    </w:p>
    <w:p w14:paraId="7E9DA785" w14:textId="2C614CF8" w:rsidR="00174C06" w:rsidRPr="00967454" w:rsidRDefault="002C3452">
      <w:pPr>
        <w:sectPr w:rsidR="00174C06" w:rsidRPr="00967454" w:rsidSect="00586911">
          <w:pgSz w:w="16838" w:h="11906" w:orient="landscape"/>
          <w:pgMar w:top="1440" w:right="1440" w:bottom="1440" w:left="1440" w:header="708" w:footer="708" w:gutter="0"/>
          <w:cols w:space="720"/>
          <w:docGrid w:linePitch="299"/>
        </w:sectPr>
      </w:pPr>
      <w:r>
        <w:rPr>
          <w:noProof/>
        </w:rPr>
        <w:lastRenderedPageBreak/>
        <mc:AlternateContent>
          <mc:Choice Requires="wps">
            <w:drawing>
              <wp:anchor distT="0" distB="0" distL="114300" distR="114300" simplePos="0" relativeHeight="251668480" behindDoc="0" locked="0" layoutInCell="1" allowOverlap="1" wp14:anchorId="2BD28A81" wp14:editId="25A66DDA">
                <wp:simplePos x="0" y="0"/>
                <wp:positionH relativeFrom="column">
                  <wp:posOffset>6629400</wp:posOffset>
                </wp:positionH>
                <wp:positionV relativeFrom="paragraph">
                  <wp:posOffset>3829049</wp:posOffset>
                </wp:positionV>
                <wp:extent cx="3038475" cy="2105025"/>
                <wp:effectExtent l="57150" t="38100" r="85725" b="104775"/>
                <wp:wrapNone/>
                <wp:docPr id="1150421459" name="Rectangle 10"/>
                <wp:cNvGraphicFramePr/>
                <a:graphic xmlns:a="http://schemas.openxmlformats.org/drawingml/2006/main">
                  <a:graphicData uri="http://schemas.microsoft.com/office/word/2010/wordprocessingShape">
                    <wps:wsp>
                      <wps:cNvSpPr/>
                      <wps:spPr>
                        <a:xfrm>
                          <a:off x="0" y="0"/>
                          <a:ext cx="3038475" cy="210502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21BD2DB5" w14:textId="77777777" w:rsidR="002C3452" w:rsidRPr="00630DB8" w:rsidRDefault="002C3452" w:rsidP="00EF0103">
                            <w:pPr>
                              <w:spacing w:after="0" w:line="240" w:lineRule="auto"/>
                              <w:textDirection w:val="btLr"/>
                              <w:rPr>
                                <w:b/>
                                <w:bCs/>
                              </w:rPr>
                            </w:pPr>
                            <w:r w:rsidRPr="00630DB8">
                              <w:rPr>
                                <w:b/>
                                <w:bCs/>
                              </w:rPr>
                              <w:t>References</w:t>
                            </w:r>
                          </w:p>
                          <w:p w14:paraId="718F38E4" w14:textId="77777777" w:rsidR="002C3452" w:rsidRPr="00630DB8" w:rsidRDefault="002C3452" w:rsidP="00EF0103">
                            <w:pPr>
                              <w:spacing w:before="200" w:after="0" w:line="240" w:lineRule="auto"/>
                            </w:pPr>
                            <w:r w:rsidRPr="00630DB8">
                              <w:t xml:space="preserve">Anderson, C., and Sharma, R. (2020) ‘Primary health care policy and vision for community pharmacy and pharmacists in England’. </w:t>
                            </w:r>
                            <w:r w:rsidRPr="00630DB8">
                              <w:rPr>
                                <w:i/>
                              </w:rPr>
                              <w:t>Pharmacy Practice (Internet)</w:t>
                            </w:r>
                            <w:r w:rsidRPr="00630DB8">
                              <w:t xml:space="preserve">, </w:t>
                            </w:r>
                            <w:r w:rsidRPr="00630DB8">
                              <w:rPr>
                                <w:i/>
                              </w:rPr>
                              <w:t>18</w:t>
                            </w:r>
                            <w:r w:rsidRPr="00630DB8">
                              <w:t>(1), 1870.</w:t>
                            </w:r>
                          </w:p>
                          <w:p w14:paraId="1E866F40" w14:textId="77777777" w:rsidR="002C3452" w:rsidRPr="00630DB8" w:rsidRDefault="002C3452" w:rsidP="00EF0103">
                            <w:pPr>
                              <w:spacing w:before="200" w:after="0" w:line="240" w:lineRule="auto"/>
                            </w:pPr>
                            <w:r w:rsidRPr="00630DB8">
                              <w:t>Aronson, J.K. and Ferner, R.E., (2017) ‘Unlicensed and off</w:t>
                            </w:r>
                            <w:r w:rsidRPr="00630DB8">
                              <w:rPr>
                                <w:rFonts w:ascii="Cambria Math" w:eastAsia="Times New Roman" w:hAnsi="Cambria Math" w:cs="Cambria Math"/>
                              </w:rPr>
                              <w:t>‐</w:t>
                            </w:r>
                            <w:r w:rsidRPr="00630DB8">
                              <w:t xml:space="preserve">label uses of medicines: definitions and clarification of terminology’. </w:t>
                            </w:r>
                            <w:r w:rsidRPr="00630DB8">
                              <w:rPr>
                                <w:i/>
                              </w:rPr>
                              <w:t>British Journal of Clinical Pharmacology</w:t>
                            </w:r>
                            <w:r w:rsidRPr="00630DB8">
                              <w:t xml:space="preserve">, </w:t>
                            </w:r>
                            <w:r w:rsidRPr="00630DB8">
                              <w:rPr>
                                <w:i/>
                              </w:rPr>
                              <w:t>83</w:t>
                            </w:r>
                            <w:r w:rsidRPr="00630DB8">
                              <w:t>(12), pp.2615-2625.</w:t>
                            </w:r>
                          </w:p>
                          <w:p w14:paraId="2666BDCC" w14:textId="77777777" w:rsidR="002C3452" w:rsidRPr="00630DB8" w:rsidRDefault="002C3452" w:rsidP="00EF0103">
                            <w:pPr>
                              <w:spacing w:before="200" w:after="0" w:line="240" w:lineRule="auto"/>
                            </w:pPr>
                            <w:r w:rsidRPr="00630DB8">
                              <w:t xml:space="preserve">Aziza, F.N., (2022) ‘Review and Comparison of Food Drug Administration (FDA) and Medicines and Healthcare products Regulatory Agency (MHRA) on Good Manufacturing Practice (GMP) Implementation’. </w:t>
                            </w:r>
                            <w:r w:rsidRPr="00630DB8">
                              <w:rPr>
                                <w:i/>
                              </w:rPr>
                              <w:t>Majalah Farmaseutik</w:t>
                            </w:r>
                            <w:r w:rsidRPr="00630DB8">
                              <w:t xml:space="preserve">, </w:t>
                            </w:r>
                            <w:r w:rsidRPr="00630DB8">
                              <w:rPr>
                                <w:i/>
                              </w:rPr>
                              <w:t>18</w:t>
                            </w:r>
                            <w:r w:rsidRPr="00630DB8">
                              <w:t>(2), pp.236-240.</w:t>
                            </w:r>
                          </w:p>
                          <w:p w14:paraId="4E8C02E4" w14:textId="77777777" w:rsidR="002C3452" w:rsidRPr="00630DB8" w:rsidRDefault="002C3452" w:rsidP="00EF0103">
                            <w:pPr>
                              <w:spacing w:before="200" w:after="0" w:line="240" w:lineRule="auto"/>
                            </w:pPr>
                            <w:r w:rsidRPr="00630DB8">
                              <w:t>Fovargue, S. and Neal, M., (2021) ‘Pharmacists' perception of ethical conflict and professional guidance in light of the revised General Pharmaceutical Council Standards of Conduct, Ethics and Performance’.</w:t>
                            </w:r>
                          </w:p>
                          <w:p w14:paraId="6C57BF1D" w14:textId="77777777" w:rsidR="002C3452" w:rsidRPr="00630DB8" w:rsidRDefault="002C3452" w:rsidP="00EF0103">
                            <w:pPr>
                              <w:spacing w:before="200" w:after="0" w:line="240" w:lineRule="auto"/>
                            </w:pPr>
                            <w:r w:rsidRPr="00630DB8">
                              <w:t xml:space="preserve">Linkedin. (2025) </w:t>
                            </w:r>
                            <w:r w:rsidRPr="00630DB8">
                              <w:rPr>
                                <w:i/>
                              </w:rPr>
                              <w:t>From dispensaries to indispensable: community pharmacy as the true front door to the NHS</w:t>
                            </w:r>
                            <w:r w:rsidRPr="00630DB8">
                              <w:t xml:space="preserve"> (Online) Available at:</w:t>
                            </w:r>
                            <w:hyperlink r:id="rId11" w:anchor=":~:text=Introduction,digital%20isolation%20and%20structural%20fragmentation">
                              <w:r w:rsidRPr="00630DB8">
                                <w:t xml:space="preserve"> </w:t>
                              </w:r>
                            </w:hyperlink>
                            <w:hyperlink r:id="rId12" w:anchor=":~:text=Introduction,digital%20isolation%20and%20structural%20fragmentation">
                              <w:r w:rsidRPr="00630DB8">
                                <w:rPr>
                                  <w:u w:val="single"/>
                                </w:rPr>
                                <w:t>https://www.linkedin.com/pulse/from-dispensaries-indispensable-community-pharmacy-true-xg9se#:~:text=Introduction,digital%20isolation%20and%20structural%20fragmentation</w:t>
                              </w:r>
                            </w:hyperlink>
                            <w:r w:rsidRPr="00630DB8">
                              <w:t>. (Accessed: October 30, 2025)</w:t>
                            </w:r>
                          </w:p>
                          <w:p w14:paraId="7D4BB703" w14:textId="77777777" w:rsidR="002C3452" w:rsidRPr="00630DB8" w:rsidRDefault="002C3452" w:rsidP="00EF0103">
                            <w:pPr>
                              <w:spacing w:before="200" w:after="0" w:line="240" w:lineRule="auto"/>
                            </w:pPr>
                            <w:r w:rsidRPr="00630DB8">
                              <w:t xml:space="preserve">Rpharms. (2024) </w:t>
                            </w:r>
                            <w:r w:rsidRPr="00630DB8">
                              <w:rPr>
                                <w:i/>
                              </w:rPr>
                              <w:t>Workforce and Wellbeing Survey 2024</w:t>
                            </w:r>
                            <w:r w:rsidRPr="00630DB8">
                              <w:t xml:space="preserve">. Available at: </w:t>
                            </w:r>
                            <w:hyperlink r:id="rId13">
                              <w:r w:rsidRPr="00630DB8">
                                <w:rPr>
                                  <w:u w:val="single"/>
                                </w:rPr>
                                <w:t>https://www.rpharms.com/Portals/0/RPS%20document%20library/Open%20access/Workforce%20Wellbeing/RPS%202024%20Workforce%20Wellbeing%20Survey.pdf</w:t>
                              </w:r>
                            </w:hyperlink>
                            <w:r w:rsidRPr="00630DB8">
                              <w:t xml:space="preserve"> (Accessed 15 Oct 2025)</w:t>
                            </w:r>
                          </w:p>
                          <w:p w14:paraId="5CB8FB7A" w14:textId="77777777" w:rsidR="002C3452" w:rsidRPr="00630DB8" w:rsidRDefault="002C3452" w:rsidP="00EF0103">
                            <w:pPr>
                              <w:spacing w:before="200" w:after="0" w:line="240" w:lineRule="auto"/>
                            </w:pPr>
                            <w:r w:rsidRPr="00630DB8">
                              <w:t xml:space="preserve">Sudarsono, J., Satibi, S., Lazuardi, L. and Widayanti, A.W., (2025) ‘Healthcare professionals’ perceptions of electronic prescription systems in outpatient services: a qualitative study at UNS hospital’. </w:t>
                            </w:r>
                            <w:r w:rsidRPr="00630DB8">
                              <w:rPr>
                                <w:i/>
                              </w:rPr>
                              <w:t>Cost Effectiveness and Resource Allocation</w:t>
                            </w:r>
                            <w:r w:rsidRPr="00630DB8">
                              <w:t xml:space="preserve">, </w:t>
                            </w:r>
                            <w:r w:rsidRPr="00630DB8">
                              <w:rPr>
                                <w:i/>
                              </w:rPr>
                              <w:t>23</w:t>
                            </w:r>
                            <w:r w:rsidRPr="00630DB8">
                              <w:t>(1), p.31.</w:t>
                            </w:r>
                          </w:p>
                          <w:p w14:paraId="54BE7DD8" w14:textId="3F946E3B" w:rsidR="002C3452" w:rsidRPr="002C3452" w:rsidRDefault="002C3452" w:rsidP="00EF0103">
                            <w:pPr>
                              <w:spacing w:line="240" w:lineRule="auto"/>
                              <w:jc w:val="center"/>
                            </w:pPr>
                            <w:r w:rsidRPr="00630DB8">
                              <w:t>Tolley, C., Seymour, H., Watson, N., Nazar, H., Heed, J. and Belshaw, D., (2023) ‘Barriers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28A81" id="Rectangle 10" o:spid="_x0000_s1026" style="position:absolute;left:0;text-align:left;margin-left:522pt;margin-top:301.5pt;width:239.25pt;height:165.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" fillcolor="#cdddac [1622]" strokecolor="#94b64e [3046]">
                <v:fill color2="#f0f4e6 [502]" rotate="t" angle="180" colors="0 #dafda7;22938f #e4fdc2;1 #f5ffe6" focus="100%" type="gradient"/>
                <v:shadow on="t" color="black" opacity="24903f" origin=",.5" offset="0,.55556mm"/>
                <v:textbox>
                  <w:txbxContent>
                    <w:p w14:paraId="21BD2DB5" w14:textId="77777777" w:rsidR="002C3452" w:rsidRPr="00630DB8" w:rsidRDefault="002C3452" w:rsidP="00EF0103">
                      <w:pPr>
                        <w:spacing w:after="0" w:line="240" w:lineRule="auto"/>
                        <w:textDirection w:val="btLr"/>
                        <w:rPr>
                          <w:b/>
                          <w:bCs/>
                        </w:rPr>
                      </w:pPr>
                      <w:r w:rsidRPr="00630DB8">
                        <w:rPr>
                          <w:b/>
                          <w:bCs/>
                        </w:rPr>
                        <w:t>References</w:t>
                      </w:r>
                    </w:p>
                    <w:p w14:paraId="718F38E4" w14:textId="77777777" w:rsidR="002C3452" w:rsidRPr="00630DB8" w:rsidRDefault="002C3452" w:rsidP="00EF0103">
                      <w:pPr>
                        <w:spacing w:before="200" w:after="0" w:line="240" w:lineRule="auto"/>
                      </w:pPr>
                      <w:r w:rsidRPr="00630DB8">
                        <w:t xml:space="preserve">Anderson, C., and Sharma, R. (2020) ‘Primary health care policy and vision for community pharmacy and pharmacists in England’. </w:t>
                      </w:r>
                      <w:r w:rsidRPr="00630DB8">
                        <w:rPr>
                          <w:i/>
                        </w:rPr>
                        <w:t>Pharmacy Practice (Internet)</w:t>
                      </w:r>
                      <w:r w:rsidRPr="00630DB8">
                        <w:t xml:space="preserve">, </w:t>
                      </w:r>
                      <w:r w:rsidRPr="00630DB8">
                        <w:rPr>
                          <w:i/>
                        </w:rPr>
                        <w:t>18</w:t>
                      </w:r>
                      <w:r w:rsidRPr="00630DB8">
                        <w:t>(1), 1870.</w:t>
                      </w:r>
                    </w:p>
                    <w:p w14:paraId="1E866F40" w14:textId="77777777" w:rsidR="002C3452" w:rsidRPr="00630DB8" w:rsidRDefault="002C3452" w:rsidP="00EF0103">
                      <w:pPr>
                        <w:spacing w:before="200" w:after="0" w:line="240" w:lineRule="auto"/>
                      </w:pPr>
                      <w:r w:rsidRPr="00630DB8">
                        <w:t>Aronson, J.K. and Ferner, R.E., (2017) ‘Unlicensed and off</w:t>
                      </w:r>
                      <w:r w:rsidRPr="00630DB8">
                        <w:rPr>
                          <w:rFonts w:ascii="Cambria Math" w:eastAsia="Times New Roman" w:hAnsi="Cambria Math" w:cs="Cambria Math"/>
                        </w:rPr>
                        <w:t>‐</w:t>
                      </w:r>
                      <w:r w:rsidRPr="00630DB8">
                        <w:t xml:space="preserve">label uses of medicines: definitions and clarification of terminology’. </w:t>
                      </w:r>
                      <w:r w:rsidRPr="00630DB8">
                        <w:rPr>
                          <w:i/>
                        </w:rPr>
                        <w:t>British Journal of Clinical Pharmacology</w:t>
                      </w:r>
                      <w:r w:rsidRPr="00630DB8">
                        <w:t xml:space="preserve">, </w:t>
                      </w:r>
                      <w:r w:rsidRPr="00630DB8">
                        <w:rPr>
                          <w:i/>
                        </w:rPr>
                        <w:t>83</w:t>
                      </w:r>
                      <w:r w:rsidRPr="00630DB8">
                        <w:t>(12), pp.2615-2625.</w:t>
                      </w:r>
                    </w:p>
                    <w:p w14:paraId="2666BDCC" w14:textId="77777777" w:rsidR="002C3452" w:rsidRPr="00630DB8" w:rsidRDefault="002C3452" w:rsidP="00EF0103">
                      <w:pPr>
                        <w:spacing w:before="200" w:after="0" w:line="240" w:lineRule="auto"/>
                      </w:pPr>
                      <w:r w:rsidRPr="00630DB8">
                        <w:t xml:space="preserve">Aziza, F.N., (2022) ‘Review and Comparison of Food Drug Administration (FDA) and Medicines and Healthcare products Regulatory Agency (MHRA) on Good Manufacturing Practice (GMP) Implementation’. </w:t>
                      </w:r>
                      <w:r w:rsidRPr="00630DB8">
                        <w:rPr>
                          <w:i/>
                        </w:rPr>
                        <w:t>Majalah Farmaseutik</w:t>
                      </w:r>
                      <w:r w:rsidRPr="00630DB8">
                        <w:t xml:space="preserve">, </w:t>
                      </w:r>
                      <w:r w:rsidRPr="00630DB8">
                        <w:rPr>
                          <w:i/>
                        </w:rPr>
                        <w:t>18</w:t>
                      </w:r>
                      <w:r w:rsidRPr="00630DB8">
                        <w:t>(2), pp.236-240.</w:t>
                      </w:r>
                    </w:p>
                    <w:p w14:paraId="4E8C02E4" w14:textId="77777777" w:rsidR="002C3452" w:rsidRPr="00630DB8" w:rsidRDefault="002C3452" w:rsidP="00EF0103">
                      <w:pPr>
                        <w:spacing w:before="200" w:after="0" w:line="240" w:lineRule="auto"/>
                      </w:pPr>
                      <w:r w:rsidRPr="00630DB8">
                        <w:t>Fovargue, S. and Neal, M., (2021) ‘Pharmacists' perception of ethical conflict and professional guidance in light of the revised General Pharmaceutical Council Standards of Conduct, Ethics and Performance’.</w:t>
                      </w:r>
                    </w:p>
                    <w:p w14:paraId="6C57BF1D" w14:textId="77777777" w:rsidR="002C3452" w:rsidRPr="00630DB8" w:rsidRDefault="002C3452" w:rsidP="00EF0103">
                      <w:pPr>
                        <w:spacing w:before="200" w:after="0" w:line="240" w:lineRule="auto"/>
                      </w:pPr>
                      <w:r w:rsidRPr="00630DB8">
                        <w:t xml:space="preserve">Linkedin. (2025) </w:t>
                      </w:r>
                      <w:r w:rsidRPr="00630DB8">
                        <w:rPr>
                          <w:i/>
                        </w:rPr>
                        <w:t>From dispensaries to indispensable: community pharmacy as the true front door to the NHS</w:t>
                      </w:r>
                      <w:r w:rsidRPr="00630DB8">
                        <w:t xml:space="preserve"> (Online) Available at:</w:t>
                      </w:r>
                      <w:hyperlink r:id="rId14" w:anchor=":~:text=Introduction,digital%20isolation%20and%20structural%20fragmentation">
                        <w:r w:rsidRPr="00630DB8">
                          <w:t xml:space="preserve"> </w:t>
                        </w:r>
                      </w:hyperlink>
                      <w:hyperlink r:id="rId15" w:anchor=":~:text=Introduction,digital%20isolation%20and%20structural%20fragmentation">
                        <w:r w:rsidRPr="00630DB8">
                          <w:rPr>
                            <w:u w:val="single"/>
                          </w:rPr>
                          <w:t>https://www.linkedin.com/pulse/from-dispensaries-indispensable-community-pharmacy-true-xg9se#:~:text=Introduction,digital%20isolation%20and%20structural%20fragmentation</w:t>
                        </w:r>
                      </w:hyperlink>
                      <w:r w:rsidRPr="00630DB8">
                        <w:t>. (Accessed: October 30, 2025)</w:t>
                      </w:r>
                    </w:p>
                    <w:p w14:paraId="7D4BB703" w14:textId="77777777" w:rsidR="002C3452" w:rsidRPr="00630DB8" w:rsidRDefault="002C3452" w:rsidP="00EF0103">
                      <w:pPr>
                        <w:spacing w:before="200" w:after="0" w:line="240" w:lineRule="auto"/>
                      </w:pPr>
                      <w:r w:rsidRPr="00630DB8">
                        <w:t xml:space="preserve">Rpharms. (2024) </w:t>
                      </w:r>
                      <w:r w:rsidRPr="00630DB8">
                        <w:rPr>
                          <w:i/>
                        </w:rPr>
                        <w:t>Workforce and Wellbeing Survey 2024</w:t>
                      </w:r>
                      <w:r w:rsidRPr="00630DB8">
                        <w:t xml:space="preserve">. Available at: </w:t>
                      </w:r>
                      <w:hyperlink r:id="rId16">
                        <w:r w:rsidRPr="00630DB8">
                          <w:rPr>
                            <w:u w:val="single"/>
                          </w:rPr>
                          <w:t>https://www.rpharms.com/Portals/0/RPS%20document%20library/Open%20access/Workforce%20Wellbeing/RPS%202024%20Workforce%20Wellbeing%20Survey.pdf</w:t>
                        </w:r>
                      </w:hyperlink>
                      <w:r w:rsidRPr="00630DB8">
                        <w:t xml:space="preserve"> (Accessed 15 Oct 2025)</w:t>
                      </w:r>
                    </w:p>
                    <w:p w14:paraId="5CB8FB7A" w14:textId="77777777" w:rsidR="002C3452" w:rsidRPr="00630DB8" w:rsidRDefault="002C3452" w:rsidP="00EF0103">
                      <w:pPr>
                        <w:spacing w:before="200" w:after="0" w:line="240" w:lineRule="auto"/>
                      </w:pPr>
                      <w:r w:rsidRPr="00630DB8">
                        <w:t xml:space="preserve">Sudarsono, J., Satibi, S., Lazuardi, L. and Widayanti, A.W., (2025) ‘Healthcare professionals’ perceptions of electronic prescription systems in outpatient services: a qualitative study at UNS hospital’. </w:t>
                      </w:r>
                      <w:r w:rsidRPr="00630DB8">
                        <w:rPr>
                          <w:i/>
                        </w:rPr>
                        <w:t>Cost Effectiveness and Resource Allocation</w:t>
                      </w:r>
                      <w:r w:rsidRPr="00630DB8">
                        <w:t xml:space="preserve">, </w:t>
                      </w:r>
                      <w:r w:rsidRPr="00630DB8">
                        <w:rPr>
                          <w:i/>
                        </w:rPr>
                        <w:t>23</w:t>
                      </w:r>
                      <w:r w:rsidRPr="00630DB8">
                        <w:t>(1), p.31.</w:t>
                      </w:r>
                    </w:p>
                    <w:p w14:paraId="54BE7DD8" w14:textId="3F946E3B" w:rsidR="002C3452" w:rsidRPr="002C3452" w:rsidRDefault="002C3452" w:rsidP="00EF0103">
                      <w:pPr>
                        <w:spacing w:line="240" w:lineRule="auto"/>
                        <w:jc w:val="center"/>
                      </w:pPr>
                      <w:r w:rsidRPr="00630DB8">
                        <w:t>Tolley, C., Seymour, H., Watson, N., Nazar, H., Heed, J. and Belshaw, D., (2023) ‘Barriers</w:t>
                      </w:r>
                    </w:p>
                  </w:txbxContent>
                </v:textbox>
              </v:rect>
            </w:pict>
          </mc:Fallback>
        </mc:AlternateContent>
      </w:r>
      <w:r w:rsidR="00967454" w:rsidRPr="00967454">
        <w:rPr>
          <w:noProof/>
        </w:rPr>
        <mc:AlternateContent>
          <mc:Choice Requires="wps">
            <w:drawing>
              <wp:anchor distT="45720" distB="45720" distL="114300" distR="114300" simplePos="0" relativeHeight="251663360" behindDoc="0" locked="0" layoutInCell="1" hidden="0" allowOverlap="1" wp14:anchorId="5FFC619C" wp14:editId="591B87D7">
                <wp:simplePos x="0" y="0"/>
                <wp:positionH relativeFrom="column">
                  <wp:posOffset>6591300</wp:posOffset>
                </wp:positionH>
                <wp:positionV relativeFrom="paragraph">
                  <wp:posOffset>1076325</wp:posOffset>
                </wp:positionV>
                <wp:extent cx="3037205" cy="2714625"/>
                <wp:effectExtent l="19050" t="19050" r="10795" b="28575"/>
                <wp:wrapSquare wrapText="bothSides" distT="45720" distB="45720" distL="114300" distR="114300"/>
                <wp:docPr id="1566670328" name="Rectangle 1566670328"/>
                <wp:cNvGraphicFramePr/>
                <a:graphic xmlns:a="http://schemas.openxmlformats.org/drawingml/2006/main">
                  <a:graphicData uri="http://schemas.microsoft.com/office/word/2010/wordprocessingShape">
                    <wps:wsp>
                      <wps:cNvSpPr/>
                      <wps:spPr>
                        <a:xfrm>
                          <a:off x="0" y="0"/>
                          <a:ext cx="3037205" cy="2714625"/>
                        </a:xfrm>
                        <a:prstGeom prst="rect">
                          <a:avLst/>
                        </a:prstGeom>
                        <a:solidFill>
                          <a:srgbClr val="FFFFFF"/>
                        </a:solidFill>
                        <a:ln w="44450" cap="flat" cmpd="sng">
                          <a:solidFill>
                            <a:schemeClr val="accent1"/>
                          </a:solidFill>
                          <a:prstDash val="solid"/>
                          <a:miter lim="800000"/>
                          <a:headEnd type="none" w="sm" len="sm"/>
                          <a:tailEnd type="none" w="sm" len="sm"/>
                        </a:ln>
                      </wps:spPr>
                      <wps:txbx>
                        <w:txbxContent>
                          <w:p w14:paraId="0F89D25D" w14:textId="77777777" w:rsidR="00174C06" w:rsidRPr="002C3452" w:rsidRDefault="00822331">
                            <w:pPr>
                              <w:spacing w:line="258" w:lineRule="auto"/>
                              <w:jc w:val="center"/>
                              <w:textDirection w:val="btLr"/>
                            </w:pPr>
                            <w:r w:rsidRPr="002C3452">
                              <w:rPr>
                                <w:rFonts w:eastAsia="Calibri"/>
                                <w:b/>
                                <w:color w:val="385623"/>
                              </w:rPr>
                              <w:t>Current functioning</w:t>
                            </w:r>
                          </w:p>
                          <w:p w14:paraId="3557E818" w14:textId="77777777" w:rsidR="00174C06" w:rsidRPr="002C3452" w:rsidRDefault="00174C06">
                            <w:pPr>
                              <w:spacing w:after="0" w:line="258" w:lineRule="auto"/>
                              <w:jc w:val="left"/>
                              <w:textDirection w:val="btLr"/>
                            </w:pPr>
                          </w:p>
                          <w:p w14:paraId="3475B3B5"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In recent days, Pharmacy Services operates in the UK within a structured framework under the NHS, which is regulated and commissioned through several key organisations. </w:t>
                            </w:r>
                          </w:p>
                          <w:p w14:paraId="0B466C59"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The General Pharmaceutical Council (GPhC) focuses on professional registration, which helps to ensure that pharmacy technicians and pharmacies are able to meet required standards of practice (Fovargue and Neal, 2021). On the other hand, the Medicines and Healthcare Products Regulatory Agency (MHRA) is highly responsible for maintaining the safety, quality and efficiency of each medicine used in the UK (Aziza, 2022). </w:t>
                            </w:r>
                          </w:p>
                          <w:p w14:paraId="086F9DF0" w14:textId="227C07DD"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In this aspect, England Commissioned Community Pharmacy provides services with the help of the Community Pharmacy Contractual Framework (CPCF). Pharmacies in the UK currently provide three main tiers of services, which have been listed in the section below,</w:t>
                            </w:r>
                          </w:p>
                          <w:p w14:paraId="3D0AC306"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 services, which are vital, are the dispensing of prescriptions, the disposal of the unwanted medicines, and the promotion of healthy living.</w:t>
                            </w:r>
                          </w:p>
                          <w:p w14:paraId="60E897EB"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 clinical services offered under the advanced services include the New Medicine Service (NMS), flu vaccination, and appliance use review.</w:t>
                            </w:r>
                          </w:p>
                          <w:p w14:paraId="5618EAEF"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There are also improved services like stop-smoking programmes, sexual health services and blood pressure services based on the local requirements.</w:t>
                            </w:r>
                          </w:p>
                          <w:p w14:paraId="4042623D"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In addition, the implementation of the Electronic Prescription Service (EPS) has changed how prescription is handled (Sudarsono et al. 2025). </w:t>
                            </w:r>
                          </w:p>
                          <w:p w14:paraId="14F9C77E" w14:textId="27B75B9D" w:rsidR="00174C06" w:rsidRPr="002C3452" w:rsidRDefault="00822331" w:rsidP="00967454">
                            <w:pPr>
                              <w:pStyle w:val="ListParagraph"/>
                              <w:numPr>
                                <w:ilvl w:val="0"/>
                                <w:numId w:val="5"/>
                              </w:numPr>
                              <w:spacing w:after="0" w:line="258" w:lineRule="auto"/>
                              <w:textDirection w:val="btLr"/>
                              <w:rPr>
                                <w:b/>
                                <w:bCs/>
                              </w:rPr>
                            </w:pPr>
                            <w:r w:rsidRPr="002C3452">
                              <w:rPr>
                                <w:rFonts w:eastAsia="Calibri"/>
                                <w:color w:val="000000"/>
                              </w:rPr>
                              <w:t xml:space="preserve">This will enable general physicians to electronically order the prescription drug to the pharmacy of the choice of the patient. This has enhanced efficiency and minimized administrative burden to both the patients and the </w:t>
                            </w:r>
                            <w:r w:rsidRPr="002C3452">
                              <w:rPr>
                                <w:rFonts w:eastAsia="Calibri"/>
                                <w:b/>
                                <w:bCs/>
                                <w:color w:val="000000"/>
                              </w:rPr>
                              <w:t>practitioners.</w:t>
                            </w:r>
                          </w:p>
                          <w:p w14:paraId="32AD44CF" w14:textId="77777777" w:rsidR="00967454" w:rsidRPr="002C3452" w:rsidRDefault="00967454" w:rsidP="00967454">
                            <w:pPr>
                              <w:spacing w:after="0" w:line="258" w:lineRule="auto"/>
                              <w:ind w:left="360"/>
                              <w:textDirection w:val="btLr"/>
                              <w:rPr>
                                <w:b/>
                                <w:bCs/>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FFC619C" id="Rectangle 1566670328" o:spid="_x0000_s1027" style="position:absolute;left:0;text-align:left;margin-left:519pt;margin-top:84.75pt;width:239.15pt;height:213.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" strokecolor="#4f81bd [3204]" strokeweight="3.5pt">
                <v:stroke startarrowwidth="narrow" startarrowlength="short" endarrowwidth="narrow" endarrowlength="short"/>
                <v:textbox inset="2.53958mm,1.2694mm,2.53958mm,1.2694mm">
                  <w:txbxContent>
                    <w:p w14:paraId="0F89D25D" w14:textId="77777777" w:rsidR="00174C06" w:rsidRPr="002C3452" w:rsidRDefault="00822331">
                      <w:pPr>
                        <w:spacing w:line="258" w:lineRule="auto"/>
                        <w:jc w:val="center"/>
                        <w:textDirection w:val="btLr"/>
                      </w:pPr>
                      <w:r w:rsidRPr="002C3452">
                        <w:rPr>
                          <w:rFonts w:eastAsia="Calibri"/>
                          <w:b/>
                          <w:color w:val="385623"/>
                        </w:rPr>
                        <w:t>Current functioning</w:t>
                      </w:r>
                    </w:p>
                    <w:p w14:paraId="3557E818" w14:textId="77777777" w:rsidR="00174C06" w:rsidRPr="002C3452" w:rsidRDefault="00174C06">
                      <w:pPr>
                        <w:spacing w:after="0" w:line="258" w:lineRule="auto"/>
                        <w:jc w:val="left"/>
                        <w:textDirection w:val="btLr"/>
                      </w:pPr>
                    </w:p>
                    <w:p w14:paraId="3475B3B5"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In recent days, Pharmacy Services operates in the UK within a structured framework under the NHS, which is regulated and commissioned through several key organisations. </w:t>
                      </w:r>
                    </w:p>
                    <w:p w14:paraId="0B466C59"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The General Pharmaceutical Council (GPhC) focuses on professional registration, which helps to ensure that pharmacy technicians and pharmacies are able to meet required standards of practice (Fovargue and Neal, 2021). On the other hand, the Medicines and Healthcare Products Regulatory Agency (MHRA) is highly responsible for maintaining the safety, quality and efficiency of each medicine used in the UK (Aziza, 2022). </w:t>
                      </w:r>
                    </w:p>
                    <w:p w14:paraId="086F9DF0" w14:textId="227C07DD"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In this aspect, England Commissioned Community Pharmacy provides services with the help of the Community Pharmacy Contractual Framework (CPCF). Pharmacies in the UK currently provide three main tiers of services, which have been listed in the section below,</w:t>
                      </w:r>
                    </w:p>
                    <w:p w14:paraId="3D0AC306"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 services, which are vital, are the dispensing of prescriptions, the disposal of the unwanted medicines, and the promotion of healthy living.</w:t>
                      </w:r>
                    </w:p>
                    <w:p w14:paraId="60E897EB"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 clinical services offered under the advanced services include the New Medicine Service (NMS), flu vaccination, and appliance use review.</w:t>
                      </w:r>
                    </w:p>
                    <w:p w14:paraId="5618EAEF" w14:textId="77777777" w:rsidR="00174C06" w:rsidRPr="002C3452" w:rsidRDefault="00822331" w:rsidP="00967454">
                      <w:pPr>
                        <w:pStyle w:val="ListParagraph"/>
                        <w:numPr>
                          <w:ilvl w:val="0"/>
                          <w:numId w:val="5"/>
                        </w:numPr>
                        <w:spacing w:after="0" w:line="258" w:lineRule="auto"/>
                        <w:textDirection w:val="btLr"/>
                      </w:pPr>
                      <w:r w:rsidRPr="002C3452">
                        <w:rPr>
                          <w:rFonts w:eastAsia="Calibri"/>
                          <w:color w:val="000000"/>
                        </w:rPr>
                        <w:t>There are also improved services like stop-smoking programmes, sexual health services and blood pressure services based on the local requirements.</w:t>
                      </w:r>
                    </w:p>
                    <w:p w14:paraId="4042623D" w14:textId="77777777" w:rsidR="00967454" w:rsidRPr="002C3452" w:rsidRDefault="00822331" w:rsidP="00967454">
                      <w:pPr>
                        <w:pStyle w:val="ListParagraph"/>
                        <w:numPr>
                          <w:ilvl w:val="0"/>
                          <w:numId w:val="5"/>
                        </w:numPr>
                        <w:spacing w:after="0" w:line="258" w:lineRule="auto"/>
                        <w:textDirection w:val="btLr"/>
                        <w:rPr>
                          <w:rFonts w:eastAsia="Calibri"/>
                          <w:color w:val="000000"/>
                        </w:rPr>
                      </w:pPr>
                      <w:r w:rsidRPr="002C3452">
                        <w:rPr>
                          <w:rFonts w:eastAsia="Calibri"/>
                          <w:color w:val="000000"/>
                        </w:rPr>
                        <w:t xml:space="preserve">In addition, the implementation of the Electronic Prescription Service (EPS) has changed how prescription is handled (Sudarsono et al. 2025). </w:t>
                      </w:r>
                    </w:p>
                    <w:p w14:paraId="14F9C77E" w14:textId="27B75B9D" w:rsidR="00174C06" w:rsidRPr="002C3452" w:rsidRDefault="00822331" w:rsidP="00967454">
                      <w:pPr>
                        <w:pStyle w:val="ListParagraph"/>
                        <w:numPr>
                          <w:ilvl w:val="0"/>
                          <w:numId w:val="5"/>
                        </w:numPr>
                        <w:spacing w:after="0" w:line="258" w:lineRule="auto"/>
                        <w:textDirection w:val="btLr"/>
                        <w:rPr>
                          <w:b/>
                          <w:bCs/>
                        </w:rPr>
                      </w:pPr>
                      <w:r w:rsidRPr="002C3452">
                        <w:rPr>
                          <w:rFonts w:eastAsia="Calibri"/>
                          <w:color w:val="000000"/>
                        </w:rPr>
                        <w:t xml:space="preserve">This will enable general physicians to electronically order the prescription drug to the pharmacy of the choice of the patient. This has enhanced efficiency and minimized administrative burden to both the patients and the </w:t>
                      </w:r>
                      <w:r w:rsidRPr="002C3452">
                        <w:rPr>
                          <w:rFonts w:eastAsia="Calibri"/>
                          <w:b/>
                          <w:bCs/>
                          <w:color w:val="000000"/>
                        </w:rPr>
                        <w:t>practitioners.</w:t>
                      </w:r>
                    </w:p>
                    <w:p w14:paraId="32AD44CF" w14:textId="77777777" w:rsidR="00967454" w:rsidRPr="002C3452" w:rsidRDefault="00967454" w:rsidP="00967454">
                      <w:pPr>
                        <w:spacing w:after="0" w:line="258" w:lineRule="auto"/>
                        <w:ind w:left="360"/>
                        <w:textDirection w:val="btLr"/>
                        <w:rPr>
                          <w:b/>
                          <w:bCs/>
                        </w:rPr>
                      </w:pPr>
                    </w:p>
                  </w:txbxContent>
                </v:textbox>
                <w10:wrap type="square"/>
              </v:rect>
            </w:pict>
          </mc:Fallback>
        </mc:AlternateContent>
      </w:r>
      <w:r w:rsidR="00967454" w:rsidRPr="00967454">
        <w:rPr>
          <w:noProof/>
        </w:rPr>
        <mc:AlternateContent>
          <mc:Choice Requires="wps">
            <w:drawing>
              <wp:anchor distT="45720" distB="45720" distL="114300" distR="114300" simplePos="0" relativeHeight="251665408" behindDoc="0" locked="0" layoutInCell="1" hidden="0" allowOverlap="1" wp14:anchorId="4A223CD6" wp14:editId="6751EC55">
                <wp:simplePos x="0" y="0"/>
                <wp:positionH relativeFrom="column">
                  <wp:posOffset>2333625</wp:posOffset>
                </wp:positionH>
                <wp:positionV relativeFrom="paragraph">
                  <wp:posOffset>3162300</wp:posOffset>
                </wp:positionV>
                <wp:extent cx="4180205" cy="2476500"/>
                <wp:effectExtent l="19050" t="19050" r="29845" b="38100"/>
                <wp:wrapSquare wrapText="bothSides" distT="45720" distB="45720" distL="114300" distR="114300"/>
                <wp:docPr id="1566670326" name="Rectangle 1566670326"/>
                <wp:cNvGraphicFramePr/>
                <a:graphic xmlns:a="http://schemas.openxmlformats.org/drawingml/2006/main">
                  <a:graphicData uri="http://schemas.microsoft.com/office/word/2010/wordprocessingShape">
                    <wps:wsp>
                      <wps:cNvSpPr/>
                      <wps:spPr>
                        <a:xfrm>
                          <a:off x="0" y="0"/>
                          <a:ext cx="4180205" cy="2476500"/>
                        </a:xfrm>
                        <a:prstGeom prst="rect">
                          <a:avLst/>
                        </a:prstGeom>
                        <a:solidFill>
                          <a:srgbClr val="FFFFFF"/>
                        </a:solidFill>
                        <a:ln w="47625" cap="flat" cmpd="sng">
                          <a:solidFill>
                            <a:schemeClr val="bg2">
                              <a:lumMod val="75000"/>
                            </a:schemeClr>
                          </a:solidFill>
                          <a:prstDash val="solid"/>
                          <a:miter lim="800000"/>
                          <a:headEnd type="none" w="sm" len="sm"/>
                          <a:tailEnd type="none" w="sm" len="sm"/>
                        </a:ln>
                      </wps:spPr>
                      <wps:txbx>
                        <w:txbxContent>
                          <w:p w14:paraId="0504D5B4" w14:textId="19D4ED7B" w:rsidR="004B7D90" w:rsidRDefault="00822331" w:rsidP="00FB1736">
                            <w:pPr>
                              <w:spacing w:line="258" w:lineRule="auto"/>
                              <w:textDirection w:val="btLr"/>
                            </w:pPr>
                            <w:r>
                              <w:rPr>
                                <w:noProof/>
                              </w:rPr>
                              <w:drawing>
                                <wp:inline distT="0" distB="0" distL="0" distR="0" wp14:anchorId="3C43FE72" wp14:editId="220D4428">
                                  <wp:extent cx="4052570" cy="2343150"/>
                                  <wp:effectExtent l="0" t="0" r="5080" b="0"/>
                                  <wp:docPr id="126913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33559" name=""/>
                                          <pic:cNvPicPr/>
                                        </pic:nvPicPr>
                                        <pic:blipFill>
                                          <a:blip r:embed="rId17"/>
                                          <a:stretch>
                                            <a:fillRect/>
                                          </a:stretch>
                                        </pic:blipFill>
                                        <pic:spPr>
                                          <a:xfrm>
                                            <a:off x="0" y="0"/>
                                            <a:ext cx="4064191" cy="2349869"/>
                                          </a:xfrm>
                                          <a:prstGeom prst="rect">
                                            <a:avLst/>
                                          </a:prstGeom>
                                        </pic:spPr>
                                      </pic:pic>
                                    </a:graphicData>
                                  </a:graphic>
                                </wp:inline>
                              </w:drawing>
                            </w:r>
                          </w:p>
                        </w:txbxContent>
                      </wps:txbx>
                      <wps:bodyPr spcFirstLastPara="1" wrap="square" lIns="91425" tIns="45700" rIns="91425" bIns="45700" anchor="t" anchorCtr="0">
                        <a:noAutofit/>
                      </wps:bodyPr>
                    </wps:wsp>
                  </a:graphicData>
                </a:graphic>
                <wp14:sizeRelV relativeFrom="margin">
                  <wp14:pctHeight>0</wp14:pctHeight>
                </wp14:sizeRelV>
              </wp:anchor>
            </w:drawing>
          </mc:Choice>
          <mc:Fallback>
            <w:pict>
              <v:rect w14:anchorId="4A223CD6" id="Rectangle 1566670326" o:spid="_x0000_s1028" style="position:absolute;left:0;text-align:left;margin-left:183.75pt;margin-top:249pt;width:329.15pt;height:195pt;z-index:251665408;visibility:visible;mso-wrap-style:square;mso-height-percent:0;mso-wrap-distance-left:9pt;mso-wrap-distance-top:3.6pt;mso-wrap-distance-right:9pt;mso-wrap-distance-bottom:3.6pt;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" strokecolor="#c4bc96 [2414]" strokeweight="3.75pt">
                <v:stroke startarrowwidth="narrow" startarrowlength="short" endarrowwidth="narrow" endarrowlength="short"/>
                <v:textbox inset="2.53958mm,1.2694mm,2.53958mm,1.2694mm">
                  <w:txbxContent>
                    <w:p w14:paraId="0504D5B4" w14:textId="19D4ED7B" w:rsidR="004B7D90" w:rsidRDefault="00822331" w:rsidP="00FB1736">
                      <w:pPr>
                        <w:spacing w:line="258" w:lineRule="auto"/>
                        <w:textDirection w:val="btLr"/>
                      </w:pPr>
                      <w:r>
                        <w:rPr>
                          <w:noProof/>
                        </w:rPr>
                        <w:drawing>
                          <wp:inline distT="0" distB="0" distL="0" distR="0" wp14:anchorId="3C43FE72" wp14:editId="220D4428">
                            <wp:extent cx="4052570" cy="2343150"/>
                            <wp:effectExtent l="0" t="0" r="5080" b="0"/>
                            <wp:docPr id="126913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33559" name=""/>
                                    <pic:cNvPicPr/>
                                  </pic:nvPicPr>
                                  <pic:blipFill>
                                    <a:blip r:embed="rId17"/>
                                    <a:stretch>
                                      <a:fillRect/>
                                    </a:stretch>
                                  </pic:blipFill>
                                  <pic:spPr>
                                    <a:xfrm>
                                      <a:off x="0" y="0"/>
                                      <a:ext cx="4064191" cy="2349869"/>
                                    </a:xfrm>
                                    <a:prstGeom prst="rect">
                                      <a:avLst/>
                                    </a:prstGeom>
                                  </pic:spPr>
                                </pic:pic>
                              </a:graphicData>
                            </a:graphic>
                          </wp:inline>
                        </w:drawing>
                      </w:r>
                    </w:p>
                  </w:txbxContent>
                </v:textbox>
                <w10:wrap type="square"/>
              </v:rect>
            </w:pict>
          </mc:Fallback>
        </mc:AlternateContent>
      </w:r>
      <w:r w:rsidR="00967454" w:rsidRPr="00967454">
        <w:rPr>
          <w:noProof/>
        </w:rPr>
        <mc:AlternateContent>
          <mc:Choice Requires="wps">
            <w:drawing>
              <wp:anchor distT="45720" distB="45720" distL="114300" distR="114300" simplePos="0" relativeHeight="251662336" behindDoc="0" locked="0" layoutInCell="1" hidden="0" allowOverlap="1" wp14:anchorId="6B89049A" wp14:editId="6EEB208A">
                <wp:simplePos x="0" y="0"/>
                <wp:positionH relativeFrom="column">
                  <wp:posOffset>2686050</wp:posOffset>
                </wp:positionH>
                <wp:positionV relativeFrom="paragraph">
                  <wp:posOffset>1085850</wp:posOffset>
                </wp:positionV>
                <wp:extent cx="3810000" cy="2009775"/>
                <wp:effectExtent l="19050" t="19050" r="19050" b="28575"/>
                <wp:wrapSquare wrapText="bothSides" distT="45720" distB="45720" distL="114300" distR="114300"/>
                <wp:docPr id="1566670330" name="Rectangle 1566670330"/>
                <wp:cNvGraphicFramePr/>
                <a:graphic xmlns:a="http://schemas.openxmlformats.org/drawingml/2006/main">
                  <a:graphicData uri="http://schemas.microsoft.com/office/word/2010/wordprocessingShape">
                    <wps:wsp>
                      <wps:cNvSpPr/>
                      <wps:spPr>
                        <a:xfrm>
                          <a:off x="0" y="0"/>
                          <a:ext cx="3810000" cy="2009775"/>
                        </a:xfrm>
                        <a:prstGeom prst="rect">
                          <a:avLst/>
                        </a:prstGeom>
                        <a:solidFill>
                          <a:srgbClr val="FFFFFF"/>
                        </a:solidFill>
                        <a:ln w="44450" cap="flat" cmpd="sng">
                          <a:solidFill>
                            <a:srgbClr val="E36C09"/>
                          </a:solidFill>
                          <a:prstDash val="solid"/>
                          <a:miter lim="800000"/>
                          <a:headEnd type="none" w="sm" len="sm"/>
                          <a:tailEnd type="none" w="sm" len="sm"/>
                        </a:ln>
                      </wps:spPr>
                      <wps:txbx>
                        <w:txbxContent>
                          <w:p w14:paraId="5B848A97" w14:textId="77777777" w:rsidR="00174C06" w:rsidRPr="002C3452" w:rsidRDefault="00822331">
                            <w:pPr>
                              <w:spacing w:line="258" w:lineRule="auto"/>
                              <w:textDirection w:val="btLr"/>
                            </w:pPr>
                            <w:r w:rsidRPr="002C3452">
                              <w:rPr>
                                <w:rFonts w:eastAsia="Calibri"/>
                                <w:b/>
                              </w:rPr>
                              <w:t>Brief history</w:t>
                            </w:r>
                          </w:p>
                          <w:p w14:paraId="6B939586" w14:textId="77777777"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 xml:space="preserve">The origins of pharmacy services in the UK can be traced back to the early apothecaries of the 18th and 19th centuries, who prepared and sold medicines privately. Before the establishment of the NHS in 1948, pharmacy practice mainly remained commercial, and patients had to pay directly for medicines. </w:t>
                            </w:r>
                          </w:p>
                          <w:p w14:paraId="61D5B758" w14:textId="3438369B"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The creation of the NHS can be recognised as a measure and significant turning point in the pharma</w:t>
                            </w:r>
                            <w:r w:rsidR="002D50A2" w:rsidRPr="002C3452">
                              <w:rPr>
                                <w:rFonts w:eastAsia="Calibri"/>
                              </w:rPr>
                              <w:t>cy</w:t>
                            </w:r>
                            <w:r w:rsidRPr="002C3452">
                              <w:rPr>
                                <w:rFonts w:eastAsia="Calibri"/>
                              </w:rPr>
                              <w:t xml:space="preserve"> aspects in the UK since it introduced a publicly funded healthcare system which focuses on the supply of prescribed medicine free at the point of use. The Medicines Act was implemented in 1968, which formally brought regulation to the sale and supply of medicines (Aronson and Ferner, 2017). </w:t>
                            </w:r>
                          </w:p>
                          <w:p w14:paraId="76F51BCB" w14:textId="77777777"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 xml:space="preserve">This takes place with division into three categories, including prescription-only, pharmacy-only, and general sale medicines. In the 1960s and 1970s, the provision of hospital pharmacy departments expanded and pharmacy involvement in clinical decisions was more pronounced. At the same time, by the early 2000s, the rule of pharmacies began to evolve efficiently from the traditional dispensing to a clinical and patient-centred model. </w:t>
                            </w:r>
                          </w:p>
                          <w:p w14:paraId="06C5AD55" w14:textId="5EE7A015" w:rsidR="00174C06" w:rsidRPr="002C3452" w:rsidRDefault="00822331" w:rsidP="00967454">
                            <w:pPr>
                              <w:pStyle w:val="ListParagraph"/>
                              <w:numPr>
                                <w:ilvl w:val="0"/>
                                <w:numId w:val="3"/>
                              </w:numPr>
                              <w:spacing w:line="258" w:lineRule="auto"/>
                              <w:textDirection w:val="btLr"/>
                            </w:pPr>
                            <w:r w:rsidRPr="002C3452">
                              <w:rPr>
                                <w:rFonts w:eastAsia="Calibri"/>
                              </w:rPr>
                              <w:t xml:space="preserve">The new Community Pharmacy contractual framework was identified as a landmark for the effective development of Different pharmacies as Key Health professionals, particularly in the case of medicine management and prevention of disease. </w:t>
                            </w:r>
                            <w:r w:rsidR="00B44B57" w:rsidRPr="002C3452">
                              <w:rPr>
                                <w:rFonts w:eastAsia="Calibri"/>
                              </w:rPr>
                              <w:t xml:space="preserve">The integration </w:t>
                            </w:r>
                            <w:r w:rsidRPr="002C3452">
                              <w:rPr>
                                <w:rFonts w:eastAsia="Calibri"/>
                              </w:rPr>
                              <w:t xml:space="preserve">of the pharmacy first service </w:t>
                            </w:r>
                            <w:r w:rsidR="00B44B57" w:rsidRPr="002C3452">
                              <w:rPr>
                                <w:rFonts w:eastAsia="Calibri"/>
                              </w:rPr>
                              <w:t xml:space="preserve">specifically in the context of ICS </w:t>
                            </w:r>
                            <w:r w:rsidRPr="002C3452">
                              <w:rPr>
                                <w:rFonts w:eastAsia="Calibri"/>
                              </w:rPr>
                              <w:t xml:space="preserve">allows pharmacists to diagnose and treat common conditions of patients without referral to a general physician. These can further integrate pharmacy into more frontline care of the National Health Service. </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6B89049A" id="Rectangle 1566670330" o:spid="_x0000_s1029" style="position:absolute;left:0;text-align:left;margin-left:211.5pt;margin-top:85.5pt;width:300pt;height:158.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" strokecolor="#e36c09" strokeweight="3.5pt">
                <v:stroke startarrowwidth="narrow" startarrowlength="short" endarrowwidth="narrow" endarrowlength="short"/>
                <v:textbox inset="2.53958mm,1.2694mm,2.53958mm,1.2694mm">
                  <w:txbxContent>
                    <w:p w14:paraId="5B848A97" w14:textId="77777777" w:rsidR="00174C06" w:rsidRPr="002C3452" w:rsidRDefault="00822331">
                      <w:pPr>
                        <w:spacing w:line="258" w:lineRule="auto"/>
                        <w:textDirection w:val="btLr"/>
                      </w:pPr>
                      <w:r w:rsidRPr="002C3452">
                        <w:rPr>
                          <w:rFonts w:eastAsia="Calibri"/>
                          <w:b/>
                        </w:rPr>
                        <w:t>Brief history</w:t>
                      </w:r>
                    </w:p>
                    <w:p w14:paraId="6B939586" w14:textId="77777777"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 xml:space="preserve">The origins of pharmacy services in the UK can be traced back to the early apothecaries of the 18th and 19th centuries, who prepared and sold medicines privately. Before the establishment of the NHS in 1948, pharmacy practice mainly remained commercial, and patients had to pay directly for medicines. </w:t>
                      </w:r>
                    </w:p>
                    <w:p w14:paraId="61D5B758" w14:textId="3438369B"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The creation of the NHS can be recognised as a measure and significant turning point in the pharma</w:t>
                      </w:r>
                      <w:r w:rsidR="002D50A2" w:rsidRPr="002C3452">
                        <w:rPr>
                          <w:rFonts w:eastAsia="Calibri"/>
                        </w:rPr>
                        <w:t>cy</w:t>
                      </w:r>
                      <w:r w:rsidRPr="002C3452">
                        <w:rPr>
                          <w:rFonts w:eastAsia="Calibri"/>
                        </w:rPr>
                        <w:t xml:space="preserve"> aspects in the UK since it introduced a publicly funded healthcare system which focuses on the supply of prescribed medicine free at the point of use. The Medicines Act was implemented in 1968, which formally brought regulation to the sale and supply of medicines (Aronson and Ferner, 2017). </w:t>
                      </w:r>
                    </w:p>
                    <w:p w14:paraId="76F51BCB" w14:textId="77777777" w:rsidR="00967454" w:rsidRPr="002C3452" w:rsidRDefault="00822331" w:rsidP="00967454">
                      <w:pPr>
                        <w:pStyle w:val="ListParagraph"/>
                        <w:numPr>
                          <w:ilvl w:val="0"/>
                          <w:numId w:val="3"/>
                        </w:numPr>
                        <w:spacing w:line="258" w:lineRule="auto"/>
                        <w:textDirection w:val="btLr"/>
                        <w:rPr>
                          <w:rFonts w:eastAsia="Calibri"/>
                        </w:rPr>
                      </w:pPr>
                      <w:r w:rsidRPr="002C3452">
                        <w:rPr>
                          <w:rFonts w:eastAsia="Calibri"/>
                        </w:rPr>
                        <w:t xml:space="preserve">This takes place with division into three categories, including prescription-only, pharmacy-only, and general sale medicines. In the 1960s and 1970s, the provision of hospital pharmacy departments expanded and pharmacy involvement in clinical decisions was more pronounced. At the same time, by the early 2000s, the rule of pharmacies began to evolve efficiently from the traditional dispensing to a clinical and patient-centred model. </w:t>
                      </w:r>
                    </w:p>
                    <w:p w14:paraId="06C5AD55" w14:textId="5EE7A015" w:rsidR="00174C06" w:rsidRPr="002C3452" w:rsidRDefault="00822331" w:rsidP="00967454">
                      <w:pPr>
                        <w:pStyle w:val="ListParagraph"/>
                        <w:numPr>
                          <w:ilvl w:val="0"/>
                          <w:numId w:val="3"/>
                        </w:numPr>
                        <w:spacing w:line="258" w:lineRule="auto"/>
                        <w:textDirection w:val="btLr"/>
                      </w:pPr>
                      <w:r w:rsidRPr="002C3452">
                        <w:rPr>
                          <w:rFonts w:eastAsia="Calibri"/>
                        </w:rPr>
                        <w:t xml:space="preserve">The new Community Pharmacy contractual framework was identified as a landmark for the effective development of Different pharmacies as Key Health professionals, particularly in the case of medicine management and prevention of disease. </w:t>
                      </w:r>
                      <w:r w:rsidR="00B44B57" w:rsidRPr="002C3452">
                        <w:rPr>
                          <w:rFonts w:eastAsia="Calibri"/>
                        </w:rPr>
                        <w:t xml:space="preserve">The integration </w:t>
                      </w:r>
                      <w:r w:rsidRPr="002C3452">
                        <w:rPr>
                          <w:rFonts w:eastAsia="Calibri"/>
                        </w:rPr>
                        <w:t xml:space="preserve">of the pharmacy first service </w:t>
                      </w:r>
                      <w:r w:rsidR="00B44B57" w:rsidRPr="002C3452">
                        <w:rPr>
                          <w:rFonts w:eastAsia="Calibri"/>
                        </w:rPr>
                        <w:t xml:space="preserve">specifically in the context of ICS </w:t>
                      </w:r>
                      <w:r w:rsidRPr="002C3452">
                        <w:rPr>
                          <w:rFonts w:eastAsia="Calibri"/>
                        </w:rPr>
                        <w:t xml:space="preserve">allows pharmacists to diagnose and treat common conditions of patients without referral to a general physician. These can further integrate pharmacy into more frontline care of the National Health Service. </w:t>
                      </w:r>
                    </w:p>
                  </w:txbxContent>
                </v:textbox>
                <w10:wrap type="square"/>
              </v:rect>
            </w:pict>
          </mc:Fallback>
        </mc:AlternateContent>
      </w:r>
      <w:r w:rsidR="00967454" w:rsidRPr="00967454">
        <w:rPr>
          <w:noProof/>
        </w:rPr>
        <mc:AlternateContent>
          <mc:Choice Requires="wps">
            <w:drawing>
              <wp:anchor distT="45720" distB="45720" distL="114300" distR="114300" simplePos="0" relativeHeight="251664384" behindDoc="0" locked="0" layoutInCell="1" hidden="0" allowOverlap="1" wp14:anchorId="6815207A" wp14:editId="7BAE0278">
                <wp:simplePos x="0" y="0"/>
                <wp:positionH relativeFrom="column">
                  <wp:posOffset>-771525</wp:posOffset>
                </wp:positionH>
                <wp:positionV relativeFrom="paragraph">
                  <wp:posOffset>3209925</wp:posOffset>
                </wp:positionV>
                <wp:extent cx="3048000" cy="2113280"/>
                <wp:effectExtent l="19050" t="19050" r="38100" b="39370"/>
                <wp:wrapSquare wrapText="bothSides" distT="45720" distB="45720" distL="114300" distR="114300"/>
                <wp:docPr id="1566670327" name="Rectangle 1566670327"/>
                <wp:cNvGraphicFramePr/>
                <a:graphic xmlns:a="http://schemas.openxmlformats.org/drawingml/2006/main">
                  <a:graphicData uri="http://schemas.microsoft.com/office/word/2010/wordprocessingShape">
                    <wps:wsp>
                      <wps:cNvSpPr/>
                      <wps:spPr>
                        <a:xfrm>
                          <a:off x="0" y="0"/>
                          <a:ext cx="3048000" cy="2113280"/>
                        </a:xfrm>
                        <a:prstGeom prst="rect">
                          <a:avLst/>
                        </a:prstGeom>
                        <a:solidFill>
                          <a:srgbClr val="FFFFFF"/>
                        </a:solidFill>
                        <a:ln w="47625" cap="flat" cmpd="sng">
                          <a:solidFill>
                            <a:srgbClr val="953734"/>
                          </a:solidFill>
                          <a:prstDash val="solid"/>
                          <a:miter lim="800000"/>
                          <a:headEnd type="none" w="sm" len="sm"/>
                          <a:tailEnd type="none" w="sm" len="sm"/>
                        </a:ln>
                      </wps:spPr>
                      <wps:txbx>
                        <w:txbxContent>
                          <w:p w14:paraId="7DA4B534" w14:textId="77777777" w:rsidR="00174C06" w:rsidRPr="002C3452" w:rsidRDefault="00822331">
                            <w:pPr>
                              <w:spacing w:line="258" w:lineRule="auto"/>
                              <w:textDirection w:val="btLr"/>
                            </w:pPr>
                            <w:r w:rsidRPr="002C3452">
                              <w:rPr>
                                <w:rFonts w:eastAsia="Calibri"/>
                                <w:b/>
                              </w:rPr>
                              <w:t>Two challenges faced by Pharmacy services</w:t>
                            </w:r>
                          </w:p>
                          <w:p w14:paraId="1200D728"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The pressure on pharmacy services in the UK is enormous and this presents a risk to the sustainability and efficiency of the services even though they are successful and accessible. </w:t>
                            </w:r>
                          </w:p>
                          <w:p w14:paraId="622BD173"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Funding pressure is one of the rising problems over the past decade. The Pharmaceutical Services Negotiating Committee (PSNC, 2023) records that since the year 2016 more than 1,000 community pharmacies in England have shut down, mainly because of financial pressure (Tolley et al., 2023). </w:t>
                            </w:r>
                          </w:p>
                          <w:p w14:paraId="32C89383" w14:textId="454AD074" w:rsidR="00174C06" w:rsidRPr="002C3452" w:rsidRDefault="00822331" w:rsidP="00967454">
                            <w:pPr>
                              <w:pStyle w:val="ListParagraph"/>
                              <w:numPr>
                                <w:ilvl w:val="0"/>
                                <w:numId w:val="4"/>
                              </w:numPr>
                              <w:spacing w:after="0" w:line="258" w:lineRule="auto"/>
                              <w:textDirection w:val="btLr"/>
                            </w:pPr>
                            <w:r w:rsidRPr="002C3452">
                              <w:rPr>
                                <w:rFonts w:eastAsia="Calibri"/>
                              </w:rPr>
                              <w:t xml:space="preserve">These shutdowns are more disproportionately impacting deprived and rural spots, and lessening equitable access to fundamental medical care. </w:t>
                            </w:r>
                          </w:p>
                          <w:p w14:paraId="492935F7"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Another problem is that most pharmacies cannot access or retain qualified pharmacists and technicians, which creates more workloads and burnout amongst employees. </w:t>
                            </w:r>
                          </w:p>
                          <w:p w14:paraId="53CFD9BC" w14:textId="460F046A" w:rsidR="00174C06" w:rsidRPr="002C3452" w:rsidRDefault="00822331" w:rsidP="00967454">
                            <w:pPr>
                              <w:pStyle w:val="ListParagraph"/>
                              <w:numPr>
                                <w:ilvl w:val="0"/>
                                <w:numId w:val="4"/>
                              </w:numPr>
                              <w:spacing w:after="0" w:line="258" w:lineRule="auto"/>
                              <w:textDirection w:val="btLr"/>
                            </w:pPr>
                            <w:r w:rsidRPr="002C3452">
                              <w:rPr>
                                <w:rFonts w:eastAsia="Calibri"/>
                              </w:rPr>
                              <w:t>Royal Pharmaceutical Society (2024) has also emphasi</w:t>
                            </w:r>
                            <w:r w:rsidR="00E51B12" w:rsidRPr="002C3452">
                              <w:rPr>
                                <w:rFonts w:eastAsia="Calibri"/>
                              </w:rPr>
                              <w:t>s</w:t>
                            </w:r>
                            <w:r w:rsidRPr="002C3452">
                              <w:rPr>
                                <w:rFonts w:eastAsia="Calibri"/>
                              </w:rPr>
                              <w:t>ed the importance of workforce planning, enhanced compensation structure, and enhanced professional growth to make sure that pharmacy services are sustainable (Rpharms, 2024). These concerns may prevent the sector from serving patients and achieve goals in NHS unless they are properly managed.</w:t>
                            </w:r>
                          </w:p>
                          <w:p w14:paraId="67E0F6A2" w14:textId="77777777" w:rsidR="00174C06" w:rsidRPr="002C3452" w:rsidRDefault="00174C06">
                            <w:pPr>
                              <w:spacing w:line="258" w:lineRule="auto"/>
                              <w:textDirection w:val="btLr"/>
                            </w:pPr>
                          </w:p>
                          <w:p w14:paraId="3C628FED" w14:textId="77777777" w:rsidR="00174C06" w:rsidRPr="002C3452" w:rsidRDefault="00174C06">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anchor>
            </w:drawing>
          </mc:Choice>
          <mc:Fallback>
            <w:pict>
              <v:rect w14:anchorId="6815207A" id="Rectangle 1566670327" o:spid="_x0000_s1030" style="position:absolute;left:0;text-align:left;margin-left:-60.75pt;margin-top:252.75pt;width:240pt;height:166.4pt;z-index:251664384;visibility:visible;mso-wrap-style:square;mso-width-percent:0;mso-wrap-distance-left:9pt;mso-wrap-distance-top:3.6pt;mso-wrap-distance-right:9pt;mso-wrap-distance-bottom:3.6pt;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" strokecolor="#953734" strokeweight="3.75pt">
                <v:stroke startarrowwidth="narrow" startarrowlength="short" endarrowwidth="narrow" endarrowlength="short"/>
                <v:textbox inset="2.53958mm,1.2694mm,2.53958mm,1.2694mm">
                  <w:txbxContent>
                    <w:p w14:paraId="7DA4B534" w14:textId="77777777" w:rsidR="00174C06" w:rsidRPr="002C3452" w:rsidRDefault="00822331">
                      <w:pPr>
                        <w:spacing w:line="258" w:lineRule="auto"/>
                        <w:textDirection w:val="btLr"/>
                      </w:pPr>
                      <w:r w:rsidRPr="002C3452">
                        <w:rPr>
                          <w:rFonts w:eastAsia="Calibri"/>
                          <w:b/>
                        </w:rPr>
                        <w:t>Two challenges faced by Pharmacy services</w:t>
                      </w:r>
                    </w:p>
                    <w:p w14:paraId="1200D728"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The pressure on pharmacy services in the UK is enormous and this presents a risk to the sustainability and efficiency of the services even though they are successful and accessible. </w:t>
                      </w:r>
                    </w:p>
                    <w:p w14:paraId="622BD173"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Funding pressure is one of the rising problems over the past decade. The Pharmaceutical Services Negotiating Committee (PSNC, 2023) records that since the year 2016 more than 1,000 community pharmacies in England have shut down, mainly because of financial pressure (Tolley et al., 2023). </w:t>
                      </w:r>
                    </w:p>
                    <w:p w14:paraId="32C89383" w14:textId="454AD074" w:rsidR="00174C06" w:rsidRPr="002C3452" w:rsidRDefault="00822331" w:rsidP="00967454">
                      <w:pPr>
                        <w:pStyle w:val="ListParagraph"/>
                        <w:numPr>
                          <w:ilvl w:val="0"/>
                          <w:numId w:val="4"/>
                        </w:numPr>
                        <w:spacing w:after="0" w:line="258" w:lineRule="auto"/>
                        <w:textDirection w:val="btLr"/>
                      </w:pPr>
                      <w:r w:rsidRPr="002C3452">
                        <w:rPr>
                          <w:rFonts w:eastAsia="Calibri"/>
                        </w:rPr>
                        <w:t xml:space="preserve">These shutdowns are more disproportionately impacting deprived and rural spots, and lessening equitable access to fundamental medical care. </w:t>
                      </w:r>
                    </w:p>
                    <w:p w14:paraId="492935F7" w14:textId="77777777" w:rsidR="00967454" w:rsidRPr="002C3452" w:rsidRDefault="00822331" w:rsidP="00967454">
                      <w:pPr>
                        <w:pStyle w:val="ListParagraph"/>
                        <w:numPr>
                          <w:ilvl w:val="0"/>
                          <w:numId w:val="4"/>
                        </w:numPr>
                        <w:spacing w:after="0" w:line="258" w:lineRule="auto"/>
                        <w:textDirection w:val="btLr"/>
                        <w:rPr>
                          <w:rFonts w:eastAsia="Calibri"/>
                        </w:rPr>
                      </w:pPr>
                      <w:r w:rsidRPr="002C3452">
                        <w:rPr>
                          <w:rFonts w:eastAsia="Calibri"/>
                        </w:rPr>
                        <w:t xml:space="preserve">Another problem is that most pharmacies cannot access or retain qualified pharmacists and technicians, which creates more workloads and burnout amongst employees. </w:t>
                      </w:r>
                    </w:p>
                    <w:p w14:paraId="53CFD9BC" w14:textId="460F046A" w:rsidR="00174C06" w:rsidRPr="002C3452" w:rsidRDefault="00822331" w:rsidP="00967454">
                      <w:pPr>
                        <w:pStyle w:val="ListParagraph"/>
                        <w:numPr>
                          <w:ilvl w:val="0"/>
                          <w:numId w:val="4"/>
                        </w:numPr>
                        <w:spacing w:after="0" w:line="258" w:lineRule="auto"/>
                        <w:textDirection w:val="btLr"/>
                      </w:pPr>
                      <w:r w:rsidRPr="002C3452">
                        <w:rPr>
                          <w:rFonts w:eastAsia="Calibri"/>
                        </w:rPr>
                        <w:t>Royal Pharmaceutical Society (2024) has also emphasi</w:t>
                      </w:r>
                      <w:r w:rsidR="00E51B12" w:rsidRPr="002C3452">
                        <w:rPr>
                          <w:rFonts w:eastAsia="Calibri"/>
                        </w:rPr>
                        <w:t>s</w:t>
                      </w:r>
                      <w:r w:rsidRPr="002C3452">
                        <w:rPr>
                          <w:rFonts w:eastAsia="Calibri"/>
                        </w:rPr>
                        <w:t>ed the importance of workforce planning, enhanced compensation structure, and enhanced professional growth to make sure that pharmacy services are sustainable (Rpharms, 2024). These concerns may prevent the sector from serving patients and achieve goals in NHS unless they are properly managed.</w:t>
                      </w:r>
                    </w:p>
                    <w:p w14:paraId="67E0F6A2" w14:textId="77777777" w:rsidR="00174C06" w:rsidRPr="002C3452" w:rsidRDefault="00174C06">
                      <w:pPr>
                        <w:spacing w:line="258" w:lineRule="auto"/>
                        <w:textDirection w:val="btLr"/>
                      </w:pPr>
                    </w:p>
                    <w:p w14:paraId="3C628FED" w14:textId="77777777" w:rsidR="00174C06" w:rsidRPr="002C3452" w:rsidRDefault="00174C06">
                      <w:pPr>
                        <w:spacing w:line="258" w:lineRule="auto"/>
                        <w:textDirection w:val="btLr"/>
                      </w:pPr>
                    </w:p>
                  </w:txbxContent>
                </v:textbox>
                <w10:wrap type="square"/>
              </v:rect>
            </w:pict>
          </mc:Fallback>
        </mc:AlternateContent>
      </w:r>
      <w:r w:rsidR="00967454" w:rsidRPr="00967454">
        <w:rPr>
          <w:noProof/>
        </w:rPr>
        <mc:AlternateContent>
          <mc:Choice Requires="wps">
            <w:drawing>
              <wp:anchor distT="45720" distB="45720" distL="114300" distR="114300" simplePos="0" relativeHeight="251661312" behindDoc="0" locked="0" layoutInCell="1" hidden="0" allowOverlap="1" wp14:anchorId="1864A6EB" wp14:editId="09EE45CD">
                <wp:simplePos x="0" y="0"/>
                <wp:positionH relativeFrom="column">
                  <wp:posOffset>-733425</wp:posOffset>
                </wp:positionH>
                <wp:positionV relativeFrom="paragraph">
                  <wp:posOffset>1095375</wp:posOffset>
                </wp:positionV>
                <wp:extent cx="3318510" cy="2009775"/>
                <wp:effectExtent l="19050" t="19050" r="34290" b="47625"/>
                <wp:wrapSquare wrapText="bothSides" distT="45720" distB="45720" distL="114300" distR="114300"/>
                <wp:docPr id="1566670332" name="Rectangle 1566670332"/>
                <wp:cNvGraphicFramePr/>
                <a:graphic xmlns:a="http://schemas.openxmlformats.org/drawingml/2006/main">
                  <a:graphicData uri="http://schemas.microsoft.com/office/word/2010/wordprocessingShape">
                    <wps:wsp>
                      <wps:cNvSpPr/>
                      <wps:spPr>
                        <a:xfrm>
                          <a:off x="0" y="0"/>
                          <a:ext cx="3318510" cy="2009775"/>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14:paraId="4B137E4E" w14:textId="00A065E3" w:rsidR="00174C06" w:rsidRPr="002C3452" w:rsidRDefault="00822331">
                            <w:pPr>
                              <w:spacing w:line="258" w:lineRule="auto"/>
                              <w:jc w:val="center"/>
                              <w:textDirection w:val="btLr"/>
                            </w:pPr>
                            <w:r w:rsidRPr="002C3452">
                              <w:rPr>
                                <w:rFonts w:eastAsia="Calibri"/>
                                <w:b/>
                                <w:color w:val="385623"/>
                              </w:rPr>
                              <w:t>Background of Pharmacy services</w:t>
                            </w:r>
                          </w:p>
                          <w:p w14:paraId="0378815A"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Pharmacy services can be recognised as one of the vital components of the healthcare system in the UK and form an essential part of the National Health Service. One of the primary roles of the pharmacy services is to ensure the safe, effective and appropriate use of medicine in order to improve health outcomes of patients. </w:t>
                            </w:r>
                          </w:p>
                          <w:p w14:paraId="47601958"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Pharmacists are highly trained through healthcare professionals who dispense different types of prescription medicines and can provide advice on their safe use. These can provide support to individuals in managing both acute and long-term medical conditions. On the other hand, Anderson and Sharma (2020) demonstrated that pharmacy services are delivered through several sectors, including community pharmacies, hospital pharmacies and different types of primary care network pharmacy teams. </w:t>
                            </w:r>
                          </w:p>
                          <w:p w14:paraId="76556C0E"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Community pharmacies can be recognised as the most publicly accessible healthcare setting in the NHS, with more than 11,000 located across England (Linkedin, 2025). This can act as the first point of contact for minor elements and medication-related queries that are obtained without the need for a general physician appointment. </w:t>
                            </w:r>
                          </w:p>
                          <w:p w14:paraId="45E16528" w14:textId="4CB9288C" w:rsidR="00174C06" w:rsidRPr="002C3452" w:rsidRDefault="00822331" w:rsidP="00967454">
                            <w:pPr>
                              <w:pStyle w:val="ListParagraph"/>
                              <w:numPr>
                                <w:ilvl w:val="0"/>
                                <w:numId w:val="2"/>
                              </w:numPr>
                              <w:spacing w:line="258" w:lineRule="auto"/>
                              <w:textDirection w:val="btLr"/>
                            </w:pPr>
                            <w:r w:rsidRPr="002C3452">
                              <w:rPr>
                                <w:rFonts w:eastAsia="Calibri"/>
                                <w:color w:val="000000"/>
                              </w:rPr>
                              <w:t>In this aspect, hospital pharmacies support inpatients and outpatients by ensuring the correct supply of doses and monitoring of medicines prescribed by the doctors. In addition to traditional dispensing, modern pharmacy services provide a wide range of clinical and public health functions, such as vaccination services, smoking cessation programmes, blood pressure checks, contraception advice, and medication reviews.</w:t>
                            </w:r>
                          </w:p>
                          <w:p w14:paraId="13A765BD" w14:textId="796DB407" w:rsidR="00967454" w:rsidRPr="002C3452" w:rsidRDefault="00967454"/>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1864A6EB" id="Rectangle 1566670332" o:spid="_x0000_s1031" style="position:absolute;left:0;text-align:left;margin-left:-57.75pt;margin-top:86.25pt;width:261.3pt;height:158.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" strokecolor="#c0504d [3205]" strokeweight="3.75pt">
                <v:stroke startarrowwidth="narrow" startarrowlength="short" endarrowwidth="narrow" endarrowlength="short"/>
                <v:textbox inset="2.53958mm,1.2694mm,2.53958mm,1.2694mm">
                  <w:txbxContent>
                    <w:p w14:paraId="4B137E4E" w14:textId="00A065E3" w:rsidR="00174C06" w:rsidRPr="002C3452" w:rsidRDefault="00822331">
                      <w:pPr>
                        <w:spacing w:line="258" w:lineRule="auto"/>
                        <w:jc w:val="center"/>
                        <w:textDirection w:val="btLr"/>
                      </w:pPr>
                      <w:r w:rsidRPr="002C3452">
                        <w:rPr>
                          <w:rFonts w:eastAsia="Calibri"/>
                          <w:b/>
                          <w:color w:val="385623"/>
                        </w:rPr>
                        <w:t>Background of Pharmacy services</w:t>
                      </w:r>
                    </w:p>
                    <w:p w14:paraId="0378815A"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Pharmacy services can be recognised as one of the vital components of the healthcare system in the UK and form an essential part of the National Health Service. One of the primary roles of the pharmacy services is to ensure the safe, effective and appropriate use of medicine in order to improve health outcomes of patients. </w:t>
                      </w:r>
                    </w:p>
                    <w:p w14:paraId="47601958"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Pharmacists are highly trained through healthcare professionals who dispense different types of prescription medicines and can provide advice on their safe use. These can provide support to individuals in managing both acute and long-term medical conditions. On the other hand, Anderson and Sharma (2020) demonstrated that pharmacy services are delivered through several sectors, including community pharmacies, hospital pharmacies and different types of primary care network pharmacy teams. </w:t>
                      </w:r>
                    </w:p>
                    <w:p w14:paraId="76556C0E" w14:textId="77777777" w:rsidR="00967454" w:rsidRPr="002C3452" w:rsidRDefault="00822331" w:rsidP="00967454">
                      <w:pPr>
                        <w:pStyle w:val="ListParagraph"/>
                        <w:numPr>
                          <w:ilvl w:val="0"/>
                          <w:numId w:val="2"/>
                        </w:numPr>
                        <w:spacing w:line="258" w:lineRule="auto"/>
                        <w:textDirection w:val="btLr"/>
                        <w:rPr>
                          <w:rFonts w:eastAsia="Calibri"/>
                          <w:color w:val="000000"/>
                        </w:rPr>
                      </w:pPr>
                      <w:r w:rsidRPr="002C3452">
                        <w:rPr>
                          <w:rFonts w:eastAsia="Calibri"/>
                          <w:color w:val="000000"/>
                        </w:rPr>
                        <w:t xml:space="preserve">Community pharmacies can be recognised as the most publicly accessible healthcare setting in the NHS, with more than 11,000 located across England (Linkedin, 2025). This can act as the first point of contact for minor elements and medication-related queries that are obtained without the need for a general physician appointment. </w:t>
                      </w:r>
                    </w:p>
                    <w:p w14:paraId="45E16528" w14:textId="4CB9288C" w:rsidR="00174C06" w:rsidRPr="002C3452" w:rsidRDefault="00822331" w:rsidP="00967454">
                      <w:pPr>
                        <w:pStyle w:val="ListParagraph"/>
                        <w:numPr>
                          <w:ilvl w:val="0"/>
                          <w:numId w:val="2"/>
                        </w:numPr>
                        <w:spacing w:line="258" w:lineRule="auto"/>
                        <w:textDirection w:val="btLr"/>
                      </w:pPr>
                      <w:r w:rsidRPr="002C3452">
                        <w:rPr>
                          <w:rFonts w:eastAsia="Calibri"/>
                          <w:color w:val="000000"/>
                        </w:rPr>
                        <w:t>In this aspect, hospital pharmacies support inpatients and outpatients by ensuring the correct supply of doses and monitoring of medicines prescribed by the doctors. In addition to traditional dispensing, modern pharmacy services provide a wide range of clinical and public health functions, such as vaccination services, smoking cessation programmes, blood pressure checks, contraception advice, and medication reviews.</w:t>
                      </w:r>
                    </w:p>
                    <w:p w14:paraId="13A765BD" w14:textId="796DB407" w:rsidR="00967454" w:rsidRPr="002C3452" w:rsidRDefault="00967454"/>
                  </w:txbxContent>
                </v:textbox>
                <w10:wrap type="square"/>
              </v:rect>
            </w:pict>
          </mc:Fallback>
        </mc:AlternateContent>
      </w:r>
      <w:r w:rsidRPr="00967454">
        <w:rPr>
          <w:noProof/>
        </w:rPr>
        <mc:AlternateContent>
          <mc:Choice Requires="wps">
            <w:drawing>
              <wp:anchor distT="0" distB="0" distL="0" distR="0" simplePos="0" relativeHeight="251659264" behindDoc="1" locked="0" layoutInCell="1" hidden="0" allowOverlap="1" wp14:anchorId="223115BF" wp14:editId="1E00CA07">
                <wp:simplePos x="0" y="0"/>
                <wp:positionH relativeFrom="column">
                  <wp:posOffset>-920746</wp:posOffset>
                </wp:positionH>
                <wp:positionV relativeFrom="paragraph">
                  <wp:posOffset>-908045</wp:posOffset>
                </wp:positionV>
                <wp:extent cx="10688320" cy="6870700"/>
                <wp:effectExtent l="0" t="0" r="17780" b="25400"/>
                <wp:wrapNone/>
                <wp:docPr id="1566670331" name="Rectangle 1566670331"/>
                <wp:cNvGraphicFramePr/>
                <a:graphic xmlns:a="http://schemas.openxmlformats.org/drawingml/2006/main">
                  <a:graphicData uri="http://schemas.microsoft.com/office/word/2010/wordprocessingShape">
                    <wps:wsp>
                      <wps:cNvSpPr/>
                      <wps:spPr>
                        <a:xfrm>
                          <a:off x="8190" y="351000"/>
                          <a:ext cx="10675620" cy="6858000"/>
                        </a:xfrm>
                        <a:prstGeom prst="rect">
                          <a:avLst/>
                        </a:prstGeom>
                        <a:solidFill>
                          <a:srgbClr val="7F7F7F">
                            <a:alpha val="45490"/>
                          </a:srgbClr>
                        </a:solidFill>
                        <a:ln w="12700" cap="flat" cmpd="sng">
                          <a:solidFill>
                            <a:srgbClr val="92D050"/>
                          </a:solidFill>
                          <a:prstDash val="solid"/>
                          <a:miter lim="800000"/>
                          <a:headEnd type="none" w="sm" len="sm"/>
                          <a:tailEnd type="none" w="sm" len="sm"/>
                        </a:ln>
                      </wps:spPr>
                      <wps:txbx>
                        <w:txbxContent>
                          <w:p w14:paraId="630D5E33" w14:textId="77777777" w:rsidR="00174C06" w:rsidRDefault="00174C06">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223115BF" id="Rectangle 1566670331" o:spid="_x0000_s1032" style="position:absolute;left:0;text-align:left;margin-left:-72.5pt;margin-top:-71.5pt;width:841.6pt;height:541pt;z-index:-251657216;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" fillcolor="#7f7f7f" strokecolor="#92d050" strokeweight="1pt">
                <v:fill opacity="29812f"/>
                <v:stroke startarrowwidth="narrow" startarrowlength="short" endarrowwidth="narrow" endarrowlength="short"/>
                <v:textbox inset="2.53958mm,2.53958mm,2.53958mm,2.53958mm">
                  <w:txbxContent>
                    <w:p w14:paraId="630D5E33" w14:textId="77777777" w:rsidR="00174C06" w:rsidRDefault="00174C06">
                      <w:pPr>
                        <w:spacing w:after="0" w:line="240" w:lineRule="auto"/>
                        <w:jc w:val="left"/>
                        <w:textDirection w:val="btLr"/>
                      </w:pPr>
                    </w:p>
                  </w:txbxContent>
                </v:textbox>
              </v:rect>
            </w:pict>
          </mc:Fallback>
        </mc:AlternateContent>
      </w:r>
      <w:r w:rsidRPr="00967454">
        <w:rPr>
          <w:noProof/>
        </w:rPr>
        <mc:AlternateContent>
          <mc:Choice Requires="wps">
            <w:drawing>
              <wp:anchor distT="45720" distB="45720" distL="114300" distR="114300" simplePos="0" relativeHeight="251660288" behindDoc="0" locked="0" layoutInCell="1" hidden="0" allowOverlap="1" wp14:anchorId="5B6736F5" wp14:editId="294F1D0C">
                <wp:simplePos x="0" y="0"/>
                <wp:positionH relativeFrom="column">
                  <wp:posOffset>765493</wp:posOffset>
                </wp:positionH>
                <wp:positionV relativeFrom="paragraph">
                  <wp:posOffset>-4760</wp:posOffset>
                </wp:positionV>
                <wp:extent cx="6555740" cy="1033780"/>
                <wp:effectExtent l="0" t="0" r="0" b="0"/>
                <wp:wrapSquare wrapText="bothSides" distT="45720" distB="45720" distL="114300" distR="114300"/>
                <wp:docPr id="1566670329" name="Rectangle 1566670329"/>
                <wp:cNvGraphicFramePr/>
                <a:graphic xmlns:a="http://schemas.openxmlformats.org/drawingml/2006/main">
                  <a:graphicData uri="http://schemas.microsoft.com/office/word/2010/wordprocessingShape">
                    <wps:wsp>
                      <wps:cNvSpPr/>
                      <wps:spPr>
                        <a:xfrm>
                          <a:off x="2072893" y="3267873"/>
                          <a:ext cx="6546215" cy="1024255"/>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AED0B11" w14:textId="77777777" w:rsidR="003053A2" w:rsidRDefault="00822331" w:rsidP="00CB7ED6">
                            <w:pPr>
                              <w:spacing w:line="258" w:lineRule="auto"/>
                              <w:jc w:val="center"/>
                              <w:textDirection w:val="btLr"/>
                              <w:rPr>
                                <w:rFonts w:ascii="Calibri" w:eastAsia="Calibri" w:hAnsi="Calibri" w:cs="Calibri"/>
                                <w:color w:val="000000"/>
                                <w:sz w:val="28"/>
                              </w:rPr>
                            </w:pPr>
                            <w:r>
                              <w:rPr>
                                <w:rFonts w:ascii="Calibri" w:eastAsia="Calibri" w:hAnsi="Calibri" w:cs="Calibri"/>
                                <w:b/>
                                <w:i/>
                                <w:color w:val="00B0F0"/>
                                <w:sz w:val="70"/>
                              </w:rPr>
                              <w:t>Pharmacy services</w:t>
                            </w:r>
                            <w:r w:rsidR="002A37C0">
                              <w:rPr>
                                <w:rFonts w:ascii="Calibri" w:eastAsia="Calibri" w:hAnsi="Calibri" w:cs="Calibri"/>
                                <w:b/>
                                <w:i/>
                                <w:color w:val="00B0F0"/>
                                <w:sz w:val="70"/>
                              </w:rPr>
                              <w:t xml:space="preserve"> </w:t>
                            </w:r>
                            <w:r w:rsidR="00B54F9E">
                              <w:rPr>
                                <w:rFonts w:ascii="Calibri" w:eastAsia="Calibri" w:hAnsi="Calibri" w:cs="Calibri"/>
                                <w:color w:val="000000"/>
                                <w:sz w:val="28"/>
                              </w:rPr>
                              <w:t>Ionela Velichi</w:t>
                            </w:r>
                            <w:r>
                              <w:rPr>
                                <w:rFonts w:ascii="Calibri" w:eastAsia="Calibri" w:hAnsi="Calibri" w:cs="Calibri"/>
                                <w:color w:val="000000"/>
                                <w:sz w:val="28"/>
                              </w:rPr>
                              <w:t>,</w:t>
                            </w:r>
                            <w:r w:rsidR="003053A2">
                              <w:rPr>
                                <w:rFonts w:ascii="Calibri" w:eastAsia="Calibri" w:hAnsi="Calibri" w:cs="Calibri"/>
                                <w:color w:val="000000"/>
                                <w:sz w:val="28"/>
                              </w:rPr>
                              <w:t xml:space="preserve"> </w:t>
                            </w:r>
                          </w:p>
                          <w:p w14:paraId="38DFC9FA" w14:textId="42CE31C4" w:rsidR="00174C06" w:rsidRPr="00CB7ED6" w:rsidRDefault="003053A2" w:rsidP="00CB7ED6">
                            <w:pPr>
                              <w:spacing w:line="258" w:lineRule="auto"/>
                              <w:jc w:val="center"/>
                              <w:textDirection w:val="btLr"/>
                              <w:rPr>
                                <w:rFonts w:ascii="Calibri" w:eastAsia="Calibri" w:hAnsi="Calibri" w:cs="Calibri"/>
                                <w:color w:val="000000"/>
                                <w:sz w:val="28"/>
                              </w:rPr>
                            </w:pPr>
                            <w:r>
                              <w:rPr>
                                <w:rFonts w:ascii="Calibri" w:eastAsia="Calibri" w:hAnsi="Calibri" w:cs="Calibri"/>
                                <w:color w:val="000000"/>
                                <w:sz w:val="28"/>
                              </w:rPr>
                              <w:t>Introduction to Health and Social Care</w:t>
                            </w:r>
                            <w:r w:rsidR="00822331">
                              <w:rPr>
                                <w:rFonts w:ascii="Calibri" w:eastAsia="Calibri" w:hAnsi="Calibri" w:cs="Calibri"/>
                                <w:color w:val="000000"/>
                                <w:sz w:val="28"/>
                              </w:rPr>
                              <w:t>,</w:t>
                            </w:r>
                            <w:r w:rsidR="00B54F9E">
                              <w:rPr>
                                <w:rFonts w:ascii="Calibri" w:eastAsia="Calibri" w:hAnsi="Calibri" w:cs="Calibri"/>
                                <w:color w:val="000000"/>
                                <w:sz w:val="28"/>
                              </w:rPr>
                              <w:t xml:space="preserve"> 2438802@student.uwtsd.ac.uk</w:t>
                            </w:r>
                            <w:r w:rsidR="00681681">
                              <w:rPr>
                                <w:rFonts w:ascii="Calibri" w:eastAsia="Calibri" w:hAnsi="Calibri" w:cs="Calibri"/>
                                <w:color w:val="000000"/>
                                <w:sz w:val="28"/>
                              </w:rPr>
                              <w:t>)</w:t>
                            </w:r>
                          </w:p>
                        </w:txbxContent>
                      </wps:txbx>
                      <wps:bodyPr spcFirstLastPara="1" wrap="square" lIns="91425" tIns="45700" rIns="91425" bIns="45700" anchor="t" anchorCtr="0">
                        <a:noAutofit/>
                      </wps:bodyPr>
                    </wps:wsp>
                  </a:graphicData>
                </a:graphic>
              </wp:anchor>
            </w:drawing>
          </mc:Choice>
          <mc:Fallback>
            <w:pict>
              <v:rect w14:anchorId="5B6736F5" id="Rectangle 1566670329" o:spid="_x0000_s1033" style="position:absolute;left:0;text-align:left;margin-left:60.3pt;margin-top:-.35pt;width:516.2pt;height:81.4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">
                <v:stroke startarrowwidth="narrow" startarrowlength="short" endarrowwidth="narrow" endarrowlength="short"/>
                <v:textbox inset="2.53958mm,1.2694mm,2.53958mm,1.2694mm">
                  <w:txbxContent>
                    <w:p w14:paraId="0AED0B11" w14:textId="77777777" w:rsidR="003053A2" w:rsidRDefault="00822331" w:rsidP="00CB7ED6">
                      <w:pPr>
                        <w:spacing w:line="258" w:lineRule="auto"/>
                        <w:jc w:val="center"/>
                        <w:textDirection w:val="btLr"/>
                        <w:rPr>
                          <w:rFonts w:ascii="Calibri" w:eastAsia="Calibri" w:hAnsi="Calibri" w:cs="Calibri"/>
                          <w:color w:val="000000"/>
                          <w:sz w:val="28"/>
                        </w:rPr>
                      </w:pPr>
                      <w:r>
                        <w:rPr>
                          <w:rFonts w:ascii="Calibri" w:eastAsia="Calibri" w:hAnsi="Calibri" w:cs="Calibri"/>
                          <w:b/>
                          <w:i/>
                          <w:color w:val="00B0F0"/>
                          <w:sz w:val="70"/>
                        </w:rPr>
                        <w:t>Pharmacy services</w:t>
                      </w:r>
                      <w:r w:rsidR="002A37C0">
                        <w:rPr>
                          <w:rFonts w:ascii="Calibri" w:eastAsia="Calibri" w:hAnsi="Calibri" w:cs="Calibri"/>
                          <w:b/>
                          <w:i/>
                          <w:color w:val="00B0F0"/>
                          <w:sz w:val="70"/>
                        </w:rPr>
                        <w:t xml:space="preserve"> </w:t>
                      </w:r>
                      <w:r w:rsidR="00B54F9E">
                        <w:rPr>
                          <w:rFonts w:ascii="Calibri" w:eastAsia="Calibri" w:hAnsi="Calibri" w:cs="Calibri"/>
                          <w:color w:val="000000"/>
                          <w:sz w:val="28"/>
                        </w:rPr>
                        <w:t>Ionela Velichi</w:t>
                      </w:r>
                      <w:r>
                        <w:rPr>
                          <w:rFonts w:ascii="Calibri" w:eastAsia="Calibri" w:hAnsi="Calibri" w:cs="Calibri"/>
                          <w:color w:val="000000"/>
                          <w:sz w:val="28"/>
                        </w:rPr>
                        <w:t>,</w:t>
                      </w:r>
                      <w:r w:rsidR="003053A2">
                        <w:rPr>
                          <w:rFonts w:ascii="Calibri" w:eastAsia="Calibri" w:hAnsi="Calibri" w:cs="Calibri"/>
                          <w:color w:val="000000"/>
                          <w:sz w:val="28"/>
                        </w:rPr>
                        <w:t xml:space="preserve"> </w:t>
                      </w:r>
                    </w:p>
                    <w:p w14:paraId="38DFC9FA" w14:textId="42CE31C4" w:rsidR="00174C06" w:rsidRPr="00CB7ED6" w:rsidRDefault="003053A2" w:rsidP="00CB7ED6">
                      <w:pPr>
                        <w:spacing w:line="258" w:lineRule="auto"/>
                        <w:jc w:val="center"/>
                        <w:textDirection w:val="btLr"/>
                        <w:rPr>
                          <w:rFonts w:ascii="Calibri" w:eastAsia="Calibri" w:hAnsi="Calibri" w:cs="Calibri"/>
                          <w:color w:val="000000"/>
                          <w:sz w:val="28"/>
                        </w:rPr>
                      </w:pPr>
                      <w:r>
                        <w:rPr>
                          <w:rFonts w:ascii="Calibri" w:eastAsia="Calibri" w:hAnsi="Calibri" w:cs="Calibri"/>
                          <w:color w:val="000000"/>
                          <w:sz w:val="28"/>
                        </w:rPr>
                        <w:t>Introduction to Health and Social Care</w:t>
                      </w:r>
                      <w:r w:rsidR="00822331">
                        <w:rPr>
                          <w:rFonts w:ascii="Calibri" w:eastAsia="Calibri" w:hAnsi="Calibri" w:cs="Calibri"/>
                          <w:color w:val="000000"/>
                          <w:sz w:val="28"/>
                        </w:rPr>
                        <w:t>,</w:t>
                      </w:r>
                      <w:r w:rsidR="00B54F9E">
                        <w:rPr>
                          <w:rFonts w:ascii="Calibri" w:eastAsia="Calibri" w:hAnsi="Calibri" w:cs="Calibri"/>
                          <w:color w:val="000000"/>
                          <w:sz w:val="28"/>
                        </w:rPr>
                        <w:t xml:space="preserve"> 2438802@student.uwtsd.ac.uk</w:t>
                      </w:r>
                      <w:r w:rsidR="00681681">
                        <w:rPr>
                          <w:rFonts w:ascii="Calibri" w:eastAsia="Calibri" w:hAnsi="Calibri" w:cs="Calibri"/>
                          <w:color w:val="000000"/>
                          <w:sz w:val="28"/>
                        </w:rPr>
                        <w:t>)</w:t>
                      </w:r>
                    </w:p>
                  </w:txbxContent>
                </v:textbox>
                <w10:wrap type="square"/>
              </v:rect>
            </w:pict>
          </mc:Fallback>
        </mc:AlternateContent>
      </w:r>
      <w:r w:rsidRPr="00967454">
        <w:rPr>
          <w:noProof/>
        </w:rPr>
        <mc:AlternateContent>
          <mc:Choice Requires="wps">
            <w:drawing>
              <wp:anchor distT="45720" distB="45720" distL="114300" distR="114300" simplePos="0" relativeHeight="251666432" behindDoc="0" locked="0" layoutInCell="1" hidden="0" allowOverlap="1" wp14:anchorId="64A05F81" wp14:editId="777CD4C4">
                <wp:simplePos x="0" y="0"/>
                <wp:positionH relativeFrom="column">
                  <wp:posOffset>7375525</wp:posOffset>
                </wp:positionH>
                <wp:positionV relativeFrom="paragraph">
                  <wp:posOffset>25402</wp:posOffset>
                </wp:positionV>
                <wp:extent cx="2233930" cy="998220"/>
                <wp:effectExtent l="0" t="0" r="0" b="0"/>
                <wp:wrapSquare wrapText="bothSides" distT="45720" distB="45720" distL="114300" distR="114300"/>
                <wp:docPr id="1566670325" name="Rectangle 1566670325"/>
                <wp:cNvGraphicFramePr/>
                <a:graphic xmlns:a="http://schemas.openxmlformats.org/drawingml/2006/main">
                  <a:graphicData uri="http://schemas.microsoft.com/office/word/2010/wordprocessingShape">
                    <wps:wsp>
                      <wps:cNvSpPr/>
                      <wps:spPr>
                        <a:xfrm>
                          <a:off x="0" y="0"/>
                          <a:ext cx="2233930" cy="998220"/>
                        </a:xfrm>
                        <a:prstGeom prst="rect">
                          <a:avLst/>
                        </a:prstGeom>
                        <a:solidFill>
                          <a:srgbClr val="FFFFFF"/>
                        </a:solidFill>
                        <a:ln w="44450" cap="flat" cmpd="sng">
                          <a:solidFill>
                            <a:schemeClr val="accent6">
                              <a:lumMod val="75000"/>
                            </a:schemeClr>
                          </a:solidFill>
                          <a:prstDash val="solid"/>
                          <a:miter lim="800000"/>
                          <a:headEnd type="none" w="sm" len="sm"/>
                          <a:tailEnd type="none" w="sm" len="sm"/>
                        </a:ln>
                      </wps:spPr>
                      <wps:txbx>
                        <w:txbxContent>
                          <w:p w14:paraId="48D87312" w14:textId="77777777" w:rsidR="004B7D90" w:rsidRPr="00EC3C53" w:rsidRDefault="00822331" w:rsidP="007A7CE1">
                            <w:pPr>
                              <w:spacing w:line="258" w:lineRule="auto"/>
                              <w:textDirection w:val="btLr"/>
                              <w:rPr>
                                <w:sz w:val="13"/>
                                <w:szCs w:val="13"/>
                                <w:lang w:val="en-IN"/>
                              </w:rPr>
                            </w:pPr>
                            <w:r>
                              <w:rPr>
                                <w:noProof/>
                              </w:rPr>
                              <w:drawing>
                                <wp:inline distT="0" distB="0" distL="0" distR="0" wp14:anchorId="6D55C4E7" wp14:editId="0E6FC04A">
                                  <wp:extent cx="2001982" cy="862330"/>
                                  <wp:effectExtent l="0" t="0" r="0" b="0"/>
                                  <wp:docPr id="1566670323" name="Picture 11" descr="UK HealthCare Pharmacy Service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HealthCare Pharmacy Services | LinkedIn"/>
                                          <pic:cNvPicPr>
                                            <a:picLocks noChangeAspect="1" noChangeArrowheads="1"/>
                                          </pic:cNvPicPr>
                                        </pic:nvPicPr>
                                        <pic:blipFill>
                                          <a:blip r:embed="rId18"/>
                                          <a:srcRect/>
                                          <a:stretch>
                                            <a:fillRect/>
                                          </a:stretch>
                                        </pic:blipFill>
                                        <pic:spPr bwMode="auto">
                                          <a:xfrm>
                                            <a:off x="0" y="0"/>
                                            <a:ext cx="2005333" cy="863773"/>
                                          </a:xfrm>
                                          <a:prstGeom prst="rect">
                                            <a:avLst/>
                                          </a:prstGeom>
                                          <a:noFill/>
                                          <a:ln>
                                            <a:noFill/>
                                          </a:ln>
                                        </pic:spPr>
                                      </pic:pic>
                                    </a:graphicData>
                                  </a:graphic>
                                </wp:inline>
                              </w:drawing>
                            </w:r>
                          </w:p>
                        </w:txbxContent>
                      </wps:txbx>
                      <wps:bodyPr spcFirstLastPara="1" wrap="square" lIns="91425" tIns="45700" rIns="91425" bIns="45700" anchor="t" anchorCtr="0">
                        <a:noAutofit/>
                      </wps:bodyPr>
                    </wps:wsp>
                  </a:graphicData>
                </a:graphic>
              </wp:anchor>
            </w:drawing>
          </mc:Choice>
          <mc:Fallback>
            <w:pict>
              <v:rect w14:anchorId="64A05F81" id="Rectangle 1566670325" o:spid="_x0000_s1034" style="position:absolute;left:0;text-align:left;margin-left:580.75pt;margin-top:2pt;width:175.9pt;height:78.6pt;z-index:25166643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" strokecolor="#e36c0a [2409]" strokeweight="3.5pt">
                <v:stroke startarrowwidth="narrow" startarrowlength="short" endarrowwidth="narrow" endarrowlength="short"/>
                <v:textbox inset="2.53958mm,1.2694mm,2.53958mm,1.2694mm">
                  <w:txbxContent>
                    <w:p w14:paraId="48D87312" w14:textId="77777777" w:rsidR="004B7D90" w:rsidRPr="00EC3C53" w:rsidRDefault="00822331" w:rsidP="007A7CE1">
                      <w:pPr>
                        <w:spacing w:line="258" w:lineRule="auto"/>
                        <w:textDirection w:val="btLr"/>
                        <w:rPr>
                          <w:sz w:val="13"/>
                          <w:szCs w:val="13"/>
                          <w:lang w:val="en-IN"/>
                        </w:rPr>
                      </w:pPr>
                      <w:r>
                        <w:rPr>
                          <w:noProof/>
                        </w:rPr>
                        <w:drawing>
                          <wp:inline distT="0" distB="0" distL="0" distR="0" wp14:anchorId="6D55C4E7" wp14:editId="0E6FC04A">
                            <wp:extent cx="2001982" cy="862330"/>
                            <wp:effectExtent l="0" t="0" r="0" b="0"/>
                            <wp:docPr id="1566670323" name="Picture 11" descr="UK HealthCare Pharmacy Service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HealthCare Pharmacy Services | LinkedIn"/>
                                    <pic:cNvPicPr>
                                      <a:picLocks noChangeAspect="1" noChangeArrowheads="1"/>
                                    </pic:cNvPicPr>
                                  </pic:nvPicPr>
                                  <pic:blipFill>
                                    <a:blip r:embed="rId18"/>
                                    <a:srcRect/>
                                    <a:stretch>
                                      <a:fillRect/>
                                    </a:stretch>
                                  </pic:blipFill>
                                  <pic:spPr bwMode="auto">
                                    <a:xfrm>
                                      <a:off x="0" y="0"/>
                                      <a:ext cx="2005333" cy="863773"/>
                                    </a:xfrm>
                                    <a:prstGeom prst="rect">
                                      <a:avLst/>
                                    </a:prstGeom>
                                    <a:noFill/>
                                    <a:ln>
                                      <a:noFill/>
                                    </a:ln>
                                  </pic:spPr>
                                </pic:pic>
                              </a:graphicData>
                            </a:graphic>
                          </wp:inline>
                        </w:drawing>
                      </w:r>
                    </w:p>
                  </w:txbxContent>
                </v:textbox>
                <w10:wrap type="square"/>
              </v:rect>
            </w:pict>
          </mc:Fallback>
        </mc:AlternateContent>
      </w:r>
      <w:r w:rsidRPr="00967454">
        <w:rPr>
          <w:noProof/>
        </w:rPr>
        <mc:AlternateContent>
          <mc:Choice Requires="wps">
            <w:drawing>
              <wp:anchor distT="45720" distB="45720" distL="114300" distR="114300" simplePos="0" relativeHeight="251667456" behindDoc="0" locked="0" layoutInCell="1" hidden="0" allowOverlap="1" wp14:anchorId="0AFB5B8B" wp14:editId="67F38C2E">
                <wp:simplePos x="0" y="0"/>
                <wp:positionH relativeFrom="column">
                  <wp:posOffset>-729613</wp:posOffset>
                </wp:positionH>
                <wp:positionV relativeFrom="paragraph">
                  <wp:posOffset>19052</wp:posOffset>
                </wp:positionV>
                <wp:extent cx="1442085" cy="998220"/>
                <wp:effectExtent l="0" t="0" r="0" b="0"/>
                <wp:wrapSquare wrapText="bothSides" distT="45720" distB="45720" distL="114300" distR="114300"/>
                <wp:docPr id="1566670324" name="Rectangle 1566670324"/>
                <wp:cNvGraphicFramePr/>
                <a:graphic xmlns:a="http://schemas.openxmlformats.org/drawingml/2006/main">
                  <a:graphicData uri="http://schemas.microsoft.com/office/word/2010/wordprocessingShape">
                    <wps:wsp>
                      <wps:cNvSpPr/>
                      <wps:spPr>
                        <a:xfrm>
                          <a:off x="0" y="0"/>
                          <a:ext cx="1442085" cy="998220"/>
                        </a:xfrm>
                        <a:prstGeom prst="rect">
                          <a:avLst/>
                        </a:prstGeom>
                        <a:solidFill>
                          <a:srgbClr val="FFFFFF"/>
                        </a:solidFill>
                        <a:ln w="44450" cap="flat" cmpd="sng">
                          <a:solidFill>
                            <a:schemeClr val="accent6">
                              <a:lumMod val="75000"/>
                            </a:schemeClr>
                          </a:solidFill>
                          <a:prstDash val="solid"/>
                          <a:miter lim="800000"/>
                          <a:headEnd type="none" w="sm" len="sm"/>
                          <a:tailEnd type="none" w="sm" len="sm"/>
                        </a:ln>
                      </wps:spPr>
                      <wps:txbx>
                        <w:txbxContent>
                          <w:p w14:paraId="0AFADB0F" w14:textId="77777777" w:rsidR="004B7D90" w:rsidRPr="00835B82" w:rsidRDefault="00822331" w:rsidP="007A7CE1">
                            <w:pPr>
                              <w:spacing w:line="258" w:lineRule="auto"/>
                              <w:textDirection w:val="btLr"/>
                              <w:rPr>
                                <w:sz w:val="13"/>
                                <w:szCs w:val="13"/>
                              </w:rPr>
                            </w:pPr>
                            <w:r>
                              <w:rPr>
                                <w:noProof/>
                              </w:rPr>
                              <w:drawing>
                                <wp:inline distT="0" distB="0" distL="0" distR="0" wp14:anchorId="70309FC9" wp14:editId="146ED81C">
                                  <wp:extent cx="1205345" cy="824230"/>
                                  <wp:effectExtent l="0" t="0" r="0" b="0"/>
                                  <wp:docPr id="1363155373" name="Picture 10" descr="Financial challenges facing UK Pharmacies in 2025: Navigating funding cuts  and rising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nancial challenges facing UK Pharmacies in 2025: Navigating funding cuts  and rising costs"/>
                                          <pic:cNvPicPr>
                                            <a:picLocks noChangeAspect="1" noChangeArrowheads="1"/>
                                          </pic:cNvPicPr>
                                        </pic:nvPicPr>
                                        <pic:blipFill>
                                          <a:blip r:embed="rId19"/>
                                          <a:srcRect/>
                                          <a:stretch>
                                            <a:fillRect/>
                                          </a:stretch>
                                        </pic:blipFill>
                                        <pic:spPr bwMode="auto">
                                          <a:xfrm>
                                            <a:off x="0" y="0"/>
                                            <a:ext cx="1214840" cy="830723"/>
                                          </a:xfrm>
                                          <a:prstGeom prst="rect">
                                            <a:avLst/>
                                          </a:prstGeom>
                                          <a:noFill/>
                                          <a:ln>
                                            <a:noFill/>
                                          </a:ln>
                                        </pic:spPr>
                                      </pic:pic>
                                    </a:graphicData>
                                  </a:graphic>
                                </wp:inline>
                              </w:drawing>
                            </w:r>
                          </w:p>
                        </w:txbxContent>
                      </wps:txbx>
                      <wps:bodyPr spcFirstLastPara="1" wrap="square" lIns="91425" tIns="45700" rIns="91425" bIns="45700" anchor="t" anchorCtr="0">
                        <a:noAutofit/>
                      </wps:bodyPr>
                    </wps:wsp>
                  </a:graphicData>
                </a:graphic>
              </wp:anchor>
            </w:drawing>
          </mc:Choice>
          <mc:Fallback>
            <w:pict>
              <v:rect w14:anchorId="0AFB5B8B" id="Rectangle 1566670324" o:spid="_x0000_s1035" style="position:absolute;left:0;text-align:left;margin-left:-57.45pt;margin-top:1.5pt;width:113.55pt;height:78.6pt;z-index:25166745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" strokecolor="#e36c0a [2409]" strokeweight="3.5pt">
                <v:stroke startarrowwidth="narrow" startarrowlength="short" endarrowwidth="narrow" endarrowlength="short"/>
                <v:textbox inset="2.53958mm,1.2694mm,2.53958mm,1.2694mm">
                  <w:txbxContent>
                    <w:p w14:paraId="0AFADB0F" w14:textId="77777777" w:rsidR="004B7D90" w:rsidRPr="00835B82" w:rsidRDefault="00822331" w:rsidP="007A7CE1">
                      <w:pPr>
                        <w:spacing w:line="258" w:lineRule="auto"/>
                        <w:textDirection w:val="btLr"/>
                        <w:rPr>
                          <w:sz w:val="13"/>
                          <w:szCs w:val="13"/>
                        </w:rPr>
                      </w:pPr>
                      <w:r>
                        <w:rPr>
                          <w:noProof/>
                        </w:rPr>
                        <w:drawing>
                          <wp:inline distT="0" distB="0" distL="0" distR="0" wp14:anchorId="70309FC9" wp14:editId="146ED81C">
                            <wp:extent cx="1205345" cy="824230"/>
                            <wp:effectExtent l="0" t="0" r="0" b="0"/>
                            <wp:docPr id="1363155373" name="Picture 10" descr="Financial challenges facing UK Pharmacies in 2025: Navigating funding cuts  and rising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nancial challenges facing UK Pharmacies in 2025: Navigating funding cuts  and rising costs"/>
                                    <pic:cNvPicPr>
                                      <a:picLocks noChangeAspect="1" noChangeArrowheads="1"/>
                                    </pic:cNvPicPr>
                                  </pic:nvPicPr>
                                  <pic:blipFill>
                                    <a:blip r:embed="rId19"/>
                                    <a:srcRect/>
                                    <a:stretch>
                                      <a:fillRect/>
                                    </a:stretch>
                                  </pic:blipFill>
                                  <pic:spPr bwMode="auto">
                                    <a:xfrm>
                                      <a:off x="0" y="0"/>
                                      <a:ext cx="1214840" cy="830723"/>
                                    </a:xfrm>
                                    <a:prstGeom prst="rect">
                                      <a:avLst/>
                                    </a:prstGeom>
                                    <a:noFill/>
                                    <a:ln>
                                      <a:noFill/>
                                    </a:ln>
                                  </pic:spPr>
                                </pic:pic>
                              </a:graphicData>
                            </a:graphic>
                          </wp:inline>
                        </w:drawing>
                      </w:r>
                    </w:p>
                  </w:txbxContent>
                </v:textbox>
                <w10:wrap type="square"/>
              </v:rect>
            </w:pict>
          </mc:Fallback>
        </mc:AlternateContent>
      </w:r>
    </w:p>
    <w:p w14:paraId="0130825F" w14:textId="77777777" w:rsidR="00174C06" w:rsidRPr="00967454" w:rsidRDefault="00822331">
      <w:pPr>
        <w:pStyle w:val="Heading1"/>
      </w:pPr>
      <w:bookmarkStart w:id="1" w:name="_heading=h.p0po01fiki27" w:colFirst="0" w:colLast="0"/>
      <w:bookmarkStart w:id="2" w:name="_Toc212756242"/>
      <w:bookmarkEnd w:id="1"/>
      <w:r w:rsidRPr="00967454">
        <w:lastRenderedPageBreak/>
        <w:t>Element 2</w:t>
      </w:r>
      <w:bookmarkEnd w:id="2"/>
    </w:p>
    <w:p w14:paraId="2E9736D4" w14:textId="77777777" w:rsidR="00174C06" w:rsidRPr="00967454" w:rsidRDefault="00822331">
      <w:bookmarkStart w:id="3" w:name="_heading=h.pw3q0s66rm4q" w:colFirst="0" w:colLast="0"/>
      <w:bookmarkEnd w:id="3"/>
      <w:r w:rsidRPr="00967454">
        <w:t>The National Health Service (NHS) is among the greatest social changes in British history and it represents one of the strongest signs of the entity to healthcare being a universal right instead of a privilege. The NHS was established in 1948 based on the principles of equality, universality and holistic care (UK Government, 2023). This essay will look at the origins of the NHS, historical forces that led to its creation and critically look at the modern structure and functioning of the NHS.</w:t>
      </w:r>
    </w:p>
    <w:p w14:paraId="1A129EE2" w14:textId="25A37E11" w:rsidR="00174C06" w:rsidRPr="00967454" w:rsidRDefault="00B44B57">
      <w:bookmarkStart w:id="4" w:name="_heading=h.ypk45ytc0p5s" w:colFirst="0" w:colLast="0"/>
      <w:bookmarkEnd w:id="4"/>
      <w:r w:rsidRPr="00967454">
        <w:t xml:space="preserve">In the year of 1948 the foundation of in ages in the universal healthcare access significantly changes the Integrated Care System, while in the year of 2020 the Integration of Health and Social Care Act significantly restructured the NHS services with the help of providing more control to </w:t>
      </w:r>
      <w:r w:rsidR="005C21C7">
        <w:t>C</w:t>
      </w:r>
      <w:r w:rsidRPr="00967454">
        <w:t xml:space="preserve">linical </w:t>
      </w:r>
      <w:r w:rsidR="005C21C7">
        <w:t>C</w:t>
      </w:r>
      <w:r w:rsidRPr="00967454">
        <w:t xml:space="preserve">ommissioning </w:t>
      </w:r>
      <w:r w:rsidR="005C21C7">
        <w:t>G</w:t>
      </w:r>
      <w:r w:rsidRPr="00967454">
        <w:t>roups</w:t>
      </w:r>
      <w:r w:rsidR="005C21C7">
        <w:t xml:space="preserve"> (CCG)</w:t>
      </w:r>
      <w:r w:rsidRPr="00967454">
        <w:t>.</w:t>
      </w:r>
      <w:r w:rsidR="005C21C7">
        <w:t xml:space="preserve"> </w:t>
      </w:r>
      <w:r w:rsidR="005C21C7" w:rsidRPr="003053A2">
        <w:rPr>
          <w:color w:val="000000" w:themeColor="text1"/>
        </w:rPr>
        <w:t xml:space="preserve">At the same time, integration of the </w:t>
      </w:r>
      <w:r w:rsidR="00E45ECC" w:rsidRPr="003053A2">
        <w:rPr>
          <w:color w:val="000000" w:themeColor="text1"/>
        </w:rPr>
        <w:t>Health</w:t>
      </w:r>
      <w:r w:rsidR="005C21C7" w:rsidRPr="003053A2">
        <w:rPr>
          <w:color w:val="000000" w:themeColor="text1"/>
        </w:rPr>
        <w:t xml:space="preserve"> and Social care act 2012 helps to abolish the strategic health authorities and primary care trusts associated with CCGs (Bramwell </w:t>
      </w:r>
      <w:r w:rsidR="005C21C7" w:rsidRPr="003053A2">
        <w:rPr>
          <w:i/>
          <w:iCs/>
          <w:color w:val="000000" w:themeColor="text1"/>
        </w:rPr>
        <w:t>et al.</w:t>
      </w:r>
      <w:r w:rsidR="005C21C7" w:rsidRPr="003053A2">
        <w:rPr>
          <w:color w:val="000000" w:themeColor="text1"/>
        </w:rPr>
        <w:t xml:space="preserve"> 2023).</w:t>
      </w:r>
      <w:r w:rsidRPr="003053A2">
        <w:rPr>
          <w:color w:val="000000" w:themeColor="text1"/>
        </w:rPr>
        <w:t xml:space="preserve"> </w:t>
      </w:r>
      <w:r w:rsidRPr="00967454">
        <w:t>Prior to the NHS, healthcare services in Britain were divided and thus mostly relied on income or charity (Bowles et al., 2023). The poor depended on hospitals and voluntary institutions in their local authorities, and the rich could afford personal medication. An early move towards a socialised medicine came in 1911 with the Liberal government introducing the National Insurance Act which provided some healthcare to working men by a contributory scheme. Nonetheless, the system left out dependents, unemployed and a large proportion of the population, meaning that many people did not get an opportunity to get proper medical care. The architect of the NHS was Aneurin Bevan, the Labour Minister of Health of Clement Attlee in his post-war government (Temple, 2022). Bevan managed to pass the National Health Service Act of 1946 successfully despite its intense opposition by the other segments of the medical profession and the conservative party. On 5 July 1948, the NHS officially opened and addressed the needs of all people, be free at point of delivery and be founded on clinical need and not on financial capacity to pay (Powell and Williams, 2024). This was a groundbreaking model which reestablished the relationship between the state and the citizenry.</w:t>
      </w:r>
    </w:p>
    <w:p w14:paraId="7DC67B36" w14:textId="5F338EA5" w:rsidR="00174C06" w:rsidRPr="00967454" w:rsidRDefault="00822331">
      <w:bookmarkStart w:id="5" w:name="_heading=h.4131oe50zmpl" w:colFirst="0" w:colLast="0"/>
      <w:bookmarkEnd w:id="5"/>
      <w:r w:rsidRPr="00967454">
        <w:t>The NHS is a devolved organisation today, and it is due to the fact that healthcare services are managed independently in England, Scotland, Wales, and Northern Ireland (Instituteforgovernment, 2021). All the systems work under the principles set under 1948 yet they differ in administrative systems. In England, the NHS is managed by the department of health and social care, which formulates policy an</w:t>
      </w:r>
      <w:r w:rsidR="00BE5789">
        <w:t>d</w:t>
      </w:r>
      <w:r w:rsidRPr="00967454">
        <w:t xml:space="preserve"> provides funds. NHS England is the body that plans and commissions services with the Integrated Care Systems (ICSs) organising the services in localities (NHS England, 2023). </w:t>
      </w:r>
      <w:r w:rsidR="00B44B57" w:rsidRPr="00967454">
        <w:t>In this regard, the f</w:t>
      </w:r>
      <w:r w:rsidRPr="00967454">
        <w:t xml:space="preserve">unds contributing to the </w:t>
      </w:r>
      <w:r w:rsidR="00B44B57" w:rsidRPr="00967454">
        <w:t>Integrated Care s</w:t>
      </w:r>
      <w:r w:rsidRPr="00967454">
        <w:t xml:space="preserve">ystem are the </w:t>
      </w:r>
      <w:r w:rsidR="00B44B57" w:rsidRPr="00967454">
        <w:t>small percentage</w:t>
      </w:r>
      <w:r w:rsidRPr="00967454">
        <w:t xml:space="preserve"> of funding is done by National Insurance.</w:t>
      </w:r>
      <w:r w:rsidR="00B44B57" w:rsidRPr="00967454">
        <w:t xml:space="preserve"> </w:t>
      </w:r>
      <w:r w:rsidR="00E94403" w:rsidRPr="00967454">
        <w:lastRenderedPageBreak/>
        <w:t>Therefore,</w:t>
      </w:r>
      <w:r w:rsidR="00B44B57" w:rsidRPr="00967454">
        <w:t xml:space="preserve"> the Integrated Care Board (ICB) within the NHS focuses on planning and managing health care services specifically in local areas. At the same time </w:t>
      </w:r>
      <w:r w:rsidR="00E94403" w:rsidRPr="00967454">
        <w:t>I</w:t>
      </w:r>
      <w:r w:rsidR="00B44B57" w:rsidRPr="00967454">
        <w:t xml:space="preserve">ntegrated </w:t>
      </w:r>
      <w:r w:rsidR="00E94403" w:rsidRPr="00967454">
        <w:t>C</w:t>
      </w:r>
      <w:r w:rsidR="00B44B57" w:rsidRPr="00967454">
        <w:t xml:space="preserve">are </w:t>
      </w:r>
      <w:r w:rsidR="00E94403" w:rsidRPr="00967454">
        <w:t>P</w:t>
      </w:r>
      <w:r w:rsidR="00B44B57" w:rsidRPr="00967454">
        <w:t>artnerships (ICP) of NHS with local council and other communities helps to improve public health.</w:t>
      </w:r>
      <w:r w:rsidRPr="00967454">
        <w:t xml:space="preserve"> The provision of services is done through a combination of the NHS Trusts, General Practitioners (GPs), as well as community health organisations (Bi and Liu, 2023). The NHS experiences severe challenges even though it has been successful over the years. Increased financial pressures have been brought about by the growing demand, which is influenced by an ageing population and improvements in medical technology. The system has also been worsened by shortages of workforce, long queues, and inequalities in access and outcomes across regions. Gräf and Schmalz (2023) have said that market-oriented reforms, which have been implemented since the 1990s in a focus of competition, efficiency and involvement of the private sector, have been welcomed as well as criticised. Proponents believe that with such reforms, innovation and accountability will be promoted, whereas opponents feel that such reforms do not serve the original intent behind the NHS, which was to foster equality and service to the people.</w:t>
      </w:r>
    </w:p>
    <w:p w14:paraId="1FC8D05A" w14:textId="07612985" w:rsidR="00174C06" w:rsidRPr="00967454" w:rsidRDefault="00822331">
      <w:pPr>
        <w:sectPr w:rsidR="00174C06" w:rsidRPr="00967454">
          <w:pgSz w:w="11906" w:h="16838"/>
          <w:pgMar w:top="1440" w:right="1440" w:bottom="1440" w:left="1440" w:header="708" w:footer="708" w:gutter="0"/>
          <w:cols w:space="720"/>
        </w:sectPr>
      </w:pPr>
      <w:bookmarkStart w:id="6" w:name="_heading=h.jii3184m6o7x" w:colFirst="0" w:colLast="0"/>
      <w:bookmarkEnd w:id="6"/>
      <w:r w:rsidRPr="00967454">
        <w:t xml:space="preserve">The NHS was formed as the result of social change and reflects the post-war idea of mutual good and equality. It is based on the idea that healthcare is a human right and it has given generations of British people access to healthcare services universally. In order to maintain the original values, the policymakers need to strike a balance between efficiency and equity and redesign its structure to correspond to the needs of the changing society. The NHS is not just a British institution but also a challenge to the level of </w:t>
      </w:r>
      <w:r w:rsidRPr="003053A2">
        <w:rPr>
          <w:color w:val="000000" w:themeColor="text1"/>
        </w:rPr>
        <w:t>social justice in 21st century Britain</w:t>
      </w:r>
      <w:r w:rsidR="00B44B57" w:rsidRPr="003053A2">
        <w:rPr>
          <w:color w:val="000000" w:themeColor="text1"/>
        </w:rPr>
        <w:t xml:space="preserve"> which specifically refers to the fairness in accessing healthcare services based on the need of individuals rather than paying ability of them.</w:t>
      </w:r>
    </w:p>
    <w:p w14:paraId="75EDCE2E" w14:textId="77777777" w:rsidR="00174C06" w:rsidRPr="00967454" w:rsidRDefault="00822331">
      <w:pPr>
        <w:pStyle w:val="Heading1"/>
      </w:pPr>
      <w:bookmarkStart w:id="7" w:name="_heading=h.74r8yxc03e66" w:colFirst="0" w:colLast="0"/>
      <w:bookmarkStart w:id="8" w:name="_Toc212756247"/>
      <w:bookmarkEnd w:id="7"/>
      <w:r w:rsidRPr="00967454">
        <w:lastRenderedPageBreak/>
        <w:t>References</w:t>
      </w:r>
      <w:bookmarkEnd w:id="8"/>
    </w:p>
    <w:p w14:paraId="7DD6DDAD" w14:textId="77777777" w:rsidR="00D97177" w:rsidRPr="00967454" w:rsidRDefault="00D97177">
      <w:pPr>
        <w:spacing w:before="200" w:after="0"/>
        <w:rPr>
          <w:highlight w:val="white"/>
        </w:rPr>
      </w:pPr>
      <w:r w:rsidRPr="00967454">
        <w:rPr>
          <w:highlight w:val="white"/>
        </w:rPr>
        <w:t xml:space="preserve">Anderson, C., and Sharma, R. (2020) ‘Primary health care policy and vision for community pharmacy and pharmacists in England’. </w:t>
      </w:r>
      <w:r w:rsidRPr="00967454">
        <w:rPr>
          <w:i/>
          <w:highlight w:val="white"/>
        </w:rPr>
        <w:t>Pharmacy Practice (Internet)</w:t>
      </w:r>
      <w:r w:rsidRPr="00967454">
        <w:rPr>
          <w:highlight w:val="white"/>
        </w:rPr>
        <w:t xml:space="preserve">, </w:t>
      </w:r>
      <w:r w:rsidRPr="00967454">
        <w:rPr>
          <w:i/>
          <w:highlight w:val="white"/>
        </w:rPr>
        <w:t>18</w:t>
      </w:r>
      <w:r w:rsidRPr="00967454">
        <w:rPr>
          <w:highlight w:val="white"/>
        </w:rPr>
        <w:t>(1), 1870.</w:t>
      </w:r>
    </w:p>
    <w:p w14:paraId="370328B7" w14:textId="77777777" w:rsidR="00D97177" w:rsidRPr="00967454" w:rsidRDefault="00D97177">
      <w:pPr>
        <w:spacing w:before="200" w:after="0"/>
        <w:rPr>
          <w:highlight w:val="white"/>
        </w:rPr>
      </w:pPr>
      <w:r w:rsidRPr="00967454">
        <w:rPr>
          <w:highlight w:val="white"/>
        </w:rPr>
        <w:t>Aronson, J.K. and Ferner, R.E., (2017) ‘Unlicensed and off</w:t>
      </w:r>
      <w:r w:rsidRPr="00967454">
        <w:rPr>
          <w:rFonts w:ascii="Cambria Math" w:eastAsia="Times New Roman" w:hAnsi="Cambria Math" w:cs="Cambria Math"/>
          <w:highlight w:val="white"/>
        </w:rPr>
        <w:t>‐</w:t>
      </w:r>
      <w:r w:rsidRPr="00967454">
        <w:rPr>
          <w:highlight w:val="white"/>
        </w:rPr>
        <w:t xml:space="preserve">label uses of medicines: definitions and clarification of terminology’. </w:t>
      </w:r>
      <w:r w:rsidRPr="00967454">
        <w:rPr>
          <w:i/>
          <w:highlight w:val="white"/>
        </w:rPr>
        <w:t>British Journal of Clinical Pharmacology</w:t>
      </w:r>
      <w:r w:rsidRPr="00967454">
        <w:rPr>
          <w:highlight w:val="white"/>
        </w:rPr>
        <w:t xml:space="preserve">, </w:t>
      </w:r>
      <w:r w:rsidRPr="00967454">
        <w:rPr>
          <w:i/>
          <w:highlight w:val="white"/>
        </w:rPr>
        <w:t>83</w:t>
      </w:r>
      <w:r w:rsidRPr="00967454">
        <w:rPr>
          <w:highlight w:val="white"/>
        </w:rPr>
        <w:t>(12), pp.2615-2625.</w:t>
      </w:r>
    </w:p>
    <w:p w14:paraId="0F3DB97E" w14:textId="77777777" w:rsidR="00D97177" w:rsidRPr="00967454" w:rsidRDefault="00D97177">
      <w:pPr>
        <w:spacing w:before="200" w:after="0"/>
        <w:rPr>
          <w:highlight w:val="white"/>
        </w:rPr>
      </w:pPr>
      <w:r w:rsidRPr="00967454">
        <w:rPr>
          <w:highlight w:val="white"/>
        </w:rPr>
        <w:t xml:space="preserve">Aziza, F.N., (2022) ‘Review and Comparison of Food Drug Administration (FDA) and Medicines and Healthcare products Regulatory Agency (MHRA) on Good Manufacturing Practice (GMP) Implementation’. </w:t>
      </w:r>
      <w:r w:rsidRPr="00967454">
        <w:rPr>
          <w:i/>
          <w:highlight w:val="white"/>
        </w:rPr>
        <w:t>Majalah Farmaseutik</w:t>
      </w:r>
      <w:r w:rsidRPr="00967454">
        <w:rPr>
          <w:highlight w:val="white"/>
        </w:rPr>
        <w:t xml:space="preserve">, </w:t>
      </w:r>
      <w:r w:rsidRPr="00967454">
        <w:rPr>
          <w:i/>
          <w:highlight w:val="white"/>
        </w:rPr>
        <w:t>18</w:t>
      </w:r>
      <w:r w:rsidRPr="00967454">
        <w:rPr>
          <w:highlight w:val="white"/>
        </w:rPr>
        <w:t>(2), pp.236-240.</w:t>
      </w:r>
    </w:p>
    <w:p w14:paraId="4E01D56A" w14:textId="77777777" w:rsidR="00D97177" w:rsidRPr="00967454" w:rsidRDefault="00D97177">
      <w:pPr>
        <w:spacing w:before="200" w:after="0"/>
        <w:rPr>
          <w:highlight w:val="white"/>
        </w:rPr>
      </w:pPr>
      <w:r w:rsidRPr="00967454">
        <w:rPr>
          <w:highlight w:val="white"/>
        </w:rPr>
        <w:t xml:space="preserve">Bi, Y.N. and Liu, Y.A., (2023) ‘GPs in UK: From health gatekeepers in primary care to health agents in primary health care’. </w:t>
      </w:r>
      <w:r w:rsidRPr="00967454">
        <w:rPr>
          <w:i/>
          <w:highlight w:val="white"/>
        </w:rPr>
        <w:t>Risk Management and Healthcare Policy</w:t>
      </w:r>
      <w:r w:rsidRPr="00967454">
        <w:rPr>
          <w:highlight w:val="white"/>
        </w:rPr>
        <w:t>, pp.1929-1939.</w:t>
      </w:r>
    </w:p>
    <w:p w14:paraId="376517A7" w14:textId="77777777" w:rsidR="00D97177" w:rsidRPr="00967454" w:rsidRDefault="00D97177">
      <w:pPr>
        <w:spacing w:before="200" w:after="0"/>
        <w:rPr>
          <w:highlight w:val="white"/>
        </w:rPr>
      </w:pPr>
      <w:r w:rsidRPr="00967454">
        <w:rPr>
          <w:highlight w:val="white"/>
        </w:rPr>
        <w:t xml:space="preserve">Bowles, J., Clifford, D. and Mohan, J., (2023) ‘The place of charity in a public health service: inequality and persistence in charitable support for NHS Trusts in England’. </w:t>
      </w:r>
      <w:r w:rsidRPr="00967454">
        <w:rPr>
          <w:i/>
          <w:highlight w:val="white"/>
        </w:rPr>
        <w:t>Social Science &amp; Medicine</w:t>
      </w:r>
      <w:r w:rsidRPr="00967454">
        <w:rPr>
          <w:highlight w:val="white"/>
        </w:rPr>
        <w:t xml:space="preserve">, </w:t>
      </w:r>
      <w:r w:rsidRPr="00967454">
        <w:rPr>
          <w:i/>
          <w:highlight w:val="white"/>
        </w:rPr>
        <w:t>322</w:t>
      </w:r>
      <w:r w:rsidRPr="00967454">
        <w:rPr>
          <w:highlight w:val="white"/>
        </w:rPr>
        <w:t>, p.115805.</w:t>
      </w:r>
    </w:p>
    <w:p w14:paraId="3C493AD5" w14:textId="77777777" w:rsidR="00D97177" w:rsidRPr="003053A2" w:rsidRDefault="00D97177">
      <w:pPr>
        <w:spacing w:before="200" w:after="0"/>
        <w:rPr>
          <w:color w:val="000000" w:themeColor="text1"/>
        </w:rPr>
      </w:pPr>
      <w:r w:rsidRPr="003053A2">
        <w:rPr>
          <w:color w:val="000000" w:themeColor="text1"/>
        </w:rPr>
        <w:t>Bramwell, D., Checkland, K., Shields, J. and Allen, P., 2023. 2010–2015: The Health and Social Care Act, NHS fragmentation. In </w:t>
      </w:r>
      <w:r w:rsidRPr="003053A2">
        <w:rPr>
          <w:i/>
          <w:iCs/>
          <w:color w:val="000000" w:themeColor="text1"/>
        </w:rPr>
        <w:t>Community Nursing Services in England: An Historical Policy Analysis</w:t>
      </w:r>
      <w:r w:rsidRPr="003053A2">
        <w:rPr>
          <w:color w:val="000000" w:themeColor="text1"/>
        </w:rPr>
        <w:t> (pp. 75-82). Cham: Springer International Publishing.</w:t>
      </w:r>
    </w:p>
    <w:p w14:paraId="6062DD10" w14:textId="77777777" w:rsidR="00D97177" w:rsidRPr="00967454" w:rsidRDefault="00D97177">
      <w:pPr>
        <w:spacing w:before="200" w:after="0"/>
        <w:rPr>
          <w:highlight w:val="white"/>
        </w:rPr>
      </w:pPr>
      <w:r w:rsidRPr="00967454">
        <w:rPr>
          <w:highlight w:val="white"/>
        </w:rPr>
        <w:t>Fovargue, S. and Neal, M., (2021) ‘Pharmacists' perception of ethical conflict and professional guidance in light of the revised General Pharmaceutical Council Standards of Conduct, Ethics and Performance’.</w:t>
      </w:r>
    </w:p>
    <w:p w14:paraId="4BC786EE" w14:textId="77777777" w:rsidR="00D97177" w:rsidRPr="00967454" w:rsidRDefault="00D97177">
      <w:pPr>
        <w:spacing w:before="200" w:after="0"/>
        <w:rPr>
          <w:sz w:val="20"/>
          <w:szCs w:val="20"/>
        </w:rPr>
      </w:pPr>
      <w:r w:rsidRPr="00967454">
        <w:rPr>
          <w:highlight w:val="white"/>
        </w:rPr>
        <w:t xml:space="preserve">Gräf, H. and Schmalz, S., (2023) ‘Avoiding the China shock: How Chinese state-backed internationalization drives changes in European economic governance’. </w:t>
      </w:r>
      <w:r w:rsidRPr="00967454">
        <w:rPr>
          <w:i/>
          <w:highlight w:val="white"/>
        </w:rPr>
        <w:t>Competition &amp; Change</w:t>
      </w:r>
      <w:r w:rsidRPr="00967454">
        <w:rPr>
          <w:highlight w:val="white"/>
        </w:rPr>
        <w:t>, p.10245294231207990.</w:t>
      </w:r>
    </w:p>
    <w:p w14:paraId="40902351" w14:textId="77777777" w:rsidR="00D97177" w:rsidRPr="00967454" w:rsidRDefault="00D97177">
      <w:pPr>
        <w:spacing w:before="200" w:after="0"/>
        <w:rPr>
          <w:highlight w:val="white"/>
        </w:rPr>
      </w:pPr>
      <w:r w:rsidRPr="00967454">
        <w:rPr>
          <w:highlight w:val="white"/>
        </w:rPr>
        <w:t xml:space="preserve">Instituteforgovernment. (2021) </w:t>
      </w:r>
      <w:r w:rsidRPr="00967454">
        <w:rPr>
          <w:i/>
          <w:highlight w:val="white"/>
        </w:rPr>
        <w:t>Devolution and the NHS</w:t>
      </w:r>
      <w:r w:rsidRPr="00967454">
        <w:rPr>
          <w:highlight w:val="white"/>
        </w:rPr>
        <w:t xml:space="preserve">. Available at: </w:t>
      </w:r>
      <w:hyperlink r:id="rId20">
        <w:r w:rsidRPr="00967454">
          <w:rPr>
            <w:highlight w:val="white"/>
            <w:u w:val="single"/>
          </w:rPr>
          <w:t>https://www.instituteforgovernment.org.uk/explainer/devolution-and-nhs</w:t>
        </w:r>
      </w:hyperlink>
      <w:r w:rsidRPr="00967454">
        <w:rPr>
          <w:highlight w:val="white"/>
        </w:rPr>
        <w:t xml:space="preserve"> (Accessed 10 Oct 2025)</w:t>
      </w:r>
    </w:p>
    <w:p w14:paraId="74A79F82" w14:textId="77777777" w:rsidR="00D97177" w:rsidRPr="00967454" w:rsidRDefault="00D97177">
      <w:pPr>
        <w:spacing w:before="200" w:after="0"/>
        <w:rPr>
          <w:highlight w:val="white"/>
        </w:rPr>
      </w:pPr>
      <w:r w:rsidRPr="00967454">
        <w:rPr>
          <w:highlight w:val="white"/>
        </w:rPr>
        <w:t xml:space="preserve">Linkedin. (2025) </w:t>
      </w:r>
      <w:r w:rsidRPr="00967454">
        <w:rPr>
          <w:i/>
          <w:highlight w:val="white"/>
        </w:rPr>
        <w:t>From dispensaries to indispensable: community pharmacy as the true front door to the NHS</w:t>
      </w:r>
      <w:r w:rsidRPr="00967454">
        <w:rPr>
          <w:highlight w:val="white"/>
        </w:rPr>
        <w:t xml:space="preserve"> (Online) Available at:</w:t>
      </w:r>
      <w:hyperlink r:id="rId21" w:anchor=":~:text=Introduction,digital%20isolation%20and%20structural%20fragmentation">
        <w:r w:rsidRPr="00967454">
          <w:rPr>
            <w:highlight w:val="white"/>
          </w:rPr>
          <w:t xml:space="preserve"> </w:t>
        </w:r>
      </w:hyperlink>
      <w:hyperlink r:id="rId22" w:anchor=":~:text=Introduction,digital%20isolation%20and%20structural%20fragmentation">
        <w:r w:rsidRPr="00967454">
          <w:rPr>
            <w:highlight w:val="white"/>
            <w:u w:val="single"/>
          </w:rPr>
          <w:t>https://www.linkedin.com/pulse/from-dispensaries-indispensable-community-pharmacy-true-xg9se#:~:text=Introduction,digital%20isolation%20and%20structural%20fragmentation</w:t>
        </w:r>
      </w:hyperlink>
      <w:r w:rsidRPr="00967454">
        <w:rPr>
          <w:highlight w:val="white"/>
        </w:rPr>
        <w:t>. (Accessed: October 30, 2025)</w:t>
      </w:r>
    </w:p>
    <w:p w14:paraId="5D9F2A32" w14:textId="77777777" w:rsidR="00D97177" w:rsidRPr="00967454" w:rsidRDefault="00D97177">
      <w:pPr>
        <w:spacing w:before="200" w:after="0"/>
        <w:rPr>
          <w:highlight w:val="white"/>
        </w:rPr>
      </w:pPr>
      <w:r w:rsidRPr="00967454">
        <w:rPr>
          <w:highlight w:val="white"/>
        </w:rPr>
        <w:lastRenderedPageBreak/>
        <w:t xml:space="preserve">NHS England. (2023). </w:t>
      </w:r>
      <w:r w:rsidRPr="00967454">
        <w:rPr>
          <w:i/>
          <w:highlight w:val="white"/>
        </w:rPr>
        <w:t>What are integrated care systems?</w:t>
      </w:r>
      <w:r w:rsidRPr="00967454">
        <w:rPr>
          <w:highlight w:val="white"/>
        </w:rPr>
        <w:t xml:space="preserve">. Available at: </w:t>
      </w:r>
      <w:hyperlink r:id="rId23">
        <w:r w:rsidRPr="00967454">
          <w:rPr>
            <w:highlight w:val="white"/>
            <w:u w:val="single"/>
          </w:rPr>
          <w:t>https://www.england.nhs.uk/integratedcare/what-is-integrated-care/</w:t>
        </w:r>
      </w:hyperlink>
      <w:r w:rsidRPr="00967454">
        <w:rPr>
          <w:highlight w:val="white"/>
        </w:rPr>
        <w:t xml:space="preserve"> (Accessed 10 Oct 2025)</w:t>
      </w:r>
    </w:p>
    <w:p w14:paraId="3E22B6A0" w14:textId="77777777" w:rsidR="00D97177" w:rsidRPr="00967454" w:rsidRDefault="00D97177">
      <w:pPr>
        <w:spacing w:before="200" w:after="0"/>
        <w:rPr>
          <w:highlight w:val="white"/>
        </w:rPr>
      </w:pPr>
      <w:r w:rsidRPr="00967454">
        <w:rPr>
          <w:highlight w:val="white"/>
        </w:rPr>
        <w:t xml:space="preserve">Powell, M. and Williams, I., (2024) ‘What is a ‘National’‘Health’‘Service’? A keyword analysis of policy documents leading to the formation of the UK NHS’. </w:t>
      </w:r>
      <w:r w:rsidRPr="00967454">
        <w:rPr>
          <w:i/>
          <w:highlight w:val="white"/>
        </w:rPr>
        <w:t>Health Economics, Policy and Law</w:t>
      </w:r>
      <w:r w:rsidRPr="00967454">
        <w:rPr>
          <w:highlight w:val="white"/>
        </w:rPr>
        <w:t xml:space="preserve">, </w:t>
      </w:r>
      <w:r w:rsidRPr="00967454">
        <w:rPr>
          <w:i/>
          <w:highlight w:val="white"/>
        </w:rPr>
        <w:t>19</w:t>
      </w:r>
      <w:r w:rsidRPr="00967454">
        <w:rPr>
          <w:highlight w:val="white"/>
        </w:rPr>
        <w:t>(3), pp.323-336.</w:t>
      </w:r>
    </w:p>
    <w:p w14:paraId="54C4F8A2" w14:textId="77777777" w:rsidR="00D97177" w:rsidRPr="00967454" w:rsidRDefault="00D97177">
      <w:pPr>
        <w:spacing w:before="200" w:after="0"/>
      </w:pPr>
      <w:r w:rsidRPr="00967454">
        <w:t xml:space="preserve">Rpharms. (2024) </w:t>
      </w:r>
      <w:r w:rsidRPr="00967454">
        <w:rPr>
          <w:i/>
        </w:rPr>
        <w:t>Workforce and Wellbeing Survey 2024</w:t>
      </w:r>
      <w:r w:rsidRPr="00967454">
        <w:t xml:space="preserve">. Available at: </w:t>
      </w:r>
      <w:hyperlink r:id="rId24">
        <w:r w:rsidRPr="00967454">
          <w:rPr>
            <w:u w:val="single"/>
          </w:rPr>
          <w:t>https://www.rpharms.com/Portals/0/RPS%20document%20library/Open%20access/Workforce%20Wellbeing/RPS%202024%20Workforce%20Wellbeing%20Survey.pdf</w:t>
        </w:r>
      </w:hyperlink>
      <w:r w:rsidRPr="00967454">
        <w:t xml:space="preserve"> (Accessed 15 Oct 2025)</w:t>
      </w:r>
    </w:p>
    <w:p w14:paraId="238336E5" w14:textId="77777777" w:rsidR="00D97177" w:rsidRPr="00967454" w:rsidRDefault="00D97177">
      <w:pPr>
        <w:spacing w:before="200" w:after="0"/>
        <w:rPr>
          <w:highlight w:val="white"/>
        </w:rPr>
      </w:pPr>
      <w:r w:rsidRPr="00967454">
        <w:rPr>
          <w:highlight w:val="white"/>
        </w:rPr>
        <w:t xml:space="preserve">Sudarsono, J., Satibi, S., Lazuardi, L. and Widayanti, A.W., (2025) ‘Healthcare professionals’ perceptions of electronic prescription systems in outpatient services: a qualitative study at UNS hospital’. </w:t>
      </w:r>
      <w:r w:rsidRPr="00967454">
        <w:rPr>
          <w:i/>
          <w:highlight w:val="white"/>
        </w:rPr>
        <w:t>Cost Effectiveness and Resource Allocation</w:t>
      </w:r>
      <w:r w:rsidRPr="00967454">
        <w:rPr>
          <w:highlight w:val="white"/>
        </w:rPr>
        <w:t xml:space="preserve">, </w:t>
      </w:r>
      <w:r w:rsidRPr="00967454">
        <w:rPr>
          <w:i/>
          <w:highlight w:val="white"/>
        </w:rPr>
        <w:t>23</w:t>
      </w:r>
      <w:r w:rsidRPr="00967454">
        <w:rPr>
          <w:highlight w:val="white"/>
        </w:rPr>
        <w:t>(1), p.31.</w:t>
      </w:r>
    </w:p>
    <w:p w14:paraId="7BDDB313" w14:textId="77777777" w:rsidR="00D97177" w:rsidRPr="00967454" w:rsidRDefault="00D97177">
      <w:pPr>
        <w:spacing w:before="200" w:after="0"/>
        <w:rPr>
          <w:highlight w:val="white"/>
        </w:rPr>
      </w:pPr>
      <w:r w:rsidRPr="00967454">
        <w:rPr>
          <w:highlight w:val="white"/>
        </w:rPr>
        <w:t xml:space="preserve">Temple, J.R., (2022) ‘A Radical and Progressive Legacy: Labour’s Housing Record, 1945 to 1951’. </w:t>
      </w:r>
      <w:r w:rsidRPr="00967454">
        <w:rPr>
          <w:i/>
          <w:highlight w:val="white"/>
        </w:rPr>
        <w:t>Labour History Review</w:t>
      </w:r>
      <w:r w:rsidRPr="00967454">
        <w:rPr>
          <w:highlight w:val="white"/>
        </w:rPr>
        <w:t xml:space="preserve">, </w:t>
      </w:r>
      <w:r w:rsidRPr="00967454">
        <w:rPr>
          <w:i/>
          <w:highlight w:val="white"/>
        </w:rPr>
        <w:t>87</w:t>
      </w:r>
      <w:r w:rsidRPr="00967454">
        <w:rPr>
          <w:highlight w:val="white"/>
        </w:rPr>
        <w:t>(1), pp.65-89.</w:t>
      </w:r>
    </w:p>
    <w:p w14:paraId="032BCF7A" w14:textId="77777777" w:rsidR="00D97177" w:rsidRPr="00967454" w:rsidRDefault="00D97177">
      <w:pPr>
        <w:spacing w:before="200" w:after="0"/>
        <w:rPr>
          <w:highlight w:val="white"/>
        </w:rPr>
      </w:pPr>
      <w:r w:rsidRPr="00967454">
        <w:rPr>
          <w:highlight w:val="white"/>
        </w:rPr>
        <w:t xml:space="preserve">Tolley, C., Seymour, H., Watson, N., Nazar, H., Heed, J. and Belshaw, D., (2023) ‘Barriers and opportunities for the use of digital tools in medicines optimization across the interfaces of care: stakeholder interviews in the United Kingdom’. </w:t>
      </w:r>
      <w:r w:rsidRPr="00967454">
        <w:rPr>
          <w:i/>
          <w:highlight w:val="white"/>
        </w:rPr>
        <w:t>JMIR Medical Informatics</w:t>
      </w:r>
      <w:r w:rsidRPr="00967454">
        <w:rPr>
          <w:highlight w:val="white"/>
        </w:rPr>
        <w:t xml:space="preserve">, </w:t>
      </w:r>
      <w:r w:rsidRPr="00967454">
        <w:rPr>
          <w:i/>
          <w:highlight w:val="white"/>
        </w:rPr>
        <w:t>11</w:t>
      </w:r>
      <w:r w:rsidRPr="00967454">
        <w:rPr>
          <w:highlight w:val="white"/>
        </w:rPr>
        <w:t>(1), p.e42458.</w:t>
      </w:r>
    </w:p>
    <w:p w14:paraId="42C31A44" w14:textId="77777777" w:rsidR="00D97177" w:rsidRDefault="00D97177">
      <w:pPr>
        <w:spacing w:before="200" w:after="0"/>
      </w:pPr>
      <w:r w:rsidRPr="00967454">
        <w:t xml:space="preserve">UK Government. (2023) </w:t>
      </w:r>
      <w:r w:rsidRPr="00967454">
        <w:rPr>
          <w:i/>
        </w:rPr>
        <w:t>The founding of the NHS: 75 years on</w:t>
      </w:r>
      <w:r w:rsidRPr="00967454">
        <w:t xml:space="preserve">. </w:t>
      </w:r>
      <w:hyperlink r:id="rId25">
        <w:r w:rsidRPr="00967454">
          <w:rPr>
            <w:u w:val="single"/>
          </w:rPr>
          <w:t>https://history.blog.gov.uk/2023/07/13/the-founding-of-the-nhs-75-years-on/</w:t>
        </w:r>
      </w:hyperlink>
      <w:r w:rsidRPr="00967454">
        <w:t xml:space="preserve"> (Accessed 10 Oct 2025)</w:t>
      </w:r>
    </w:p>
    <w:p w14:paraId="76834098" w14:textId="77777777" w:rsidR="002C745A" w:rsidRPr="00967454" w:rsidRDefault="002C745A">
      <w:pPr>
        <w:spacing w:before="200" w:after="0"/>
      </w:pPr>
    </w:p>
    <w:sectPr w:rsidR="002C745A" w:rsidRPr="0096745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A66D2" w14:textId="77777777" w:rsidR="00A54A04" w:rsidRDefault="00A54A04">
      <w:pPr>
        <w:spacing w:after="0" w:line="240" w:lineRule="auto"/>
      </w:pPr>
      <w:r>
        <w:separator/>
      </w:r>
    </w:p>
  </w:endnote>
  <w:endnote w:type="continuationSeparator" w:id="0">
    <w:p w14:paraId="139CA2AF" w14:textId="77777777" w:rsidR="00A54A04" w:rsidRDefault="00A54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1" w:fontKey="{FA3DC0E2-19C6-4417-BFF0-C4ED96428631}"/>
    <w:embedItalic r:id="rId2" w:fontKey="{6C0CC6F0-002B-4F92-8FA2-4C62A982C924}"/>
  </w:font>
  <w:font w:name="Calibri">
    <w:panose1 w:val="020F0502020204030204"/>
    <w:charset w:val="00"/>
    <w:family w:val="swiss"/>
    <w:pitch w:val="variable"/>
    <w:sig w:usb0="E4002EFF" w:usb1="C200247B" w:usb2="00000009" w:usb3="00000000" w:csb0="000001FF" w:csb1="00000000"/>
    <w:embedRegular r:id="rId3" w:fontKey="{5C9B7972-170B-4FA6-A5AD-9B87F3A7D04F}"/>
    <w:embedBold r:id="rId4" w:fontKey="{08C903C8-4611-4B2A-AB4E-3F82A8F48274}"/>
    <w:embedBoldItalic r:id="rId5" w:fontKey="{ECF7ADD2-C7AA-4304-9D72-660D0206AD2C}"/>
  </w:font>
  <w:font w:name="Cambria Math">
    <w:panose1 w:val="02040503050406030204"/>
    <w:charset w:val="00"/>
    <w:family w:val="roman"/>
    <w:pitch w:val="variable"/>
    <w:sig w:usb0="E00006FF" w:usb1="420024FF" w:usb2="02000000" w:usb3="00000000" w:csb0="0000019F" w:csb1="00000000"/>
    <w:embedRegular r:id="rId6" w:fontKey="{BC07BB6B-590C-4F09-81CF-6BB059D253D5}"/>
  </w:font>
  <w:font w:name="Cambria">
    <w:panose1 w:val="02040503050406030204"/>
    <w:charset w:val="00"/>
    <w:family w:val="roman"/>
    <w:pitch w:val="variable"/>
    <w:sig w:usb0="E00006FF" w:usb1="420024FF" w:usb2="02000000" w:usb3="00000000" w:csb0="0000019F" w:csb1="00000000"/>
    <w:embedRegular r:id="rId7" w:fontKey="{B903B019-64CE-4FE4-8F77-AC28EF00700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69749" w14:textId="77777777" w:rsidR="00174C06" w:rsidRDefault="00174C06">
    <w:pPr>
      <w:pBdr>
        <w:top w:val="nil"/>
        <w:left w:val="nil"/>
        <w:bottom w:val="nil"/>
        <w:right w:val="nil"/>
        <w:between w:val="nil"/>
      </w:pBdr>
      <w:tabs>
        <w:tab w:val="center" w:pos="4513"/>
        <w:tab w:val="right" w:pos="9026"/>
      </w:tabs>
      <w:spacing w:after="0" w:line="240" w:lineRule="auto"/>
      <w:jc w:val="right"/>
      <w:rPr>
        <w:rFonts w:ascii="Calibri" w:eastAsia="Calibri" w:hAnsi="Calibri" w:cs="Calibri"/>
        <w:color w:val="000000"/>
      </w:rPr>
    </w:pPr>
  </w:p>
  <w:p w14:paraId="09C6A224" w14:textId="77777777" w:rsidR="00174C06" w:rsidRDefault="00174C06">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A25D3" w14:textId="77777777" w:rsidR="00A54A04" w:rsidRDefault="00A54A04">
      <w:pPr>
        <w:spacing w:after="0" w:line="240" w:lineRule="auto"/>
      </w:pPr>
      <w:r>
        <w:separator/>
      </w:r>
    </w:p>
  </w:footnote>
  <w:footnote w:type="continuationSeparator" w:id="0">
    <w:p w14:paraId="7529B9CF" w14:textId="77777777" w:rsidR="00A54A04" w:rsidRDefault="00A54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79B5C" w14:textId="77777777" w:rsidR="00174C06" w:rsidRDefault="00822331">
    <w:pPr>
      <w:pBdr>
        <w:top w:val="nil"/>
        <w:left w:val="nil"/>
        <w:bottom w:val="nil"/>
        <w:right w:val="nil"/>
        <w:between w:val="nil"/>
      </w:pBdr>
      <w:tabs>
        <w:tab w:val="center" w:pos="4513"/>
        <w:tab w:val="right" w:pos="9026"/>
      </w:tabs>
      <w:spacing w:after="0" w:line="240" w:lineRule="auto"/>
      <w:ind w:left="11520"/>
      <w:jc w:val="left"/>
      <w:rPr>
        <w:rFonts w:ascii="Calibri" w:eastAsia="Calibri" w:hAnsi="Calibri" w:cs="Calibri"/>
        <w:color w:val="000000"/>
      </w:rPr>
    </w:pPr>
    <w:r>
      <w:rPr>
        <w:rFonts w:ascii="Calibri" w:eastAsia="Calibri" w:hAnsi="Calibri" w:cs="Calibri"/>
        <w:noProof/>
        <w:color w:val="000000"/>
      </w:rPr>
      <w:drawing>
        <wp:inline distT="0" distB="0" distL="0" distR="0" wp14:anchorId="4540DDAE" wp14:editId="648525F0">
          <wp:extent cx="2184540" cy="436908"/>
          <wp:effectExtent l="0" t="0" r="0" b="0"/>
          <wp:docPr id="1566670333" name="image5.png" descr="UWTSD LOGO"/>
          <wp:cNvGraphicFramePr/>
          <a:graphic xmlns:a="http://schemas.openxmlformats.org/drawingml/2006/main">
            <a:graphicData uri="http://schemas.openxmlformats.org/drawingml/2006/picture">
              <pic:pic xmlns:pic="http://schemas.openxmlformats.org/drawingml/2006/picture">
                <pic:nvPicPr>
                  <pic:cNvPr id="0" name="image5.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F3EA5"/>
    <w:multiLevelType w:val="hybridMultilevel"/>
    <w:tmpl w:val="FA6ED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755EBC"/>
    <w:multiLevelType w:val="hybridMultilevel"/>
    <w:tmpl w:val="2AB6CC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A24837"/>
    <w:multiLevelType w:val="multilevel"/>
    <w:tmpl w:val="81041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F27D69"/>
    <w:multiLevelType w:val="hybridMultilevel"/>
    <w:tmpl w:val="08C02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3B7015"/>
    <w:multiLevelType w:val="hybridMultilevel"/>
    <w:tmpl w:val="5FEA2C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6441120">
    <w:abstractNumId w:val="2"/>
  </w:num>
  <w:num w:numId="2" w16cid:durableId="685405954">
    <w:abstractNumId w:val="3"/>
  </w:num>
  <w:num w:numId="3" w16cid:durableId="91777660">
    <w:abstractNumId w:val="4"/>
  </w:num>
  <w:num w:numId="4" w16cid:durableId="247732913">
    <w:abstractNumId w:val="1"/>
  </w:num>
  <w:num w:numId="5" w16cid:durableId="906843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C06"/>
    <w:rsid w:val="000437E1"/>
    <w:rsid w:val="00060673"/>
    <w:rsid w:val="00087CE0"/>
    <w:rsid w:val="000B3952"/>
    <w:rsid w:val="00174C06"/>
    <w:rsid w:val="001C49A1"/>
    <w:rsid w:val="002A37C0"/>
    <w:rsid w:val="002C3452"/>
    <w:rsid w:val="002C745A"/>
    <w:rsid w:val="002D50A2"/>
    <w:rsid w:val="002F6C7D"/>
    <w:rsid w:val="003024B6"/>
    <w:rsid w:val="003053A2"/>
    <w:rsid w:val="00385984"/>
    <w:rsid w:val="00394259"/>
    <w:rsid w:val="004B7D90"/>
    <w:rsid w:val="00586911"/>
    <w:rsid w:val="005C21C7"/>
    <w:rsid w:val="00630DB8"/>
    <w:rsid w:val="00681681"/>
    <w:rsid w:val="00755B69"/>
    <w:rsid w:val="00822331"/>
    <w:rsid w:val="008C466B"/>
    <w:rsid w:val="00943851"/>
    <w:rsid w:val="0095116F"/>
    <w:rsid w:val="00967454"/>
    <w:rsid w:val="00984E13"/>
    <w:rsid w:val="00A54A04"/>
    <w:rsid w:val="00AA0104"/>
    <w:rsid w:val="00AD3BCE"/>
    <w:rsid w:val="00B06577"/>
    <w:rsid w:val="00B17C31"/>
    <w:rsid w:val="00B44B57"/>
    <w:rsid w:val="00B54F9E"/>
    <w:rsid w:val="00BE5789"/>
    <w:rsid w:val="00BF193A"/>
    <w:rsid w:val="00C35DA7"/>
    <w:rsid w:val="00CB7ED6"/>
    <w:rsid w:val="00D97177"/>
    <w:rsid w:val="00DD2F1F"/>
    <w:rsid w:val="00E45ECC"/>
    <w:rsid w:val="00E51B12"/>
    <w:rsid w:val="00E83EC5"/>
    <w:rsid w:val="00E94403"/>
    <w:rsid w:val="00EB0DF2"/>
    <w:rsid w:val="00EE738D"/>
    <w:rsid w:val="00EF0103"/>
    <w:rsid w:val="00EF4A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D6963"/>
  <w15:docId w15:val="{2A997930-B610-4F4A-894B-584455454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E51B12"/>
    <w:pPr>
      <w:spacing w:after="100"/>
    </w:pPr>
  </w:style>
  <w:style w:type="paragraph" w:styleId="TOC2">
    <w:name w:val="toc 2"/>
    <w:basedOn w:val="Normal"/>
    <w:next w:val="Normal"/>
    <w:autoRedefine/>
    <w:uiPriority w:val="39"/>
    <w:unhideWhenUsed/>
    <w:rsid w:val="00E51B12"/>
    <w:pPr>
      <w:spacing w:after="100"/>
      <w:ind w:left="220"/>
    </w:pPr>
  </w:style>
  <w:style w:type="character" w:styleId="Hyperlink">
    <w:name w:val="Hyperlink"/>
    <w:basedOn w:val="DefaultParagraphFont"/>
    <w:uiPriority w:val="99"/>
    <w:unhideWhenUsed/>
    <w:rsid w:val="00E51B12"/>
    <w:rPr>
      <w:color w:val="0000FF" w:themeColor="hyperlink"/>
      <w:u w:val="single"/>
    </w:rPr>
  </w:style>
  <w:style w:type="paragraph" w:styleId="ListParagraph">
    <w:name w:val="List Paragraph"/>
    <w:basedOn w:val="Normal"/>
    <w:uiPriority w:val="34"/>
    <w:qFormat/>
    <w:rsid w:val="00967454"/>
    <w:pPr>
      <w:ind w:left="720"/>
      <w:contextualSpacing/>
    </w:pPr>
  </w:style>
  <w:style w:type="paragraph" w:styleId="Header">
    <w:name w:val="header"/>
    <w:basedOn w:val="Normal"/>
    <w:link w:val="HeaderChar"/>
    <w:uiPriority w:val="99"/>
    <w:unhideWhenUsed/>
    <w:rsid w:val="001C49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49A1"/>
  </w:style>
  <w:style w:type="paragraph" w:styleId="Footer">
    <w:name w:val="footer"/>
    <w:basedOn w:val="Normal"/>
    <w:link w:val="FooterChar"/>
    <w:uiPriority w:val="99"/>
    <w:unhideWhenUsed/>
    <w:rsid w:val="001C49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4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pharms.com/Portals/0/RPS%20document%20library/Open%20access/Workforce%20Wellbeing/RPS%202024%20Workforce%20Wellbeing%20Survey.pdf" TargetMode="External"/><Relationship Id="rId18" Type="http://schemas.openxmlformats.org/officeDocument/2006/relationships/image" Target="media/image4.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inkedin.com/pulse/from-dispensaries-indispensable-community-pharmacy-true-xg9se" TargetMode="External"/><Relationship Id="rId7" Type="http://schemas.openxmlformats.org/officeDocument/2006/relationships/endnotes" Target="endnotes.xml"/><Relationship Id="rId12" Type="http://schemas.openxmlformats.org/officeDocument/2006/relationships/hyperlink" Target="https://www.linkedin.com/pulse/from-dispensaries-indispensable-community-pharmacy-true-xg9se" TargetMode="External"/><Relationship Id="rId17" Type="http://schemas.openxmlformats.org/officeDocument/2006/relationships/image" Target="media/image3.png"/><Relationship Id="rId25" Type="http://schemas.openxmlformats.org/officeDocument/2006/relationships/hyperlink" Target="https://history.blog.gov.uk/2023/07/13/the-founding-of-the-nhs-75-years-on/" TargetMode="External"/><Relationship Id="rId2" Type="http://schemas.openxmlformats.org/officeDocument/2006/relationships/numbering" Target="numbering.xml"/><Relationship Id="rId16" Type="http://schemas.openxmlformats.org/officeDocument/2006/relationships/hyperlink" Target="https://www.rpharms.com/Portals/0/RPS%20document%20library/Open%20access/Workforce%20Wellbeing/RPS%202024%20Workforce%20Wellbeing%20Survey.pdf" TargetMode="External"/><Relationship Id="rId20" Type="http://schemas.openxmlformats.org/officeDocument/2006/relationships/hyperlink" Target="https://www.instituteforgovernment.org.uk/explainer/devolution-and-n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from-dispensaries-indispensable-community-pharmacy-true-xg9se" TargetMode="External"/><Relationship Id="rId24" Type="http://schemas.openxmlformats.org/officeDocument/2006/relationships/hyperlink" Target="https://www.rpharms.com/Portals/0/RPS%20document%20library/Open%20access/Workforce%20Wellbeing/RPS%202024%20Workforce%20Wellbeing%20Survey.pdf" TargetMode="External"/><Relationship Id="rId5" Type="http://schemas.openxmlformats.org/officeDocument/2006/relationships/webSettings" Target="webSettings.xml"/><Relationship Id="rId15" Type="http://schemas.openxmlformats.org/officeDocument/2006/relationships/hyperlink" Target="https://www.linkedin.com/pulse/from-dispensaries-indispensable-community-pharmacy-true-xg9se" TargetMode="External"/><Relationship Id="rId23" Type="http://schemas.openxmlformats.org/officeDocument/2006/relationships/hyperlink" Target="https://www.england.nhs.uk/integratedcare/what-is-integrated-care/" TargetMode="External"/><Relationship Id="rId10" Type="http://schemas.openxmlformats.org/officeDocument/2006/relationships/footer" Target="footer1.xml"/><Relationship Id="rId19"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linkedin.com/pulse/from-dispensaries-indispensable-community-pharmacy-true-xg9se" TargetMode="External"/><Relationship Id="rId22" Type="http://schemas.openxmlformats.org/officeDocument/2006/relationships/hyperlink" Target="https://www.linkedin.com/pulse/from-dispensaries-indispensable-community-pharmacy-true-xg9se"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u5lNOG68E7cH+RP/kntWE3Jgw==">CgMxLjAyDmguNjhkbWloZjliaGxlMg5oLnV3ZHNlem4zajhjdTIOaC55b2R5dW5qZjEwcHkyDmgucWIzYzVtZ3IxNml6Mg1oLjVsZW00a3I2enBmMg5oLm5kcmc1cGo4a2ZjejIOaC5wMHBvMDFmaWtpMjcyDmgucHczcTBzNjZybTRxMg5oLnlwazQ1eXRjMHA1czIOaC40MTMxb2U1MHptcGwyDmguamlpMzE4NG02bzd4Mg5oLjc0cjh5eGMwM2U2NjgAciExOEpkNVBrS0VVY2xYM3hkbFVBWHExMEpzWERzS1JGZW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7</Pages>
  <Words>1431</Words>
  <Characters>8158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Gabriel</dc:creator>
  <cp:lastModifiedBy>Ionela Velichi (2438802)</cp:lastModifiedBy>
  <cp:revision>3</cp:revision>
  <dcterms:created xsi:type="dcterms:W3CDTF">2025-11-16T07:19:00Z</dcterms:created>
  <dcterms:modified xsi:type="dcterms:W3CDTF">2025-11-16T11:23:00Z</dcterms:modified>
</cp:coreProperties>
</file>