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534CD" w14:textId="610D9317" w:rsidR="0006322E" w:rsidRDefault="007D6420" w:rsidP="0006322E">
      <w:pPr>
        <w:spacing w:line="360" w:lineRule="auto"/>
        <w:jc w:val="center"/>
        <w:rPr>
          <w:rFonts w:ascii="Times New Roman" w:hAnsi="Times New Roman" w:cs="Times New Roman"/>
          <w:b/>
          <w:sz w:val="84"/>
          <w:szCs w:val="84"/>
        </w:rPr>
      </w:pPr>
      <w:r>
        <w:rPr>
          <w:noProof/>
        </w:rPr>
        <w:drawing>
          <wp:inline distT="0" distB="0" distL="0" distR="0" wp14:anchorId="60D0C03B" wp14:editId="436B8055">
            <wp:extent cx="2257425" cy="55245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stretch>
                      <a:fillRect/>
                    </a:stretch>
                  </pic:blipFill>
                  <pic:spPr>
                    <a:xfrm>
                      <a:off x="0" y="0"/>
                      <a:ext cx="2257425" cy="552450"/>
                    </a:xfrm>
                    <a:prstGeom prst="rect">
                      <a:avLst/>
                    </a:prstGeom>
                  </pic:spPr>
                </pic:pic>
              </a:graphicData>
            </a:graphic>
          </wp:inline>
        </w:drawing>
      </w:r>
    </w:p>
    <w:p w14:paraId="75A80C03" w14:textId="195E93CD" w:rsidR="007D6420" w:rsidRDefault="007D6420" w:rsidP="0006322E">
      <w:pPr>
        <w:spacing w:line="360" w:lineRule="auto"/>
        <w:jc w:val="center"/>
        <w:rPr>
          <w:rFonts w:ascii="Times New Roman" w:hAnsi="Times New Roman" w:cs="Times New Roman"/>
          <w:b/>
          <w:sz w:val="40"/>
          <w:szCs w:val="40"/>
        </w:rPr>
      </w:pPr>
      <w:r>
        <w:rPr>
          <w:rFonts w:ascii="Times New Roman" w:hAnsi="Times New Roman" w:cs="Times New Roman"/>
          <w:b/>
          <w:sz w:val="40"/>
          <w:szCs w:val="40"/>
        </w:rPr>
        <w:t>Student name: Corneliu Ovidiu Dinica</w:t>
      </w:r>
    </w:p>
    <w:p w14:paraId="5C58ED8C" w14:textId="7644E06B" w:rsidR="007D6420" w:rsidRDefault="007D6420" w:rsidP="0006322E">
      <w:pPr>
        <w:spacing w:line="360" w:lineRule="auto"/>
        <w:jc w:val="center"/>
        <w:rPr>
          <w:rFonts w:ascii="Times New Roman" w:hAnsi="Times New Roman" w:cs="Times New Roman"/>
          <w:b/>
          <w:sz w:val="40"/>
          <w:szCs w:val="40"/>
        </w:rPr>
      </w:pPr>
      <w:r>
        <w:rPr>
          <w:rFonts w:ascii="Times New Roman" w:hAnsi="Times New Roman" w:cs="Times New Roman"/>
          <w:b/>
          <w:sz w:val="40"/>
          <w:szCs w:val="40"/>
        </w:rPr>
        <w:t>Student number:1918442</w:t>
      </w:r>
    </w:p>
    <w:p w14:paraId="4B624D80" w14:textId="172CCA1D" w:rsidR="007D6420" w:rsidRDefault="007D6420" w:rsidP="0006322E">
      <w:pPr>
        <w:spacing w:line="360" w:lineRule="auto"/>
        <w:jc w:val="center"/>
        <w:rPr>
          <w:rFonts w:ascii="Times New Roman" w:hAnsi="Times New Roman" w:cs="Times New Roman"/>
          <w:b/>
          <w:sz w:val="40"/>
          <w:szCs w:val="40"/>
        </w:rPr>
      </w:pPr>
      <w:r>
        <w:rPr>
          <w:rFonts w:ascii="Times New Roman" w:hAnsi="Times New Roman" w:cs="Times New Roman"/>
          <w:b/>
          <w:sz w:val="40"/>
          <w:szCs w:val="40"/>
        </w:rPr>
        <w:t>Tutor name: David Jenkins</w:t>
      </w:r>
    </w:p>
    <w:p w14:paraId="73FC1371" w14:textId="42FC1633" w:rsidR="0006322E" w:rsidRPr="007D6420" w:rsidRDefault="007D6420" w:rsidP="007D6420">
      <w:pPr>
        <w:spacing w:line="360" w:lineRule="auto"/>
        <w:jc w:val="center"/>
        <w:rPr>
          <w:rFonts w:ascii="Times New Roman" w:hAnsi="Times New Roman" w:cs="Times New Roman"/>
          <w:b/>
          <w:sz w:val="40"/>
          <w:szCs w:val="40"/>
        </w:rPr>
      </w:pPr>
      <w:r>
        <w:rPr>
          <w:rFonts w:ascii="Times New Roman" w:hAnsi="Times New Roman" w:cs="Times New Roman"/>
          <w:b/>
          <w:sz w:val="40"/>
          <w:szCs w:val="40"/>
        </w:rPr>
        <w:t>Module: Management Economics (LCBB5003_BIRM)</w:t>
      </w:r>
    </w:p>
    <w:p w14:paraId="2882BF40" w14:textId="77777777" w:rsidR="00500612" w:rsidRDefault="0006322E">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251358001"/>
        <w:docPartObj>
          <w:docPartGallery w:val="Table of Contents"/>
          <w:docPartUnique/>
        </w:docPartObj>
      </w:sdtPr>
      <w:sdtEndPr/>
      <w:sdtContent>
        <w:p w14:paraId="3AEFD4FD" w14:textId="77777777" w:rsidR="00500612" w:rsidRDefault="00500612">
          <w:pPr>
            <w:pStyle w:val="TOCHeading"/>
          </w:pPr>
          <w:r>
            <w:t>Contents</w:t>
          </w:r>
        </w:p>
        <w:p w14:paraId="1DCAC67A" w14:textId="77777777" w:rsidR="00500612" w:rsidRDefault="00500612">
          <w:pPr>
            <w:pStyle w:val="TOC1"/>
            <w:tabs>
              <w:tab w:val="right" w:leader="dot" w:pos="9350"/>
            </w:tabs>
            <w:rPr>
              <w:noProof/>
            </w:rPr>
          </w:pPr>
          <w:r>
            <w:fldChar w:fldCharType="begin"/>
          </w:r>
          <w:r>
            <w:instrText xml:space="preserve"> TOC \o "1-3" \h \z \u </w:instrText>
          </w:r>
          <w:r>
            <w:fldChar w:fldCharType="separate"/>
          </w:r>
          <w:hyperlink w:anchor="_Toc88496084" w:history="1">
            <w:r w:rsidRPr="009B2009">
              <w:rPr>
                <w:rStyle w:val="Hyperlink"/>
                <w:noProof/>
              </w:rPr>
              <w:t>INTRODUCTION</w:t>
            </w:r>
            <w:r>
              <w:rPr>
                <w:noProof/>
                <w:webHidden/>
              </w:rPr>
              <w:tab/>
            </w:r>
            <w:r>
              <w:rPr>
                <w:noProof/>
                <w:webHidden/>
              </w:rPr>
              <w:fldChar w:fldCharType="begin"/>
            </w:r>
            <w:r>
              <w:rPr>
                <w:noProof/>
                <w:webHidden/>
              </w:rPr>
              <w:instrText xml:space="preserve"> PAGEREF _Toc88496084 \h </w:instrText>
            </w:r>
            <w:r>
              <w:rPr>
                <w:noProof/>
                <w:webHidden/>
              </w:rPr>
            </w:r>
            <w:r>
              <w:rPr>
                <w:noProof/>
                <w:webHidden/>
              </w:rPr>
              <w:fldChar w:fldCharType="separate"/>
            </w:r>
            <w:r>
              <w:rPr>
                <w:noProof/>
                <w:webHidden/>
              </w:rPr>
              <w:t>3</w:t>
            </w:r>
            <w:r>
              <w:rPr>
                <w:noProof/>
                <w:webHidden/>
              </w:rPr>
              <w:fldChar w:fldCharType="end"/>
            </w:r>
          </w:hyperlink>
        </w:p>
        <w:p w14:paraId="072D04A0" w14:textId="77777777" w:rsidR="00500612" w:rsidRDefault="00947F9D">
          <w:pPr>
            <w:pStyle w:val="TOC1"/>
            <w:tabs>
              <w:tab w:val="right" w:leader="dot" w:pos="9350"/>
            </w:tabs>
            <w:rPr>
              <w:noProof/>
            </w:rPr>
          </w:pPr>
          <w:hyperlink w:anchor="_Toc88496085" w:history="1">
            <w:r w:rsidR="00500612" w:rsidRPr="009B2009">
              <w:rPr>
                <w:rStyle w:val="Hyperlink"/>
                <w:noProof/>
              </w:rPr>
              <w:t>MAIN BODY</w:t>
            </w:r>
            <w:r w:rsidR="00500612">
              <w:rPr>
                <w:noProof/>
                <w:webHidden/>
              </w:rPr>
              <w:tab/>
            </w:r>
            <w:r w:rsidR="00500612">
              <w:rPr>
                <w:noProof/>
                <w:webHidden/>
              </w:rPr>
              <w:fldChar w:fldCharType="begin"/>
            </w:r>
            <w:r w:rsidR="00500612">
              <w:rPr>
                <w:noProof/>
                <w:webHidden/>
              </w:rPr>
              <w:instrText xml:space="preserve"> PAGEREF _Toc88496085 \h </w:instrText>
            </w:r>
            <w:r w:rsidR="00500612">
              <w:rPr>
                <w:noProof/>
                <w:webHidden/>
              </w:rPr>
            </w:r>
            <w:r w:rsidR="00500612">
              <w:rPr>
                <w:noProof/>
                <w:webHidden/>
              </w:rPr>
              <w:fldChar w:fldCharType="separate"/>
            </w:r>
            <w:r w:rsidR="00500612">
              <w:rPr>
                <w:noProof/>
                <w:webHidden/>
              </w:rPr>
              <w:t>3</w:t>
            </w:r>
            <w:r w:rsidR="00500612">
              <w:rPr>
                <w:noProof/>
                <w:webHidden/>
              </w:rPr>
              <w:fldChar w:fldCharType="end"/>
            </w:r>
          </w:hyperlink>
        </w:p>
        <w:p w14:paraId="65171A7B" w14:textId="77777777" w:rsidR="00500612" w:rsidRDefault="00947F9D">
          <w:pPr>
            <w:pStyle w:val="TOC2"/>
            <w:tabs>
              <w:tab w:val="right" w:leader="dot" w:pos="9350"/>
            </w:tabs>
            <w:rPr>
              <w:noProof/>
            </w:rPr>
          </w:pPr>
          <w:hyperlink w:anchor="_Toc88496086" w:history="1">
            <w:r w:rsidR="00500612" w:rsidRPr="009B2009">
              <w:rPr>
                <w:rStyle w:val="Hyperlink"/>
                <w:noProof/>
              </w:rPr>
              <w:t>An overview of the business and how its strategies have unfolded in the above time-period</w:t>
            </w:r>
            <w:r w:rsidR="00500612">
              <w:rPr>
                <w:noProof/>
                <w:webHidden/>
              </w:rPr>
              <w:tab/>
            </w:r>
            <w:r w:rsidR="00500612">
              <w:rPr>
                <w:noProof/>
                <w:webHidden/>
              </w:rPr>
              <w:fldChar w:fldCharType="begin"/>
            </w:r>
            <w:r w:rsidR="00500612">
              <w:rPr>
                <w:noProof/>
                <w:webHidden/>
              </w:rPr>
              <w:instrText xml:space="preserve"> PAGEREF _Toc88496086 \h </w:instrText>
            </w:r>
            <w:r w:rsidR="00500612">
              <w:rPr>
                <w:noProof/>
                <w:webHidden/>
              </w:rPr>
            </w:r>
            <w:r w:rsidR="00500612">
              <w:rPr>
                <w:noProof/>
                <w:webHidden/>
              </w:rPr>
              <w:fldChar w:fldCharType="separate"/>
            </w:r>
            <w:r w:rsidR="00500612">
              <w:rPr>
                <w:noProof/>
                <w:webHidden/>
              </w:rPr>
              <w:t>3</w:t>
            </w:r>
            <w:r w:rsidR="00500612">
              <w:rPr>
                <w:noProof/>
                <w:webHidden/>
              </w:rPr>
              <w:fldChar w:fldCharType="end"/>
            </w:r>
          </w:hyperlink>
        </w:p>
        <w:p w14:paraId="425FCEE7" w14:textId="77777777" w:rsidR="00500612" w:rsidRDefault="00947F9D">
          <w:pPr>
            <w:pStyle w:val="TOC2"/>
            <w:tabs>
              <w:tab w:val="right" w:leader="dot" w:pos="9350"/>
            </w:tabs>
            <w:rPr>
              <w:noProof/>
            </w:rPr>
          </w:pPr>
          <w:hyperlink w:anchor="_Toc88496087" w:history="1">
            <w:r w:rsidR="00500612" w:rsidRPr="009B2009">
              <w:rPr>
                <w:rStyle w:val="Hyperlink"/>
                <w:noProof/>
              </w:rPr>
              <w:t>A five-year macroeconomic data comparison between the three countries, to include growth, inflation, currency fluctuations, interest rates, unemployment, and current account balance</w:t>
            </w:r>
            <w:r w:rsidR="00500612">
              <w:rPr>
                <w:noProof/>
                <w:webHidden/>
              </w:rPr>
              <w:tab/>
            </w:r>
            <w:r w:rsidR="00500612">
              <w:rPr>
                <w:noProof/>
                <w:webHidden/>
              </w:rPr>
              <w:fldChar w:fldCharType="begin"/>
            </w:r>
            <w:r w:rsidR="00500612">
              <w:rPr>
                <w:noProof/>
                <w:webHidden/>
              </w:rPr>
              <w:instrText xml:space="preserve"> PAGEREF _Toc88496087 \h </w:instrText>
            </w:r>
            <w:r w:rsidR="00500612">
              <w:rPr>
                <w:noProof/>
                <w:webHidden/>
              </w:rPr>
            </w:r>
            <w:r w:rsidR="00500612">
              <w:rPr>
                <w:noProof/>
                <w:webHidden/>
              </w:rPr>
              <w:fldChar w:fldCharType="separate"/>
            </w:r>
            <w:r w:rsidR="00500612">
              <w:rPr>
                <w:noProof/>
                <w:webHidden/>
              </w:rPr>
              <w:t>4</w:t>
            </w:r>
            <w:r w:rsidR="00500612">
              <w:rPr>
                <w:noProof/>
                <w:webHidden/>
              </w:rPr>
              <w:fldChar w:fldCharType="end"/>
            </w:r>
          </w:hyperlink>
        </w:p>
        <w:p w14:paraId="7091552C" w14:textId="77777777" w:rsidR="00500612" w:rsidRDefault="00947F9D">
          <w:pPr>
            <w:pStyle w:val="TOC2"/>
            <w:tabs>
              <w:tab w:val="right" w:leader="dot" w:pos="9350"/>
            </w:tabs>
            <w:rPr>
              <w:noProof/>
            </w:rPr>
          </w:pPr>
          <w:hyperlink w:anchor="_Toc88496088" w:history="1">
            <w:r w:rsidR="00500612" w:rsidRPr="009B2009">
              <w:rPr>
                <w:rStyle w:val="Hyperlink"/>
                <w:noProof/>
              </w:rPr>
              <w:t>An evaluation of the firm’s business performance over the five years, and how its operations in the UK compare with its activities in the other two countries</w:t>
            </w:r>
            <w:r w:rsidR="00500612">
              <w:rPr>
                <w:noProof/>
                <w:webHidden/>
              </w:rPr>
              <w:tab/>
            </w:r>
            <w:r w:rsidR="00500612">
              <w:rPr>
                <w:noProof/>
                <w:webHidden/>
              </w:rPr>
              <w:fldChar w:fldCharType="begin"/>
            </w:r>
            <w:r w:rsidR="00500612">
              <w:rPr>
                <w:noProof/>
                <w:webHidden/>
              </w:rPr>
              <w:instrText xml:space="preserve"> PAGEREF _Toc88496088 \h </w:instrText>
            </w:r>
            <w:r w:rsidR="00500612">
              <w:rPr>
                <w:noProof/>
                <w:webHidden/>
              </w:rPr>
            </w:r>
            <w:r w:rsidR="00500612">
              <w:rPr>
                <w:noProof/>
                <w:webHidden/>
              </w:rPr>
              <w:fldChar w:fldCharType="separate"/>
            </w:r>
            <w:r w:rsidR="00500612">
              <w:rPr>
                <w:noProof/>
                <w:webHidden/>
              </w:rPr>
              <w:t>14</w:t>
            </w:r>
            <w:r w:rsidR="00500612">
              <w:rPr>
                <w:noProof/>
                <w:webHidden/>
              </w:rPr>
              <w:fldChar w:fldCharType="end"/>
            </w:r>
          </w:hyperlink>
        </w:p>
        <w:p w14:paraId="127D7059" w14:textId="77777777" w:rsidR="00500612" w:rsidRDefault="00947F9D">
          <w:pPr>
            <w:pStyle w:val="TOC2"/>
            <w:tabs>
              <w:tab w:val="right" w:leader="dot" w:pos="9350"/>
            </w:tabs>
            <w:rPr>
              <w:noProof/>
            </w:rPr>
          </w:pPr>
          <w:hyperlink w:anchor="_Toc88496089" w:history="1">
            <w:r w:rsidR="00500612" w:rsidRPr="009B2009">
              <w:rPr>
                <w:rStyle w:val="Hyperlink"/>
                <w:noProof/>
              </w:rPr>
              <w:t>Highlight the changes, if any, in the company’s overall performance in the three countries, and discuss the extent to which the UK government’s trade policies may, or may not, have impacted on this</w:t>
            </w:r>
            <w:r w:rsidR="00500612">
              <w:rPr>
                <w:noProof/>
                <w:webHidden/>
              </w:rPr>
              <w:tab/>
            </w:r>
            <w:r w:rsidR="00500612">
              <w:rPr>
                <w:noProof/>
                <w:webHidden/>
              </w:rPr>
              <w:fldChar w:fldCharType="begin"/>
            </w:r>
            <w:r w:rsidR="00500612">
              <w:rPr>
                <w:noProof/>
                <w:webHidden/>
              </w:rPr>
              <w:instrText xml:space="preserve"> PAGEREF _Toc88496089 \h </w:instrText>
            </w:r>
            <w:r w:rsidR="00500612">
              <w:rPr>
                <w:noProof/>
                <w:webHidden/>
              </w:rPr>
            </w:r>
            <w:r w:rsidR="00500612">
              <w:rPr>
                <w:noProof/>
                <w:webHidden/>
              </w:rPr>
              <w:fldChar w:fldCharType="separate"/>
            </w:r>
            <w:r w:rsidR="00500612">
              <w:rPr>
                <w:noProof/>
                <w:webHidden/>
              </w:rPr>
              <w:t>16</w:t>
            </w:r>
            <w:r w:rsidR="00500612">
              <w:rPr>
                <w:noProof/>
                <w:webHidden/>
              </w:rPr>
              <w:fldChar w:fldCharType="end"/>
            </w:r>
          </w:hyperlink>
        </w:p>
        <w:p w14:paraId="714BC771" w14:textId="77777777" w:rsidR="00500612" w:rsidRDefault="00947F9D">
          <w:pPr>
            <w:pStyle w:val="TOC1"/>
            <w:tabs>
              <w:tab w:val="right" w:leader="dot" w:pos="9350"/>
            </w:tabs>
            <w:rPr>
              <w:noProof/>
            </w:rPr>
          </w:pPr>
          <w:hyperlink w:anchor="_Toc88496090" w:history="1">
            <w:r w:rsidR="00500612" w:rsidRPr="009B2009">
              <w:rPr>
                <w:rStyle w:val="Hyperlink"/>
                <w:noProof/>
              </w:rPr>
              <w:t>CONCLUSION</w:t>
            </w:r>
            <w:r w:rsidR="00500612">
              <w:rPr>
                <w:noProof/>
                <w:webHidden/>
              </w:rPr>
              <w:tab/>
            </w:r>
            <w:r w:rsidR="00500612">
              <w:rPr>
                <w:noProof/>
                <w:webHidden/>
              </w:rPr>
              <w:fldChar w:fldCharType="begin"/>
            </w:r>
            <w:r w:rsidR="00500612">
              <w:rPr>
                <w:noProof/>
                <w:webHidden/>
              </w:rPr>
              <w:instrText xml:space="preserve"> PAGEREF _Toc88496090 \h </w:instrText>
            </w:r>
            <w:r w:rsidR="00500612">
              <w:rPr>
                <w:noProof/>
                <w:webHidden/>
              </w:rPr>
            </w:r>
            <w:r w:rsidR="00500612">
              <w:rPr>
                <w:noProof/>
                <w:webHidden/>
              </w:rPr>
              <w:fldChar w:fldCharType="separate"/>
            </w:r>
            <w:r w:rsidR="00500612">
              <w:rPr>
                <w:noProof/>
                <w:webHidden/>
              </w:rPr>
              <w:t>16</w:t>
            </w:r>
            <w:r w:rsidR="00500612">
              <w:rPr>
                <w:noProof/>
                <w:webHidden/>
              </w:rPr>
              <w:fldChar w:fldCharType="end"/>
            </w:r>
          </w:hyperlink>
        </w:p>
        <w:p w14:paraId="032F3456" w14:textId="77777777" w:rsidR="00500612" w:rsidRDefault="00947F9D">
          <w:pPr>
            <w:pStyle w:val="TOC1"/>
            <w:tabs>
              <w:tab w:val="right" w:leader="dot" w:pos="9350"/>
            </w:tabs>
            <w:rPr>
              <w:noProof/>
            </w:rPr>
          </w:pPr>
          <w:hyperlink w:anchor="_Toc88496091" w:history="1">
            <w:r w:rsidR="00500612" w:rsidRPr="009B2009">
              <w:rPr>
                <w:rStyle w:val="Hyperlink"/>
                <w:noProof/>
              </w:rPr>
              <w:t>REFERENCES</w:t>
            </w:r>
            <w:r w:rsidR="00500612">
              <w:rPr>
                <w:noProof/>
                <w:webHidden/>
              </w:rPr>
              <w:tab/>
            </w:r>
            <w:r w:rsidR="00500612">
              <w:rPr>
                <w:noProof/>
                <w:webHidden/>
              </w:rPr>
              <w:fldChar w:fldCharType="begin"/>
            </w:r>
            <w:r w:rsidR="00500612">
              <w:rPr>
                <w:noProof/>
                <w:webHidden/>
              </w:rPr>
              <w:instrText xml:space="preserve"> PAGEREF _Toc88496091 \h </w:instrText>
            </w:r>
            <w:r w:rsidR="00500612">
              <w:rPr>
                <w:noProof/>
                <w:webHidden/>
              </w:rPr>
            </w:r>
            <w:r w:rsidR="00500612">
              <w:rPr>
                <w:noProof/>
                <w:webHidden/>
              </w:rPr>
              <w:fldChar w:fldCharType="separate"/>
            </w:r>
            <w:r w:rsidR="00500612">
              <w:rPr>
                <w:noProof/>
                <w:webHidden/>
              </w:rPr>
              <w:t>18</w:t>
            </w:r>
            <w:r w:rsidR="00500612">
              <w:rPr>
                <w:noProof/>
                <w:webHidden/>
              </w:rPr>
              <w:fldChar w:fldCharType="end"/>
            </w:r>
          </w:hyperlink>
        </w:p>
        <w:p w14:paraId="44F78B80" w14:textId="77777777" w:rsidR="00500612" w:rsidRDefault="00500612">
          <w:r>
            <w:fldChar w:fldCharType="end"/>
          </w:r>
        </w:p>
      </w:sdtContent>
    </w:sdt>
    <w:p w14:paraId="67AF998C" w14:textId="77777777" w:rsidR="00500612" w:rsidRDefault="00500612">
      <w:pPr>
        <w:rPr>
          <w:rFonts w:ascii="Times New Roman" w:hAnsi="Times New Roman" w:cs="Times New Roman"/>
          <w:sz w:val="24"/>
          <w:szCs w:val="24"/>
        </w:rPr>
      </w:pPr>
      <w:r>
        <w:rPr>
          <w:rFonts w:ascii="Times New Roman" w:hAnsi="Times New Roman" w:cs="Times New Roman"/>
          <w:sz w:val="24"/>
          <w:szCs w:val="24"/>
        </w:rPr>
        <w:br w:type="page"/>
      </w:r>
    </w:p>
    <w:p w14:paraId="56A27DDA" w14:textId="77777777" w:rsidR="0006322E" w:rsidRDefault="0006322E">
      <w:pPr>
        <w:rPr>
          <w:rFonts w:ascii="Times New Roman" w:hAnsi="Times New Roman" w:cs="Times New Roman"/>
          <w:sz w:val="24"/>
          <w:szCs w:val="24"/>
        </w:rPr>
      </w:pPr>
    </w:p>
    <w:p w14:paraId="32C306E9" w14:textId="77777777" w:rsidR="00735C01" w:rsidRDefault="00735C01" w:rsidP="00735C01">
      <w:pPr>
        <w:pStyle w:val="Heading1"/>
      </w:pPr>
      <w:bookmarkStart w:id="0" w:name="_Toc74680200"/>
      <w:bookmarkStart w:id="1" w:name="_Toc74930014"/>
      <w:bookmarkStart w:id="2" w:name="_Toc75020457"/>
      <w:bookmarkStart w:id="3" w:name="_Toc75201172"/>
      <w:bookmarkStart w:id="4" w:name="_Toc75358859"/>
      <w:bookmarkStart w:id="5" w:name="_Toc76485237"/>
      <w:bookmarkStart w:id="6" w:name="_Toc85620502"/>
      <w:bookmarkStart w:id="7" w:name="_Toc87563291"/>
      <w:bookmarkStart w:id="8" w:name="_Toc87638236"/>
      <w:bookmarkStart w:id="9" w:name="_Toc87721902"/>
      <w:bookmarkStart w:id="10" w:name="_Toc87902150"/>
      <w:bookmarkStart w:id="11" w:name="_Toc88325231"/>
      <w:bookmarkStart w:id="12" w:name="_Toc88332975"/>
      <w:bookmarkStart w:id="13" w:name="_Toc88496084"/>
      <w:r>
        <w:t>INTRODUCTION</w:t>
      </w:r>
      <w:bookmarkEnd w:id="0"/>
      <w:bookmarkEnd w:id="1"/>
      <w:bookmarkEnd w:id="2"/>
      <w:bookmarkEnd w:id="3"/>
      <w:bookmarkEnd w:id="4"/>
      <w:bookmarkEnd w:id="5"/>
      <w:bookmarkEnd w:id="6"/>
      <w:bookmarkEnd w:id="7"/>
      <w:bookmarkEnd w:id="8"/>
      <w:bookmarkEnd w:id="9"/>
      <w:bookmarkEnd w:id="10"/>
      <w:bookmarkEnd w:id="11"/>
      <w:bookmarkEnd w:id="12"/>
      <w:bookmarkEnd w:id="13"/>
    </w:p>
    <w:p w14:paraId="7EECF600" w14:textId="77777777" w:rsidR="001D02A1" w:rsidRPr="009E10D9" w:rsidRDefault="00937627" w:rsidP="009E10D9">
      <w:pPr>
        <w:spacing w:line="360" w:lineRule="auto"/>
        <w:ind w:firstLine="432"/>
        <w:jc w:val="both"/>
      </w:pPr>
      <w:r w:rsidRPr="00937627">
        <w:rPr>
          <w:rFonts w:ascii="Times New Roman" w:hAnsi="Times New Roman" w:cs="Times New Roman"/>
          <w:sz w:val="24"/>
          <w:szCs w:val="24"/>
        </w:rPr>
        <w:t>Managerial economics is a related to the data method. Because managerial economics and judgment procedures are intertwined, this occurs. This method can assist a business in taking better efficient and productive actions to achieve its goals. This management approach is utilized in the business world to help businesses run their business, such as risk assessment, economic evaluation, price norms, related legislation, and business investments</w:t>
      </w:r>
      <w:r w:rsidR="009E10D9">
        <w:rPr>
          <w:rFonts w:ascii="Times New Roman" w:hAnsi="Times New Roman" w:cs="Times New Roman"/>
          <w:sz w:val="24"/>
          <w:szCs w:val="24"/>
        </w:rPr>
        <w:t xml:space="preserve"> (</w:t>
      </w:r>
      <w:proofErr w:type="spellStart"/>
      <w:r w:rsidR="009E10D9">
        <w:rPr>
          <w:rFonts w:ascii="Times New Roman" w:hAnsi="Times New Roman" w:cs="Times New Roman"/>
          <w:color w:val="222222"/>
          <w:sz w:val="24"/>
          <w:szCs w:val="24"/>
          <w:shd w:val="clear" w:color="auto" w:fill="FFFFFF"/>
        </w:rPr>
        <w:t>Gössling</w:t>
      </w:r>
      <w:proofErr w:type="spellEnd"/>
      <w:r w:rsidR="009E10D9">
        <w:rPr>
          <w:rFonts w:ascii="Times New Roman" w:hAnsi="Times New Roman" w:cs="Times New Roman"/>
          <w:color w:val="222222"/>
          <w:sz w:val="24"/>
          <w:szCs w:val="24"/>
          <w:shd w:val="clear" w:color="auto" w:fill="FFFFFF"/>
        </w:rPr>
        <w:t xml:space="preserve"> and </w:t>
      </w:r>
      <w:proofErr w:type="spellStart"/>
      <w:r w:rsidR="009E10D9">
        <w:rPr>
          <w:rFonts w:ascii="Times New Roman" w:hAnsi="Times New Roman" w:cs="Times New Roman"/>
          <w:color w:val="222222"/>
          <w:sz w:val="24"/>
          <w:szCs w:val="24"/>
          <w:shd w:val="clear" w:color="auto" w:fill="FFFFFF"/>
        </w:rPr>
        <w:t>Higham</w:t>
      </w:r>
      <w:proofErr w:type="spellEnd"/>
      <w:r w:rsidR="009E10D9">
        <w:rPr>
          <w:rFonts w:ascii="Times New Roman" w:hAnsi="Times New Roman" w:cs="Times New Roman"/>
          <w:color w:val="222222"/>
          <w:sz w:val="24"/>
          <w:szCs w:val="24"/>
          <w:shd w:val="clear" w:color="auto" w:fill="FFFFFF"/>
        </w:rPr>
        <w:t>,</w:t>
      </w:r>
      <w:r w:rsidR="009E10D9" w:rsidRPr="00BA21D3">
        <w:rPr>
          <w:rFonts w:ascii="Times New Roman" w:hAnsi="Times New Roman" w:cs="Times New Roman"/>
          <w:color w:val="222222"/>
          <w:sz w:val="24"/>
          <w:szCs w:val="24"/>
          <w:shd w:val="clear" w:color="auto" w:fill="FFFFFF"/>
        </w:rPr>
        <w:t xml:space="preserve"> 2021</w:t>
      </w:r>
      <w:r w:rsidR="009E10D9">
        <w:rPr>
          <w:rFonts w:ascii="Times New Roman" w:hAnsi="Times New Roman" w:cs="Times New Roman"/>
          <w:color w:val="222222"/>
          <w:sz w:val="24"/>
          <w:szCs w:val="24"/>
          <w:shd w:val="clear" w:color="auto" w:fill="FFFFFF"/>
        </w:rPr>
        <w:t>)</w:t>
      </w:r>
      <w:r w:rsidRPr="00937627">
        <w:rPr>
          <w:rFonts w:ascii="Times New Roman" w:hAnsi="Times New Roman" w:cs="Times New Roman"/>
          <w:sz w:val="24"/>
          <w:szCs w:val="24"/>
        </w:rPr>
        <w:t>.</w:t>
      </w:r>
      <w:r>
        <w:rPr>
          <w:rFonts w:ascii="Times New Roman" w:hAnsi="Times New Roman" w:cs="Times New Roman"/>
          <w:sz w:val="24"/>
          <w:szCs w:val="24"/>
        </w:rPr>
        <w:t xml:space="preserve"> This report based on the FTSE 100 listed transnational companies Vodafone. </w:t>
      </w:r>
      <w:r w:rsidR="00EC5014">
        <w:rPr>
          <w:rFonts w:ascii="Times New Roman" w:hAnsi="Times New Roman" w:cs="Times New Roman"/>
          <w:sz w:val="24"/>
          <w:szCs w:val="24"/>
        </w:rPr>
        <w:t xml:space="preserve">In this report consist of strategies </w:t>
      </w:r>
      <w:r w:rsidR="002A7205">
        <w:rPr>
          <w:rFonts w:ascii="Times New Roman" w:hAnsi="Times New Roman" w:cs="Times New Roman"/>
          <w:sz w:val="24"/>
          <w:szCs w:val="24"/>
        </w:rPr>
        <w:t xml:space="preserve">consider by the company and compare company data between three countries for company. Along with </w:t>
      </w:r>
      <w:r w:rsidR="00E04499">
        <w:rPr>
          <w:rFonts w:ascii="Times New Roman" w:hAnsi="Times New Roman" w:cs="Times New Roman"/>
          <w:sz w:val="24"/>
          <w:szCs w:val="24"/>
        </w:rPr>
        <w:t xml:space="preserve">highlight the changes in business performance from the year 2016 to 2020. </w:t>
      </w:r>
    </w:p>
    <w:p w14:paraId="63A66AA3" w14:textId="77777777" w:rsidR="001D02A1" w:rsidRDefault="001D02A1" w:rsidP="001D02A1">
      <w:pPr>
        <w:pStyle w:val="Heading1"/>
      </w:pPr>
      <w:bookmarkStart w:id="14" w:name="_Toc88496085"/>
      <w:r>
        <w:t>MAIN BODY</w:t>
      </w:r>
      <w:bookmarkEnd w:id="14"/>
    </w:p>
    <w:p w14:paraId="0255ED2C" w14:textId="77777777" w:rsidR="001D02A1" w:rsidRPr="001D02A1" w:rsidRDefault="00E04499" w:rsidP="001D02A1">
      <w:pPr>
        <w:pStyle w:val="Heading2"/>
      </w:pPr>
      <w:bookmarkStart w:id="15" w:name="_Toc88496086"/>
      <w:r>
        <w:t xml:space="preserve">An </w:t>
      </w:r>
      <w:r w:rsidR="001D02A1" w:rsidRPr="001D02A1">
        <w:t>overview of the business and how its strategies have unfolded in the above time-period</w:t>
      </w:r>
      <w:bookmarkEnd w:id="15"/>
    </w:p>
    <w:p w14:paraId="3578716C" w14:textId="77777777" w:rsidR="001D02A1" w:rsidRDefault="002217C2" w:rsidP="002217C2">
      <w:pPr>
        <w:spacing w:line="360" w:lineRule="auto"/>
        <w:ind w:firstLine="576"/>
        <w:jc w:val="both"/>
        <w:rPr>
          <w:rFonts w:ascii="Times New Roman" w:hAnsi="Times New Roman" w:cs="Times New Roman"/>
          <w:sz w:val="24"/>
          <w:szCs w:val="24"/>
        </w:rPr>
      </w:pPr>
      <w:r w:rsidRPr="002217C2">
        <w:rPr>
          <w:rFonts w:ascii="Times New Roman" w:hAnsi="Times New Roman" w:cs="Times New Roman"/>
          <w:sz w:val="24"/>
          <w:szCs w:val="24"/>
        </w:rPr>
        <w:t>Vodafone Group Plc is a telecommunication conglomerate headquartered in the United Kingdom. Newbury, Berkshire, England is the company's head offices and headquarter. Asia, Africa, Europe, and Oceania are the main destinations for its services. Vodafone currently operates infrastructure in 22 countries as of November 2020, with partner organizations in another 48. Vodafone Global Corporate serves business clients in 150 countries with telephony and IT solutions. Vodafone is a member of the FTSE 100 Index and has its principal registration on the London Stock Exchange. On Nasdaq, the firm has a better prospect.</w:t>
      </w:r>
    </w:p>
    <w:p w14:paraId="68A41E2A" w14:textId="77777777" w:rsidR="009F7590" w:rsidRPr="009F7590" w:rsidRDefault="002217C2" w:rsidP="009F7590">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2217C2">
        <w:rPr>
          <w:rFonts w:ascii="Times New Roman" w:hAnsi="Times New Roman" w:cs="Times New Roman"/>
          <w:sz w:val="24"/>
          <w:szCs w:val="24"/>
        </w:rPr>
        <w:t>Vodafone Idea's goal to maintain its market leadership relies around streamlined pricing plans, speedier integrating, and improving its financial statement, according to its CEO, who also stated that present "unviable" prices "will mend" as the industry consolidates.</w:t>
      </w:r>
      <w:r>
        <w:rPr>
          <w:rFonts w:ascii="Times New Roman" w:hAnsi="Times New Roman" w:cs="Times New Roman"/>
          <w:sz w:val="24"/>
          <w:szCs w:val="24"/>
        </w:rPr>
        <w:t xml:space="preserve"> </w:t>
      </w:r>
      <w:r w:rsidRPr="002217C2">
        <w:rPr>
          <w:rFonts w:ascii="Times New Roman" w:hAnsi="Times New Roman" w:cs="Times New Roman"/>
          <w:sz w:val="24"/>
          <w:szCs w:val="24"/>
        </w:rPr>
        <w:t>Vodafone's company's current plan aims to expand geographically, acquire new consumers, build customer loyalty, and increase consumption via technological advances</w:t>
      </w:r>
      <w:r w:rsidR="009E10D9">
        <w:rPr>
          <w:rFonts w:ascii="Times New Roman" w:hAnsi="Times New Roman" w:cs="Times New Roman"/>
          <w:sz w:val="24"/>
          <w:szCs w:val="24"/>
        </w:rPr>
        <w:t xml:space="preserve"> </w:t>
      </w:r>
      <w:r w:rsidR="009E10D9">
        <w:rPr>
          <w:rFonts w:ascii="Times New Roman" w:hAnsi="Times New Roman" w:cs="Times New Roman"/>
          <w:color w:val="222222"/>
          <w:sz w:val="24"/>
          <w:szCs w:val="24"/>
          <w:shd w:val="clear" w:color="auto" w:fill="FFFFFF"/>
        </w:rPr>
        <w:t>(</w:t>
      </w:r>
      <w:proofErr w:type="spellStart"/>
      <w:r w:rsidR="009E10D9">
        <w:rPr>
          <w:rFonts w:ascii="Times New Roman" w:hAnsi="Times New Roman" w:cs="Times New Roman"/>
          <w:color w:val="222222"/>
          <w:sz w:val="24"/>
          <w:szCs w:val="24"/>
          <w:shd w:val="clear" w:color="auto" w:fill="FFFFFF"/>
        </w:rPr>
        <w:t>Kliestik</w:t>
      </w:r>
      <w:proofErr w:type="spellEnd"/>
      <w:r w:rsidR="009E10D9">
        <w:rPr>
          <w:rFonts w:ascii="Times New Roman" w:hAnsi="Times New Roman" w:cs="Times New Roman"/>
          <w:color w:val="222222"/>
          <w:sz w:val="24"/>
          <w:szCs w:val="24"/>
          <w:shd w:val="clear" w:color="auto" w:fill="FFFFFF"/>
        </w:rPr>
        <w:t xml:space="preserve"> and et.al, </w:t>
      </w:r>
      <w:r w:rsidR="009E10D9" w:rsidRPr="00BA21D3">
        <w:rPr>
          <w:rFonts w:ascii="Times New Roman" w:hAnsi="Times New Roman" w:cs="Times New Roman"/>
          <w:color w:val="222222"/>
          <w:sz w:val="24"/>
          <w:szCs w:val="24"/>
          <w:shd w:val="clear" w:color="auto" w:fill="FFFFFF"/>
        </w:rPr>
        <w:t>2020</w:t>
      </w:r>
      <w:r w:rsidR="009E10D9">
        <w:rPr>
          <w:rFonts w:ascii="Times New Roman" w:hAnsi="Times New Roman" w:cs="Times New Roman"/>
          <w:color w:val="222222"/>
          <w:sz w:val="24"/>
          <w:szCs w:val="24"/>
          <w:shd w:val="clear" w:color="auto" w:fill="FFFFFF"/>
        </w:rPr>
        <w:t>)</w:t>
      </w:r>
      <w:r w:rsidRPr="002217C2">
        <w:rPr>
          <w:rFonts w:ascii="Times New Roman" w:hAnsi="Times New Roman" w:cs="Times New Roman"/>
          <w:sz w:val="24"/>
          <w:szCs w:val="24"/>
        </w:rPr>
        <w:t>. As seen by Vodafone's performance in the United Kingdom, this is a very winning approach.</w:t>
      </w:r>
      <w:r>
        <w:rPr>
          <w:rFonts w:ascii="Times New Roman" w:hAnsi="Times New Roman" w:cs="Times New Roman"/>
          <w:sz w:val="24"/>
          <w:szCs w:val="24"/>
        </w:rPr>
        <w:t xml:space="preserve"> </w:t>
      </w:r>
      <w:r w:rsidR="009F7590" w:rsidRPr="009F7590">
        <w:rPr>
          <w:rFonts w:ascii="Times New Roman" w:hAnsi="Times New Roman" w:cs="Times New Roman"/>
          <w:sz w:val="24"/>
          <w:szCs w:val="24"/>
        </w:rPr>
        <w:t xml:space="preserve">The business plan of Vodafone and </w:t>
      </w:r>
      <w:proofErr w:type="gramStart"/>
      <w:r w:rsidR="009F7590" w:rsidRPr="009F7590">
        <w:rPr>
          <w:rFonts w:ascii="Times New Roman" w:hAnsi="Times New Roman" w:cs="Times New Roman"/>
          <w:sz w:val="24"/>
          <w:szCs w:val="24"/>
        </w:rPr>
        <w:t>its</w:t>
      </w:r>
      <w:proofErr w:type="gramEnd"/>
      <w:r w:rsidR="009F7590" w:rsidRPr="009F7590">
        <w:rPr>
          <w:rFonts w:ascii="Times New Roman" w:hAnsi="Times New Roman" w:cs="Times New Roman"/>
          <w:sz w:val="24"/>
          <w:szCs w:val="24"/>
        </w:rPr>
        <w:t xml:space="preserve"> involve implementing are inextricably linked. Meeting society's requirements opens up a plethora of economic prospects. Vodafone's objective is to </w:t>
      </w:r>
      <w:r w:rsidR="009F7590" w:rsidRPr="009F7590">
        <w:rPr>
          <w:rFonts w:ascii="Times New Roman" w:hAnsi="Times New Roman" w:cs="Times New Roman"/>
          <w:sz w:val="24"/>
          <w:szCs w:val="24"/>
        </w:rPr>
        <w:lastRenderedPageBreak/>
        <w:t>establish and look for areas wherein their actions may most solve complex environmental challenges while also providing an appealing financial benefit to their investors.</w:t>
      </w:r>
    </w:p>
    <w:p w14:paraId="7B26319B" w14:textId="77777777" w:rsidR="001D02A1" w:rsidRDefault="009F7590" w:rsidP="0006322E">
      <w:pPr>
        <w:spacing w:line="360" w:lineRule="auto"/>
        <w:jc w:val="both"/>
        <w:rPr>
          <w:rFonts w:ascii="Times New Roman" w:hAnsi="Times New Roman" w:cs="Times New Roman"/>
          <w:sz w:val="24"/>
          <w:szCs w:val="24"/>
        </w:rPr>
      </w:pPr>
      <w:r w:rsidRPr="009F7590">
        <w:rPr>
          <w:rFonts w:ascii="Times New Roman" w:hAnsi="Times New Roman" w:cs="Times New Roman"/>
          <w:sz w:val="24"/>
          <w:szCs w:val="24"/>
        </w:rPr>
        <w:t>Developing Vodafone's corporate strategy in developing markets like Africa and India is increasing telecommunication availability and the socioeconomic advantages that come with it</w:t>
      </w:r>
      <w:r>
        <w:rPr>
          <w:rFonts w:ascii="Times New Roman" w:hAnsi="Times New Roman" w:cs="Times New Roman"/>
          <w:sz w:val="24"/>
          <w:szCs w:val="24"/>
        </w:rPr>
        <w:t>.</w:t>
      </w:r>
    </w:p>
    <w:p w14:paraId="034A0D49" w14:textId="77777777" w:rsidR="001D02A1" w:rsidRPr="000D7669" w:rsidRDefault="001D02A1" w:rsidP="0006322E">
      <w:pPr>
        <w:pStyle w:val="Heading2"/>
      </w:pPr>
      <w:bookmarkStart w:id="16" w:name="_Toc88496087"/>
      <w:r w:rsidRPr="001D02A1">
        <w:t>A five-year macroeconomic data comparison between the three countries, to include growth, inflation, currency fluctuations, interest rates, unemployment, and current account balance</w:t>
      </w:r>
      <w:bookmarkEnd w:id="16"/>
    </w:p>
    <w:p w14:paraId="4AEC544E" w14:textId="77777777" w:rsidR="00986EA1" w:rsidRPr="007B4D83" w:rsidRDefault="00986EA1" w:rsidP="0006322E">
      <w:pPr>
        <w:spacing w:line="360" w:lineRule="auto"/>
        <w:jc w:val="both"/>
        <w:rPr>
          <w:rFonts w:ascii="Times New Roman" w:hAnsi="Times New Roman" w:cs="Times New Roman"/>
          <w:b/>
          <w:sz w:val="24"/>
          <w:szCs w:val="24"/>
          <w:u w:val="single"/>
        </w:rPr>
      </w:pPr>
      <w:r w:rsidRPr="007B4D83">
        <w:rPr>
          <w:rFonts w:ascii="Times New Roman" w:hAnsi="Times New Roman" w:cs="Times New Roman"/>
          <w:b/>
          <w:sz w:val="24"/>
          <w:szCs w:val="24"/>
          <w:u w:val="single"/>
        </w:rPr>
        <w:t>Australia</w:t>
      </w:r>
    </w:p>
    <w:p w14:paraId="676B0350" w14:textId="77777777" w:rsidR="00986EA1" w:rsidRDefault="002D3B4B" w:rsidP="0006322E">
      <w:pPr>
        <w:spacing w:line="360" w:lineRule="auto"/>
        <w:jc w:val="both"/>
        <w:rPr>
          <w:rFonts w:ascii="Times New Roman" w:hAnsi="Times New Roman" w:cs="Times New Roman"/>
          <w:sz w:val="24"/>
          <w:szCs w:val="24"/>
        </w:rPr>
      </w:pPr>
      <w:r w:rsidRPr="000D7669">
        <w:rPr>
          <w:rFonts w:ascii="Times New Roman" w:hAnsi="Times New Roman" w:cs="Times New Roman"/>
          <w:b/>
          <w:sz w:val="24"/>
          <w:szCs w:val="24"/>
        </w:rPr>
        <w:t>Growth</w:t>
      </w:r>
      <w:r>
        <w:rPr>
          <w:rFonts w:ascii="Times New Roman" w:hAnsi="Times New Roman" w:cs="Times New Roman"/>
          <w:sz w:val="24"/>
          <w:szCs w:val="24"/>
        </w:rPr>
        <w:t>:</w:t>
      </w:r>
      <w:r w:rsidR="00C1027C">
        <w:rPr>
          <w:rFonts w:ascii="Times New Roman" w:hAnsi="Times New Roman" w:cs="Times New Roman"/>
          <w:sz w:val="24"/>
          <w:szCs w:val="24"/>
        </w:rPr>
        <w:t xml:space="preserve"> </w:t>
      </w:r>
    </w:p>
    <w:p w14:paraId="0F6AEFC7" w14:textId="77777777" w:rsidR="00683E58" w:rsidRDefault="00683E58" w:rsidP="0006322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D445F7" wp14:editId="4F8CD551">
            <wp:extent cx="5943600" cy="378610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3786107"/>
                    </a:xfrm>
                    <a:prstGeom prst="rect">
                      <a:avLst/>
                    </a:prstGeom>
                    <a:noFill/>
                    <a:ln w="9525">
                      <a:noFill/>
                      <a:miter lim="800000"/>
                      <a:headEnd/>
                      <a:tailEnd/>
                    </a:ln>
                  </pic:spPr>
                </pic:pic>
              </a:graphicData>
            </a:graphic>
          </wp:inline>
        </w:drawing>
      </w:r>
    </w:p>
    <w:p w14:paraId="147D655C" w14:textId="77777777" w:rsidR="00683E58" w:rsidRDefault="00683E58" w:rsidP="0006322E">
      <w:pPr>
        <w:spacing w:line="360" w:lineRule="auto"/>
        <w:jc w:val="both"/>
        <w:rPr>
          <w:rFonts w:ascii="Times New Roman" w:hAnsi="Times New Roman" w:cs="Times New Roman"/>
          <w:sz w:val="24"/>
          <w:szCs w:val="24"/>
        </w:rPr>
      </w:pPr>
    </w:p>
    <w:p w14:paraId="29A63983" w14:textId="77777777" w:rsidR="00683E58" w:rsidRDefault="00683E58" w:rsidP="0006322E">
      <w:pPr>
        <w:spacing w:line="360" w:lineRule="auto"/>
        <w:jc w:val="both"/>
        <w:rPr>
          <w:rFonts w:ascii="Times New Roman" w:hAnsi="Times New Roman" w:cs="Times New Roman"/>
          <w:sz w:val="24"/>
          <w:szCs w:val="24"/>
        </w:rPr>
      </w:pPr>
      <w:r w:rsidRPr="00683E58">
        <w:rPr>
          <w:rFonts w:ascii="Times New Roman" w:hAnsi="Times New Roman" w:cs="Times New Roman"/>
          <w:sz w:val="24"/>
          <w:szCs w:val="24"/>
        </w:rPr>
        <w:t xml:space="preserve">The graph depicts Australia's real GDP growth rate from 2016 to 2020, with predictions through 2026. Australia's GDP is expected to fall by 2.44 percent in 2020 comparison to the prior decade. In a country with such a huge number, maintaining a reliable telecommunications network is critical. Generations of continuous progress have culminated in a vast mobile and fixed broadband network. Fiber, towers, cables, sensors, spacecraft, radio airwaves, and cloud services </w:t>
      </w:r>
      <w:r w:rsidRPr="00683E58">
        <w:rPr>
          <w:rFonts w:ascii="Times New Roman" w:hAnsi="Times New Roman" w:cs="Times New Roman"/>
          <w:sz w:val="24"/>
          <w:szCs w:val="24"/>
        </w:rPr>
        <w:lastRenderedPageBreak/>
        <w:t>are included. Although most areas are controlled by a few corporations, the market is reasonably free to competitors for operators and network operators</w:t>
      </w:r>
      <w:r w:rsidR="009E10D9">
        <w:rPr>
          <w:rFonts w:ascii="Times New Roman" w:hAnsi="Times New Roman" w:cs="Times New Roman"/>
          <w:sz w:val="24"/>
          <w:szCs w:val="24"/>
        </w:rPr>
        <w:t xml:space="preserve"> </w:t>
      </w:r>
      <w:r w:rsidR="009E10D9">
        <w:rPr>
          <w:rFonts w:ascii="Times New Roman" w:hAnsi="Times New Roman" w:cs="Times New Roman"/>
          <w:color w:val="222222"/>
          <w:sz w:val="24"/>
          <w:szCs w:val="24"/>
          <w:shd w:val="clear" w:color="auto" w:fill="FFFFFF"/>
        </w:rPr>
        <w:t xml:space="preserve">(TRAN and et.al, </w:t>
      </w:r>
      <w:r w:rsidR="009E10D9" w:rsidRPr="00BA21D3">
        <w:rPr>
          <w:rFonts w:ascii="Times New Roman" w:hAnsi="Times New Roman" w:cs="Times New Roman"/>
          <w:color w:val="222222"/>
          <w:sz w:val="24"/>
          <w:szCs w:val="24"/>
          <w:shd w:val="clear" w:color="auto" w:fill="FFFFFF"/>
        </w:rPr>
        <w:t>2020</w:t>
      </w:r>
      <w:r w:rsidR="009E10D9">
        <w:rPr>
          <w:rFonts w:ascii="Times New Roman" w:hAnsi="Times New Roman" w:cs="Times New Roman"/>
          <w:color w:val="222222"/>
          <w:sz w:val="24"/>
          <w:szCs w:val="24"/>
          <w:shd w:val="clear" w:color="auto" w:fill="FFFFFF"/>
        </w:rPr>
        <w:t>)</w:t>
      </w:r>
      <w:r w:rsidRPr="00683E58">
        <w:rPr>
          <w:rFonts w:ascii="Times New Roman" w:hAnsi="Times New Roman" w:cs="Times New Roman"/>
          <w:sz w:val="24"/>
          <w:szCs w:val="24"/>
        </w:rPr>
        <w:t>.</w:t>
      </w:r>
    </w:p>
    <w:p w14:paraId="68F92E2E" w14:textId="77777777" w:rsidR="002D3B4B" w:rsidRDefault="002D3B4B" w:rsidP="009E10D9">
      <w:pPr>
        <w:tabs>
          <w:tab w:val="left" w:pos="7275"/>
        </w:tabs>
        <w:spacing w:line="360" w:lineRule="auto"/>
        <w:jc w:val="both"/>
        <w:rPr>
          <w:rFonts w:ascii="Times New Roman" w:hAnsi="Times New Roman" w:cs="Times New Roman"/>
          <w:sz w:val="24"/>
          <w:szCs w:val="24"/>
        </w:rPr>
      </w:pPr>
      <w:r w:rsidRPr="000D7669">
        <w:rPr>
          <w:rFonts w:ascii="Times New Roman" w:hAnsi="Times New Roman" w:cs="Times New Roman"/>
          <w:b/>
          <w:sz w:val="24"/>
          <w:szCs w:val="24"/>
        </w:rPr>
        <w:t>Inflation</w:t>
      </w:r>
      <w:r>
        <w:rPr>
          <w:rFonts w:ascii="Times New Roman" w:hAnsi="Times New Roman" w:cs="Times New Roman"/>
          <w:sz w:val="24"/>
          <w:szCs w:val="24"/>
        </w:rPr>
        <w:t>:</w:t>
      </w:r>
      <w:r w:rsidR="00683E58">
        <w:rPr>
          <w:rFonts w:ascii="Times New Roman" w:hAnsi="Times New Roman" w:cs="Times New Roman"/>
          <w:sz w:val="24"/>
          <w:szCs w:val="24"/>
        </w:rPr>
        <w:t xml:space="preserve"> </w:t>
      </w:r>
      <w:r w:rsidR="009E10D9">
        <w:rPr>
          <w:rFonts w:ascii="Times New Roman" w:hAnsi="Times New Roman" w:cs="Times New Roman"/>
          <w:sz w:val="24"/>
          <w:szCs w:val="24"/>
        </w:rPr>
        <w:tab/>
      </w:r>
    </w:p>
    <w:p w14:paraId="3A6D8183" w14:textId="77777777" w:rsidR="003B0B81" w:rsidRPr="003B0B81" w:rsidRDefault="003B0B81" w:rsidP="003B0B81">
      <w:pPr>
        <w:pStyle w:val="ListParagraph"/>
        <w:numPr>
          <w:ilvl w:val="0"/>
          <w:numId w:val="3"/>
        </w:numPr>
        <w:spacing w:line="360" w:lineRule="auto"/>
        <w:jc w:val="both"/>
        <w:rPr>
          <w:sz w:val="24"/>
          <w:szCs w:val="24"/>
        </w:rPr>
      </w:pPr>
      <w:r w:rsidRPr="003B0B81">
        <w:rPr>
          <w:sz w:val="24"/>
          <w:szCs w:val="24"/>
        </w:rPr>
        <w:t xml:space="preserve">Inflation in Australia was 0.85 percent in 2020, down 0.76 percent from 2019. </w:t>
      </w:r>
    </w:p>
    <w:p w14:paraId="160E6086" w14:textId="77777777" w:rsidR="003B0B81" w:rsidRPr="003B0B81" w:rsidRDefault="003B0B81" w:rsidP="003B0B81">
      <w:pPr>
        <w:pStyle w:val="ListParagraph"/>
        <w:numPr>
          <w:ilvl w:val="0"/>
          <w:numId w:val="3"/>
        </w:numPr>
        <w:spacing w:line="360" w:lineRule="auto"/>
        <w:jc w:val="both"/>
        <w:rPr>
          <w:sz w:val="24"/>
          <w:szCs w:val="24"/>
        </w:rPr>
      </w:pPr>
      <w:r w:rsidRPr="003B0B81">
        <w:rPr>
          <w:sz w:val="24"/>
          <w:szCs w:val="24"/>
        </w:rPr>
        <w:t xml:space="preserve">Inflation in Australia in 2019 was 1.61 percent, down 0.3 percent from 2018. </w:t>
      </w:r>
    </w:p>
    <w:p w14:paraId="4099B7AA" w14:textId="77777777" w:rsidR="003B0B81" w:rsidRPr="003B0B81" w:rsidRDefault="003B0B81" w:rsidP="003B0B81">
      <w:pPr>
        <w:pStyle w:val="ListParagraph"/>
        <w:numPr>
          <w:ilvl w:val="0"/>
          <w:numId w:val="3"/>
        </w:numPr>
        <w:spacing w:line="360" w:lineRule="auto"/>
        <w:jc w:val="both"/>
        <w:rPr>
          <w:sz w:val="24"/>
          <w:szCs w:val="24"/>
        </w:rPr>
      </w:pPr>
      <w:r w:rsidRPr="003B0B81">
        <w:rPr>
          <w:sz w:val="24"/>
          <w:szCs w:val="24"/>
        </w:rPr>
        <w:t xml:space="preserve">Inflation in Australia in 2018 was 1.91 percent, down 0.04 percent from 2017. </w:t>
      </w:r>
    </w:p>
    <w:p w14:paraId="6427DD6E" w14:textId="77777777" w:rsidR="003B0B81" w:rsidRPr="003B0B81" w:rsidRDefault="003B0B81" w:rsidP="003B0B81">
      <w:pPr>
        <w:pStyle w:val="ListParagraph"/>
        <w:numPr>
          <w:ilvl w:val="0"/>
          <w:numId w:val="3"/>
        </w:numPr>
        <w:spacing w:line="360" w:lineRule="auto"/>
        <w:jc w:val="both"/>
        <w:rPr>
          <w:sz w:val="24"/>
          <w:szCs w:val="24"/>
        </w:rPr>
      </w:pPr>
      <w:r w:rsidRPr="003B0B81">
        <w:rPr>
          <w:sz w:val="24"/>
          <w:szCs w:val="24"/>
        </w:rPr>
        <w:t>In 2017, Australia's inflation rate was 1.95 percent, up 0.67 percent from 2016.</w:t>
      </w:r>
    </w:p>
    <w:p w14:paraId="6866BBA5" w14:textId="77777777" w:rsidR="002D3B4B" w:rsidRDefault="002D3B4B" w:rsidP="0006322E">
      <w:pPr>
        <w:spacing w:line="360" w:lineRule="auto"/>
        <w:jc w:val="both"/>
        <w:rPr>
          <w:rFonts w:ascii="Times New Roman" w:hAnsi="Times New Roman" w:cs="Times New Roman"/>
          <w:sz w:val="24"/>
          <w:szCs w:val="24"/>
        </w:rPr>
      </w:pPr>
      <w:r w:rsidRPr="000D7669">
        <w:rPr>
          <w:rFonts w:ascii="Times New Roman" w:hAnsi="Times New Roman" w:cs="Times New Roman"/>
          <w:b/>
          <w:sz w:val="24"/>
          <w:szCs w:val="24"/>
        </w:rPr>
        <w:t>Currency fluctuations</w:t>
      </w:r>
      <w:r>
        <w:rPr>
          <w:rFonts w:ascii="Times New Roman" w:hAnsi="Times New Roman" w:cs="Times New Roman"/>
          <w:sz w:val="24"/>
          <w:szCs w:val="24"/>
        </w:rPr>
        <w:t>:</w:t>
      </w:r>
      <w:r w:rsidR="003B0B81">
        <w:rPr>
          <w:rFonts w:ascii="Times New Roman" w:hAnsi="Times New Roman" w:cs="Times New Roman"/>
          <w:sz w:val="24"/>
          <w:szCs w:val="24"/>
        </w:rPr>
        <w:t xml:space="preserve"> </w:t>
      </w:r>
    </w:p>
    <w:p w14:paraId="48399E5B" w14:textId="77777777" w:rsidR="008D7F95" w:rsidRDefault="008D7F95" w:rsidP="0006322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E0744B" wp14:editId="05DA425B">
            <wp:extent cx="5819775" cy="52863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819775" cy="5286375"/>
                    </a:xfrm>
                    <a:prstGeom prst="rect">
                      <a:avLst/>
                    </a:prstGeom>
                    <a:noFill/>
                    <a:ln w="9525">
                      <a:noFill/>
                      <a:miter lim="800000"/>
                      <a:headEnd/>
                      <a:tailEnd/>
                    </a:ln>
                  </pic:spPr>
                </pic:pic>
              </a:graphicData>
            </a:graphic>
          </wp:inline>
        </w:drawing>
      </w:r>
    </w:p>
    <w:p w14:paraId="657CD4BC" w14:textId="77777777" w:rsidR="008D7F95" w:rsidRDefault="008D7F95" w:rsidP="0006322E">
      <w:pPr>
        <w:spacing w:line="360" w:lineRule="auto"/>
        <w:jc w:val="both"/>
        <w:rPr>
          <w:rFonts w:ascii="Times New Roman" w:hAnsi="Times New Roman" w:cs="Times New Roman"/>
          <w:sz w:val="24"/>
          <w:szCs w:val="24"/>
        </w:rPr>
      </w:pPr>
      <w:r w:rsidRPr="008D7F95">
        <w:rPr>
          <w:rFonts w:ascii="Times New Roman" w:hAnsi="Times New Roman" w:cs="Times New Roman"/>
          <w:sz w:val="24"/>
          <w:szCs w:val="24"/>
        </w:rPr>
        <w:lastRenderedPageBreak/>
        <w:t>Over the mid to long term, economies of trade and interest rates are important drivers of the Australian dollar. These drivers give insight into the projected sales for Australian dollars. The interest rate difference, for instance, represents assumptions about yields on Australian dollar - denominated assets versus equivalent assets somewhere else in the globe, influencing market for Australian dollars</w:t>
      </w:r>
      <w:r w:rsidR="009E10D9">
        <w:rPr>
          <w:rFonts w:ascii="Times New Roman" w:hAnsi="Times New Roman" w:cs="Times New Roman"/>
          <w:sz w:val="24"/>
          <w:szCs w:val="24"/>
        </w:rPr>
        <w:t xml:space="preserve"> </w:t>
      </w:r>
      <w:r w:rsidR="009E10D9">
        <w:rPr>
          <w:rFonts w:ascii="Times New Roman" w:hAnsi="Times New Roman" w:cs="Times New Roman"/>
          <w:color w:val="222222"/>
          <w:sz w:val="24"/>
          <w:szCs w:val="24"/>
          <w:shd w:val="clear" w:color="auto" w:fill="FFFFFF"/>
        </w:rPr>
        <w:t>(Ahluwalia, Mahto and Guerrero,</w:t>
      </w:r>
      <w:r w:rsidR="009E10D9" w:rsidRPr="00BA21D3">
        <w:rPr>
          <w:rFonts w:ascii="Times New Roman" w:hAnsi="Times New Roman" w:cs="Times New Roman"/>
          <w:color w:val="222222"/>
          <w:sz w:val="24"/>
          <w:szCs w:val="24"/>
          <w:shd w:val="clear" w:color="auto" w:fill="FFFFFF"/>
        </w:rPr>
        <w:t xml:space="preserve"> 2020</w:t>
      </w:r>
      <w:r w:rsidR="009E10D9">
        <w:rPr>
          <w:rFonts w:ascii="Times New Roman" w:hAnsi="Times New Roman" w:cs="Times New Roman"/>
          <w:color w:val="222222"/>
          <w:sz w:val="24"/>
          <w:szCs w:val="24"/>
          <w:shd w:val="clear" w:color="auto" w:fill="FFFFFF"/>
        </w:rPr>
        <w:t>)</w:t>
      </w:r>
      <w:r w:rsidRPr="008D7F95">
        <w:rPr>
          <w:rFonts w:ascii="Times New Roman" w:hAnsi="Times New Roman" w:cs="Times New Roman"/>
          <w:sz w:val="24"/>
          <w:szCs w:val="24"/>
        </w:rPr>
        <w:t>.</w:t>
      </w:r>
    </w:p>
    <w:p w14:paraId="00FA1BAC" w14:textId="77777777" w:rsidR="002D3B4B" w:rsidRDefault="002D3B4B" w:rsidP="0006322E">
      <w:pPr>
        <w:spacing w:line="360" w:lineRule="auto"/>
        <w:jc w:val="both"/>
        <w:rPr>
          <w:rFonts w:ascii="Times New Roman" w:hAnsi="Times New Roman" w:cs="Times New Roman"/>
          <w:sz w:val="24"/>
          <w:szCs w:val="24"/>
        </w:rPr>
      </w:pPr>
      <w:r w:rsidRPr="004055BB">
        <w:rPr>
          <w:rFonts w:ascii="Times New Roman" w:hAnsi="Times New Roman" w:cs="Times New Roman"/>
          <w:b/>
          <w:sz w:val="24"/>
          <w:szCs w:val="24"/>
        </w:rPr>
        <w:t>Interest rates</w:t>
      </w:r>
      <w:r>
        <w:rPr>
          <w:rFonts w:ascii="Times New Roman" w:hAnsi="Times New Roman" w:cs="Times New Roman"/>
          <w:sz w:val="24"/>
          <w:szCs w:val="24"/>
        </w:rPr>
        <w:t>:</w:t>
      </w:r>
      <w:r w:rsidR="008D7F95">
        <w:rPr>
          <w:rFonts w:ascii="Times New Roman" w:hAnsi="Times New Roman" w:cs="Times New Roman"/>
          <w:sz w:val="24"/>
          <w:szCs w:val="24"/>
        </w:rPr>
        <w:t xml:space="preserve"> </w:t>
      </w:r>
    </w:p>
    <w:p w14:paraId="16045421" w14:textId="77777777" w:rsidR="004055BB" w:rsidRPr="004055BB" w:rsidRDefault="004055BB" w:rsidP="004055BB">
      <w:pPr>
        <w:pStyle w:val="ListParagraph"/>
        <w:numPr>
          <w:ilvl w:val="0"/>
          <w:numId w:val="4"/>
        </w:numPr>
        <w:spacing w:line="360" w:lineRule="auto"/>
        <w:jc w:val="both"/>
        <w:rPr>
          <w:sz w:val="24"/>
          <w:szCs w:val="24"/>
        </w:rPr>
      </w:pPr>
      <w:r w:rsidRPr="004055BB">
        <w:rPr>
          <w:sz w:val="24"/>
          <w:szCs w:val="24"/>
        </w:rPr>
        <w:t>In May 2021, the Australian Government Bond Yield: 10 Years was announced at 1.62 percent per year, down from 1.65 percent per annum the prior month.</w:t>
      </w:r>
    </w:p>
    <w:p w14:paraId="3F1C23C5" w14:textId="77777777" w:rsidR="004055BB" w:rsidRPr="004055BB" w:rsidRDefault="004055BB" w:rsidP="004055BB">
      <w:pPr>
        <w:pStyle w:val="ListParagraph"/>
        <w:numPr>
          <w:ilvl w:val="0"/>
          <w:numId w:val="4"/>
        </w:numPr>
        <w:spacing w:line="360" w:lineRule="auto"/>
        <w:jc w:val="both"/>
        <w:rPr>
          <w:sz w:val="24"/>
          <w:szCs w:val="24"/>
        </w:rPr>
      </w:pPr>
      <w:r w:rsidRPr="004055BB">
        <w:rPr>
          <w:sz w:val="24"/>
          <w:szCs w:val="24"/>
        </w:rPr>
        <w:t>Future Interest Rate data for Australia is regularly updated and is accessible from July 1969 to May 2021.</w:t>
      </w:r>
    </w:p>
    <w:p w14:paraId="3595213C" w14:textId="77777777" w:rsidR="004055BB" w:rsidRPr="004055BB" w:rsidRDefault="004055BB" w:rsidP="004055BB">
      <w:pPr>
        <w:pStyle w:val="ListParagraph"/>
        <w:numPr>
          <w:ilvl w:val="0"/>
          <w:numId w:val="4"/>
        </w:numPr>
        <w:spacing w:line="360" w:lineRule="auto"/>
        <w:jc w:val="both"/>
        <w:rPr>
          <w:sz w:val="24"/>
          <w:szCs w:val="24"/>
        </w:rPr>
      </w:pPr>
      <w:r w:rsidRPr="004055BB">
        <w:rPr>
          <w:sz w:val="24"/>
          <w:szCs w:val="24"/>
        </w:rPr>
        <w:t>The statistics peaked in August 1982 at 16.50 percent per year and peaked in October 2020 at 0.82 percent per year.</w:t>
      </w:r>
    </w:p>
    <w:p w14:paraId="3528C2BB" w14:textId="77777777" w:rsidR="004055BB" w:rsidRPr="004055BB" w:rsidRDefault="004055BB" w:rsidP="004055BB">
      <w:pPr>
        <w:pStyle w:val="ListParagraph"/>
        <w:numPr>
          <w:ilvl w:val="0"/>
          <w:numId w:val="4"/>
        </w:numPr>
        <w:spacing w:line="360" w:lineRule="auto"/>
        <w:jc w:val="both"/>
        <w:rPr>
          <w:sz w:val="24"/>
          <w:szCs w:val="24"/>
        </w:rPr>
      </w:pPr>
      <w:r w:rsidRPr="004055BB">
        <w:rPr>
          <w:sz w:val="24"/>
          <w:szCs w:val="24"/>
        </w:rPr>
        <w:t>The Reserve Bank of Australia publishes the Longer - term Interest Rate.</w:t>
      </w:r>
    </w:p>
    <w:p w14:paraId="77C341CB" w14:textId="77777777" w:rsidR="004055BB" w:rsidRDefault="004055BB" w:rsidP="0006322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130601F" wp14:editId="57E44E8A">
            <wp:extent cx="5943600" cy="273041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943600" cy="2730415"/>
                    </a:xfrm>
                    <a:prstGeom prst="rect">
                      <a:avLst/>
                    </a:prstGeom>
                    <a:noFill/>
                    <a:ln w="9525">
                      <a:noFill/>
                      <a:miter lim="800000"/>
                      <a:headEnd/>
                      <a:tailEnd/>
                    </a:ln>
                  </pic:spPr>
                </pic:pic>
              </a:graphicData>
            </a:graphic>
          </wp:inline>
        </w:drawing>
      </w:r>
    </w:p>
    <w:p w14:paraId="18BFFBFD" w14:textId="77777777" w:rsidR="002D3B4B" w:rsidRDefault="002D3B4B" w:rsidP="0006322E">
      <w:pPr>
        <w:spacing w:line="360" w:lineRule="auto"/>
        <w:jc w:val="both"/>
        <w:rPr>
          <w:rFonts w:ascii="Times New Roman" w:hAnsi="Times New Roman" w:cs="Times New Roman"/>
          <w:sz w:val="24"/>
          <w:szCs w:val="24"/>
        </w:rPr>
      </w:pPr>
      <w:r w:rsidRPr="001C00C5">
        <w:rPr>
          <w:rFonts w:ascii="Times New Roman" w:hAnsi="Times New Roman" w:cs="Times New Roman"/>
          <w:b/>
          <w:sz w:val="24"/>
          <w:szCs w:val="24"/>
        </w:rPr>
        <w:t>Unemployment</w:t>
      </w:r>
      <w:r>
        <w:rPr>
          <w:rFonts w:ascii="Times New Roman" w:hAnsi="Times New Roman" w:cs="Times New Roman"/>
          <w:sz w:val="24"/>
          <w:szCs w:val="24"/>
        </w:rPr>
        <w:t>:</w:t>
      </w:r>
      <w:r w:rsidR="004055BB">
        <w:rPr>
          <w:rFonts w:ascii="Times New Roman" w:hAnsi="Times New Roman" w:cs="Times New Roman"/>
          <w:sz w:val="24"/>
          <w:szCs w:val="24"/>
        </w:rPr>
        <w:t xml:space="preserve"> </w:t>
      </w:r>
      <w:r w:rsidR="00C458DC" w:rsidRPr="00C458DC">
        <w:rPr>
          <w:rFonts w:ascii="Times New Roman" w:hAnsi="Times New Roman" w:cs="Times New Roman"/>
          <w:sz w:val="24"/>
          <w:szCs w:val="24"/>
        </w:rPr>
        <w:t xml:space="preserve">This graph shows Australia's unemployment rate from 2016 to 2020, with forecasts until 2026. Unemployment, often referred as underemployment, arises when consumers are unable to find work. To calculate the frequency of unemployment, dividing the total number of jobless people by the total number of people in the </w:t>
      </w:r>
      <w:proofErr w:type="spellStart"/>
      <w:r w:rsidR="00C458DC" w:rsidRPr="00C458DC">
        <w:rPr>
          <w:rFonts w:ascii="Times New Roman" w:hAnsi="Times New Roman" w:cs="Times New Roman"/>
          <w:sz w:val="24"/>
          <w:szCs w:val="24"/>
        </w:rPr>
        <w:t>labour</w:t>
      </w:r>
      <w:proofErr w:type="spellEnd"/>
      <w:r w:rsidR="00C458DC" w:rsidRPr="00C458DC">
        <w:rPr>
          <w:rFonts w:ascii="Times New Roman" w:hAnsi="Times New Roman" w:cs="Times New Roman"/>
          <w:sz w:val="24"/>
          <w:szCs w:val="24"/>
        </w:rPr>
        <w:t xml:space="preserve"> force, which provides a percentage rate. Around 6.49 % of the Australian population was jobless in 2020.</w:t>
      </w:r>
    </w:p>
    <w:p w14:paraId="1832DA7A" w14:textId="77777777" w:rsidR="00BA64DA" w:rsidRDefault="00BA64DA" w:rsidP="0006322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CA5F6B2" wp14:editId="35F60074">
            <wp:extent cx="5943600" cy="3736694"/>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5943600" cy="3736694"/>
                    </a:xfrm>
                    <a:prstGeom prst="rect">
                      <a:avLst/>
                    </a:prstGeom>
                    <a:noFill/>
                    <a:ln w="9525">
                      <a:noFill/>
                      <a:miter lim="800000"/>
                      <a:headEnd/>
                      <a:tailEnd/>
                    </a:ln>
                  </pic:spPr>
                </pic:pic>
              </a:graphicData>
            </a:graphic>
          </wp:inline>
        </w:drawing>
      </w:r>
    </w:p>
    <w:p w14:paraId="71F42B52" w14:textId="77777777" w:rsidR="002D3B4B" w:rsidRDefault="002D3B4B" w:rsidP="000632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Current account balance: </w:t>
      </w:r>
      <w:r w:rsidR="00C120B5" w:rsidRPr="00C120B5">
        <w:rPr>
          <w:rFonts w:ascii="Times New Roman" w:hAnsi="Times New Roman" w:cs="Times New Roman"/>
          <w:sz w:val="24"/>
          <w:szCs w:val="24"/>
        </w:rPr>
        <w:t>Australia's budget deficit was 33.9 billion dollars in 2020. Australia's current account balance increased at an average annual rate per annum of 18.30 percent from -8.5 billion dollars in 2001 to 33.9 billion dollars in 2020. In the second quarter of 2021, the account numbers deficit grew $9.6 billion to $24.2 billion. As a consequence of a more favorable worldwide financial forecast and better equities market circumstances elsewhere, Australian pension and investment funds have resumed their offshore investing activities</w:t>
      </w:r>
      <w:r w:rsidR="009E10D9">
        <w:rPr>
          <w:rFonts w:ascii="Times New Roman" w:hAnsi="Times New Roman" w:cs="Times New Roman"/>
          <w:sz w:val="24"/>
          <w:szCs w:val="24"/>
        </w:rPr>
        <w:t xml:space="preserve"> </w:t>
      </w:r>
      <w:r w:rsidR="009E10D9">
        <w:rPr>
          <w:rFonts w:ascii="Times New Roman" w:hAnsi="Times New Roman" w:cs="Times New Roman"/>
          <w:color w:val="222222"/>
          <w:sz w:val="24"/>
          <w:szCs w:val="24"/>
          <w:shd w:val="clear" w:color="auto" w:fill="FFFFFF"/>
        </w:rPr>
        <w:t xml:space="preserve">(Sánchez-García and et.al, </w:t>
      </w:r>
      <w:r w:rsidR="009E10D9" w:rsidRPr="00BA21D3">
        <w:rPr>
          <w:rFonts w:ascii="Times New Roman" w:hAnsi="Times New Roman" w:cs="Times New Roman"/>
          <w:color w:val="222222"/>
          <w:sz w:val="24"/>
          <w:szCs w:val="24"/>
          <w:shd w:val="clear" w:color="auto" w:fill="FFFFFF"/>
        </w:rPr>
        <w:t>2021</w:t>
      </w:r>
      <w:r w:rsidR="009E10D9">
        <w:rPr>
          <w:rFonts w:ascii="Times New Roman" w:hAnsi="Times New Roman" w:cs="Times New Roman"/>
          <w:color w:val="222222"/>
          <w:sz w:val="24"/>
          <w:szCs w:val="24"/>
          <w:shd w:val="clear" w:color="auto" w:fill="FFFFFF"/>
        </w:rPr>
        <w:t>)</w:t>
      </w:r>
      <w:r w:rsidR="00C120B5" w:rsidRPr="00C120B5">
        <w:rPr>
          <w:rFonts w:ascii="Times New Roman" w:hAnsi="Times New Roman" w:cs="Times New Roman"/>
          <w:sz w:val="24"/>
          <w:szCs w:val="24"/>
        </w:rPr>
        <w:t>.</w:t>
      </w:r>
    </w:p>
    <w:p w14:paraId="3F2EE10D" w14:textId="77777777" w:rsidR="00986EA1" w:rsidRDefault="00986EA1" w:rsidP="0006322E">
      <w:pPr>
        <w:spacing w:line="360" w:lineRule="auto"/>
        <w:jc w:val="both"/>
        <w:rPr>
          <w:rFonts w:ascii="Times New Roman" w:hAnsi="Times New Roman" w:cs="Times New Roman"/>
          <w:sz w:val="24"/>
          <w:szCs w:val="24"/>
        </w:rPr>
      </w:pPr>
      <w:r w:rsidRPr="002D3B4B">
        <w:rPr>
          <w:rFonts w:ascii="Times New Roman" w:hAnsi="Times New Roman" w:cs="Times New Roman"/>
          <w:b/>
          <w:sz w:val="24"/>
          <w:szCs w:val="24"/>
        </w:rPr>
        <w:t xml:space="preserve">New </w:t>
      </w:r>
      <w:proofErr w:type="spellStart"/>
      <w:r w:rsidRPr="002D3B4B">
        <w:rPr>
          <w:rFonts w:ascii="Times New Roman" w:hAnsi="Times New Roman" w:cs="Times New Roman"/>
          <w:b/>
          <w:sz w:val="24"/>
          <w:szCs w:val="24"/>
        </w:rPr>
        <w:t>Zeland</w:t>
      </w:r>
      <w:proofErr w:type="spellEnd"/>
      <w:r>
        <w:rPr>
          <w:rFonts w:ascii="Times New Roman" w:hAnsi="Times New Roman" w:cs="Times New Roman"/>
          <w:sz w:val="24"/>
          <w:szCs w:val="24"/>
        </w:rPr>
        <w:t>:</w:t>
      </w:r>
    </w:p>
    <w:p w14:paraId="047C77BC" w14:textId="77777777" w:rsidR="002D3B4B" w:rsidRDefault="002D3B4B" w:rsidP="002D3B4B">
      <w:pPr>
        <w:spacing w:line="360" w:lineRule="auto"/>
        <w:jc w:val="both"/>
        <w:rPr>
          <w:rFonts w:ascii="Times New Roman" w:hAnsi="Times New Roman" w:cs="Times New Roman"/>
          <w:sz w:val="24"/>
          <w:szCs w:val="24"/>
        </w:rPr>
      </w:pPr>
      <w:r w:rsidRPr="00425C17">
        <w:rPr>
          <w:rFonts w:ascii="Times New Roman" w:hAnsi="Times New Roman" w:cs="Times New Roman"/>
          <w:b/>
          <w:sz w:val="24"/>
          <w:szCs w:val="24"/>
        </w:rPr>
        <w:t>Growth</w:t>
      </w:r>
      <w:r>
        <w:rPr>
          <w:rFonts w:ascii="Times New Roman" w:hAnsi="Times New Roman" w:cs="Times New Roman"/>
          <w:sz w:val="24"/>
          <w:szCs w:val="24"/>
        </w:rPr>
        <w:t>:</w:t>
      </w:r>
      <w:r w:rsidR="00C120B5">
        <w:rPr>
          <w:rFonts w:ascii="Times New Roman" w:hAnsi="Times New Roman" w:cs="Times New Roman"/>
          <w:sz w:val="24"/>
          <w:szCs w:val="24"/>
        </w:rPr>
        <w:t xml:space="preserve"> </w:t>
      </w:r>
      <w:r w:rsidR="00092205">
        <w:rPr>
          <w:rFonts w:ascii="Times New Roman" w:hAnsi="Times New Roman" w:cs="Times New Roman"/>
          <w:sz w:val="24"/>
          <w:szCs w:val="24"/>
        </w:rPr>
        <w:t xml:space="preserve"> </w:t>
      </w:r>
      <w:r w:rsidR="007979D9" w:rsidRPr="007979D9">
        <w:rPr>
          <w:rFonts w:ascii="Times New Roman" w:hAnsi="Times New Roman" w:cs="Times New Roman"/>
          <w:sz w:val="24"/>
          <w:szCs w:val="24"/>
        </w:rPr>
        <w:t>The growth rate of New Zealand's GDP in 2020 was 0.98 percent, down 0.65 percent from 2019. The growth rate of New Zealand's GDP in 2019 was 1.63 percent, down from 1.57 percent in 2018. The rate of growth of New Zealand's GDP in 2018 was 3.21 percent, down 0.41 percent from 2017. The growth rate of New Zealand's GDP in 2017 was 3.61 percent, down 0.12 percent from 2016.</w:t>
      </w:r>
    </w:p>
    <w:p w14:paraId="360A09C4" w14:textId="77777777" w:rsidR="002D3B4B" w:rsidRDefault="002D3B4B" w:rsidP="002D3B4B">
      <w:pPr>
        <w:spacing w:line="360" w:lineRule="auto"/>
        <w:jc w:val="both"/>
        <w:rPr>
          <w:rFonts w:ascii="Times New Roman" w:hAnsi="Times New Roman" w:cs="Times New Roman"/>
          <w:sz w:val="24"/>
          <w:szCs w:val="24"/>
        </w:rPr>
      </w:pPr>
      <w:r w:rsidRPr="00425C17">
        <w:rPr>
          <w:rFonts w:ascii="Times New Roman" w:hAnsi="Times New Roman" w:cs="Times New Roman"/>
          <w:b/>
          <w:sz w:val="24"/>
          <w:szCs w:val="24"/>
        </w:rPr>
        <w:t>Inflation</w:t>
      </w:r>
      <w:r>
        <w:rPr>
          <w:rFonts w:ascii="Times New Roman" w:hAnsi="Times New Roman" w:cs="Times New Roman"/>
          <w:sz w:val="24"/>
          <w:szCs w:val="24"/>
        </w:rPr>
        <w:t>:</w:t>
      </w:r>
      <w:r w:rsidR="00C673B7">
        <w:rPr>
          <w:rFonts w:ascii="Times New Roman" w:hAnsi="Times New Roman" w:cs="Times New Roman"/>
          <w:sz w:val="24"/>
          <w:szCs w:val="24"/>
        </w:rPr>
        <w:t xml:space="preserve"> </w:t>
      </w:r>
      <w:r w:rsidR="007979D9">
        <w:rPr>
          <w:rFonts w:ascii="Times New Roman" w:hAnsi="Times New Roman" w:cs="Times New Roman"/>
          <w:sz w:val="24"/>
          <w:szCs w:val="24"/>
        </w:rPr>
        <w:t xml:space="preserve"> </w:t>
      </w:r>
      <w:r w:rsidR="00A80BB9" w:rsidRPr="00A80BB9">
        <w:rPr>
          <w:rFonts w:ascii="Times New Roman" w:hAnsi="Times New Roman" w:cs="Times New Roman"/>
          <w:sz w:val="24"/>
          <w:szCs w:val="24"/>
        </w:rPr>
        <w:t xml:space="preserve">In 2020, prices in New Zealand increased by 1.72 percent. The Reserve Bank of New Zealand's financial institutions must have been glad to see the comeback from the uncomfortably </w:t>
      </w:r>
      <w:r w:rsidR="00A80BB9" w:rsidRPr="00A80BB9">
        <w:rPr>
          <w:rFonts w:ascii="Times New Roman" w:hAnsi="Times New Roman" w:cs="Times New Roman"/>
          <w:sz w:val="24"/>
          <w:szCs w:val="24"/>
        </w:rPr>
        <w:lastRenderedPageBreak/>
        <w:t>low. In 2015, inflation was 29%. Whenever a nation's budget deficit is in the domestic currency, inflation aids the country by allowing it to pay back the debt with coming dollars, that are lower.</w:t>
      </w:r>
    </w:p>
    <w:p w14:paraId="3A256CF6" w14:textId="77777777" w:rsidR="00C673B7" w:rsidRDefault="00C673B7" w:rsidP="002D3B4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7C2A4C" wp14:editId="6B6F7C60">
            <wp:extent cx="5943600" cy="3766831"/>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srcRect/>
                    <a:stretch>
                      <a:fillRect/>
                    </a:stretch>
                  </pic:blipFill>
                  <pic:spPr bwMode="auto">
                    <a:xfrm>
                      <a:off x="0" y="0"/>
                      <a:ext cx="5943600" cy="3766831"/>
                    </a:xfrm>
                    <a:prstGeom prst="rect">
                      <a:avLst/>
                    </a:prstGeom>
                    <a:noFill/>
                    <a:ln w="9525">
                      <a:noFill/>
                      <a:miter lim="800000"/>
                      <a:headEnd/>
                      <a:tailEnd/>
                    </a:ln>
                  </pic:spPr>
                </pic:pic>
              </a:graphicData>
            </a:graphic>
          </wp:inline>
        </w:drawing>
      </w:r>
    </w:p>
    <w:p w14:paraId="48D1DB27" w14:textId="77777777" w:rsidR="002D3B4B" w:rsidRDefault="002D3B4B" w:rsidP="002D3B4B">
      <w:pPr>
        <w:spacing w:line="360" w:lineRule="auto"/>
        <w:jc w:val="both"/>
        <w:rPr>
          <w:rFonts w:ascii="Times New Roman" w:hAnsi="Times New Roman" w:cs="Times New Roman"/>
          <w:sz w:val="24"/>
          <w:szCs w:val="24"/>
        </w:rPr>
      </w:pPr>
      <w:r w:rsidRPr="00425C17">
        <w:rPr>
          <w:rFonts w:ascii="Times New Roman" w:hAnsi="Times New Roman" w:cs="Times New Roman"/>
          <w:b/>
          <w:sz w:val="24"/>
          <w:szCs w:val="24"/>
        </w:rPr>
        <w:t>Currency fluctuations</w:t>
      </w:r>
      <w:r>
        <w:rPr>
          <w:rFonts w:ascii="Times New Roman" w:hAnsi="Times New Roman" w:cs="Times New Roman"/>
          <w:sz w:val="24"/>
          <w:szCs w:val="24"/>
        </w:rPr>
        <w:t>:</w:t>
      </w:r>
      <w:r w:rsidR="009649A8">
        <w:rPr>
          <w:rFonts w:ascii="Times New Roman" w:hAnsi="Times New Roman" w:cs="Times New Roman"/>
          <w:sz w:val="24"/>
          <w:szCs w:val="24"/>
        </w:rPr>
        <w:t xml:space="preserve"> </w:t>
      </w:r>
    </w:p>
    <w:p w14:paraId="35D15371" w14:textId="77777777" w:rsidR="00092205" w:rsidRPr="00092205" w:rsidRDefault="00092205" w:rsidP="00092205">
      <w:pPr>
        <w:spacing w:line="360" w:lineRule="auto"/>
        <w:jc w:val="both"/>
        <w:rPr>
          <w:rFonts w:ascii="Times New Roman" w:hAnsi="Times New Roman" w:cs="Times New Roman"/>
          <w:sz w:val="24"/>
          <w:szCs w:val="24"/>
        </w:rPr>
      </w:pPr>
      <w:r w:rsidRPr="00092205">
        <w:rPr>
          <w:rFonts w:ascii="Times New Roman" w:hAnsi="Times New Roman" w:cs="Times New Roman"/>
          <w:sz w:val="24"/>
          <w:szCs w:val="24"/>
        </w:rPr>
        <w:t>In March 2021, the New Zealand Dollar to US Dollar exchange rate averaging 1.401 (NZD/USD), compares to 1.380 NZD/USD the prior session.</w:t>
      </w:r>
    </w:p>
    <w:p w14:paraId="3A7ADB96" w14:textId="77777777" w:rsidR="00092205" w:rsidRPr="00092205" w:rsidRDefault="00092205" w:rsidP="00092205">
      <w:pPr>
        <w:spacing w:line="360" w:lineRule="auto"/>
        <w:jc w:val="both"/>
        <w:rPr>
          <w:rFonts w:ascii="Times New Roman" w:hAnsi="Times New Roman" w:cs="Times New Roman"/>
          <w:sz w:val="24"/>
          <w:szCs w:val="24"/>
        </w:rPr>
      </w:pPr>
      <w:r w:rsidRPr="00092205">
        <w:rPr>
          <w:rFonts w:ascii="Times New Roman" w:hAnsi="Times New Roman" w:cs="Times New Roman"/>
          <w:sz w:val="24"/>
          <w:szCs w:val="24"/>
        </w:rPr>
        <w:t>Information on the New Zealand Dollar Exchange Rate is constantly updated and is accessible from January 1957 to March 2021.</w:t>
      </w:r>
    </w:p>
    <w:p w14:paraId="1646D28D" w14:textId="77777777" w:rsidR="00092205" w:rsidRDefault="00092205" w:rsidP="00092205">
      <w:pPr>
        <w:spacing w:line="360" w:lineRule="auto"/>
        <w:jc w:val="both"/>
        <w:rPr>
          <w:rFonts w:ascii="Times New Roman" w:hAnsi="Times New Roman" w:cs="Times New Roman"/>
          <w:sz w:val="24"/>
          <w:szCs w:val="24"/>
        </w:rPr>
      </w:pPr>
      <w:r w:rsidRPr="00092205">
        <w:rPr>
          <w:rFonts w:ascii="Times New Roman" w:hAnsi="Times New Roman" w:cs="Times New Roman"/>
          <w:sz w:val="24"/>
          <w:szCs w:val="24"/>
        </w:rPr>
        <w:t>The statistics ranged from a peak of 2.506 in November 2000 to a low of 0.673 in October 1973.</w:t>
      </w:r>
    </w:p>
    <w:p w14:paraId="36082285" w14:textId="77777777" w:rsidR="00092205" w:rsidRDefault="00092205" w:rsidP="002D3B4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F0355C1" wp14:editId="2DFD8FBA">
            <wp:extent cx="5943600" cy="4385802"/>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srcRect/>
                    <a:stretch>
                      <a:fillRect/>
                    </a:stretch>
                  </pic:blipFill>
                  <pic:spPr bwMode="auto">
                    <a:xfrm>
                      <a:off x="0" y="0"/>
                      <a:ext cx="5943600" cy="4385802"/>
                    </a:xfrm>
                    <a:prstGeom prst="rect">
                      <a:avLst/>
                    </a:prstGeom>
                    <a:noFill/>
                    <a:ln w="9525">
                      <a:noFill/>
                      <a:miter lim="800000"/>
                      <a:headEnd/>
                      <a:tailEnd/>
                    </a:ln>
                  </pic:spPr>
                </pic:pic>
              </a:graphicData>
            </a:graphic>
          </wp:inline>
        </w:drawing>
      </w:r>
    </w:p>
    <w:p w14:paraId="7121241A" w14:textId="77777777" w:rsidR="002D3B4B" w:rsidRDefault="002D3B4B" w:rsidP="002D3B4B">
      <w:pPr>
        <w:spacing w:line="360" w:lineRule="auto"/>
        <w:jc w:val="both"/>
        <w:rPr>
          <w:rFonts w:ascii="Times New Roman" w:hAnsi="Times New Roman" w:cs="Times New Roman"/>
          <w:sz w:val="24"/>
          <w:szCs w:val="24"/>
        </w:rPr>
      </w:pPr>
      <w:r w:rsidRPr="00E71125">
        <w:rPr>
          <w:rFonts w:ascii="Times New Roman" w:hAnsi="Times New Roman" w:cs="Times New Roman"/>
          <w:b/>
          <w:sz w:val="24"/>
          <w:szCs w:val="24"/>
        </w:rPr>
        <w:t>Interest rates</w:t>
      </w:r>
      <w:r>
        <w:rPr>
          <w:rFonts w:ascii="Times New Roman" w:hAnsi="Times New Roman" w:cs="Times New Roman"/>
          <w:sz w:val="24"/>
          <w:szCs w:val="24"/>
        </w:rPr>
        <w:t>:</w:t>
      </w:r>
      <w:r w:rsidR="004A3070">
        <w:rPr>
          <w:rFonts w:ascii="Times New Roman" w:hAnsi="Times New Roman" w:cs="Times New Roman"/>
          <w:sz w:val="24"/>
          <w:szCs w:val="24"/>
        </w:rPr>
        <w:t xml:space="preserve"> </w:t>
      </w:r>
      <w:r w:rsidR="009649A8" w:rsidRPr="009649A8">
        <w:rPr>
          <w:rFonts w:ascii="Times New Roman" w:hAnsi="Times New Roman" w:cs="Times New Roman"/>
          <w:sz w:val="24"/>
          <w:szCs w:val="24"/>
        </w:rPr>
        <w:t>From 1985 to 2021, the interest rate in New Zealand averaging 6.90 percent, with a peak of 67.32 percent in March 1985 and a low of 0.25 percent in March 2020.</w:t>
      </w:r>
    </w:p>
    <w:p w14:paraId="1F72E6D8" w14:textId="77777777" w:rsidR="00A6376A" w:rsidRDefault="00A6376A" w:rsidP="002D3B4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37F9867" wp14:editId="01068C5A">
            <wp:extent cx="5943600" cy="2750757"/>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a:stretch>
                      <a:fillRect/>
                    </a:stretch>
                  </pic:blipFill>
                  <pic:spPr bwMode="auto">
                    <a:xfrm>
                      <a:off x="0" y="0"/>
                      <a:ext cx="5943600" cy="2750757"/>
                    </a:xfrm>
                    <a:prstGeom prst="rect">
                      <a:avLst/>
                    </a:prstGeom>
                    <a:noFill/>
                    <a:ln w="9525">
                      <a:noFill/>
                      <a:miter lim="800000"/>
                      <a:headEnd/>
                      <a:tailEnd/>
                    </a:ln>
                  </pic:spPr>
                </pic:pic>
              </a:graphicData>
            </a:graphic>
          </wp:inline>
        </w:drawing>
      </w:r>
    </w:p>
    <w:p w14:paraId="160EA771" w14:textId="77777777" w:rsidR="002D3B4B" w:rsidRDefault="002D3B4B" w:rsidP="002D3B4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Unemployment:</w:t>
      </w:r>
      <w:r w:rsidR="0022478E">
        <w:rPr>
          <w:rFonts w:ascii="Times New Roman" w:hAnsi="Times New Roman" w:cs="Times New Roman"/>
          <w:sz w:val="24"/>
          <w:szCs w:val="24"/>
        </w:rPr>
        <w:t xml:space="preserve"> </w:t>
      </w:r>
      <w:r w:rsidR="004A3070" w:rsidRPr="004A3070">
        <w:rPr>
          <w:rFonts w:ascii="Times New Roman" w:hAnsi="Times New Roman" w:cs="Times New Roman"/>
          <w:sz w:val="24"/>
          <w:szCs w:val="24"/>
        </w:rPr>
        <w:t>From 1999 until 2020, this graph depicts New Zealand's unemployment rate. New Zealand's unemployment rate was estimated to be at 4.55 % in 2020.</w:t>
      </w:r>
    </w:p>
    <w:p w14:paraId="4B3A4BA7" w14:textId="77777777" w:rsidR="0022478E" w:rsidRDefault="0022478E" w:rsidP="002D3B4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342FF95" wp14:editId="6C53DB62">
            <wp:extent cx="5943600" cy="3796346"/>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a:stretch>
                      <a:fillRect/>
                    </a:stretch>
                  </pic:blipFill>
                  <pic:spPr bwMode="auto">
                    <a:xfrm>
                      <a:off x="0" y="0"/>
                      <a:ext cx="5943600" cy="3796346"/>
                    </a:xfrm>
                    <a:prstGeom prst="rect">
                      <a:avLst/>
                    </a:prstGeom>
                    <a:noFill/>
                    <a:ln w="9525">
                      <a:noFill/>
                      <a:miter lim="800000"/>
                      <a:headEnd/>
                      <a:tailEnd/>
                    </a:ln>
                  </pic:spPr>
                </pic:pic>
              </a:graphicData>
            </a:graphic>
          </wp:inline>
        </w:drawing>
      </w:r>
    </w:p>
    <w:p w14:paraId="167528F3" w14:textId="77777777" w:rsidR="002D3B4B" w:rsidRDefault="002D3B4B" w:rsidP="002D3B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Current account balance: </w:t>
      </w:r>
    </w:p>
    <w:p w14:paraId="27B0BF9B" w14:textId="77777777" w:rsidR="00347C42" w:rsidRDefault="00347C42" w:rsidP="002D3B4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142553" wp14:editId="67E8E28D">
            <wp:extent cx="5943600" cy="2846552"/>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rcRect/>
                    <a:stretch>
                      <a:fillRect/>
                    </a:stretch>
                  </pic:blipFill>
                  <pic:spPr bwMode="auto">
                    <a:xfrm>
                      <a:off x="0" y="0"/>
                      <a:ext cx="5943600" cy="2846552"/>
                    </a:xfrm>
                    <a:prstGeom prst="rect">
                      <a:avLst/>
                    </a:prstGeom>
                    <a:noFill/>
                    <a:ln w="9525">
                      <a:noFill/>
                      <a:miter lim="800000"/>
                      <a:headEnd/>
                      <a:tailEnd/>
                    </a:ln>
                  </pic:spPr>
                </pic:pic>
              </a:graphicData>
            </a:graphic>
          </wp:inline>
        </w:drawing>
      </w:r>
    </w:p>
    <w:p w14:paraId="42B3622B" w14:textId="77777777" w:rsidR="00986EA1" w:rsidRPr="002D3B4B" w:rsidRDefault="00C13AA1" w:rsidP="0006322E">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United Kingdom</w:t>
      </w:r>
    </w:p>
    <w:p w14:paraId="76C9E2AF" w14:textId="77777777" w:rsidR="002D3B4B" w:rsidRDefault="002D3B4B" w:rsidP="002D3B4B">
      <w:pPr>
        <w:spacing w:line="360" w:lineRule="auto"/>
        <w:jc w:val="both"/>
        <w:rPr>
          <w:rFonts w:ascii="Times New Roman" w:hAnsi="Times New Roman" w:cs="Times New Roman"/>
          <w:sz w:val="24"/>
          <w:szCs w:val="24"/>
        </w:rPr>
      </w:pPr>
      <w:r w:rsidRPr="005D5D77">
        <w:rPr>
          <w:rFonts w:ascii="Times New Roman" w:hAnsi="Times New Roman" w:cs="Times New Roman"/>
          <w:b/>
          <w:sz w:val="24"/>
          <w:szCs w:val="24"/>
        </w:rPr>
        <w:t>Growth</w:t>
      </w:r>
      <w:r>
        <w:rPr>
          <w:rFonts w:ascii="Times New Roman" w:hAnsi="Times New Roman" w:cs="Times New Roman"/>
          <w:sz w:val="24"/>
          <w:szCs w:val="24"/>
        </w:rPr>
        <w:t>:</w:t>
      </w:r>
      <w:r w:rsidR="00CE25BD">
        <w:rPr>
          <w:rFonts w:ascii="Times New Roman" w:hAnsi="Times New Roman" w:cs="Times New Roman"/>
          <w:sz w:val="24"/>
          <w:szCs w:val="24"/>
        </w:rPr>
        <w:t xml:space="preserve"> </w:t>
      </w:r>
      <w:r w:rsidR="005D5D77" w:rsidRPr="005D5D77">
        <w:rPr>
          <w:rFonts w:ascii="Times New Roman" w:hAnsi="Times New Roman" w:cs="Times New Roman"/>
          <w:sz w:val="24"/>
          <w:szCs w:val="24"/>
        </w:rPr>
        <w:t>In 2021, the UK economy is forecast to increase by 4%, with an even faster pace of 7.3 percent projected in 2022. These projections are clearly predicated on the United Kingdom's ability to recover from the Coronavirus epidemic and return to some semblance of normalcy in the nearest term. There have been some indications that this may be the reality as of year 2021, with the United Kingdom having one of the world's greatest immunization programmers. In April 2021, the British economy posted a moderate quarterly growth rate of 2.3 percent, showing that the economy is steadily improving.</w:t>
      </w:r>
    </w:p>
    <w:p w14:paraId="3A0A5653" w14:textId="77777777" w:rsidR="005D5D77" w:rsidRDefault="005D5D77" w:rsidP="002D3B4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482FA9" wp14:editId="28594A93">
            <wp:extent cx="5943600" cy="3771232"/>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5943600" cy="3771232"/>
                    </a:xfrm>
                    <a:prstGeom prst="rect">
                      <a:avLst/>
                    </a:prstGeom>
                    <a:noFill/>
                    <a:ln w="9525">
                      <a:noFill/>
                      <a:miter lim="800000"/>
                      <a:headEnd/>
                      <a:tailEnd/>
                    </a:ln>
                  </pic:spPr>
                </pic:pic>
              </a:graphicData>
            </a:graphic>
          </wp:inline>
        </w:drawing>
      </w:r>
    </w:p>
    <w:p w14:paraId="399E86A5" w14:textId="77777777" w:rsidR="002D3B4B" w:rsidRDefault="002D3B4B" w:rsidP="002D3B4B">
      <w:pPr>
        <w:spacing w:line="360" w:lineRule="auto"/>
        <w:jc w:val="both"/>
        <w:rPr>
          <w:rFonts w:ascii="Times New Roman" w:hAnsi="Times New Roman" w:cs="Times New Roman"/>
          <w:sz w:val="24"/>
          <w:szCs w:val="24"/>
        </w:rPr>
      </w:pPr>
      <w:r w:rsidRPr="005D5D77">
        <w:rPr>
          <w:rFonts w:ascii="Times New Roman" w:hAnsi="Times New Roman" w:cs="Times New Roman"/>
          <w:b/>
          <w:sz w:val="24"/>
          <w:szCs w:val="24"/>
        </w:rPr>
        <w:t>Inflation</w:t>
      </w:r>
      <w:r>
        <w:rPr>
          <w:rFonts w:ascii="Times New Roman" w:hAnsi="Times New Roman" w:cs="Times New Roman"/>
          <w:sz w:val="24"/>
          <w:szCs w:val="24"/>
        </w:rPr>
        <w:t>:</w:t>
      </w:r>
      <w:r w:rsidR="001F3BEF">
        <w:rPr>
          <w:rFonts w:ascii="Times New Roman" w:hAnsi="Times New Roman" w:cs="Times New Roman"/>
          <w:sz w:val="24"/>
          <w:szCs w:val="24"/>
        </w:rPr>
        <w:t xml:space="preserve"> </w:t>
      </w:r>
      <w:r w:rsidR="00192C26" w:rsidRPr="00192C26">
        <w:rPr>
          <w:rFonts w:ascii="Times New Roman" w:hAnsi="Times New Roman" w:cs="Times New Roman"/>
          <w:sz w:val="24"/>
          <w:szCs w:val="24"/>
        </w:rPr>
        <w:t>The graph depicts the United Kingdom's inflation rate from 1986 to 2020, with estimates until 2026. The rise in prices of a specific product basket is used to determine the inflation rate. This item basket includes items and services that the average customer purchases during the year. Foods, clothing, rent, electricity, telephones, leisure activities, and natural resources (e.g., gas, oil), as well as government charges and costs, are all included. In comparison to earlier years, the annual inflation rate in the United Kingdom in 2020 was around 0.85 percent. In contrast, unemployment in India in the same year was 6.2 percent.</w:t>
      </w:r>
    </w:p>
    <w:p w14:paraId="11A02F47" w14:textId="77777777" w:rsidR="001F3BEF" w:rsidRDefault="001F3BEF" w:rsidP="002D3B4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48EBDB3" wp14:editId="73103CC3">
            <wp:extent cx="5943600" cy="3686537"/>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srcRect/>
                    <a:stretch>
                      <a:fillRect/>
                    </a:stretch>
                  </pic:blipFill>
                  <pic:spPr bwMode="auto">
                    <a:xfrm>
                      <a:off x="0" y="0"/>
                      <a:ext cx="5943600" cy="3686537"/>
                    </a:xfrm>
                    <a:prstGeom prst="rect">
                      <a:avLst/>
                    </a:prstGeom>
                    <a:noFill/>
                    <a:ln w="9525">
                      <a:noFill/>
                      <a:miter lim="800000"/>
                      <a:headEnd/>
                      <a:tailEnd/>
                    </a:ln>
                  </pic:spPr>
                </pic:pic>
              </a:graphicData>
            </a:graphic>
          </wp:inline>
        </w:drawing>
      </w:r>
    </w:p>
    <w:p w14:paraId="49426745" w14:textId="77777777" w:rsidR="002D3B4B" w:rsidRDefault="002D3B4B" w:rsidP="002D3B4B">
      <w:pPr>
        <w:spacing w:line="360" w:lineRule="auto"/>
        <w:jc w:val="both"/>
        <w:rPr>
          <w:rFonts w:ascii="Times New Roman" w:hAnsi="Times New Roman" w:cs="Times New Roman"/>
          <w:sz w:val="24"/>
          <w:szCs w:val="24"/>
        </w:rPr>
      </w:pPr>
      <w:r w:rsidRPr="002333E4">
        <w:rPr>
          <w:rFonts w:ascii="Times New Roman" w:hAnsi="Times New Roman" w:cs="Times New Roman"/>
          <w:b/>
          <w:sz w:val="24"/>
          <w:szCs w:val="24"/>
        </w:rPr>
        <w:t>Currency fluctuations</w:t>
      </w:r>
      <w:r>
        <w:rPr>
          <w:rFonts w:ascii="Times New Roman" w:hAnsi="Times New Roman" w:cs="Times New Roman"/>
          <w:sz w:val="24"/>
          <w:szCs w:val="24"/>
        </w:rPr>
        <w:t>:</w:t>
      </w:r>
      <w:r w:rsidR="005D5D77">
        <w:rPr>
          <w:rFonts w:ascii="Times New Roman" w:hAnsi="Times New Roman" w:cs="Times New Roman"/>
          <w:sz w:val="24"/>
          <w:szCs w:val="24"/>
        </w:rPr>
        <w:t xml:space="preserve"> </w:t>
      </w:r>
    </w:p>
    <w:p w14:paraId="1380AFEA" w14:textId="77777777" w:rsidR="008A0DF7" w:rsidRPr="008A0DF7" w:rsidRDefault="008A0DF7" w:rsidP="008A0DF7">
      <w:pPr>
        <w:pStyle w:val="ListParagraph"/>
        <w:numPr>
          <w:ilvl w:val="0"/>
          <w:numId w:val="5"/>
        </w:numPr>
        <w:spacing w:line="360" w:lineRule="auto"/>
        <w:jc w:val="both"/>
        <w:rPr>
          <w:sz w:val="24"/>
          <w:szCs w:val="24"/>
        </w:rPr>
      </w:pPr>
      <w:r w:rsidRPr="008A0DF7">
        <w:rPr>
          <w:sz w:val="24"/>
          <w:szCs w:val="24"/>
        </w:rPr>
        <w:t>In March 2021, the United Kingdom exchange rate versus the US dollar reached 0.721 (GBP/USD), comparing to 0.721 GBP/USD the prior month.</w:t>
      </w:r>
    </w:p>
    <w:p w14:paraId="4AE9626C" w14:textId="77777777" w:rsidR="008A0DF7" w:rsidRPr="008A0DF7" w:rsidRDefault="008A0DF7" w:rsidP="008A0DF7">
      <w:pPr>
        <w:pStyle w:val="ListParagraph"/>
        <w:numPr>
          <w:ilvl w:val="0"/>
          <w:numId w:val="5"/>
        </w:numPr>
        <w:spacing w:line="360" w:lineRule="auto"/>
        <w:jc w:val="both"/>
        <w:rPr>
          <w:sz w:val="24"/>
          <w:szCs w:val="24"/>
        </w:rPr>
      </w:pPr>
      <w:r w:rsidRPr="008A0DF7">
        <w:rPr>
          <w:sz w:val="24"/>
          <w:szCs w:val="24"/>
        </w:rPr>
        <w:t>Data on the UK exchange rate versus the US dollar is regularly updated and ranges from January 1957 to March 2021.</w:t>
      </w:r>
    </w:p>
    <w:p w14:paraId="7671AED6" w14:textId="77777777" w:rsidR="00E71125" w:rsidRPr="00E71125" w:rsidRDefault="002D3B4B" w:rsidP="00E71125">
      <w:pPr>
        <w:spacing w:line="360" w:lineRule="auto"/>
        <w:jc w:val="both"/>
        <w:rPr>
          <w:rFonts w:ascii="Times New Roman" w:hAnsi="Times New Roman" w:cs="Times New Roman"/>
          <w:sz w:val="24"/>
          <w:szCs w:val="24"/>
        </w:rPr>
      </w:pPr>
      <w:r w:rsidRPr="002333E4">
        <w:rPr>
          <w:rFonts w:ascii="Times New Roman" w:hAnsi="Times New Roman" w:cs="Times New Roman"/>
          <w:b/>
          <w:sz w:val="24"/>
          <w:szCs w:val="24"/>
        </w:rPr>
        <w:t>Interest rates</w:t>
      </w:r>
      <w:r>
        <w:rPr>
          <w:rFonts w:ascii="Times New Roman" w:hAnsi="Times New Roman" w:cs="Times New Roman"/>
          <w:sz w:val="24"/>
          <w:szCs w:val="24"/>
        </w:rPr>
        <w:t>:</w:t>
      </w:r>
      <w:r w:rsidR="00E71125">
        <w:rPr>
          <w:rFonts w:ascii="Times New Roman" w:hAnsi="Times New Roman" w:cs="Times New Roman"/>
          <w:sz w:val="24"/>
          <w:szCs w:val="24"/>
        </w:rPr>
        <w:t xml:space="preserve"> </w:t>
      </w:r>
      <w:r w:rsidR="00E71125" w:rsidRPr="00E71125">
        <w:rPr>
          <w:rFonts w:ascii="Times New Roman" w:hAnsi="Times New Roman" w:cs="Times New Roman"/>
          <w:sz w:val="24"/>
          <w:szCs w:val="24"/>
        </w:rPr>
        <w:t xml:space="preserve">Great Britain In September 2021, the Longer - term Interest Rate: Month Avg: United Kingdom: ECB </w:t>
      </w:r>
      <w:proofErr w:type="spellStart"/>
      <w:r w:rsidR="00E71125" w:rsidRPr="00E71125">
        <w:rPr>
          <w:rFonts w:ascii="Times New Roman" w:hAnsi="Times New Roman" w:cs="Times New Roman"/>
          <w:sz w:val="24"/>
          <w:szCs w:val="24"/>
        </w:rPr>
        <w:t>Harmonised</w:t>
      </w:r>
      <w:proofErr w:type="spellEnd"/>
      <w:r w:rsidR="00E71125" w:rsidRPr="00E71125">
        <w:rPr>
          <w:rFonts w:ascii="Times New Roman" w:hAnsi="Times New Roman" w:cs="Times New Roman"/>
          <w:sz w:val="24"/>
          <w:szCs w:val="24"/>
        </w:rPr>
        <w:t xml:space="preserve"> was announced at 0.81 percent pa, up from 0.57 percent pa the monthly before.</w:t>
      </w:r>
    </w:p>
    <w:p w14:paraId="024D2D46" w14:textId="77777777" w:rsidR="00E71125" w:rsidRPr="00E71125" w:rsidRDefault="00E71125" w:rsidP="00E71125">
      <w:pPr>
        <w:spacing w:line="360" w:lineRule="auto"/>
        <w:jc w:val="both"/>
        <w:rPr>
          <w:rFonts w:ascii="Times New Roman" w:hAnsi="Times New Roman" w:cs="Times New Roman"/>
          <w:sz w:val="24"/>
          <w:szCs w:val="24"/>
        </w:rPr>
      </w:pPr>
      <w:r w:rsidRPr="00E71125">
        <w:rPr>
          <w:rFonts w:ascii="Times New Roman" w:hAnsi="Times New Roman" w:cs="Times New Roman"/>
          <w:sz w:val="24"/>
          <w:szCs w:val="24"/>
        </w:rPr>
        <w:t>Information on UK Longer - term Interest Rates is accessible from January 1993 through September 2021, and it is refreshed weekly.</w:t>
      </w:r>
    </w:p>
    <w:p w14:paraId="65CE8EB3" w14:textId="77777777" w:rsidR="00E71125" w:rsidRPr="00E71125" w:rsidRDefault="00E71125" w:rsidP="00E71125">
      <w:pPr>
        <w:spacing w:line="360" w:lineRule="auto"/>
        <w:jc w:val="both"/>
        <w:rPr>
          <w:rFonts w:ascii="Times New Roman" w:hAnsi="Times New Roman" w:cs="Times New Roman"/>
          <w:sz w:val="24"/>
          <w:szCs w:val="24"/>
        </w:rPr>
      </w:pPr>
      <w:r w:rsidRPr="00E71125">
        <w:rPr>
          <w:rFonts w:ascii="Times New Roman" w:hAnsi="Times New Roman" w:cs="Times New Roman"/>
          <w:sz w:val="24"/>
          <w:szCs w:val="24"/>
        </w:rPr>
        <w:t>The statistics peaked in September 1994 at 8.99 percent per year and peaked in July 2020 at 0.15 percent per year.</w:t>
      </w:r>
    </w:p>
    <w:p w14:paraId="404552AE" w14:textId="77777777" w:rsidR="002D3B4B" w:rsidRDefault="00E71125" w:rsidP="00E71125">
      <w:pPr>
        <w:spacing w:line="360" w:lineRule="auto"/>
        <w:jc w:val="both"/>
        <w:rPr>
          <w:rFonts w:ascii="Times New Roman" w:hAnsi="Times New Roman" w:cs="Times New Roman"/>
          <w:sz w:val="24"/>
          <w:szCs w:val="24"/>
        </w:rPr>
      </w:pPr>
      <w:r w:rsidRPr="00E71125">
        <w:rPr>
          <w:rFonts w:ascii="Times New Roman" w:hAnsi="Times New Roman" w:cs="Times New Roman"/>
          <w:sz w:val="24"/>
          <w:szCs w:val="24"/>
        </w:rPr>
        <w:t>CEIC Data provides information on the Long Term Rate Of interest.</w:t>
      </w:r>
    </w:p>
    <w:p w14:paraId="3E81AC09" w14:textId="77777777" w:rsidR="00E71125" w:rsidRDefault="00E71125" w:rsidP="002D3B4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0F802A5" wp14:editId="558A4CE1">
            <wp:extent cx="5943600" cy="2785129"/>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srcRect/>
                    <a:stretch>
                      <a:fillRect/>
                    </a:stretch>
                  </pic:blipFill>
                  <pic:spPr bwMode="auto">
                    <a:xfrm>
                      <a:off x="0" y="0"/>
                      <a:ext cx="5943600" cy="2785129"/>
                    </a:xfrm>
                    <a:prstGeom prst="rect">
                      <a:avLst/>
                    </a:prstGeom>
                    <a:noFill/>
                    <a:ln w="9525">
                      <a:noFill/>
                      <a:miter lim="800000"/>
                      <a:headEnd/>
                      <a:tailEnd/>
                    </a:ln>
                  </pic:spPr>
                </pic:pic>
              </a:graphicData>
            </a:graphic>
          </wp:inline>
        </w:drawing>
      </w:r>
    </w:p>
    <w:p w14:paraId="0FB1B269" w14:textId="77777777" w:rsidR="002D3B4B" w:rsidRDefault="002D3B4B" w:rsidP="002D3B4B">
      <w:pPr>
        <w:spacing w:line="360" w:lineRule="auto"/>
        <w:jc w:val="both"/>
        <w:rPr>
          <w:rFonts w:ascii="Times New Roman" w:hAnsi="Times New Roman" w:cs="Times New Roman"/>
          <w:sz w:val="24"/>
          <w:szCs w:val="24"/>
        </w:rPr>
      </w:pPr>
      <w:r w:rsidRPr="002333E4">
        <w:rPr>
          <w:rFonts w:ascii="Times New Roman" w:hAnsi="Times New Roman" w:cs="Times New Roman"/>
          <w:b/>
          <w:sz w:val="24"/>
          <w:szCs w:val="24"/>
        </w:rPr>
        <w:t>Unemployment</w:t>
      </w:r>
      <w:r>
        <w:rPr>
          <w:rFonts w:ascii="Times New Roman" w:hAnsi="Times New Roman" w:cs="Times New Roman"/>
          <w:sz w:val="24"/>
          <w:szCs w:val="24"/>
        </w:rPr>
        <w:t>:</w:t>
      </w:r>
      <w:r w:rsidR="006E6626">
        <w:rPr>
          <w:rFonts w:ascii="Times New Roman" w:hAnsi="Times New Roman" w:cs="Times New Roman"/>
          <w:sz w:val="24"/>
          <w:szCs w:val="24"/>
        </w:rPr>
        <w:t xml:space="preserve"> </w:t>
      </w:r>
      <w:r w:rsidR="006E6626" w:rsidRPr="006E6626">
        <w:rPr>
          <w:rFonts w:ascii="Times New Roman" w:hAnsi="Times New Roman" w:cs="Times New Roman"/>
          <w:sz w:val="24"/>
          <w:szCs w:val="24"/>
        </w:rPr>
        <w:t>From 1999 through 2020, the unemployment number in the United Kingdom is shown. In 2020, the unemployment rate in the United Kingdom fell to 4.34 %.</w:t>
      </w:r>
    </w:p>
    <w:p w14:paraId="2F161128" w14:textId="77777777" w:rsidR="006E6626" w:rsidRDefault="006E6626" w:rsidP="002D3B4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5B444E2" wp14:editId="5FC35037">
            <wp:extent cx="5943600" cy="3781508"/>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srcRect/>
                    <a:stretch>
                      <a:fillRect/>
                    </a:stretch>
                  </pic:blipFill>
                  <pic:spPr bwMode="auto">
                    <a:xfrm>
                      <a:off x="0" y="0"/>
                      <a:ext cx="5943600" cy="3781508"/>
                    </a:xfrm>
                    <a:prstGeom prst="rect">
                      <a:avLst/>
                    </a:prstGeom>
                    <a:noFill/>
                    <a:ln w="9525">
                      <a:noFill/>
                      <a:miter lim="800000"/>
                      <a:headEnd/>
                      <a:tailEnd/>
                    </a:ln>
                  </pic:spPr>
                </pic:pic>
              </a:graphicData>
            </a:graphic>
          </wp:inline>
        </w:drawing>
      </w:r>
    </w:p>
    <w:p w14:paraId="7C9CE90B" w14:textId="77777777" w:rsidR="001D02A1" w:rsidRDefault="002D3B4B" w:rsidP="0006322E">
      <w:pPr>
        <w:spacing w:line="360" w:lineRule="auto"/>
        <w:jc w:val="both"/>
        <w:rPr>
          <w:rFonts w:ascii="Times New Roman" w:hAnsi="Times New Roman" w:cs="Times New Roman"/>
          <w:sz w:val="24"/>
          <w:szCs w:val="24"/>
        </w:rPr>
      </w:pPr>
      <w:r w:rsidRPr="002333E4">
        <w:rPr>
          <w:rFonts w:ascii="Times New Roman" w:hAnsi="Times New Roman" w:cs="Times New Roman"/>
          <w:b/>
          <w:sz w:val="24"/>
          <w:szCs w:val="24"/>
        </w:rPr>
        <w:t>Current account balance</w:t>
      </w:r>
      <w:r>
        <w:rPr>
          <w:rFonts w:ascii="Times New Roman" w:hAnsi="Times New Roman" w:cs="Times New Roman"/>
          <w:sz w:val="24"/>
          <w:szCs w:val="24"/>
        </w:rPr>
        <w:t xml:space="preserve">: </w:t>
      </w:r>
      <w:r w:rsidR="005F72A1" w:rsidRPr="005F72A1">
        <w:rPr>
          <w:rFonts w:ascii="Times New Roman" w:hAnsi="Times New Roman" w:cs="Times New Roman"/>
          <w:sz w:val="24"/>
          <w:szCs w:val="24"/>
        </w:rPr>
        <w:t xml:space="preserve">The United Kingdom's current account balance was -106.5 billion US dollars in 2020. Though the current account balance of the United Kingdom has varied </w:t>
      </w:r>
      <w:r w:rsidR="005F72A1" w:rsidRPr="005F72A1">
        <w:rPr>
          <w:rFonts w:ascii="Times New Roman" w:hAnsi="Times New Roman" w:cs="Times New Roman"/>
          <w:sz w:val="24"/>
          <w:szCs w:val="24"/>
        </w:rPr>
        <w:lastRenderedPageBreak/>
        <w:t>considerably in recent decades, it has tended to drop from 2001 to 2020, finishing at -106.5 billion US dollars in 2020.</w:t>
      </w:r>
    </w:p>
    <w:p w14:paraId="2AA55012" w14:textId="77777777" w:rsidR="001D02A1" w:rsidRPr="001D02A1" w:rsidRDefault="001D02A1" w:rsidP="001D02A1">
      <w:pPr>
        <w:pStyle w:val="Heading2"/>
      </w:pPr>
      <w:bookmarkStart w:id="17" w:name="_Toc88496088"/>
      <w:r w:rsidRPr="001D02A1">
        <w:t>An evaluation of the firm’s business performance over the five years, and how its operations in the UK compare with its activities in the other two countries</w:t>
      </w:r>
      <w:bookmarkEnd w:id="17"/>
    </w:p>
    <w:p w14:paraId="22FD8CCC" w14:textId="77777777" w:rsidR="00554083" w:rsidRDefault="00554083" w:rsidP="00663C7D">
      <w:pPr>
        <w:spacing w:line="360" w:lineRule="auto"/>
        <w:ind w:firstLine="576"/>
        <w:jc w:val="both"/>
        <w:rPr>
          <w:rFonts w:ascii="Times New Roman" w:hAnsi="Times New Roman" w:cs="Times New Roman"/>
          <w:sz w:val="24"/>
          <w:szCs w:val="24"/>
        </w:rPr>
      </w:pPr>
      <w:r w:rsidRPr="00554083">
        <w:rPr>
          <w:rFonts w:ascii="Times New Roman" w:hAnsi="Times New Roman" w:cs="Times New Roman"/>
          <w:sz w:val="24"/>
          <w:szCs w:val="24"/>
        </w:rPr>
        <w:t>From 2014 to 2021, Vodafone's revenues in the United Kingdom (UK) fell generally. This is notwithstanding the firm's all-time high of 8.43 billio</w:t>
      </w:r>
      <w:r>
        <w:rPr>
          <w:rFonts w:ascii="Times New Roman" w:hAnsi="Times New Roman" w:cs="Times New Roman"/>
          <w:sz w:val="24"/>
          <w:szCs w:val="24"/>
        </w:rPr>
        <w:t>n E</w:t>
      </w:r>
      <w:r w:rsidRPr="00554083">
        <w:rPr>
          <w:rFonts w:ascii="Times New Roman" w:hAnsi="Times New Roman" w:cs="Times New Roman"/>
          <w:sz w:val="24"/>
          <w:szCs w:val="24"/>
        </w:rPr>
        <w:t>uros in the UK in 2016.</w:t>
      </w:r>
      <w:r w:rsidR="00663C7D">
        <w:rPr>
          <w:rFonts w:ascii="Times New Roman" w:hAnsi="Times New Roman" w:cs="Times New Roman"/>
          <w:sz w:val="24"/>
          <w:szCs w:val="24"/>
        </w:rPr>
        <w:t xml:space="preserve"> </w:t>
      </w:r>
      <w:r w:rsidRPr="00554083">
        <w:rPr>
          <w:rFonts w:ascii="Times New Roman" w:hAnsi="Times New Roman" w:cs="Times New Roman"/>
          <w:sz w:val="24"/>
          <w:szCs w:val="24"/>
        </w:rPr>
        <w:t>Vodafone is among the most well-known telecommunication businesses in the world, with revenues of 43.7 million euros in the fiscal year that ended March 31, 2021, coming from a variety of regions comprising Europe, Africa, the Middle East, and Asia Pacific. Vodafone's most profitable region is Germany, where the firm generated 13 billion euros in revenue in the fiscal year ending March 31, 2021</w:t>
      </w:r>
      <w:r w:rsidR="009E10D9">
        <w:rPr>
          <w:rFonts w:ascii="Times New Roman" w:hAnsi="Times New Roman" w:cs="Times New Roman"/>
          <w:sz w:val="24"/>
          <w:szCs w:val="24"/>
        </w:rPr>
        <w:t xml:space="preserve"> </w:t>
      </w:r>
      <w:r w:rsidR="009E10D9">
        <w:rPr>
          <w:rFonts w:ascii="Times New Roman" w:hAnsi="Times New Roman" w:cs="Times New Roman"/>
          <w:color w:val="222222"/>
          <w:sz w:val="24"/>
          <w:szCs w:val="24"/>
          <w:shd w:val="clear" w:color="auto" w:fill="FFFFFF"/>
        </w:rPr>
        <w:t xml:space="preserve">(Khan and </w:t>
      </w:r>
      <w:r w:rsidR="009E10D9" w:rsidRPr="00BA21D3">
        <w:rPr>
          <w:rFonts w:ascii="Times New Roman" w:hAnsi="Times New Roman" w:cs="Times New Roman"/>
          <w:color w:val="222222"/>
          <w:sz w:val="24"/>
          <w:szCs w:val="24"/>
          <w:shd w:val="clear" w:color="auto" w:fill="FFFFFF"/>
        </w:rPr>
        <w:t>2021</w:t>
      </w:r>
      <w:r w:rsidR="009E10D9">
        <w:rPr>
          <w:rFonts w:ascii="Times New Roman" w:hAnsi="Times New Roman" w:cs="Times New Roman"/>
          <w:color w:val="222222"/>
          <w:sz w:val="24"/>
          <w:szCs w:val="24"/>
          <w:shd w:val="clear" w:color="auto" w:fill="FFFFFF"/>
        </w:rPr>
        <w:t>)</w:t>
      </w:r>
      <w:r w:rsidRPr="00554083">
        <w:rPr>
          <w:rFonts w:ascii="Times New Roman" w:hAnsi="Times New Roman" w:cs="Times New Roman"/>
          <w:sz w:val="24"/>
          <w:szCs w:val="24"/>
        </w:rPr>
        <w:t>.</w:t>
      </w:r>
    </w:p>
    <w:p w14:paraId="740F21CF" w14:textId="77777777" w:rsidR="001D02A1" w:rsidRDefault="0061287B" w:rsidP="0006322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E93E12" wp14:editId="28FF2E8E">
            <wp:extent cx="5943600" cy="3786167"/>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a:srcRect/>
                    <a:stretch>
                      <a:fillRect/>
                    </a:stretch>
                  </pic:blipFill>
                  <pic:spPr bwMode="auto">
                    <a:xfrm>
                      <a:off x="0" y="0"/>
                      <a:ext cx="5943600" cy="3786167"/>
                    </a:xfrm>
                    <a:prstGeom prst="rect">
                      <a:avLst/>
                    </a:prstGeom>
                    <a:noFill/>
                    <a:ln w="9525">
                      <a:noFill/>
                      <a:miter lim="800000"/>
                      <a:headEnd/>
                      <a:tailEnd/>
                    </a:ln>
                  </pic:spPr>
                </pic:pic>
              </a:graphicData>
            </a:graphic>
          </wp:inline>
        </w:drawing>
      </w:r>
    </w:p>
    <w:p w14:paraId="0390E8C8" w14:textId="77777777" w:rsidR="0061287B" w:rsidRDefault="005B1AB9" w:rsidP="000735BC">
      <w:pPr>
        <w:spacing w:line="360" w:lineRule="auto"/>
        <w:ind w:firstLine="576"/>
        <w:jc w:val="both"/>
        <w:rPr>
          <w:rFonts w:ascii="Times New Roman" w:hAnsi="Times New Roman" w:cs="Times New Roman"/>
          <w:sz w:val="24"/>
          <w:szCs w:val="24"/>
        </w:rPr>
      </w:pPr>
      <w:r w:rsidRPr="005B1AB9">
        <w:rPr>
          <w:rFonts w:ascii="Times New Roman" w:hAnsi="Times New Roman" w:cs="Times New Roman"/>
          <w:sz w:val="24"/>
          <w:szCs w:val="24"/>
        </w:rPr>
        <w:t>According to Reading Material, Vodafone UK, the global telecom's domestic market provider, has significantly decreased staff in its systems integration centers (NOCs) as a result of the adoption of digital technologies to aid management. As per Vodafone CTO Scott Petty, the number of staff at these sites has decreased from 1,500 to the "low thousands" as a consequ</w:t>
      </w:r>
      <w:r>
        <w:rPr>
          <w:rFonts w:ascii="Times New Roman" w:hAnsi="Times New Roman" w:cs="Times New Roman"/>
          <w:sz w:val="24"/>
          <w:szCs w:val="24"/>
        </w:rPr>
        <w:t xml:space="preserve">ence </w:t>
      </w:r>
      <w:r>
        <w:rPr>
          <w:rFonts w:ascii="Times New Roman" w:hAnsi="Times New Roman" w:cs="Times New Roman"/>
          <w:sz w:val="24"/>
          <w:szCs w:val="24"/>
        </w:rPr>
        <w:lastRenderedPageBreak/>
        <w:t xml:space="preserve">of NOC automation systems. </w:t>
      </w:r>
      <w:r w:rsidRPr="005B1AB9">
        <w:rPr>
          <w:rFonts w:ascii="Times New Roman" w:hAnsi="Times New Roman" w:cs="Times New Roman"/>
          <w:sz w:val="24"/>
          <w:szCs w:val="24"/>
        </w:rPr>
        <w:t>Vodafone UK is relying on the use of digital technologies to cut expenses and automating tasks that were previously performed directly by workers.</w:t>
      </w:r>
    </w:p>
    <w:p w14:paraId="693EE764" w14:textId="77777777" w:rsidR="001D02A1" w:rsidRDefault="00E80B3B" w:rsidP="00E80B3B">
      <w:pPr>
        <w:spacing w:line="360" w:lineRule="auto"/>
        <w:ind w:firstLine="576"/>
        <w:jc w:val="both"/>
        <w:rPr>
          <w:rFonts w:ascii="Times New Roman" w:hAnsi="Times New Roman" w:cs="Times New Roman"/>
          <w:sz w:val="24"/>
          <w:szCs w:val="24"/>
        </w:rPr>
      </w:pPr>
      <w:r w:rsidRPr="00E80B3B">
        <w:rPr>
          <w:rFonts w:ascii="Times New Roman" w:hAnsi="Times New Roman" w:cs="Times New Roman"/>
          <w:sz w:val="24"/>
          <w:szCs w:val="24"/>
        </w:rPr>
        <w:t>Whenever it came to streaming video through a Smartphone, the Australian operators delivered an awesome time for our consumers. On our 0-100 point system, all three operators received Excellent ratings (75 and above). In this area, there was a statistical tie, with Telstra scoring 75.8 and Vodafone getting 75.7. With such a rating of 75.3, Optus was just marginally behind other two.</w:t>
      </w:r>
      <w:r>
        <w:rPr>
          <w:rFonts w:ascii="Times New Roman" w:hAnsi="Times New Roman" w:cs="Times New Roman"/>
          <w:sz w:val="24"/>
          <w:szCs w:val="24"/>
        </w:rPr>
        <w:t xml:space="preserve"> </w:t>
      </w:r>
      <w:r w:rsidR="002D3BD5">
        <w:rPr>
          <w:rFonts w:ascii="Times New Roman" w:hAnsi="Times New Roman" w:cs="Times New Roman"/>
          <w:sz w:val="24"/>
          <w:szCs w:val="24"/>
        </w:rPr>
        <w:t>Vodafone performance is good in United Kingdom and also takes good position in Australia and New Zealand</w:t>
      </w:r>
      <w:r w:rsidR="009E10D9">
        <w:rPr>
          <w:rFonts w:ascii="Times New Roman" w:hAnsi="Times New Roman" w:cs="Times New Roman"/>
          <w:sz w:val="24"/>
          <w:szCs w:val="24"/>
        </w:rPr>
        <w:t xml:space="preserve"> </w:t>
      </w:r>
      <w:r w:rsidR="009E10D9">
        <w:rPr>
          <w:rFonts w:ascii="Times New Roman" w:hAnsi="Times New Roman" w:cs="Times New Roman"/>
          <w:color w:val="222222"/>
          <w:sz w:val="24"/>
          <w:szCs w:val="24"/>
          <w:shd w:val="clear" w:color="auto" w:fill="FFFFFF"/>
        </w:rPr>
        <w:t>(</w:t>
      </w:r>
      <w:proofErr w:type="spellStart"/>
      <w:r w:rsidR="009E10D9">
        <w:rPr>
          <w:rFonts w:ascii="Times New Roman" w:hAnsi="Times New Roman" w:cs="Times New Roman"/>
          <w:color w:val="222222"/>
          <w:sz w:val="24"/>
          <w:szCs w:val="24"/>
          <w:shd w:val="clear" w:color="auto" w:fill="FFFFFF"/>
        </w:rPr>
        <w:t>Urinov</w:t>
      </w:r>
      <w:proofErr w:type="spellEnd"/>
      <w:r w:rsidR="009E10D9">
        <w:rPr>
          <w:rFonts w:ascii="Times New Roman" w:hAnsi="Times New Roman" w:cs="Times New Roman"/>
          <w:color w:val="222222"/>
          <w:sz w:val="24"/>
          <w:szCs w:val="24"/>
          <w:shd w:val="clear" w:color="auto" w:fill="FFFFFF"/>
        </w:rPr>
        <w:t>,</w:t>
      </w:r>
      <w:r w:rsidR="009E10D9" w:rsidRPr="00BA21D3">
        <w:rPr>
          <w:rFonts w:ascii="Times New Roman" w:hAnsi="Times New Roman" w:cs="Times New Roman"/>
          <w:color w:val="222222"/>
          <w:sz w:val="24"/>
          <w:szCs w:val="24"/>
          <w:shd w:val="clear" w:color="auto" w:fill="FFFFFF"/>
        </w:rPr>
        <w:t xml:space="preserve"> 2020</w:t>
      </w:r>
      <w:r w:rsidR="009E10D9">
        <w:rPr>
          <w:rFonts w:ascii="Times New Roman" w:hAnsi="Times New Roman" w:cs="Times New Roman"/>
          <w:color w:val="222222"/>
          <w:sz w:val="24"/>
          <w:szCs w:val="24"/>
          <w:shd w:val="clear" w:color="auto" w:fill="FFFFFF"/>
        </w:rPr>
        <w:t>)</w:t>
      </w:r>
      <w:r w:rsidR="002D3BD5">
        <w:rPr>
          <w:rFonts w:ascii="Times New Roman" w:hAnsi="Times New Roman" w:cs="Times New Roman"/>
          <w:sz w:val="24"/>
          <w:szCs w:val="24"/>
        </w:rPr>
        <w:t xml:space="preserve">. </w:t>
      </w:r>
    </w:p>
    <w:p w14:paraId="2D3FE403" w14:textId="77777777" w:rsidR="004A149A" w:rsidRDefault="004A149A" w:rsidP="00E80B3B">
      <w:pPr>
        <w:spacing w:line="360" w:lineRule="auto"/>
        <w:ind w:firstLine="576"/>
        <w:jc w:val="both"/>
        <w:rPr>
          <w:rFonts w:ascii="Times New Roman" w:hAnsi="Times New Roman" w:cs="Times New Roman"/>
          <w:sz w:val="24"/>
          <w:szCs w:val="24"/>
        </w:rPr>
      </w:pPr>
      <w:r w:rsidRPr="004A149A">
        <w:rPr>
          <w:rFonts w:ascii="Times New Roman" w:hAnsi="Times New Roman" w:cs="Times New Roman"/>
          <w:sz w:val="24"/>
          <w:szCs w:val="24"/>
        </w:rPr>
        <w:t>With such a rating of 75.6 out of 100, Vodafone wins our Video Quality category by 1.4 points over Telstra's 74.2. In our previous two assessments, Telstra and Vodafone were virtually tied for this accolade, but owing to a 1.2 point increase in its score, Vodafone was capable of breaking the tie. When researchers began included it in our Australian mobile service satisfaction assessments in April 2019, it's the first occasion the Video Experience category has been won uncontested. Vodafone is perhaps the only Australian provider to receive an Exceptional (75 or above) score, with both of its competitors receiving a Really Excellent (65-75).</w:t>
      </w:r>
      <w:r>
        <w:rPr>
          <w:rFonts w:ascii="Times New Roman" w:hAnsi="Times New Roman" w:cs="Times New Roman"/>
          <w:sz w:val="24"/>
          <w:szCs w:val="24"/>
        </w:rPr>
        <w:t xml:space="preserve"> </w:t>
      </w:r>
    </w:p>
    <w:p w14:paraId="071B0429" w14:textId="77777777" w:rsidR="009D24B9" w:rsidRDefault="009D24B9" w:rsidP="00E80B3B">
      <w:pPr>
        <w:spacing w:line="360" w:lineRule="auto"/>
        <w:ind w:firstLine="576"/>
        <w:jc w:val="both"/>
        <w:rPr>
          <w:rFonts w:ascii="Times New Roman" w:hAnsi="Times New Roman" w:cs="Times New Roman"/>
          <w:sz w:val="24"/>
          <w:szCs w:val="24"/>
        </w:rPr>
      </w:pPr>
      <w:r w:rsidRPr="009D24B9">
        <w:rPr>
          <w:rFonts w:ascii="Times New Roman" w:hAnsi="Times New Roman" w:cs="Times New Roman"/>
          <w:sz w:val="24"/>
          <w:szCs w:val="24"/>
        </w:rPr>
        <w:t>There really is no lack of communication alternatives in a society where there are more cell</w:t>
      </w:r>
      <w:r w:rsidR="00955372">
        <w:rPr>
          <w:rFonts w:ascii="Times New Roman" w:hAnsi="Times New Roman" w:cs="Times New Roman"/>
          <w:sz w:val="24"/>
          <w:szCs w:val="24"/>
        </w:rPr>
        <w:t xml:space="preserve"> </w:t>
      </w:r>
      <w:r w:rsidRPr="009D24B9">
        <w:rPr>
          <w:rFonts w:ascii="Times New Roman" w:hAnsi="Times New Roman" w:cs="Times New Roman"/>
          <w:sz w:val="24"/>
          <w:szCs w:val="24"/>
        </w:rPr>
        <w:t>phones than people. Despite functioning in the face of severe opposition from both conventional competitors and innovators, Vodafone New Zealand confronts the issue of simplifying these customization options. Vodafone New Zealand must completely restructure processes and allow teams to perform perfectly at breakneck speed in order to keep up with the competition</w:t>
      </w:r>
      <w:r w:rsidR="009E10D9">
        <w:rPr>
          <w:rFonts w:ascii="Times New Roman" w:hAnsi="Times New Roman" w:cs="Times New Roman"/>
          <w:sz w:val="24"/>
          <w:szCs w:val="24"/>
        </w:rPr>
        <w:t xml:space="preserve"> </w:t>
      </w:r>
      <w:r w:rsidR="009E10D9">
        <w:rPr>
          <w:rFonts w:ascii="Times New Roman" w:hAnsi="Times New Roman" w:cs="Times New Roman"/>
          <w:color w:val="222222"/>
          <w:sz w:val="24"/>
          <w:szCs w:val="24"/>
          <w:shd w:val="clear" w:color="auto" w:fill="FFFFFF"/>
        </w:rPr>
        <w:t>(Sierra,</w:t>
      </w:r>
      <w:r w:rsidR="009E10D9" w:rsidRPr="00BA21D3">
        <w:rPr>
          <w:rFonts w:ascii="Times New Roman" w:hAnsi="Times New Roman" w:cs="Times New Roman"/>
          <w:color w:val="222222"/>
          <w:sz w:val="24"/>
          <w:szCs w:val="24"/>
          <w:shd w:val="clear" w:color="auto" w:fill="FFFFFF"/>
        </w:rPr>
        <w:t xml:space="preserve"> 2020</w:t>
      </w:r>
      <w:r w:rsidR="009E10D9">
        <w:rPr>
          <w:rFonts w:ascii="Times New Roman" w:hAnsi="Times New Roman" w:cs="Times New Roman"/>
          <w:color w:val="222222"/>
          <w:sz w:val="24"/>
          <w:szCs w:val="24"/>
          <w:shd w:val="clear" w:color="auto" w:fill="FFFFFF"/>
        </w:rPr>
        <w:t>)</w:t>
      </w:r>
      <w:r w:rsidRPr="009D24B9">
        <w:rPr>
          <w:rFonts w:ascii="Times New Roman" w:hAnsi="Times New Roman" w:cs="Times New Roman"/>
          <w:sz w:val="24"/>
          <w:szCs w:val="24"/>
        </w:rPr>
        <w:t>.</w:t>
      </w:r>
    </w:p>
    <w:p w14:paraId="327B4DCC" w14:textId="77777777" w:rsidR="009D24B9" w:rsidRDefault="009D24B9" w:rsidP="00E80B3B">
      <w:pPr>
        <w:spacing w:line="360" w:lineRule="auto"/>
        <w:ind w:firstLine="576"/>
        <w:jc w:val="both"/>
        <w:rPr>
          <w:rFonts w:ascii="Times New Roman" w:hAnsi="Times New Roman" w:cs="Times New Roman"/>
          <w:sz w:val="24"/>
          <w:szCs w:val="24"/>
        </w:rPr>
      </w:pPr>
      <w:r>
        <w:rPr>
          <w:rFonts w:ascii="Times New Roman" w:hAnsi="Times New Roman" w:cs="Times New Roman"/>
          <w:sz w:val="24"/>
          <w:szCs w:val="24"/>
        </w:rPr>
        <w:t xml:space="preserve">Thus, from the overall analysis it is saying that Vodafone performance in UK is good as compare of other two countries. </w:t>
      </w:r>
      <w:r w:rsidR="00955372">
        <w:rPr>
          <w:rFonts w:ascii="Times New Roman" w:hAnsi="Times New Roman" w:cs="Times New Roman"/>
          <w:sz w:val="24"/>
          <w:szCs w:val="24"/>
        </w:rPr>
        <w:t xml:space="preserve">In other two countries company do not able to establish leading position and face various problems. So it is saying that company performance is good in UK not in other two countries. </w:t>
      </w:r>
    </w:p>
    <w:p w14:paraId="3F6447BA" w14:textId="77777777" w:rsidR="001D02A1" w:rsidRDefault="001D02A1" w:rsidP="001D02A1">
      <w:pPr>
        <w:pStyle w:val="Heading2"/>
      </w:pPr>
      <w:bookmarkStart w:id="18" w:name="_Toc88496089"/>
      <w:r w:rsidRPr="007A4A1A">
        <w:lastRenderedPageBreak/>
        <w:t>Highlight the changes, if any, in the company’s overall performance in the three countries, and discuss the extent to which the UK government’s trade policies may, or may not, have impacted on this</w:t>
      </w:r>
      <w:bookmarkEnd w:id="18"/>
    </w:p>
    <w:p w14:paraId="05208264" w14:textId="77777777" w:rsidR="00B772E9" w:rsidRPr="00B772E9" w:rsidRDefault="00B772E9" w:rsidP="00811451">
      <w:pPr>
        <w:spacing w:line="360" w:lineRule="auto"/>
        <w:ind w:firstLine="576"/>
        <w:jc w:val="both"/>
        <w:rPr>
          <w:rFonts w:ascii="Times New Roman" w:hAnsi="Times New Roman" w:cs="Times New Roman"/>
          <w:sz w:val="24"/>
          <w:szCs w:val="24"/>
        </w:rPr>
      </w:pPr>
      <w:r w:rsidRPr="00B772E9">
        <w:rPr>
          <w:rFonts w:ascii="Times New Roman" w:hAnsi="Times New Roman" w:cs="Times New Roman"/>
          <w:sz w:val="24"/>
          <w:szCs w:val="24"/>
        </w:rPr>
        <w:t>Vodafone has been seeking to downsize its operations in Australia and New Zealand in order to concentrate on Eu countries, and it is challenging authorities who last week blocked a A$15 billion ($10.4 billion) merger with TPG Telecom. In a release, Vodafone Group CEO Nick Read stated, "An essential component of our approach is aggressive asset management and government debt, which this deal significantly underlines."</w:t>
      </w:r>
    </w:p>
    <w:p w14:paraId="4B36E54F" w14:textId="77777777" w:rsidR="00B772E9" w:rsidRDefault="00B772E9" w:rsidP="00811451">
      <w:pPr>
        <w:spacing w:line="360" w:lineRule="auto"/>
        <w:ind w:firstLine="432"/>
        <w:jc w:val="both"/>
        <w:rPr>
          <w:rFonts w:ascii="Times New Roman" w:hAnsi="Times New Roman" w:cs="Times New Roman"/>
          <w:sz w:val="24"/>
          <w:szCs w:val="24"/>
        </w:rPr>
      </w:pPr>
      <w:r w:rsidRPr="00B772E9">
        <w:rPr>
          <w:rFonts w:ascii="Times New Roman" w:hAnsi="Times New Roman" w:cs="Times New Roman"/>
          <w:sz w:val="24"/>
          <w:szCs w:val="24"/>
        </w:rPr>
        <w:t xml:space="preserve">The purchase is a minor investment into a comparatively recent market for Brookfield, that will founder the firm with </w:t>
      </w:r>
      <w:proofErr w:type="spellStart"/>
      <w:r w:rsidRPr="00B772E9">
        <w:rPr>
          <w:rFonts w:ascii="Times New Roman" w:hAnsi="Times New Roman" w:cs="Times New Roman"/>
          <w:sz w:val="24"/>
          <w:szCs w:val="24"/>
        </w:rPr>
        <w:t>Infratil</w:t>
      </w:r>
      <w:proofErr w:type="spellEnd"/>
      <w:r w:rsidRPr="00B772E9">
        <w:rPr>
          <w:rFonts w:ascii="Times New Roman" w:hAnsi="Times New Roman" w:cs="Times New Roman"/>
          <w:sz w:val="24"/>
          <w:szCs w:val="24"/>
        </w:rPr>
        <w:t xml:space="preserve"> in equal 49 percent ownership. The deal might be expanded in other countries.</w:t>
      </w:r>
      <w:r w:rsidR="00295667">
        <w:rPr>
          <w:rFonts w:ascii="Times New Roman" w:hAnsi="Times New Roman" w:cs="Times New Roman"/>
          <w:sz w:val="24"/>
          <w:szCs w:val="24"/>
        </w:rPr>
        <w:t xml:space="preserve"> </w:t>
      </w:r>
      <w:r w:rsidR="00295667" w:rsidRPr="00295667">
        <w:rPr>
          <w:rFonts w:ascii="Times New Roman" w:hAnsi="Times New Roman" w:cs="Times New Roman"/>
          <w:sz w:val="24"/>
          <w:szCs w:val="24"/>
        </w:rPr>
        <w:t xml:space="preserve">"This is a once-in-a-lifetime chance for Brookfield," said Stewart Upson, Asia Pacific CEO of Brookfield. "Data is one of the </w:t>
      </w:r>
      <w:proofErr w:type="spellStart"/>
      <w:r w:rsidR="00295667" w:rsidRPr="00295667">
        <w:rPr>
          <w:rFonts w:ascii="Times New Roman" w:hAnsi="Times New Roman" w:cs="Times New Roman"/>
          <w:sz w:val="24"/>
          <w:szCs w:val="24"/>
        </w:rPr>
        <w:t>worlds</w:t>
      </w:r>
      <w:proofErr w:type="spellEnd"/>
      <w:r w:rsidR="00295667" w:rsidRPr="00295667">
        <w:rPr>
          <w:rFonts w:ascii="Times New Roman" w:hAnsi="Times New Roman" w:cs="Times New Roman"/>
          <w:sz w:val="24"/>
          <w:szCs w:val="24"/>
        </w:rPr>
        <w:t xml:space="preserve"> largest most rapidly expanding products. They anticipate this fast expansion to continue for some time, fueled by increased smartphone ownership, rising video usage, the introduction of 5G networks, and new and emerging uses." As of December 31, 2018, Vodafone New Zealand, one of the state's leading wireless carriers, had around two million subscribers, compared to nearly 700 million for holding company Vodafone</w:t>
      </w:r>
      <w:r w:rsidR="009E10D9">
        <w:rPr>
          <w:rFonts w:ascii="Times New Roman" w:hAnsi="Times New Roman" w:cs="Times New Roman"/>
          <w:sz w:val="24"/>
          <w:szCs w:val="24"/>
        </w:rPr>
        <w:t xml:space="preserve"> </w:t>
      </w:r>
      <w:r w:rsidR="009E10D9">
        <w:rPr>
          <w:rFonts w:ascii="Times New Roman" w:hAnsi="Times New Roman" w:cs="Times New Roman"/>
          <w:color w:val="222222"/>
          <w:sz w:val="24"/>
          <w:szCs w:val="24"/>
          <w:shd w:val="clear" w:color="auto" w:fill="FFFFFF"/>
        </w:rPr>
        <w:t>(</w:t>
      </w:r>
      <w:proofErr w:type="spellStart"/>
      <w:r w:rsidR="009E10D9">
        <w:rPr>
          <w:rFonts w:ascii="Times New Roman" w:hAnsi="Times New Roman" w:cs="Times New Roman"/>
          <w:color w:val="222222"/>
          <w:sz w:val="24"/>
          <w:szCs w:val="24"/>
          <w:shd w:val="clear" w:color="auto" w:fill="FFFFFF"/>
        </w:rPr>
        <w:t>Strielkowski</w:t>
      </w:r>
      <w:proofErr w:type="spellEnd"/>
      <w:r w:rsidR="009E10D9">
        <w:rPr>
          <w:rFonts w:ascii="Times New Roman" w:hAnsi="Times New Roman" w:cs="Times New Roman"/>
          <w:color w:val="222222"/>
          <w:sz w:val="24"/>
          <w:szCs w:val="24"/>
          <w:shd w:val="clear" w:color="auto" w:fill="FFFFFF"/>
        </w:rPr>
        <w:t xml:space="preserve"> and et.al, </w:t>
      </w:r>
      <w:r w:rsidR="009E10D9" w:rsidRPr="00BA21D3">
        <w:rPr>
          <w:rFonts w:ascii="Times New Roman" w:hAnsi="Times New Roman" w:cs="Times New Roman"/>
          <w:color w:val="222222"/>
          <w:sz w:val="24"/>
          <w:szCs w:val="24"/>
          <w:shd w:val="clear" w:color="auto" w:fill="FFFFFF"/>
        </w:rPr>
        <w:t>2020</w:t>
      </w:r>
      <w:r w:rsidR="009E10D9">
        <w:rPr>
          <w:rFonts w:ascii="Times New Roman" w:hAnsi="Times New Roman" w:cs="Times New Roman"/>
          <w:color w:val="222222"/>
          <w:sz w:val="24"/>
          <w:szCs w:val="24"/>
          <w:shd w:val="clear" w:color="auto" w:fill="FFFFFF"/>
        </w:rPr>
        <w:t>)</w:t>
      </w:r>
      <w:r w:rsidR="00295667" w:rsidRPr="00295667">
        <w:rPr>
          <w:rFonts w:ascii="Times New Roman" w:hAnsi="Times New Roman" w:cs="Times New Roman"/>
          <w:sz w:val="24"/>
          <w:szCs w:val="24"/>
        </w:rPr>
        <w:t>.</w:t>
      </w:r>
    </w:p>
    <w:p w14:paraId="1407DD45" w14:textId="77777777" w:rsidR="003C0A5B" w:rsidRPr="003C0A5B" w:rsidRDefault="002D3978" w:rsidP="003C0A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UK trade policies: </w:t>
      </w:r>
      <w:r w:rsidR="003C0A5B" w:rsidRPr="003C0A5B">
        <w:rPr>
          <w:rFonts w:ascii="Times New Roman" w:hAnsi="Times New Roman" w:cs="Times New Roman"/>
          <w:sz w:val="24"/>
          <w:szCs w:val="24"/>
        </w:rPr>
        <w:t>There are no substantial trade or investment restrictions in the United Kingdom, and there are no limitations on public finance or income return. We don't anticipate any big changes in how firms operate inside the telecommunications regulatory regime or in how telecommunications service users are safeguarded.</w:t>
      </w:r>
    </w:p>
    <w:p w14:paraId="0CC0642E" w14:textId="77777777" w:rsidR="001D02A1" w:rsidRDefault="003C0A5B" w:rsidP="0006322E">
      <w:pPr>
        <w:spacing w:line="360" w:lineRule="auto"/>
        <w:jc w:val="both"/>
        <w:rPr>
          <w:rFonts w:ascii="Times New Roman" w:hAnsi="Times New Roman" w:cs="Times New Roman"/>
          <w:sz w:val="24"/>
          <w:szCs w:val="24"/>
        </w:rPr>
      </w:pPr>
      <w:r w:rsidRPr="003C0A5B">
        <w:rPr>
          <w:rFonts w:ascii="Times New Roman" w:hAnsi="Times New Roman" w:cs="Times New Roman"/>
          <w:sz w:val="24"/>
          <w:szCs w:val="24"/>
        </w:rPr>
        <w:t xml:space="preserve">Although subsidiary legislation underneath the EU Withdrawal Act 2018 will address EU-derived laws applying to participate in the global and guiding the way </w:t>
      </w:r>
      <w:proofErr w:type="spellStart"/>
      <w:r w:rsidRPr="003C0A5B">
        <w:rPr>
          <w:rFonts w:ascii="Times New Roman" w:hAnsi="Times New Roman" w:cs="Times New Roman"/>
          <w:sz w:val="24"/>
          <w:szCs w:val="24"/>
        </w:rPr>
        <w:t>Ofcom</w:t>
      </w:r>
      <w:proofErr w:type="spellEnd"/>
      <w:r w:rsidRPr="003C0A5B">
        <w:rPr>
          <w:rFonts w:ascii="Times New Roman" w:hAnsi="Times New Roman" w:cs="Times New Roman"/>
          <w:sz w:val="24"/>
          <w:szCs w:val="24"/>
        </w:rPr>
        <w:t xml:space="preserve"> supervises telecommunications industries, this is the case. The regulations governing spectral efficiency and reassignment would also be modified, but the method </w:t>
      </w:r>
      <w:proofErr w:type="spellStart"/>
      <w:r w:rsidRPr="003C0A5B">
        <w:rPr>
          <w:rFonts w:ascii="Times New Roman" w:hAnsi="Times New Roman" w:cs="Times New Roman"/>
          <w:sz w:val="24"/>
          <w:szCs w:val="24"/>
        </w:rPr>
        <w:t>Ofcom</w:t>
      </w:r>
      <w:proofErr w:type="spellEnd"/>
      <w:r w:rsidRPr="003C0A5B">
        <w:rPr>
          <w:rFonts w:ascii="Times New Roman" w:hAnsi="Times New Roman" w:cs="Times New Roman"/>
          <w:sz w:val="24"/>
          <w:szCs w:val="24"/>
        </w:rPr>
        <w:t xml:space="preserve"> performs these responsibilities would remain largely intact</w:t>
      </w:r>
      <w:r w:rsidR="009E10D9">
        <w:rPr>
          <w:rFonts w:ascii="Times New Roman" w:hAnsi="Times New Roman" w:cs="Times New Roman"/>
          <w:sz w:val="24"/>
          <w:szCs w:val="24"/>
        </w:rPr>
        <w:t xml:space="preserve"> </w:t>
      </w:r>
      <w:r w:rsidR="009E10D9">
        <w:rPr>
          <w:rFonts w:ascii="Times New Roman" w:hAnsi="Times New Roman" w:cs="Times New Roman"/>
          <w:color w:val="222222"/>
          <w:sz w:val="24"/>
          <w:szCs w:val="24"/>
          <w:shd w:val="clear" w:color="auto" w:fill="FFFFFF"/>
        </w:rPr>
        <w:t>(</w:t>
      </w:r>
      <w:proofErr w:type="spellStart"/>
      <w:r w:rsidR="009E10D9">
        <w:rPr>
          <w:rFonts w:ascii="Times New Roman" w:hAnsi="Times New Roman" w:cs="Times New Roman"/>
          <w:color w:val="222222"/>
          <w:sz w:val="24"/>
          <w:szCs w:val="24"/>
          <w:shd w:val="clear" w:color="auto" w:fill="FFFFFF"/>
        </w:rPr>
        <w:t>Yarovenko</w:t>
      </w:r>
      <w:proofErr w:type="spellEnd"/>
      <w:r w:rsidR="009E10D9">
        <w:rPr>
          <w:rFonts w:ascii="Times New Roman" w:hAnsi="Times New Roman" w:cs="Times New Roman"/>
          <w:color w:val="222222"/>
          <w:sz w:val="24"/>
          <w:szCs w:val="24"/>
          <w:shd w:val="clear" w:color="auto" w:fill="FFFFFF"/>
        </w:rPr>
        <w:t xml:space="preserve"> and et.al, </w:t>
      </w:r>
      <w:r w:rsidR="009E10D9" w:rsidRPr="00BA21D3">
        <w:rPr>
          <w:rFonts w:ascii="Times New Roman" w:hAnsi="Times New Roman" w:cs="Times New Roman"/>
          <w:color w:val="222222"/>
          <w:sz w:val="24"/>
          <w:szCs w:val="24"/>
          <w:shd w:val="clear" w:color="auto" w:fill="FFFFFF"/>
        </w:rPr>
        <w:t>2021</w:t>
      </w:r>
      <w:r w:rsidR="009E10D9">
        <w:rPr>
          <w:rFonts w:ascii="Times New Roman" w:hAnsi="Times New Roman" w:cs="Times New Roman"/>
          <w:sz w:val="24"/>
          <w:szCs w:val="24"/>
        </w:rPr>
        <w:t>)</w:t>
      </w:r>
      <w:r w:rsidRPr="003C0A5B">
        <w:rPr>
          <w:rFonts w:ascii="Times New Roman" w:hAnsi="Times New Roman" w:cs="Times New Roman"/>
          <w:sz w:val="24"/>
          <w:szCs w:val="24"/>
        </w:rPr>
        <w:t>.</w:t>
      </w:r>
    </w:p>
    <w:p w14:paraId="4BCFF075" w14:textId="77777777" w:rsidR="00735C01" w:rsidRDefault="00327170" w:rsidP="00327170">
      <w:pPr>
        <w:pStyle w:val="Heading1"/>
      </w:pPr>
      <w:bookmarkStart w:id="19" w:name="_Toc88496090"/>
      <w:r>
        <w:t>CONCLUSION</w:t>
      </w:r>
      <w:bookmarkEnd w:id="19"/>
    </w:p>
    <w:p w14:paraId="034897BE" w14:textId="77777777" w:rsidR="00327170" w:rsidRDefault="00937627" w:rsidP="00937627">
      <w:pPr>
        <w:spacing w:line="360" w:lineRule="auto"/>
        <w:ind w:firstLine="432"/>
        <w:jc w:val="both"/>
        <w:rPr>
          <w:rFonts w:ascii="Times New Roman" w:hAnsi="Times New Roman" w:cs="Times New Roman"/>
          <w:sz w:val="24"/>
          <w:szCs w:val="24"/>
        </w:rPr>
      </w:pPr>
      <w:r>
        <w:rPr>
          <w:rFonts w:ascii="Times New Roman" w:hAnsi="Times New Roman" w:cs="Times New Roman"/>
          <w:sz w:val="24"/>
          <w:szCs w:val="24"/>
        </w:rPr>
        <w:t xml:space="preserve">As per the above report it has been concluded that </w:t>
      </w:r>
      <w:r w:rsidRPr="00937627">
        <w:rPr>
          <w:rFonts w:ascii="Times New Roman" w:hAnsi="Times New Roman" w:cs="Times New Roman"/>
          <w:sz w:val="24"/>
          <w:szCs w:val="24"/>
        </w:rPr>
        <w:t xml:space="preserve">Managerial economics is the study of how macroeconomics is applied to corporate leadership. It discusses how to make economic </w:t>
      </w:r>
      <w:r w:rsidRPr="00937627">
        <w:rPr>
          <w:rFonts w:ascii="Times New Roman" w:hAnsi="Times New Roman" w:cs="Times New Roman"/>
          <w:sz w:val="24"/>
          <w:szCs w:val="24"/>
        </w:rPr>
        <w:lastRenderedPageBreak/>
        <w:t>decisions using economics concepts and methods. Managerial Economics has replaced the phrase "Business Economics." Business Analysis is the examination of economic ideas, reasoning, and methods used to solve key challenges.</w:t>
      </w:r>
    </w:p>
    <w:p w14:paraId="12F20255" w14:textId="77777777" w:rsidR="00A60DC4" w:rsidRDefault="00A60DC4">
      <w:pPr>
        <w:rPr>
          <w:rFonts w:ascii="Times New Roman" w:hAnsi="Times New Roman" w:cs="Times New Roman"/>
          <w:sz w:val="24"/>
          <w:szCs w:val="24"/>
        </w:rPr>
      </w:pPr>
      <w:r>
        <w:rPr>
          <w:rFonts w:ascii="Times New Roman" w:hAnsi="Times New Roman" w:cs="Times New Roman"/>
          <w:sz w:val="24"/>
          <w:szCs w:val="24"/>
        </w:rPr>
        <w:br w:type="page"/>
      </w:r>
    </w:p>
    <w:p w14:paraId="69503418" w14:textId="77777777" w:rsidR="00A60DC4" w:rsidRDefault="00A60DC4" w:rsidP="00A60DC4">
      <w:pPr>
        <w:pStyle w:val="Heading1"/>
      </w:pPr>
      <w:bookmarkStart w:id="20" w:name="_Toc88496091"/>
      <w:r>
        <w:lastRenderedPageBreak/>
        <w:t>REFERENCES</w:t>
      </w:r>
      <w:bookmarkEnd w:id="20"/>
    </w:p>
    <w:p w14:paraId="44EB7CEC" w14:textId="77777777" w:rsidR="00A60DC4" w:rsidRPr="00A60DC4" w:rsidRDefault="00A60DC4" w:rsidP="00A60DC4">
      <w:pPr>
        <w:spacing w:line="360" w:lineRule="auto"/>
        <w:jc w:val="both"/>
        <w:rPr>
          <w:rFonts w:ascii="Times New Roman" w:hAnsi="Times New Roman" w:cs="Times New Roman"/>
          <w:sz w:val="24"/>
          <w:szCs w:val="24"/>
          <w:u w:val="single"/>
        </w:rPr>
      </w:pPr>
      <w:r w:rsidRPr="00A60DC4">
        <w:rPr>
          <w:rFonts w:ascii="Times New Roman" w:hAnsi="Times New Roman" w:cs="Times New Roman"/>
          <w:sz w:val="24"/>
          <w:szCs w:val="24"/>
          <w:u w:val="single"/>
        </w:rPr>
        <w:t>Books and journal</w:t>
      </w:r>
    </w:p>
    <w:p w14:paraId="19243B69" w14:textId="77777777" w:rsidR="003C0A5B" w:rsidRPr="00BA21D3" w:rsidRDefault="00BA21D3" w:rsidP="00BA21D3">
      <w:pPr>
        <w:spacing w:line="240" w:lineRule="auto"/>
        <w:ind w:left="720" w:hanging="720"/>
        <w:jc w:val="both"/>
        <w:rPr>
          <w:rFonts w:ascii="Times New Roman" w:hAnsi="Times New Roman" w:cs="Times New Roman"/>
          <w:color w:val="222222"/>
          <w:sz w:val="24"/>
          <w:szCs w:val="24"/>
          <w:shd w:val="clear" w:color="auto" w:fill="FFFFFF"/>
        </w:rPr>
      </w:pPr>
      <w:proofErr w:type="spellStart"/>
      <w:r w:rsidRPr="00BA21D3">
        <w:rPr>
          <w:rFonts w:ascii="Times New Roman" w:hAnsi="Times New Roman" w:cs="Times New Roman"/>
          <w:color w:val="222222"/>
          <w:sz w:val="24"/>
          <w:szCs w:val="24"/>
          <w:shd w:val="clear" w:color="auto" w:fill="FFFFFF"/>
        </w:rPr>
        <w:t>Gössling</w:t>
      </w:r>
      <w:proofErr w:type="spellEnd"/>
      <w:r w:rsidRPr="00BA21D3">
        <w:rPr>
          <w:rFonts w:ascii="Times New Roman" w:hAnsi="Times New Roman" w:cs="Times New Roman"/>
          <w:color w:val="222222"/>
          <w:sz w:val="24"/>
          <w:szCs w:val="24"/>
          <w:shd w:val="clear" w:color="auto" w:fill="FFFFFF"/>
        </w:rPr>
        <w:t xml:space="preserve">, S. and </w:t>
      </w:r>
      <w:proofErr w:type="spellStart"/>
      <w:r w:rsidRPr="00BA21D3">
        <w:rPr>
          <w:rFonts w:ascii="Times New Roman" w:hAnsi="Times New Roman" w:cs="Times New Roman"/>
          <w:color w:val="222222"/>
          <w:sz w:val="24"/>
          <w:szCs w:val="24"/>
          <w:shd w:val="clear" w:color="auto" w:fill="FFFFFF"/>
        </w:rPr>
        <w:t>Higham</w:t>
      </w:r>
      <w:proofErr w:type="spellEnd"/>
      <w:r w:rsidRPr="00BA21D3">
        <w:rPr>
          <w:rFonts w:ascii="Times New Roman" w:hAnsi="Times New Roman" w:cs="Times New Roman"/>
          <w:color w:val="222222"/>
          <w:sz w:val="24"/>
          <w:szCs w:val="24"/>
          <w:shd w:val="clear" w:color="auto" w:fill="FFFFFF"/>
        </w:rPr>
        <w:t>, J., 2021. The low-carbon imperative: Destination management under urgent climate change. </w:t>
      </w:r>
      <w:r w:rsidRPr="00BA21D3">
        <w:rPr>
          <w:rFonts w:ascii="Times New Roman" w:hAnsi="Times New Roman" w:cs="Times New Roman"/>
          <w:i/>
          <w:iCs/>
          <w:color w:val="222222"/>
          <w:sz w:val="24"/>
          <w:szCs w:val="24"/>
          <w:shd w:val="clear" w:color="auto" w:fill="FFFFFF"/>
        </w:rPr>
        <w:t>Journal of Travel Research</w:t>
      </w:r>
      <w:r>
        <w:rPr>
          <w:rFonts w:ascii="Times New Roman" w:hAnsi="Times New Roman" w:cs="Times New Roman"/>
          <w:color w:val="222222"/>
          <w:sz w:val="24"/>
          <w:szCs w:val="24"/>
          <w:shd w:val="clear" w:color="auto" w:fill="FFFFFF"/>
        </w:rPr>
        <w:t>.</w:t>
      </w:r>
      <w:r w:rsidRPr="00BA21D3">
        <w:rPr>
          <w:rFonts w:ascii="Times New Roman" w:hAnsi="Times New Roman" w:cs="Times New Roman"/>
          <w:color w:val="222222"/>
          <w:sz w:val="24"/>
          <w:szCs w:val="24"/>
          <w:shd w:val="clear" w:color="auto" w:fill="FFFFFF"/>
        </w:rPr>
        <w:t> </w:t>
      </w:r>
      <w:r w:rsidRPr="00BA21D3">
        <w:rPr>
          <w:rFonts w:ascii="Times New Roman" w:hAnsi="Times New Roman" w:cs="Times New Roman"/>
          <w:iCs/>
          <w:color w:val="222222"/>
          <w:sz w:val="24"/>
          <w:szCs w:val="24"/>
          <w:shd w:val="clear" w:color="auto" w:fill="FFFFFF"/>
        </w:rPr>
        <w:t>60</w:t>
      </w:r>
      <w:r>
        <w:rPr>
          <w:rFonts w:ascii="Times New Roman" w:hAnsi="Times New Roman" w:cs="Times New Roman"/>
          <w:color w:val="222222"/>
          <w:sz w:val="24"/>
          <w:szCs w:val="24"/>
          <w:shd w:val="clear" w:color="auto" w:fill="FFFFFF"/>
        </w:rPr>
        <w:t>(6).</w:t>
      </w:r>
      <w:r w:rsidRPr="00BA21D3">
        <w:rPr>
          <w:rFonts w:ascii="Times New Roman" w:hAnsi="Times New Roman" w:cs="Times New Roman"/>
          <w:color w:val="222222"/>
          <w:sz w:val="24"/>
          <w:szCs w:val="24"/>
          <w:shd w:val="clear" w:color="auto" w:fill="FFFFFF"/>
        </w:rPr>
        <w:t xml:space="preserve"> pp.1167-1179.</w:t>
      </w:r>
    </w:p>
    <w:p w14:paraId="1E07DE2C" w14:textId="77777777" w:rsidR="00BA21D3" w:rsidRPr="00BA21D3" w:rsidRDefault="00BA21D3" w:rsidP="00BA21D3">
      <w:pPr>
        <w:spacing w:line="240" w:lineRule="auto"/>
        <w:ind w:left="720" w:hanging="720"/>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Kliestik</w:t>
      </w:r>
      <w:proofErr w:type="spellEnd"/>
      <w:r>
        <w:rPr>
          <w:rFonts w:ascii="Times New Roman" w:hAnsi="Times New Roman" w:cs="Times New Roman"/>
          <w:color w:val="222222"/>
          <w:sz w:val="24"/>
          <w:szCs w:val="24"/>
          <w:shd w:val="clear" w:color="auto" w:fill="FFFFFF"/>
        </w:rPr>
        <w:t xml:space="preserve">, T. and et.al, </w:t>
      </w:r>
      <w:r w:rsidRPr="00BA21D3">
        <w:rPr>
          <w:rFonts w:ascii="Times New Roman" w:hAnsi="Times New Roman" w:cs="Times New Roman"/>
          <w:color w:val="222222"/>
          <w:sz w:val="24"/>
          <w:szCs w:val="24"/>
          <w:shd w:val="clear" w:color="auto" w:fill="FFFFFF"/>
        </w:rPr>
        <w:t>2020. Networked, smart, and responsive devices in industry 4.0 manufacturing systems. </w:t>
      </w:r>
      <w:r w:rsidRPr="00BA21D3">
        <w:rPr>
          <w:rFonts w:ascii="Times New Roman" w:hAnsi="Times New Roman" w:cs="Times New Roman"/>
          <w:i/>
          <w:iCs/>
          <w:color w:val="222222"/>
          <w:sz w:val="24"/>
          <w:szCs w:val="24"/>
          <w:shd w:val="clear" w:color="auto" w:fill="FFFFFF"/>
        </w:rPr>
        <w:t>Economics, Management and Financial Markets</w:t>
      </w:r>
      <w:r>
        <w:rPr>
          <w:rFonts w:ascii="Times New Roman" w:hAnsi="Times New Roman" w:cs="Times New Roman"/>
          <w:color w:val="222222"/>
          <w:sz w:val="24"/>
          <w:szCs w:val="24"/>
          <w:shd w:val="clear" w:color="auto" w:fill="FFFFFF"/>
        </w:rPr>
        <w:t>.</w:t>
      </w:r>
      <w:r w:rsidRPr="00BA21D3">
        <w:rPr>
          <w:rFonts w:ascii="Times New Roman" w:hAnsi="Times New Roman" w:cs="Times New Roman"/>
          <w:color w:val="222222"/>
          <w:sz w:val="24"/>
          <w:szCs w:val="24"/>
          <w:shd w:val="clear" w:color="auto" w:fill="FFFFFF"/>
        </w:rPr>
        <w:t> </w:t>
      </w:r>
      <w:r w:rsidRPr="00BA21D3">
        <w:rPr>
          <w:rFonts w:ascii="Times New Roman" w:hAnsi="Times New Roman" w:cs="Times New Roman"/>
          <w:iCs/>
          <w:color w:val="222222"/>
          <w:sz w:val="24"/>
          <w:szCs w:val="24"/>
          <w:shd w:val="clear" w:color="auto" w:fill="FFFFFF"/>
        </w:rPr>
        <w:t>15</w:t>
      </w:r>
      <w:r>
        <w:rPr>
          <w:rFonts w:ascii="Times New Roman" w:hAnsi="Times New Roman" w:cs="Times New Roman"/>
          <w:color w:val="222222"/>
          <w:sz w:val="24"/>
          <w:szCs w:val="24"/>
          <w:shd w:val="clear" w:color="auto" w:fill="FFFFFF"/>
        </w:rPr>
        <w:t>(3).</w:t>
      </w:r>
      <w:r w:rsidRPr="00BA21D3">
        <w:rPr>
          <w:rFonts w:ascii="Times New Roman" w:hAnsi="Times New Roman" w:cs="Times New Roman"/>
          <w:color w:val="222222"/>
          <w:sz w:val="24"/>
          <w:szCs w:val="24"/>
          <w:shd w:val="clear" w:color="auto" w:fill="FFFFFF"/>
        </w:rPr>
        <w:t xml:space="preserve"> pp.23-29.</w:t>
      </w:r>
    </w:p>
    <w:p w14:paraId="2EE30C36" w14:textId="77777777" w:rsidR="00BA21D3" w:rsidRPr="00BA21D3" w:rsidRDefault="00BA21D3" w:rsidP="00BA21D3">
      <w:pPr>
        <w:spacing w:line="240" w:lineRule="auto"/>
        <w:ind w:left="720" w:hanging="720"/>
        <w:jc w:val="both"/>
        <w:rPr>
          <w:rFonts w:ascii="Times New Roman" w:hAnsi="Times New Roman" w:cs="Times New Roman"/>
          <w:color w:val="222222"/>
          <w:sz w:val="24"/>
          <w:szCs w:val="24"/>
          <w:shd w:val="clear" w:color="auto" w:fill="FFFFFF"/>
        </w:rPr>
      </w:pPr>
      <w:r w:rsidRPr="00BA21D3">
        <w:rPr>
          <w:rFonts w:ascii="Times New Roman" w:hAnsi="Times New Roman" w:cs="Times New Roman"/>
          <w:color w:val="222222"/>
          <w:sz w:val="24"/>
          <w:szCs w:val="24"/>
          <w:shd w:val="clear" w:color="auto" w:fill="FFFFFF"/>
        </w:rPr>
        <w:t>TRAN, T.</w:t>
      </w:r>
      <w:r>
        <w:rPr>
          <w:rFonts w:ascii="Times New Roman" w:hAnsi="Times New Roman" w:cs="Times New Roman"/>
          <w:color w:val="222222"/>
          <w:sz w:val="24"/>
          <w:szCs w:val="24"/>
          <w:shd w:val="clear" w:color="auto" w:fill="FFFFFF"/>
        </w:rPr>
        <w:t xml:space="preserve"> Q. and et.al, </w:t>
      </w:r>
      <w:r w:rsidRPr="00BA21D3">
        <w:rPr>
          <w:rFonts w:ascii="Times New Roman" w:hAnsi="Times New Roman" w:cs="Times New Roman"/>
          <w:color w:val="222222"/>
          <w:sz w:val="24"/>
          <w:szCs w:val="24"/>
          <w:shd w:val="clear" w:color="auto" w:fill="FFFFFF"/>
        </w:rPr>
        <w:t>2020. Relationship between ownership structures and earnings management behavior in Vietnamese commercial banks. </w:t>
      </w:r>
      <w:r w:rsidRPr="00BA21D3">
        <w:rPr>
          <w:rFonts w:ascii="Times New Roman" w:hAnsi="Times New Roman" w:cs="Times New Roman"/>
          <w:i/>
          <w:iCs/>
          <w:color w:val="222222"/>
          <w:sz w:val="24"/>
          <w:szCs w:val="24"/>
          <w:shd w:val="clear" w:color="auto" w:fill="FFFFFF"/>
        </w:rPr>
        <w:t>The Journal of Asian Finance, Economics, and Business</w:t>
      </w:r>
      <w:r>
        <w:rPr>
          <w:rFonts w:ascii="Times New Roman" w:hAnsi="Times New Roman" w:cs="Times New Roman"/>
          <w:color w:val="222222"/>
          <w:sz w:val="24"/>
          <w:szCs w:val="24"/>
          <w:shd w:val="clear" w:color="auto" w:fill="FFFFFF"/>
        </w:rPr>
        <w:t>.</w:t>
      </w:r>
      <w:r w:rsidRPr="00BA21D3">
        <w:rPr>
          <w:rFonts w:ascii="Times New Roman" w:hAnsi="Times New Roman" w:cs="Times New Roman"/>
          <w:color w:val="222222"/>
          <w:sz w:val="24"/>
          <w:szCs w:val="24"/>
          <w:shd w:val="clear" w:color="auto" w:fill="FFFFFF"/>
        </w:rPr>
        <w:t> </w:t>
      </w:r>
      <w:r w:rsidRPr="00BA21D3">
        <w:rPr>
          <w:rFonts w:ascii="Times New Roman" w:hAnsi="Times New Roman" w:cs="Times New Roman"/>
          <w:iCs/>
          <w:color w:val="222222"/>
          <w:sz w:val="24"/>
          <w:szCs w:val="24"/>
          <w:shd w:val="clear" w:color="auto" w:fill="FFFFFF"/>
        </w:rPr>
        <w:t>7</w:t>
      </w:r>
      <w:r>
        <w:rPr>
          <w:rFonts w:ascii="Times New Roman" w:hAnsi="Times New Roman" w:cs="Times New Roman"/>
          <w:color w:val="222222"/>
          <w:sz w:val="24"/>
          <w:szCs w:val="24"/>
          <w:shd w:val="clear" w:color="auto" w:fill="FFFFFF"/>
        </w:rPr>
        <w:t>(9).</w:t>
      </w:r>
      <w:r w:rsidRPr="00BA21D3">
        <w:rPr>
          <w:rFonts w:ascii="Times New Roman" w:hAnsi="Times New Roman" w:cs="Times New Roman"/>
          <w:color w:val="222222"/>
          <w:sz w:val="24"/>
          <w:szCs w:val="24"/>
          <w:shd w:val="clear" w:color="auto" w:fill="FFFFFF"/>
        </w:rPr>
        <w:t xml:space="preserve"> pp.401-407.</w:t>
      </w:r>
    </w:p>
    <w:p w14:paraId="57583F5E" w14:textId="77777777" w:rsidR="00BA21D3" w:rsidRPr="00BA21D3" w:rsidRDefault="00BA21D3" w:rsidP="00BA21D3">
      <w:pPr>
        <w:spacing w:line="240" w:lineRule="auto"/>
        <w:ind w:left="720" w:hanging="720"/>
        <w:jc w:val="both"/>
        <w:rPr>
          <w:rFonts w:ascii="Times New Roman" w:hAnsi="Times New Roman" w:cs="Times New Roman"/>
          <w:color w:val="222222"/>
          <w:sz w:val="24"/>
          <w:szCs w:val="24"/>
          <w:shd w:val="clear" w:color="auto" w:fill="FFFFFF"/>
        </w:rPr>
      </w:pPr>
      <w:r w:rsidRPr="00BA21D3">
        <w:rPr>
          <w:rFonts w:ascii="Times New Roman" w:hAnsi="Times New Roman" w:cs="Times New Roman"/>
          <w:color w:val="222222"/>
          <w:sz w:val="24"/>
          <w:szCs w:val="24"/>
          <w:shd w:val="clear" w:color="auto" w:fill="FFFFFF"/>
        </w:rPr>
        <w:t>Ahluwalia, S., Mahto, R.</w:t>
      </w:r>
      <w:r>
        <w:rPr>
          <w:rFonts w:ascii="Times New Roman" w:hAnsi="Times New Roman" w:cs="Times New Roman"/>
          <w:color w:val="222222"/>
          <w:sz w:val="24"/>
          <w:szCs w:val="24"/>
          <w:shd w:val="clear" w:color="auto" w:fill="FFFFFF"/>
        </w:rPr>
        <w:t xml:space="preserve"> </w:t>
      </w:r>
      <w:r w:rsidRPr="00BA21D3">
        <w:rPr>
          <w:rFonts w:ascii="Times New Roman" w:hAnsi="Times New Roman" w:cs="Times New Roman"/>
          <w:color w:val="222222"/>
          <w:sz w:val="24"/>
          <w:szCs w:val="24"/>
          <w:shd w:val="clear" w:color="auto" w:fill="FFFFFF"/>
        </w:rPr>
        <w:t>V. and Guerrero, M., 2020. Blockchain technology and startup financing: A transaction cost economics perspective. </w:t>
      </w:r>
      <w:r w:rsidRPr="00BA21D3">
        <w:rPr>
          <w:rFonts w:ascii="Times New Roman" w:hAnsi="Times New Roman" w:cs="Times New Roman"/>
          <w:i/>
          <w:iCs/>
          <w:color w:val="222222"/>
          <w:sz w:val="24"/>
          <w:szCs w:val="24"/>
          <w:shd w:val="clear" w:color="auto" w:fill="FFFFFF"/>
        </w:rPr>
        <w:t>Technological Forecasting and Social Change</w:t>
      </w:r>
      <w:r>
        <w:rPr>
          <w:rFonts w:ascii="Times New Roman" w:hAnsi="Times New Roman" w:cs="Times New Roman"/>
          <w:color w:val="222222"/>
          <w:sz w:val="24"/>
          <w:szCs w:val="24"/>
          <w:shd w:val="clear" w:color="auto" w:fill="FFFFFF"/>
        </w:rPr>
        <w:t>.</w:t>
      </w:r>
      <w:r w:rsidRPr="00BA21D3">
        <w:rPr>
          <w:rFonts w:ascii="Times New Roman" w:hAnsi="Times New Roman" w:cs="Times New Roman"/>
          <w:color w:val="222222"/>
          <w:sz w:val="24"/>
          <w:szCs w:val="24"/>
          <w:shd w:val="clear" w:color="auto" w:fill="FFFFFF"/>
        </w:rPr>
        <w:t> </w:t>
      </w:r>
      <w:r w:rsidRPr="00BA21D3">
        <w:rPr>
          <w:rFonts w:ascii="Times New Roman" w:hAnsi="Times New Roman" w:cs="Times New Roman"/>
          <w:iCs/>
          <w:color w:val="222222"/>
          <w:sz w:val="24"/>
          <w:szCs w:val="24"/>
          <w:shd w:val="clear" w:color="auto" w:fill="FFFFFF"/>
        </w:rPr>
        <w:t>151</w:t>
      </w:r>
      <w:r>
        <w:rPr>
          <w:rFonts w:ascii="Times New Roman" w:hAnsi="Times New Roman" w:cs="Times New Roman"/>
          <w:color w:val="222222"/>
          <w:sz w:val="24"/>
          <w:szCs w:val="24"/>
          <w:shd w:val="clear" w:color="auto" w:fill="FFFFFF"/>
        </w:rPr>
        <w:t>.</w:t>
      </w:r>
      <w:r w:rsidRPr="00BA21D3">
        <w:rPr>
          <w:rFonts w:ascii="Times New Roman" w:hAnsi="Times New Roman" w:cs="Times New Roman"/>
          <w:color w:val="222222"/>
          <w:sz w:val="24"/>
          <w:szCs w:val="24"/>
          <w:shd w:val="clear" w:color="auto" w:fill="FFFFFF"/>
        </w:rPr>
        <w:t xml:space="preserve"> p.119854.</w:t>
      </w:r>
    </w:p>
    <w:p w14:paraId="6F83EB7D" w14:textId="77777777" w:rsidR="00BA21D3" w:rsidRPr="00BA21D3" w:rsidRDefault="00BA21D3" w:rsidP="00BA21D3">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Sánchez-García, C. and et.al, </w:t>
      </w:r>
      <w:r w:rsidRPr="00BA21D3">
        <w:rPr>
          <w:rFonts w:ascii="Times New Roman" w:hAnsi="Times New Roman" w:cs="Times New Roman"/>
          <w:color w:val="222222"/>
          <w:sz w:val="24"/>
          <w:szCs w:val="24"/>
          <w:shd w:val="clear" w:color="auto" w:fill="FFFFFF"/>
        </w:rPr>
        <w:t>2021. Evaluation of the economics of sport hunting in Spain through regional surveys. </w:t>
      </w:r>
      <w:r w:rsidRPr="00BA21D3">
        <w:rPr>
          <w:rFonts w:ascii="Times New Roman" w:hAnsi="Times New Roman" w:cs="Times New Roman"/>
          <w:i/>
          <w:iCs/>
          <w:color w:val="222222"/>
          <w:sz w:val="24"/>
          <w:szCs w:val="24"/>
          <w:shd w:val="clear" w:color="auto" w:fill="FFFFFF"/>
        </w:rPr>
        <w:t>International Journal of Environmental Studies</w:t>
      </w:r>
      <w:r>
        <w:rPr>
          <w:rFonts w:ascii="Times New Roman" w:hAnsi="Times New Roman" w:cs="Times New Roman"/>
          <w:color w:val="222222"/>
          <w:sz w:val="24"/>
          <w:szCs w:val="24"/>
          <w:shd w:val="clear" w:color="auto" w:fill="FFFFFF"/>
        </w:rPr>
        <w:t>.</w:t>
      </w:r>
      <w:r w:rsidRPr="00BA21D3">
        <w:rPr>
          <w:rFonts w:ascii="Times New Roman" w:hAnsi="Times New Roman" w:cs="Times New Roman"/>
          <w:color w:val="222222"/>
          <w:sz w:val="24"/>
          <w:szCs w:val="24"/>
          <w:shd w:val="clear" w:color="auto" w:fill="FFFFFF"/>
        </w:rPr>
        <w:t> </w:t>
      </w:r>
      <w:r w:rsidRPr="00BA21D3">
        <w:rPr>
          <w:rFonts w:ascii="Times New Roman" w:hAnsi="Times New Roman" w:cs="Times New Roman"/>
          <w:iCs/>
          <w:color w:val="222222"/>
          <w:sz w:val="24"/>
          <w:szCs w:val="24"/>
          <w:shd w:val="clear" w:color="auto" w:fill="FFFFFF"/>
        </w:rPr>
        <w:t>78</w:t>
      </w:r>
      <w:r>
        <w:rPr>
          <w:rFonts w:ascii="Times New Roman" w:hAnsi="Times New Roman" w:cs="Times New Roman"/>
          <w:color w:val="222222"/>
          <w:sz w:val="24"/>
          <w:szCs w:val="24"/>
          <w:shd w:val="clear" w:color="auto" w:fill="FFFFFF"/>
        </w:rPr>
        <w:t>(3).</w:t>
      </w:r>
      <w:r w:rsidRPr="00BA21D3">
        <w:rPr>
          <w:rFonts w:ascii="Times New Roman" w:hAnsi="Times New Roman" w:cs="Times New Roman"/>
          <w:color w:val="222222"/>
          <w:sz w:val="24"/>
          <w:szCs w:val="24"/>
          <w:shd w:val="clear" w:color="auto" w:fill="FFFFFF"/>
        </w:rPr>
        <w:t xml:space="preserve"> pp.517-531.</w:t>
      </w:r>
    </w:p>
    <w:p w14:paraId="32EDFB4B" w14:textId="77777777" w:rsidR="00BA21D3" w:rsidRPr="00BA21D3" w:rsidRDefault="00BA21D3" w:rsidP="00BA21D3">
      <w:pPr>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Khan, M. K. and </w:t>
      </w:r>
      <w:r w:rsidRPr="00BA21D3">
        <w:rPr>
          <w:rFonts w:ascii="Times New Roman" w:hAnsi="Times New Roman" w:cs="Times New Roman"/>
          <w:color w:val="222222"/>
          <w:sz w:val="24"/>
          <w:szCs w:val="24"/>
          <w:shd w:val="clear" w:color="auto" w:fill="FFFFFF"/>
        </w:rPr>
        <w:t>2021. Stock market reaction to macroeconomic variables: An assessment with dynamic autoregressive distributed lag simulations. </w:t>
      </w:r>
      <w:r w:rsidRPr="00BA21D3">
        <w:rPr>
          <w:rFonts w:ascii="Times New Roman" w:hAnsi="Times New Roman" w:cs="Times New Roman"/>
          <w:i/>
          <w:iCs/>
          <w:color w:val="222222"/>
          <w:sz w:val="24"/>
          <w:szCs w:val="24"/>
          <w:shd w:val="clear" w:color="auto" w:fill="FFFFFF"/>
        </w:rPr>
        <w:t>International Journal of Finance &amp; Economics</w:t>
      </w:r>
      <w:r w:rsidRPr="00BA21D3">
        <w:rPr>
          <w:rFonts w:ascii="Times New Roman" w:hAnsi="Times New Roman" w:cs="Times New Roman"/>
          <w:color w:val="222222"/>
          <w:sz w:val="24"/>
          <w:szCs w:val="24"/>
          <w:shd w:val="clear" w:color="auto" w:fill="FFFFFF"/>
        </w:rPr>
        <w:t>.</w:t>
      </w:r>
    </w:p>
    <w:p w14:paraId="6ECE40D6" w14:textId="77777777" w:rsidR="00BA21D3" w:rsidRPr="00BA21D3" w:rsidRDefault="00BA21D3" w:rsidP="00BA21D3">
      <w:pPr>
        <w:spacing w:line="240" w:lineRule="auto"/>
        <w:ind w:left="720" w:hanging="720"/>
        <w:jc w:val="both"/>
        <w:rPr>
          <w:rFonts w:ascii="Times New Roman" w:hAnsi="Times New Roman" w:cs="Times New Roman"/>
          <w:color w:val="222222"/>
          <w:sz w:val="24"/>
          <w:szCs w:val="24"/>
          <w:shd w:val="clear" w:color="auto" w:fill="FFFFFF"/>
        </w:rPr>
      </w:pPr>
      <w:proofErr w:type="spellStart"/>
      <w:r w:rsidRPr="00BA21D3">
        <w:rPr>
          <w:rFonts w:ascii="Times New Roman" w:hAnsi="Times New Roman" w:cs="Times New Roman"/>
          <w:color w:val="222222"/>
          <w:sz w:val="24"/>
          <w:szCs w:val="24"/>
          <w:shd w:val="clear" w:color="auto" w:fill="FFFFFF"/>
        </w:rPr>
        <w:t>Urinov</w:t>
      </w:r>
      <w:proofErr w:type="spellEnd"/>
      <w:r w:rsidRPr="00BA21D3">
        <w:rPr>
          <w:rFonts w:ascii="Times New Roman" w:hAnsi="Times New Roman" w:cs="Times New Roman"/>
          <w:color w:val="222222"/>
          <w:sz w:val="24"/>
          <w:szCs w:val="24"/>
          <w:shd w:val="clear" w:color="auto" w:fill="FFFFFF"/>
        </w:rPr>
        <w:t>, B.</w:t>
      </w:r>
      <w:r>
        <w:rPr>
          <w:rFonts w:ascii="Times New Roman" w:hAnsi="Times New Roman" w:cs="Times New Roman"/>
          <w:color w:val="222222"/>
          <w:sz w:val="24"/>
          <w:szCs w:val="24"/>
          <w:shd w:val="clear" w:color="auto" w:fill="FFFFFF"/>
        </w:rPr>
        <w:t xml:space="preserve"> </w:t>
      </w:r>
      <w:r w:rsidRPr="00BA21D3">
        <w:rPr>
          <w:rFonts w:ascii="Times New Roman" w:hAnsi="Times New Roman" w:cs="Times New Roman"/>
          <w:color w:val="222222"/>
          <w:sz w:val="24"/>
          <w:szCs w:val="24"/>
          <w:shd w:val="clear" w:color="auto" w:fill="FFFFFF"/>
        </w:rPr>
        <w:t>N., 2020. Theoretical aspects of organizational behavior and corporate culture. </w:t>
      </w:r>
      <w:r w:rsidRPr="00BA21D3">
        <w:rPr>
          <w:rFonts w:ascii="Times New Roman" w:hAnsi="Times New Roman" w:cs="Times New Roman"/>
          <w:i/>
          <w:iCs/>
          <w:color w:val="222222"/>
          <w:sz w:val="24"/>
          <w:szCs w:val="24"/>
          <w:shd w:val="clear" w:color="auto" w:fill="FFFFFF"/>
        </w:rPr>
        <w:t>Economics and Innovative Technologies</w:t>
      </w:r>
      <w:r>
        <w:rPr>
          <w:rFonts w:ascii="Times New Roman" w:hAnsi="Times New Roman" w:cs="Times New Roman"/>
          <w:color w:val="222222"/>
          <w:sz w:val="24"/>
          <w:szCs w:val="24"/>
          <w:shd w:val="clear" w:color="auto" w:fill="FFFFFF"/>
        </w:rPr>
        <w:t>.</w:t>
      </w:r>
      <w:r w:rsidRPr="00BA21D3">
        <w:rPr>
          <w:rFonts w:ascii="Times New Roman" w:hAnsi="Times New Roman" w:cs="Times New Roman"/>
          <w:color w:val="222222"/>
          <w:sz w:val="24"/>
          <w:szCs w:val="24"/>
          <w:shd w:val="clear" w:color="auto" w:fill="FFFFFF"/>
        </w:rPr>
        <w:t> </w:t>
      </w:r>
      <w:r w:rsidRPr="00BA21D3">
        <w:rPr>
          <w:rFonts w:ascii="Times New Roman" w:hAnsi="Times New Roman" w:cs="Times New Roman"/>
          <w:iCs/>
          <w:color w:val="222222"/>
          <w:sz w:val="24"/>
          <w:szCs w:val="24"/>
          <w:shd w:val="clear" w:color="auto" w:fill="FFFFFF"/>
        </w:rPr>
        <w:t>2020</w:t>
      </w:r>
      <w:r>
        <w:rPr>
          <w:rFonts w:ascii="Times New Roman" w:hAnsi="Times New Roman" w:cs="Times New Roman"/>
          <w:color w:val="222222"/>
          <w:sz w:val="24"/>
          <w:szCs w:val="24"/>
          <w:shd w:val="clear" w:color="auto" w:fill="FFFFFF"/>
        </w:rPr>
        <w:t>(2).</w:t>
      </w:r>
      <w:r w:rsidRPr="00BA21D3">
        <w:rPr>
          <w:rFonts w:ascii="Times New Roman" w:hAnsi="Times New Roman" w:cs="Times New Roman"/>
          <w:color w:val="222222"/>
          <w:sz w:val="24"/>
          <w:szCs w:val="24"/>
          <w:shd w:val="clear" w:color="auto" w:fill="FFFFFF"/>
        </w:rPr>
        <w:t xml:space="preserve"> p.15.</w:t>
      </w:r>
    </w:p>
    <w:p w14:paraId="799A54B7" w14:textId="77777777" w:rsidR="00BA21D3" w:rsidRPr="00BA21D3" w:rsidRDefault="00BA21D3" w:rsidP="00BA21D3">
      <w:pPr>
        <w:spacing w:line="240" w:lineRule="auto"/>
        <w:ind w:left="720" w:hanging="720"/>
        <w:jc w:val="both"/>
        <w:rPr>
          <w:rFonts w:ascii="Times New Roman" w:hAnsi="Times New Roman" w:cs="Times New Roman"/>
          <w:color w:val="222222"/>
          <w:sz w:val="24"/>
          <w:szCs w:val="24"/>
          <w:shd w:val="clear" w:color="auto" w:fill="FFFFFF"/>
        </w:rPr>
      </w:pPr>
      <w:r w:rsidRPr="00BA21D3">
        <w:rPr>
          <w:rFonts w:ascii="Times New Roman" w:hAnsi="Times New Roman" w:cs="Times New Roman"/>
          <w:color w:val="222222"/>
          <w:sz w:val="24"/>
          <w:szCs w:val="24"/>
          <w:shd w:val="clear" w:color="auto" w:fill="FFFFFF"/>
        </w:rPr>
        <w:t>Sierra, J., 2020. The importance of simulation in teaching and learning economics: The students’ perspective. </w:t>
      </w:r>
      <w:r w:rsidRPr="00BA21D3">
        <w:rPr>
          <w:rFonts w:ascii="Times New Roman" w:hAnsi="Times New Roman" w:cs="Times New Roman"/>
          <w:i/>
          <w:iCs/>
          <w:color w:val="222222"/>
          <w:sz w:val="24"/>
          <w:szCs w:val="24"/>
          <w:shd w:val="clear" w:color="auto" w:fill="FFFFFF"/>
        </w:rPr>
        <w:t>Innovations in Education and Teaching International</w:t>
      </w:r>
      <w:r>
        <w:rPr>
          <w:rFonts w:ascii="Times New Roman" w:hAnsi="Times New Roman" w:cs="Times New Roman"/>
          <w:color w:val="222222"/>
          <w:sz w:val="24"/>
          <w:szCs w:val="24"/>
          <w:shd w:val="clear" w:color="auto" w:fill="FFFFFF"/>
        </w:rPr>
        <w:t>.</w:t>
      </w:r>
      <w:r w:rsidRPr="00BA21D3">
        <w:rPr>
          <w:rFonts w:ascii="Times New Roman" w:hAnsi="Times New Roman" w:cs="Times New Roman"/>
          <w:color w:val="222222"/>
          <w:sz w:val="24"/>
          <w:szCs w:val="24"/>
          <w:shd w:val="clear" w:color="auto" w:fill="FFFFFF"/>
        </w:rPr>
        <w:t> </w:t>
      </w:r>
      <w:r w:rsidRPr="00BA21D3">
        <w:rPr>
          <w:rFonts w:ascii="Times New Roman" w:hAnsi="Times New Roman" w:cs="Times New Roman"/>
          <w:iCs/>
          <w:color w:val="222222"/>
          <w:sz w:val="24"/>
          <w:szCs w:val="24"/>
          <w:shd w:val="clear" w:color="auto" w:fill="FFFFFF"/>
        </w:rPr>
        <w:t>57</w:t>
      </w:r>
      <w:r>
        <w:rPr>
          <w:rFonts w:ascii="Times New Roman" w:hAnsi="Times New Roman" w:cs="Times New Roman"/>
          <w:color w:val="222222"/>
          <w:sz w:val="24"/>
          <w:szCs w:val="24"/>
          <w:shd w:val="clear" w:color="auto" w:fill="FFFFFF"/>
        </w:rPr>
        <w:t>(5).</w:t>
      </w:r>
      <w:r w:rsidRPr="00BA21D3">
        <w:rPr>
          <w:rFonts w:ascii="Times New Roman" w:hAnsi="Times New Roman" w:cs="Times New Roman"/>
          <w:color w:val="222222"/>
          <w:sz w:val="24"/>
          <w:szCs w:val="24"/>
          <w:shd w:val="clear" w:color="auto" w:fill="FFFFFF"/>
        </w:rPr>
        <w:t xml:space="preserve"> pp.521-531.</w:t>
      </w:r>
    </w:p>
    <w:p w14:paraId="30B0DDCD" w14:textId="77777777" w:rsidR="00BA21D3" w:rsidRPr="00BA21D3" w:rsidRDefault="00BA21D3" w:rsidP="00BA21D3">
      <w:pPr>
        <w:spacing w:line="240" w:lineRule="auto"/>
        <w:ind w:left="720" w:hanging="720"/>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Strielkowski</w:t>
      </w:r>
      <w:proofErr w:type="spellEnd"/>
      <w:r>
        <w:rPr>
          <w:rFonts w:ascii="Times New Roman" w:hAnsi="Times New Roman" w:cs="Times New Roman"/>
          <w:color w:val="222222"/>
          <w:sz w:val="24"/>
          <w:szCs w:val="24"/>
          <w:shd w:val="clear" w:color="auto" w:fill="FFFFFF"/>
        </w:rPr>
        <w:t xml:space="preserve">, W. and et.al, </w:t>
      </w:r>
      <w:r w:rsidRPr="00BA21D3">
        <w:rPr>
          <w:rFonts w:ascii="Times New Roman" w:hAnsi="Times New Roman" w:cs="Times New Roman"/>
          <w:color w:val="222222"/>
          <w:sz w:val="24"/>
          <w:szCs w:val="24"/>
          <w:shd w:val="clear" w:color="auto" w:fill="FFFFFF"/>
        </w:rPr>
        <w:t>2020. Leadership and Effective Institutional Economics Design in the Context of Education Reforms. </w:t>
      </w:r>
      <w:r w:rsidRPr="00BA21D3">
        <w:rPr>
          <w:rFonts w:ascii="Times New Roman" w:hAnsi="Times New Roman" w:cs="Times New Roman"/>
          <w:i/>
          <w:iCs/>
          <w:color w:val="222222"/>
          <w:sz w:val="24"/>
          <w:szCs w:val="24"/>
          <w:shd w:val="clear" w:color="auto" w:fill="FFFFFF"/>
        </w:rPr>
        <w:t>Economies</w:t>
      </w:r>
      <w:r>
        <w:rPr>
          <w:rFonts w:ascii="Times New Roman" w:hAnsi="Times New Roman" w:cs="Times New Roman"/>
          <w:color w:val="222222"/>
          <w:sz w:val="24"/>
          <w:szCs w:val="24"/>
          <w:shd w:val="clear" w:color="auto" w:fill="FFFFFF"/>
        </w:rPr>
        <w:t>.</w:t>
      </w:r>
      <w:r w:rsidRPr="00BA21D3">
        <w:rPr>
          <w:rFonts w:ascii="Times New Roman" w:hAnsi="Times New Roman" w:cs="Times New Roman"/>
          <w:color w:val="222222"/>
          <w:sz w:val="24"/>
          <w:szCs w:val="24"/>
          <w:shd w:val="clear" w:color="auto" w:fill="FFFFFF"/>
        </w:rPr>
        <w:t> </w:t>
      </w:r>
      <w:r w:rsidRPr="00BA21D3">
        <w:rPr>
          <w:rFonts w:ascii="Times New Roman" w:hAnsi="Times New Roman" w:cs="Times New Roman"/>
          <w:iCs/>
          <w:color w:val="222222"/>
          <w:sz w:val="24"/>
          <w:szCs w:val="24"/>
          <w:shd w:val="clear" w:color="auto" w:fill="FFFFFF"/>
        </w:rPr>
        <w:t>8</w:t>
      </w:r>
      <w:r>
        <w:rPr>
          <w:rFonts w:ascii="Times New Roman" w:hAnsi="Times New Roman" w:cs="Times New Roman"/>
          <w:color w:val="222222"/>
          <w:sz w:val="24"/>
          <w:szCs w:val="24"/>
          <w:shd w:val="clear" w:color="auto" w:fill="FFFFFF"/>
        </w:rPr>
        <w:t>(2).</w:t>
      </w:r>
      <w:r w:rsidRPr="00BA21D3">
        <w:rPr>
          <w:rFonts w:ascii="Times New Roman" w:hAnsi="Times New Roman" w:cs="Times New Roman"/>
          <w:color w:val="222222"/>
          <w:sz w:val="24"/>
          <w:szCs w:val="24"/>
          <w:shd w:val="clear" w:color="auto" w:fill="FFFFFF"/>
        </w:rPr>
        <w:t xml:space="preserve"> p.27.</w:t>
      </w:r>
    </w:p>
    <w:p w14:paraId="0C39DBEA" w14:textId="77777777" w:rsidR="00BA21D3" w:rsidRPr="00BA21D3" w:rsidRDefault="00BA21D3" w:rsidP="00BA21D3">
      <w:pPr>
        <w:spacing w:line="240" w:lineRule="auto"/>
        <w:ind w:left="720" w:hanging="720"/>
        <w:jc w:val="both"/>
        <w:rPr>
          <w:rFonts w:ascii="Times New Roman" w:hAnsi="Times New Roman" w:cs="Times New Roman"/>
          <w:sz w:val="24"/>
          <w:szCs w:val="24"/>
        </w:rPr>
      </w:pPr>
      <w:proofErr w:type="spellStart"/>
      <w:r>
        <w:rPr>
          <w:rFonts w:ascii="Times New Roman" w:hAnsi="Times New Roman" w:cs="Times New Roman"/>
          <w:color w:val="222222"/>
          <w:sz w:val="24"/>
          <w:szCs w:val="24"/>
          <w:shd w:val="clear" w:color="auto" w:fill="FFFFFF"/>
        </w:rPr>
        <w:t>Yarovenko</w:t>
      </w:r>
      <w:proofErr w:type="spellEnd"/>
      <w:r>
        <w:rPr>
          <w:rFonts w:ascii="Times New Roman" w:hAnsi="Times New Roman" w:cs="Times New Roman"/>
          <w:color w:val="222222"/>
          <w:sz w:val="24"/>
          <w:szCs w:val="24"/>
          <w:shd w:val="clear" w:color="auto" w:fill="FFFFFF"/>
        </w:rPr>
        <w:t xml:space="preserve">, H. and et.al, </w:t>
      </w:r>
      <w:r w:rsidRPr="00BA21D3">
        <w:rPr>
          <w:rFonts w:ascii="Times New Roman" w:hAnsi="Times New Roman" w:cs="Times New Roman"/>
          <w:color w:val="222222"/>
          <w:sz w:val="24"/>
          <w:szCs w:val="24"/>
          <w:shd w:val="clear" w:color="auto" w:fill="FFFFFF"/>
        </w:rPr>
        <w:t>2021. Methodology for assessing the risk associated with information and knowledge loss management. </w:t>
      </w:r>
      <w:r w:rsidRPr="00BA21D3">
        <w:rPr>
          <w:rFonts w:ascii="Times New Roman" w:hAnsi="Times New Roman" w:cs="Times New Roman"/>
          <w:i/>
          <w:iCs/>
          <w:color w:val="222222"/>
          <w:sz w:val="24"/>
          <w:szCs w:val="24"/>
          <w:shd w:val="clear" w:color="auto" w:fill="FFFFFF"/>
        </w:rPr>
        <w:t>Journal of Business Economics and Management</w:t>
      </w:r>
      <w:r>
        <w:rPr>
          <w:rFonts w:ascii="Times New Roman" w:hAnsi="Times New Roman" w:cs="Times New Roman"/>
          <w:color w:val="222222"/>
          <w:sz w:val="24"/>
          <w:szCs w:val="24"/>
          <w:shd w:val="clear" w:color="auto" w:fill="FFFFFF"/>
        </w:rPr>
        <w:t>.</w:t>
      </w:r>
      <w:r w:rsidRPr="00BA21D3">
        <w:rPr>
          <w:rFonts w:ascii="Times New Roman" w:hAnsi="Times New Roman" w:cs="Times New Roman"/>
          <w:color w:val="222222"/>
          <w:sz w:val="24"/>
          <w:szCs w:val="24"/>
          <w:shd w:val="clear" w:color="auto" w:fill="FFFFFF"/>
        </w:rPr>
        <w:t> </w:t>
      </w:r>
      <w:r w:rsidRPr="00BA21D3">
        <w:rPr>
          <w:rFonts w:ascii="Times New Roman" w:hAnsi="Times New Roman" w:cs="Times New Roman"/>
          <w:iCs/>
          <w:color w:val="222222"/>
          <w:sz w:val="24"/>
          <w:szCs w:val="24"/>
          <w:shd w:val="clear" w:color="auto" w:fill="FFFFFF"/>
        </w:rPr>
        <w:t>22</w:t>
      </w:r>
      <w:r>
        <w:rPr>
          <w:rFonts w:ascii="Times New Roman" w:hAnsi="Times New Roman" w:cs="Times New Roman"/>
          <w:color w:val="222222"/>
          <w:sz w:val="24"/>
          <w:szCs w:val="24"/>
          <w:shd w:val="clear" w:color="auto" w:fill="FFFFFF"/>
        </w:rPr>
        <w:t>(2).</w:t>
      </w:r>
      <w:r w:rsidRPr="00BA21D3">
        <w:rPr>
          <w:rFonts w:ascii="Times New Roman" w:hAnsi="Times New Roman" w:cs="Times New Roman"/>
          <w:color w:val="222222"/>
          <w:sz w:val="24"/>
          <w:szCs w:val="24"/>
          <w:shd w:val="clear" w:color="auto" w:fill="FFFFFF"/>
        </w:rPr>
        <w:t xml:space="preserve"> pp.369-387.</w:t>
      </w:r>
    </w:p>
    <w:p w14:paraId="22B65CB4" w14:textId="77777777" w:rsidR="003C0A5B" w:rsidRPr="003C0A5B" w:rsidRDefault="003C0A5B" w:rsidP="00A60DC4">
      <w:pPr>
        <w:spacing w:line="360" w:lineRule="auto"/>
        <w:jc w:val="both"/>
        <w:rPr>
          <w:rFonts w:ascii="Times New Roman" w:hAnsi="Times New Roman" w:cs="Times New Roman"/>
          <w:sz w:val="24"/>
          <w:szCs w:val="24"/>
          <w:u w:val="single"/>
        </w:rPr>
      </w:pPr>
      <w:r w:rsidRPr="003C0A5B">
        <w:rPr>
          <w:rFonts w:ascii="Times New Roman" w:hAnsi="Times New Roman" w:cs="Times New Roman"/>
          <w:sz w:val="24"/>
          <w:szCs w:val="24"/>
          <w:u w:val="single"/>
        </w:rPr>
        <w:t>Online</w:t>
      </w:r>
    </w:p>
    <w:p w14:paraId="490F1DD0" w14:textId="77777777" w:rsidR="00A60DC4" w:rsidRDefault="00A60DC4" w:rsidP="00BA21D3">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Exchange rate in Australia, 2021</w:t>
      </w:r>
      <w:r w:rsidR="003C0A5B">
        <w:rPr>
          <w:rFonts w:ascii="Times New Roman" w:hAnsi="Times New Roman" w:cs="Times New Roman"/>
          <w:sz w:val="24"/>
          <w:szCs w:val="24"/>
        </w:rPr>
        <w:t>. [Online]. Available through;</w:t>
      </w:r>
      <w:r>
        <w:rPr>
          <w:rFonts w:ascii="Times New Roman" w:hAnsi="Times New Roman" w:cs="Times New Roman"/>
          <w:sz w:val="24"/>
          <w:szCs w:val="24"/>
        </w:rPr>
        <w:t xml:space="preserve"> &lt;</w:t>
      </w:r>
      <w:r w:rsidRPr="00A60DC4">
        <w:rPr>
          <w:rFonts w:ascii="Times New Roman" w:hAnsi="Times New Roman" w:cs="Times New Roman"/>
          <w:sz w:val="24"/>
          <w:szCs w:val="24"/>
        </w:rPr>
        <w:t>https://www.rba.gov.au/publications/bulletin/2021/mar/determinants-of-the-australian-dollar-over-recent-years.html</w:t>
      </w:r>
      <w:r>
        <w:rPr>
          <w:rFonts w:ascii="Times New Roman" w:hAnsi="Times New Roman" w:cs="Times New Roman"/>
          <w:sz w:val="24"/>
          <w:szCs w:val="24"/>
        </w:rPr>
        <w:t>&gt;</w:t>
      </w:r>
    </w:p>
    <w:p w14:paraId="63F785C8" w14:textId="77777777" w:rsidR="00A60DC4" w:rsidRDefault="00A60DC4" w:rsidP="00A60DC4">
      <w:pPr>
        <w:spacing w:line="360" w:lineRule="auto"/>
        <w:jc w:val="both"/>
        <w:rPr>
          <w:rFonts w:ascii="Times New Roman" w:hAnsi="Times New Roman" w:cs="Times New Roman"/>
          <w:sz w:val="24"/>
          <w:szCs w:val="24"/>
        </w:rPr>
      </w:pPr>
    </w:p>
    <w:sectPr w:rsidR="00A60DC4" w:rsidSect="005F4519">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A73BB" w14:textId="77777777" w:rsidR="00947F9D" w:rsidRDefault="00947F9D" w:rsidP="007D6420">
      <w:pPr>
        <w:spacing w:after="0" w:line="240" w:lineRule="auto"/>
      </w:pPr>
      <w:r>
        <w:separator/>
      </w:r>
    </w:p>
  </w:endnote>
  <w:endnote w:type="continuationSeparator" w:id="0">
    <w:p w14:paraId="1BE71A67" w14:textId="77777777" w:rsidR="00947F9D" w:rsidRDefault="00947F9D" w:rsidP="007D6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538628"/>
      <w:docPartObj>
        <w:docPartGallery w:val="Page Numbers (Bottom of Page)"/>
        <w:docPartUnique/>
      </w:docPartObj>
    </w:sdtPr>
    <w:sdtEndPr>
      <w:rPr>
        <w:noProof/>
      </w:rPr>
    </w:sdtEndPr>
    <w:sdtContent>
      <w:p w14:paraId="4E8BA921" w14:textId="76D55CC8" w:rsidR="007D6420" w:rsidRDefault="007D64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1CA8B7" w14:textId="77777777" w:rsidR="007D6420" w:rsidRDefault="007D6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3BD05" w14:textId="77777777" w:rsidR="00947F9D" w:rsidRDefault="00947F9D" w:rsidP="007D6420">
      <w:pPr>
        <w:spacing w:after="0" w:line="240" w:lineRule="auto"/>
      </w:pPr>
      <w:r>
        <w:separator/>
      </w:r>
    </w:p>
  </w:footnote>
  <w:footnote w:type="continuationSeparator" w:id="0">
    <w:p w14:paraId="40B92687" w14:textId="77777777" w:rsidR="00947F9D" w:rsidRDefault="00947F9D" w:rsidP="007D6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2C54A53"/>
    <w:multiLevelType w:val="hybridMultilevel"/>
    <w:tmpl w:val="15E2D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3F5638"/>
    <w:multiLevelType w:val="hybridMultilevel"/>
    <w:tmpl w:val="B44A2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6F2BB6"/>
    <w:multiLevelType w:val="hybridMultilevel"/>
    <w:tmpl w:val="3DD81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55289E"/>
    <w:multiLevelType w:val="hybridMultilevel"/>
    <w:tmpl w:val="EDB49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14A3F"/>
    <w:rsid w:val="0006322E"/>
    <w:rsid w:val="000735BC"/>
    <w:rsid w:val="00081C10"/>
    <w:rsid w:val="00092205"/>
    <w:rsid w:val="000D7669"/>
    <w:rsid w:val="00192C26"/>
    <w:rsid w:val="001C00C5"/>
    <w:rsid w:val="001D02A1"/>
    <w:rsid w:val="001F3BEF"/>
    <w:rsid w:val="00200784"/>
    <w:rsid w:val="002217C2"/>
    <w:rsid w:val="0022478E"/>
    <w:rsid w:val="002333E4"/>
    <w:rsid w:val="00295667"/>
    <w:rsid w:val="002A7205"/>
    <w:rsid w:val="002D3978"/>
    <w:rsid w:val="002D3B4B"/>
    <w:rsid w:val="002D3BD5"/>
    <w:rsid w:val="00327170"/>
    <w:rsid w:val="00347C42"/>
    <w:rsid w:val="003B0B81"/>
    <w:rsid w:val="003C0A5B"/>
    <w:rsid w:val="004055BB"/>
    <w:rsid w:val="00425C17"/>
    <w:rsid w:val="00453655"/>
    <w:rsid w:val="004A149A"/>
    <w:rsid w:val="004A3070"/>
    <w:rsid w:val="00500612"/>
    <w:rsid w:val="00554083"/>
    <w:rsid w:val="005B1AB9"/>
    <w:rsid w:val="005D5D77"/>
    <w:rsid w:val="005F4519"/>
    <w:rsid w:val="005F72A1"/>
    <w:rsid w:val="0061287B"/>
    <w:rsid w:val="00663C7D"/>
    <w:rsid w:val="00683E58"/>
    <w:rsid w:val="006E6626"/>
    <w:rsid w:val="00735C01"/>
    <w:rsid w:val="007979D9"/>
    <w:rsid w:val="007B4D83"/>
    <w:rsid w:val="007D6420"/>
    <w:rsid w:val="00811451"/>
    <w:rsid w:val="008A0DF7"/>
    <w:rsid w:val="008D7F95"/>
    <w:rsid w:val="00937627"/>
    <w:rsid w:val="00947F9D"/>
    <w:rsid w:val="00955372"/>
    <w:rsid w:val="009649A8"/>
    <w:rsid w:val="00986EA1"/>
    <w:rsid w:val="009C0BA6"/>
    <w:rsid w:val="009D24B9"/>
    <w:rsid w:val="009E10D9"/>
    <w:rsid w:val="009F7590"/>
    <w:rsid w:val="00A60DC4"/>
    <w:rsid w:val="00A6376A"/>
    <w:rsid w:val="00A71EAC"/>
    <w:rsid w:val="00A80BB9"/>
    <w:rsid w:val="00B661AD"/>
    <w:rsid w:val="00B772E9"/>
    <w:rsid w:val="00BA21D3"/>
    <w:rsid w:val="00BA64DA"/>
    <w:rsid w:val="00C1027C"/>
    <w:rsid w:val="00C120B5"/>
    <w:rsid w:val="00C13AA1"/>
    <w:rsid w:val="00C458DC"/>
    <w:rsid w:val="00C673B7"/>
    <w:rsid w:val="00CE25BD"/>
    <w:rsid w:val="00D14A3F"/>
    <w:rsid w:val="00E04499"/>
    <w:rsid w:val="00E71125"/>
    <w:rsid w:val="00E80B3B"/>
    <w:rsid w:val="00EC5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61EEC"/>
  <w15:docId w15:val="{A5511E30-BA8D-4C93-8568-20C60EC70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519"/>
  </w:style>
  <w:style w:type="paragraph" w:styleId="Heading1">
    <w:name w:val="heading 1"/>
    <w:basedOn w:val="Normal"/>
    <w:next w:val="Normal"/>
    <w:link w:val="Heading1Char"/>
    <w:qFormat/>
    <w:rsid w:val="00735C01"/>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val="en-GB" w:eastAsia="ar-SA"/>
    </w:rPr>
  </w:style>
  <w:style w:type="paragraph" w:styleId="Heading2">
    <w:name w:val="heading 2"/>
    <w:basedOn w:val="Normal"/>
    <w:next w:val="Normal"/>
    <w:link w:val="Heading2Char"/>
    <w:qFormat/>
    <w:rsid w:val="00735C01"/>
    <w:pPr>
      <w:keepNext/>
      <w:keepLines/>
      <w:numPr>
        <w:ilvl w:val="1"/>
        <w:numId w:val="1"/>
      </w:numPr>
      <w:suppressAutoHyphens/>
      <w:spacing w:before="113" w:after="0" w:line="360" w:lineRule="auto"/>
      <w:jc w:val="both"/>
      <w:outlineLvl w:val="1"/>
    </w:pPr>
    <w:rPr>
      <w:rFonts w:ascii="Times New Roman" w:eastAsia="Times New Roman" w:hAnsi="Times New Roman" w:cs="Times New Roman"/>
      <w:bCs/>
      <w:color w:val="000000"/>
      <w:sz w:val="24"/>
      <w:szCs w:val="26"/>
      <w:u w:val="single"/>
      <w:lang w:val="en-GB" w:eastAsia="ar-SA"/>
    </w:rPr>
  </w:style>
  <w:style w:type="paragraph" w:styleId="Heading3">
    <w:name w:val="heading 3"/>
    <w:basedOn w:val="Normal"/>
    <w:next w:val="Normal"/>
    <w:link w:val="Heading3Char"/>
    <w:qFormat/>
    <w:rsid w:val="00735C01"/>
    <w:pPr>
      <w:keepNext/>
      <w:numPr>
        <w:ilvl w:val="2"/>
        <w:numId w:val="1"/>
      </w:numPr>
      <w:suppressAutoHyphens/>
      <w:spacing w:before="240" w:after="120" w:line="360" w:lineRule="auto"/>
      <w:jc w:val="both"/>
      <w:outlineLvl w:val="2"/>
    </w:pPr>
    <w:rPr>
      <w:rFonts w:ascii="Arial" w:eastAsia="Droid Sans" w:hAnsi="Arial" w:cs="DejaVu Sans"/>
      <w:b/>
      <w:bCs/>
      <w:color w:val="000000"/>
      <w:sz w:val="28"/>
      <w:szCs w:val="28"/>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5C01"/>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rsid w:val="00735C01"/>
    <w:rPr>
      <w:rFonts w:ascii="Times New Roman" w:eastAsia="Times New Roman" w:hAnsi="Times New Roman" w:cs="Times New Roman"/>
      <w:bCs/>
      <w:color w:val="000000"/>
      <w:sz w:val="24"/>
      <w:szCs w:val="26"/>
      <w:u w:val="single"/>
      <w:lang w:val="en-GB" w:eastAsia="ar-SA"/>
    </w:rPr>
  </w:style>
  <w:style w:type="character" w:customStyle="1" w:styleId="Heading3Char">
    <w:name w:val="Heading 3 Char"/>
    <w:basedOn w:val="DefaultParagraphFont"/>
    <w:link w:val="Heading3"/>
    <w:rsid w:val="00735C01"/>
    <w:rPr>
      <w:rFonts w:ascii="Arial" w:eastAsia="Droid Sans" w:hAnsi="Arial" w:cs="DejaVu Sans"/>
      <w:b/>
      <w:bCs/>
      <w:color w:val="000000"/>
      <w:sz w:val="28"/>
      <w:szCs w:val="28"/>
      <w:lang w:val="en-GB" w:eastAsia="ar-SA"/>
    </w:rPr>
  </w:style>
  <w:style w:type="paragraph" w:styleId="ListParagraph">
    <w:name w:val="List Paragraph"/>
    <w:basedOn w:val="Normal"/>
    <w:uiPriority w:val="34"/>
    <w:qFormat/>
    <w:rsid w:val="001D02A1"/>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BalloonText">
    <w:name w:val="Balloon Text"/>
    <w:basedOn w:val="Normal"/>
    <w:link w:val="BalloonTextChar"/>
    <w:uiPriority w:val="99"/>
    <w:semiHidden/>
    <w:unhideWhenUsed/>
    <w:rsid w:val="00683E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E58"/>
    <w:rPr>
      <w:rFonts w:ascii="Tahoma" w:hAnsi="Tahoma" w:cs="Tahoma"/>
      <w:sz w:val="16"/>
      <w:szCs w:val="16"/>
    </w:rPr>
  </w:style>
  <w:style w:type="character" w:styleId="Hyperlink">
    <w:name w:val="Hyperlink"/>
    <w:basedOn w:val="DefaultParagraphFont"/>
    <w:uiPriority w:val="99"/>
    <w:unhideWhenUsed/>
    <w:rsid w:val="00A60DC4"/>
    <w:rPr>
      <w:color w:val="0000FF" w:themeColor="hyperlink"/>
      <w:u w:val="single"/>
    </w:rPr>
  </w:style>
  <w:style w:type="paragraph" w:styleId="TOCHeading">
    <w:name w:val="TOC Heading"/>
    <w:basedOn w:val="Heading1"/>
    <w:next w:val="Normal"/>
    <w:uiPriority w:val="39"/>
    <w:semiHidden/>
    <w:unhideWhenUsed/>
    <w:qFormat/>
    <w:rsid w:val="00500612"/>
    <w:pPr>
      <w:numPr>
        <w:numId w:val="0"/>
      </w:numPr>
      <w:suppressAutoHyphens w:val="0"/>
      <w:spacing w:before="48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500612"/>
    <w:pPr>
      <w:spacing w:after="100"/>
    </w:pPr>
  </w:style>
  <w:style w:type="paragraph" w:styleId="TOC2">
    <w:name w:val="toc 2"/>
    <w:basedOn w:val="Normal"/>
    <w:next w:val="Normal"/>
    <w:autoRedefine/>
    <w:uiPriority w:val="39"/>
    <w:unhideWhenUsed/>
    <w:rsid w:val="00500612"/>
    <w:pPr>
      <w:spacing w:after="100"/>
      <w:ind w:left="220"/>
    </w:pPr>
  </w:style>
  <w:style w:type="paragraph" w:styleId="Header">
    <w:name w:val="header"/>
    <w:basedOn w:val="Normal"/>
    <w:link w:val="HeaderChar"/>
    <w:uiPriority w:val="99"/>
    <w:unhideWhenUsed/>
    <w:rsid w:val="007D64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420"/>
  </w:style>
  <w:style w:type="paragraph" w:styleId="Footer">
    <w:name w:val="footer"/>
    <w:basedOn w:val="Normal"/>
    <w:link w:val="FooterChar"/>
    <w:uiPriority w:val="99"/>
    <w:unhideWhenUsed/>
    <w:rsid w:val="007D64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1900F-C78B-43E6-AA63-FD18F0C81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18</Pages>
  <Words>2826</Words>
  <Characters>16111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shruti vijay</dc:creator>
  <cp:lastModifiedBy>corneliu dinica</cp:lastModifiedBy>
  <cp:revision>228</cp:revision>
  <dcterms:created xsi:type="dcterms:W3CDTF">2021-11-22T07:16:00Z</dcterms:created>
  <dcterms:modified xsi:type="dcterms:W3CDTF">2021-11-23T06:51:00Z</dcterms:modified>
</cp:coreProperties>
</file>