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4114E704" w14:textId="77777777" w:rsidR="00871C95" w:rsidRDefault="00871C95" w:rsidP="00871C9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Megan Jones</w:t>
            </w:r>
          </w:p>
          <w:p w14:paraId="59EF65A2" w14:textId="77777777" w:rsidR="00871C95" w:rsidRDefault="00871C95" w:rsidP="00871C95">
            <w:pPr>
              <w:overflowPunct/>
              <w:autoSpaceDE/>
              <w:autoSpaceDN/>
              <w:adjustRightInd/>
              <w:ind w:right="-957"/>
              <w:textAlignment w:val="auto"/>
              <w:rPr>
                <w:rFonts w:ascii="Times New Roman" w:hAnsi="Times New Roman" w:cs="Times New Roman"/>
                <w:b/>
                <w:color w:val="auto"/>
                <w:sz w:val="48"/>
              </w:rPr>
            </w:pPr>
          </w:p>
          <w:p w14:paraId="501AE83E" w14:textId="77777777" w:rsidR="00871C95" w:rsidRDefault="00871C95" w:rsidP="00871C95">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megan.jones@wrexham.gov.uk </w:t>
            </w:r>
          </w:p>
          <w:p w14:paraId="334C7E0C" w14:textId="77777777" w:rsidR="00871C95" w:rsidRDefault="00871C95" w:rsidP="00871C95">
            <w:pPr>
              <w:overflowPunct/>
              <w:autoSpaceDE/>
              <w:autoSpaceDN/>
              <w:adjustRightInd/>
              <w:ind w:right="-957"/>
              <w:textAlignment w:val="auto"/>
              <w:rPr>
                <w:rFonts w:ascii="Times New Roman" w:hAnsi="Times New Roman" w:cs="Times New Roman"/>
                <w:b/>
                <w:color w:val="auto"/>
                <w:sz w:val="48"/>
              </w:rPr>
            </w:pPr>
          </w:p>
          <w:p w14:paraId="188C5EF0" w14:textId="77777777" w:rsidR="00871C95" w:rsidRDefault="00871C95" w:rsidP="00871C95">
            <w:pPr>
              <w:overflowPunct/>
              <w:autoSpaceDE/>
              <w:autoSpaceDN/>
              <w:adjustRightInd/>
              <w:ind w:right="-957"/>
              <w:textAlignment w:val="auto"/>
            </w:pPr>
            <w:r w:rsidRPr="005D3F07">
              <w:rPr>
                <w:rFonts w:ascii="Times New Roman" w:hAnsi="Times New Roman" w:cs="Times New Roman"/>
                <w:b/>
                <w:color w:val="auto"/>
                <w:sz w:val="48"/>
              </w:rPr>
              <w:t>Learner’s University Registration Number:</w:t>
            </w:r>
            <w:r>
              <w:t xml:space="preserve"> </w:t>
            </w:r>
          </w:p>
          <w:p w14:paraId="5C22E917" w14:textId="77777777" w:rsidR="00871C95" w:rsidRPr="005D3F07" w:rsidRDefault="00871C95" w:rsidP="00871C95">
            <w:pPr>
              <w:overflowPunct/>
              <w:autoSpaceDE/>
              <w:autoSpaceDN/>
              <w:adjustRightInd/>
              <w:ind w:right="-957"/>
              <w:textAlignment w:val="auto"/>
              <w:rPr>
                <w:rFonts w:ascii="Times New Roman" w:hAnsi="Times New Roman" w:cs="Times New Roman"/>
                <w:b/>
                <w:color w:val="auto"/>
                <w:sz w:val="48"/>
              </w:rPr>
            </w:pPr>
            <w:r w:rsidRPr="00A87173">
              <w:rPr>
                <w:rFonts w:ascii="Times New Roman" w:hAnsi="Times New Roman" w:cs="Times New Roman"/>
                <w:b/>
                <w:color w:val="auto"/>
                <w:sz w:val="48"/>
              </w:rPr>
              <w:t>2521749</w:t>
            </w:r>
          </w:p>
          <w:p w14:paraId="4254F145" w14:textId="77777777" w:rsidR="00871C95" w:rsidRPr="005D3F07" w:rsidRDefault="00871C95" w:rsidP="00871C95">
            <w:pPr>
              <w:overflowPunct/>
              <w:autoSpaceDE/>
              <w:autoSpaceDN/>
              <w:adjustRightInd/>
              <w:ind w:right="-957"/>
              <w:textAlignment w:val="auto"/>
              <w:rPr>
                <w:rFonts w:ascii="Times New Roman" w:hAnsi="Times New Roman" w:cs="Times New Roman"/>
                <w:b/>
                <w:color w:val="auto"/>
                <w:sz w:val="48"/>
              </w:rPr>
            </w:pPr>
          </w:p>
          <w:p w14:paraId="5F84129B" w14:textId="4FB8BCB5" w:rsidR="0085230E" w:rsidRPr="005D3F07" w:rsidRDefault="00871C95" w:rsidP="00871C95">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245787">
      <w:pP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0D23CEA"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w:t>
      </w:r>
      <w:r w:rsidR="00245787">
        <w:rPr>
          <w:i/>
          <w:iCs/>
          <w:sz w:val="24"/>
          <w:szCs w:val="24"/>
        </w:rPr>
        <w:t xml:space="preserve"> the handbook).</w:t>
      </w:r>
    </w:p>
    <w:p w14:paraId="28A4BB72" w14:textId="77777777" w:rsidR="00CB2AA0" w:rsidRDefault="00CB2AA0"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3F3695" w14:paraId="2E129DEE" w14:textId="77777777" w:rsidTr="7B2CF1A9">
        <w:tc>
          <w:tcPr>
            <w:tcW w:w="10031" w:type="dxa"/>
          </w:tcPr>
          <w:p w14:paraId="4746334A" w14:textId="77777777" w:rsidR="00245787" w:rsidRPr="00245787" w:rsidRDefault="00245787" w:rsidP="00245787">
            <w:pPr>
              <w:spacing w:line="360" w:lineRule="auto"/>
              <w:jc w:val="both"/>
              <w:rPr>
                <w:b/>
                <w:sz w:val="24"/>
                <w:szCs w:val="24"/>
              </w:rPr>
            </w:pPr>
            <w:r w:rsidRPr="00245787">
              <w:rPr>
                <w:b/>
                <w:sz w:val="24"/>
                <w:szCs w:val="24"/>
              </w:rPr>
              <w:t>Question:</w:t>
            </w:r>
          </w:p>
          <w:p w14:paraId="6B2A77F2" w14:textId="77777777" w:rsidR="00245787" w:rsidRPr="00245787" w:rsidRDefault="00245787" w:rsidP="00245787">
            <w:pPr>
              <w:spacing w:line="360" w:lineRule="auto"/>
              <w:jc w:val="both"/>
              <w:rPr>
                <w:b/>
                <w:sz w:val="24"/>
                <w:szCs w:val="24"/>
              </w:rPr>
            </w:pPr>
            <w:r w:rsidRPr="00245787">
              <w:rPr>
                <w:b/>
                <w:sz w:val="24"/>
                <w:szCs w:val="24"/>
              </w:rPr>
              <w:t xml:space="preserve">Complete a critically reflective case study based on an assessment that you have undertaken with others, in your own area of work, concerning the safeguarding of either an adult or a child. You must demonstrate how the case relates to or could relate to safeguarding legislation, policies, strategies and procedures (including demonstrating an understanding of the interface between social services provision in Wales with the United Kingdom, the European Union (EU) and outside the EU).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14:paraId="5748657D" w14:textId="77777777" w:rsidR="00245787" w:rsidRPr="00245787" w:rsidRDefault="00245787" w:rsidP="00245787">
            <w:pPr>
              <w:spacing w:line="360" w:lineRule="auto"/>
              <w:jc w:val="both"/>
              <w:rPr>
                <w:b/>
                <w:sz w:val="24"/>
                <w:szCs w:val="24"/>
              </w:rPr>
            </w:pPr>
          </w:p>
          <w:p w14:paraId="0F6A5FE1" w14:textId="77777777" w:rsidR="00245787" w:rsidRPr="00245787" w:rsidRDefault="00245787" w:rsidP="00245787">
            <w:pPr>
              <w:spacing w:line="360" w:lineRule="auto"/>
              <w:jc w:val="both"/>
              <w:rPr>
                <w:b/>
                <w:sz w:val="24"/>
                <w:szCs w:val="24"/>
              </w:rPr>
            </w:pPr>
            <w:r w:rsidRPr="00245787">
              <w:rPr>
                <w:b/>
                <w:sz w:val="24"/>
                <w:szCs w:val="24"/>
              </w:rPr>
              <w:t>4000 words (+/- 10%: include your actual word count at the end of each section).</w:t>
            </w:r>
          </w:p>
          <w:p w14:paraId="7EECEAB0" w14:textId="77777777" w:rsidR="00245787" w:rsidRPr="00245787" w:rsidRDefault="00245787" w:rsidP="00245787">
            <w:pPr>
              <w:spacing w:line="360" w:lineRule="auto"/>
              <w:jc w:val="both"/>
              <w:rPr>
                <w:b/>
                <w:sz w:val="24"/>
                <w:szCs w:val="24"/>
              </w:rPr>
            </w:pPr>
          </w:p>
          <w:p w14:paraId="61F46BBB" w14:textId="77777777" w:rsidR="00245787" w:rsidRPr="00245787" w:rsidRDefault="00245787" w:rsidP="00245787">
            <w:pPr>
              <w:spacing w:line="360" w:lineRule="auto"/>
              <w:jc w:val="both"/>
              <w:rPr>
                <w:bCs/>
                <w:sz w:val="24"/>
                <w:szCs w:val="24"/>
              </w:rPr>
            </w:pPr>
            <w:r w:rsidRPr="00245787">
              <w:rPr>
                <w:bCs/>
                <w:sz w:val="24"/>
                <w:szCs w:val="24"/>
              </w:rPr>
              <w:t>1. Introduction and Case Context</w:t>
            </w:r>
          </w:p>
          <w:p w14:paraId="78D5C045" w14:textId="77777777" w:rsidR="00245787" w:rsidRPr="00245787" w:rsidRDefault="00245787" w:rsidP="00245787">
            <w:pPr>
              <w:spacing w:line="360" w:lineRule="auto"/>
              <w:jc w:val="both"/>
              <w:rPr>
                <w:bCs/>
                <w:sz w:val="24"/>
                <w:szCs w:val="24"/>
              </w:rPr>
            </w:pPr>
            <w:r w:rsidRPr="00245787">
              <w:rPr>
                <w:bCs/>
                <w:sz w:val="24"/>
                <w:szCs w:val="24"/>
              </w:rPr>
              <w:t>This case study critically examines my involvement in safeguarding and assessing a preadolescent secondary school aged child referred to throughout as Child 2, who presented with complex emotional, behavioural and relational needs. The case required me to make professional judgements within a context of conflicting information, changing placement options and differing professional perspectives regarding the nature and level of Child 2's needs. To preserve confidentiality, identifying information has been anonymised.</w:t>
            </w:r>
          </w:p>
          <w:p w14:paraId="3B3E0104" w14:textId="77777777" w:rsidR="00245787" w:rsidRPr="00245787" w:rsidRDefault="00245787" w:rsidP="00245787">
            <w:pPr>
              <w:spacing w:line="360" w:lineRule="auto"/>
              <w:jc w:val="both"/>
              <w:rPr>
                <w:bCs/>
                <w:sz w:val="24"/>
                <w:szCs w:val="24"/>
              </w:rPr>
            </w:pPr>
          </w:p>
          <w:p w14:paraId="54B9CA4C" w14:textId="77777777" w:rsidR="00245787" w:rsidRPr="00245787" w:rsidRDefault="00245787" w:rsidP="00245787">
            <w:pPr>
              <w:spacing w:line="360" w:lineRule="auto"/>
              <w:jc w:val="both"/>
              <w:rPr>
                <w:bCs/>
                <w:sz w:val="24"/>
                <w:szCs w:val="24"/>
              </w:rPr>
            </w:pPr>
            <w:r w:rsidRPr="00245787">
              <w:rPr>
                <w:bCs/>
                <w:sz w:val="24"/>
                <w:szCs w:val="24"/>
              </w:rPr>
              <w:t xml:space="preserve">I was allocated to Child 2 while they were in hospital following allegations of physical and emotional abuse and neglect against Parent 1. Child 2 was clear that they did not want to </w:t>
            </w:r>
            <w:r w:rsidRPr="00245787">
              <w:rPr>
                <w:bCs/>
                <w:sz w:val="24"/>
                <w:szCs w:val="24"/>
              </w:rPr>
              <w:lastRenderedPageBreak/>
              <w:t>return home and wanted to remain with a wider family member. A temporary family placement was explored and attempted but subsequently broke down following difficulties around boundaries and expectations within the household and further allegations regarding the wider family member's care.</w:t>
            </w:r>
          </w:p>
          <w:p w14:paraId="7692A943" w14:textId="77777777" w:rsidR="00245787" w:rsidRPr="00245787" w:rsidRDefault="00245787" w:rsidP="00245787">
            <w:pPr>
              <w:spacing w:line="360" w:lineRule="auto"/>
              <w:jc w:val="both"/>
              <w:rPr>
                <w:bCs/>
                <w:sz w:val="24"/>
                <w:szCs w:val="24"/>
              </w:rPr>
            </w:pPr>
          </w:p>
          <w:p w14:paraId="73745F81" w14:textId="77777777" w:rsidR="00245787" w:rsidRPr="00245787" w:rsidRDefault="00245787" w:rsidP="00245787">
            <w:pPr>
              <w:spacing w:line="360" w:lineRule="auto"/>
              <w:jc w:val="both"/>
              <w:rPr>
                <w:bCs/>
                <w:sz w:val="24"/>
                <w:szCs w:val="24"/>
              </w:rPr>
            </w:pPr>
            <w:r w:rsidRPr="00245787">
              <w:rPr>
                <w:bCs/>
                <w:sz w:val="24"/>
                <w:szCs w:val="24"/>
              </w:rPr>
              <w:t>A Section 47 enquiry under the Children Act 1989 was undertaken in relation to the allegations Child 2 made regarding Parent 1. Information was gathered from Child 2, siblings, family members and professionals. Child 2's accounts varied at times, siblings did not corroborate the allegations and professionals had not identified corresponding safeguarding concerns. Child 2 also described medical neglect; however, records demonstrated that appointments had been attended with both parents. On the basis of the evidence available, the enquiries did not identify sufficient evidence to substantiate the allegations against Parent 1.</w:t>
            </w:r>
          </w:p>
          <w:p w14:paraId="5280D4EB" w14:textId="77777777" w:rsidR="00245787" w:rsidRPr="00245787" w:rsidRDefault="00245787" w:rsidP="00245787">
            <w:pPr>
              <w:spacing w:line="360" w:lineRule="auto"/>
              <w:jc w:val="both"/>
              <w:rPr>
                <w:bCs/>
                <w:sz w:val="24"/>
                <w:szCs w:val="24"/>
              </w:rPr>
            </w:pPr>
          </w:p>
          <w:p w14:paraId="33751B5B" w14:textId="77777777" w:rsidR="00245787" w:rsidRPr="00245787" w:rsidRDefault="00245787" w:rsidP="00245787">
            <w:pPr>
              <w:spacing w:line="360" w:lineRule="auto"/>
              <w:jc w:val="both"/>
              <w:rPr>
                <w:bCs/>
                <w:sz w:val="24"/>
                <w:szCs w:val="24"/>
              </w:rPr>
            </w:pPr>
            <w:r w:rsidRPr="00245787">
              <w:rPr>
                <w:bCs/>
                <w:sz w:val="24"/>
                <w:szCs w:val="24"/>
              </w:rPr>
              <w:t>This outcome did not resolve Child 2's circumstances. They continued to refuse to return home and stated that they would rather die than do so. Parent 1 initially wanted Child 2 to return home but later stated that they did not feel able to safely manage the return due to threats of harm to self and others. Child 2 expressed suicidal thoughts and there were incidents of self-harm. CAMHS assessed that Child 2 did not meet the threshold for Tier 4 intervention and understood aspects of the presentation as behavioural in nature, while hospital colleagues considered continued admission clinically inappropriate.</w:t>
            </w:r>
          </w:p>
          <w:p w14:paraId="2EA73FB0" w14:textId="77777777" w:rsidR="00245787" w:rsidRPr="00245787" w:rsidRDefault="00245787" w:rsidP="00245787">
            <w:pPr>
              <w:spacing w:line="360" w:lineRule="auto"/>
              <w:jc w:val="both"/>
              <w:rPr>
                <w:bCs/>
                <w:sz w:val="24"/>
                <w:szCs w:val="24"/>
              </w:rPr>
            </w:pPr>
          </w:p>
          <w:p w14:paraId="6142FD4E" w14:textId="77777777" w:rsidR="00245787" w:rsidRPr="00245787" w:rsidRDefault="00245787" w:rsidP="00245787">
            <w:pPr>
              <w:spacing w:line="360" w:lineRule="auto"/>
              <w:jc w:val="both"/>
              <w:rPr>
                <w:bCs/>
                <w:sz w:val="24"/>
                <w:szCs w:val="24"/>
              </w:rPr>
            </w:pPr>
            <w:r w:rsidRPr="00245787">
              <w:rPr>
                <w:bCs/>
                <w:sz w:val="24"/>
                <w:szCs w:val="24"/>
              </w:rPr>
              <w:t>This created a situation where individual professional assessments could each be reasonable but did not provide a solution in isolation. My role was to integrate Child 2's voice, the evidence regarding the allegations, family relationships, risk, parental capacity and professional assessments to determine a safe and proportionate plan.</w:t>
            </w:r>
          </w:p>
          <w:p w14:paraId="61FC8648" w14:textId="77777777" w:rsidR="00245787" w:rsidRPr="00245787" w:rsidRDefault="00245787" w:rsidP="00245787">
            <w:pPr>
              <w:spacing w:line="360" w:lineRule="auto"/>
              <w:jc w:val="both"/>
              <w:rPr>
                <w:bCs/>
                <w:sz w:val="24"/>
                <w:szCs w:val="24"/>
              </w:rPr>
            </w:pPr>
          </w:p>
          <w:p w14:paraId="2FB8560B" w14:textId="77777777" w:rsidR="00245787" w:rsidRPr="00245787" w:rsidRDefault="00245787" w:rsidP="00245787">
            <w:pPr>
              <w:spacing w:line="360" w:lineRule="auto"/>
              <w:jc w:val="both"/>
              <w:rPr>
                <w:bCs/>
                <w:sz w:val="24"/>
                <w:szCs w:val="24"/>
              </w:rPr>
            </w:pPr>
            <w:r w:rsidRPr="00245787">
              <w:rPr>
                <w:bCs/>
                <w:sz w:val="24"/>
                <w:szCs w:val="24"/>
              </w:rPr>
              <w:t>2. Legislative, Policy and Practice Framework</w:t>
            </w:r>
          </w:p>
          <w:p w14:paraId="4DC9AE53" w14:textId="77777777" w:rsidR="00245787" w:rsidRPr="00245787" w:rsidRDefault="00245787" w:rsidP="00245787">
            <w:pPr>
              <w:spacing w:line="360" w:lineRule="auto"/>
              <w:jc w:val="both"/>
              <w:rPr>
                <w:bCs/>
                <w:sz w:val="24"/>
                <w:szCs w:val="24"/>
              </w:rPr>
            </w:pPr>
            <w:r w:rsidRPr="00245787">
              <w:rPr>
                <w:bCs/>
                <w:sz w:val="24"/>
                <w:szCs w:val="24"/>
              </w:rPr>
              <w:t xml:space="preserve">Practice was primarily managed by the Welsh social care and safeguarding framework. The Social Services and Well-being (Wales) Act 2014 places duties on practitioners to promote well-being and, as far as reasonably practicable, ascertain and have regard to an individual's views, wishes and feelings. Section 7 also requires those exercising relevant functions in </w:t>
            </w:r>
            <w:r w:rsidRPr="00245787">
              <w:rPr>
                <w:bCs/>
                <w:sz w:val="24"/>
                <w:szCs w:val="24"/>
              </w:rPr>
              <w:lastRenderedPageBreak/>
              <w:t>relation to children to have due regard to Part 1 of the United Nations Convention on the Rights of the Child (UNCRC).</w:t>
            </w:r>
          </w:p>
          <w:p w14:paraId="4D31872F" w14:textId="77777777" w:rsidR="00245787" w:rsidRPr="00245787" w:rsidRDefault="00245787" w:rsidP="00245787">
            <w:pPr>
              <w:spacing w:line="360" w:lineRule="auto"/>
              <w:jc w:val="both"/>
              <w:rPr>
                <w:bCs/>
                <w:sz w:val="24"/>
                <w:szCs w:val="24"/>
              </w:rPr>
            </w:pPr>
          </w:p>
          <w:p w14:paraId="001BF889" w14:textId="77777777" w:rsidR="00245787" w:rsidRPr="00245787" w:rsidRDefault="00245787" w:rsidP="00245787">
            <w:pPr>
              <w:spacing w:line="360" w:lineRule="auto"/>
              <w:jc w:val="both"/>
              <w:rPr>
                <w:bCs/>
                <w:sz w:val="24"/>
                <w:szCs w:val="24"/>
              </w:rPr>
            </w:pPr>
            <w:r w:rsidRPr="00245787">
              <w:rPr>
                <w:bCs/>
                <w:sz w:val="24"/>
                <w:szCs w:val="24"/>
              </w:rPr>
              <w:t>Section 47 of the Children Act 1989 remains relevant in Wales and requires a local authority to make enquiries where it has reasonable cause to suspect that a child is suffering, or is likely to suffer, significant harm. The legislation also requires, where reasonably practicable and consistent with the child's welfare, their wishes and feelings to be ascertained and considered fully according to their age and understanding (Children Act 1989).</w:t>
            </w:r>
          </w:p>
          <w:p w14:paraId="4C1A46CF" w14:textId="77777777" w:rsidR="00245787" w:rsidRPr="00245787" w:rsidRDefault="00245787" w:rsidP="00245787">
            <w:pPr>
              <w:spacing w:line="360" w:lineRule="auto"/>
              <w:jc w:val="both"/>
              <w:rPr>
                <w:bCs/>
                <w:sz w:val="24"/>
                <w:szCs w:val="24"/>
              </w:rPr>
            </w:pPr>
          </w:p>
          <w:p w14:paraId="271B3F08" w14:textId="77777777" w:rsidR="00245787" w:rsidRPr="00245787" w:rsidRDefault="00245787" w:rsidP="00245787">
            <w:pPr>
              <w:spacing w:line="360" w:lineRule="auto"/>
              <w:jc w:val="both"/>
              <w:rPr>
                <w:bCs/>
                <w:sz w:val="24"/>
                <w:szCs w:val="24"/>
              </w:rPr>
            </w:pPr>
            <w:r w:rsidRPr="00245787">
              <w:rPr>
                <w:bCs/>
                <w:sz w:val="24"/>
                <w:szCs w:val="24"/>
              </w:rPr>
              <w:t>This was important because I had to avoid reaching one of two overly simple conclusions: either that Child 2's allegations should be accepted without further assessment because they represented Child 2's account, or that inconsistencies and a lack of corroboration meant their experiences could be dismissed. My role was to investigate the concerns, establish what could be evidenced and remain curious about what remained uncertain.</w:t>
            </w:r>
          </w:p>
          <w:p w14:paraId="5B4DD0E0" w14:textId="77777777" w:rsidR="00245787" w:rsidRPr="00245787" w:rsidRDefault="00245787" w:rsidP="00245787">
            <w:pPr>
              <w:spacing w:line="360" w:lineRule="auto"/>
              <w:jc w:val="both"/>
              <w:rPr>
                <w:bCs/>
                <w:sz w:val="24"/>
                <w:szCs w:val="24"/>
              </w:rPr>
            </w:pPr>
          </w:p>
          <w:p w14:paraId="5352F957" w14:textId="77777777" w:rsidR="00245787" w:rsidRPr="00245787" w:rsidRDefault="00245787" w:rsidP="00245787">
            <w:pPr>
              <w:spacing w:line="360" w:lineRule="auto"/>
              <w:jc w:val="both"/>
              <w:rPr>
                <w:bCs/>
                <w:sz w:val="24"/>
                <w:szCs w:val="24"/>
              </w:rPr>
            </w:pPr>
            <w:r w:rsidRPr="00245787">
              <w:rPr>
                <w:bCs/>
                <w:sz w:val="24"/>
                <w:szCs w:val="24"/>
              </w:rPr>
              <w:t>Working Together to Safeguard People: Volume 5 provides statutory guidance for handling individual cases involving children at risk in Wales and emphasises collaboration, clarity of professional roles, information sharing and the involvement of children and families (Welsh Government, 2018). This reflected the reality of this case because no individual agency held enough information to understand the whole situation.</w:t>
            </w:r>
          </w:p>
          <w:p w14:paraId="313461E3" w14:textId="77777777" w:rsidR="00245787" w:rsidRPr="00245787" w:rsidRDefault="00245787" w:rsidP="00245787">
            <w:pPr>
              <w:spacing w:line="360" w:lineRule="auto"/>
              <w:jc w:val="both"/>
              <w:rPr>
                <w:bCs/>
                <w:sz w:val="24"/>
                <w:szCs w:val="24"/>
              </w:rPr>
            </w:pPr>
          </w:p>
          <w:p w14:paraId="419C0ECB" w14:textId="77777777" w:rsidR="00245787" w:rsidRPr="00245787" w:rsidRDefault="00245787" w:rsidP="00245787">
            <w:pPr>
              <w:spacing w:line="360" w:lineRule="auto"/>
              <w:jc w:val="both"/>
              <w:rPr>
                <w:bCs/>
                <w:sz w:val="24"/>
                <w:szCs w:val="24"/>
              </w:rPr>
            </w:pPr>
            <w:r w:rsidRPr="00245787">
              <w:rPr>
                <w:bCs/>
                <w:sz w:val="24"/>
                <w:szCs w:val="24"/>
              </w:rPr>
              <w:t>The outcome of the Section 47 enquiry reinforced the distinction between evidencing significant harm and assessing ongoing need. Although the allegations were not substantiated, this did not determine what Child 2 needed next. Maintaining this distinction became central to my professional judgement.</w:t>
            </w:r>
          </w:p>
          <w:p w14:paraId="1AF0469C" w14:textId="77777777" w:rsidR="00245787" w:rsidRPr="00245787" w:rsidRDefault="00245787" w:rsidP="00245787">
            <w:pPr>
              <w:spacing w:line="360" w:lineRule="auto"/>
              <w:jc w:val="both"/>
              <w:rPr>
                <w:bCs/>
                <w:sz w:val="24"/>
                <w:szCs w:val="24"/>
              </w:rPr>
            </w:pPr>
          </w:p>
          <w:p w14:paraId="0ED17F61" w14:textId="77777777" w:rsidR="00245787" w:rsidRPr="00245787" w:rsidRDefault="00245787" w:rsidP="00245787">
            <w:pPr>
              <w:spacing w:line="360" w:lineRule="auto"/>
              <w:jc w:val="both"/>
              <w:rPr>
                <w:bCs/>
                <w:sz w:val="24"/>
                <w:szCs w:val="24"/>
              </w:rPr>
            </w:pPr>
            <w:r w:rsidRPr="00245787">
              <w:rPr>
                <w:bCs/>
                <w:sz w:val="24"/>
                <w:szCs w:val="24"/>
              </w:rPr>
              <w:t xml:space="preserve">Child 2's voice remained central. They consistently said they did not want to return home and wanted residential care. Section 6 of the Social Services and Well-being (Wales) Act 2014 supported my responsibility to ascertain and consider those wishes, but it did not remove my responsibility to analyse them alongside risk, evidence and parental capacity. I therefore tried </w:t>
            </w:r>
            <w:r w:rsidRPr="00245787">
              <w:rPr>
                <w:bCs/>
                <w:sz w:val="24"/>
                <w:szCs w:val="24"/>
              </w:rPr>
              <w:lastRenderedPageBreak/>
              <w:t>to understand not only what Child 2 wanted, but why residential care had become so important to them.</w:t>
            </w:r>
          </w:p>
          <w:p w14:paraId="16106244" w14:textId="77777777" w:rsidR="00245787" w:rsidRPr="00245787" w:rsidRDefault="00245787" w:rsidP="00245787">
            <w:pPr>
              <w:spacing w:line="360" w:lineRule="auto"/>
              <w:jc w:val="both"/>
              <w:rPr>
                <w:bCs/>
                <w:sz w:val="24"/>
                <w:szCs w:val="24"/>
              </w:rPr>
            </w:pPr>
          </w:p>
          <w:p w14:paraId="0D967CC2" w14:textId="77777777" w:rsidR="00245787" w:rsidRPr="00245787" w:rsidRDefault="00245787" w:rsidP="00245787">
            <w:pPr>
              <w:spacing w:line="360" w:lineRule="auto"/>
              <w:jc w:val="both"/>
              <w:rPr>
                <w:bCs/>
                <w:sz w:val="24"/>
                <w:szCs w:val="24"/>
              </w:rPr>
            </w:pPr>
            <w:r w:rsidRPr="00245787">
              <w:rPr>
                <w:bCs/>
                <w:sz w:val="24"/>
                <w:szCs w:val="24"/>
              </w:rPr>
              <w:t>Child 2's language preference was also considered. English was their preferred language, but I offered the opportunity to communicate in Welsh in line with the Active Offer. More than Just Words establishes an expectation that Welsh-language health and social care services are actively offered rather than relying on individuals to request them (Welsh Government, 2022). This reminded me that language and culture form part of person-centred assessment even where an individual ultimately chooses English.</w:t>
            </w:r>
          </w:p>
          <w:p w14:paraId="613CDED7" w14:textId="77777777" w:rsidR="00245787" w:rsidRPr="00245787" w:rsidRDefault="00245787" w:rsidP="00245787">
            <w:pPr>
              <w:spacing w:line="360" w:lineRule="auto"/>
              <w:jc w:val="both"/>
              <w:rPr>
                <w:bCs/>
                <w:sz w:val="24"/>
                <w:szCs w:val="24"/>
              </w:rPr>
            </w:pPr>
          </w:p>
          <w:p w14:paraId="773DB911" w14:textId="77777777" w:rsidR="00245787" w:rsidRPr="00245787" w:rsidRDefault="00245787" w:rsidP="00245787">
            <w:pPr>
              <w:spacing w:line="360" w:lineRule="auto"/>
              <w:jc w:val="both"/>
              <w:rPr>
                <w:bCs/>
                <w:sz w:val="24"/>
                <w:szCs w:val="24"/>
              </w:rPr>
            </w:pPr>
            <w:r w:rsidRPr="00245787">
              <w:rPr>
                <w:bCs/>
                <w:sz w:val="24"/>
                <w:szCs w:val="24"/>
              </w:rPr>
              <w:t>Human rights were also relevant. Article 8 of the European Convention on Human Rights, given effect domestically through the Human Rights Act 1998, protects private and family life. A child being accommodated away from their parent is therefore a significant intervention requiring lawful and proportionate decision-making. The UNCRC provided a wider international framework, particularly Article 12 regarding children's participation and Article 3 regarding their best interests.</w:t>
            </w:r>
          </w:p>
          <w:p w14:paraId="15F1AEA6" w14:textId="77777777" w:rsidR="00245787" w:rsidRPr="00245787" w:rsidRDefault="00245787" w:rsidP="00245787">
            <w:pPr>
              <w:spacing w:line="360" w:lineRule="auto"/>
              <w:jc w:val="both"/>
              <w:rPr>
                <w:bCs/>
                <w:sz w:val="24"/>
                <w:szCs w:val="24"/>
              </w:rPr>
            </w:pPr>
          </w:p>
          <w:p w14:paraId="73C5D850" w14:textId="77777777" w:rsidR="00245787" w:rsidRPr="00245787" w:rsidRDefault="00245787" w:rsidP="00245787">
            <w:pPr>
              <w:spacing w:line="360" w:lineRule="auto"/>
              <w:jc w:val="both"/>
              <w:rPr>
                <w:bCs/>
                <w:sz w:val="24"/>
                <w:szCs w:val="24"/>
              </w:rPr>
            </w:pPr>
            <w:r w:rsidRPr="00245787">
              <w:rPr>
                <w:bCs/>
                <w:sz w:val="24"/>
                <w:szCs w:val="24"/>
              </w:rPr>
              <w:t>This case highlighted how Welsh, UK, European and international legal and policy frameworks influenced practice and decision-making. Social care is devolved and my day-to-day statutory framework was primarily Welsh alongside relevant England-and-Wales legislation such as the Children Act 1989. The ECHR is a Council of Europe convention rather than European Union law, while the UNCRC is an international United Nations treaty. Recognising these distinctions strengthened my understanding of how different legal and rights frameworks influence Welsh social work practice.</w:t>
            </w:r>
          </w:p>
          <w:p w14:paraId="0808763E" w14:textId="77777777" w:rsidR="00245787" w:rsidRPr="00245787" w:rsidRDefault="00245787" w:rsidP="00245787">
            <w:pPr>
              <w:spacing w:line="360" w:lineRule="auto"/>
              <w:jc w:val="both"/>
              <w:rPr>
                <w:bCs/>
                <w:sz w:val="24"/>
                <w:szCs w:val="24"/>
              </w:rPr>
            </w:pPr>
          </w:p>
          <w:p w14:paraId="47ACE1B2" w14:textId="77777777" w:rsidR="00245787" w:rsidRPr="00245787" w:rsidRDefault="00245787" w:rsidP="00245787">
            <w:pPr>
              <w:spacing w:line="360" w:lineRule="auto"/>
              <w:jc w:val="both"/>
              <w:rPr>
                <w:bCs/>
                <w:sz w:val="24"/>
                <w:szCs w:val="24"/>
              </w:rPr>
            </w:pPr>
            <w:r w:rsidRPr="00245787">
              <w:rPr>
                <w:bCs/>
                <w:sz w:val="24"/>
                <w:szCs w:val="24"/>
              </w:rPr>
              <w:t>3. Assessment, Analysis and Professional Judgement</w:t>
            </w:r>
          </w:p>
          <w:p w14:paraId="4E5B33D8" w14:textId="77777777" w:rsidR="00245787" w:rsidRPr="00245787" w:rsidRDefault="00245787" w:rsidP="00245787">
            <w:pPr>
              <w:spacing w:line="360" w:lineRule="auto"/>
              <w:jc w:val="both"/>
              <w:rPr>
                <w:bCs/>
                <w:sz w:val="24"/>
                <w:szCs w:val="24"/>
              </w:rPr>
            </w:pPr>
            <w:r w:rsidRPr="00245787">
              <w:rPr>
                <w:bCs/>
                <w:sz w:val="24"/>
                <w:szCs w:val="24"/>
              </w:rPr>
              <w:t>The greatest challenge was that there was no single explanation for Child 2's presentation and no immediately achievable solution. I therefore had to move beyond collecting information towards analysing what different pieces of information meant when considered together.</w:t>
            </w:r>
          </w:p>
          <w:p w14:paraId="1BE0B891" w14:textId="77777777" w:rsidR="00245787" w:rsidRPr="00245787" w:rsidRDefault="00245787" w:rsidP="00245787">
            <w:pPr>
              <w:spacing w:line="360" w:lineRule="auto"/>
              <w:jc w:val="both"/>
              <w:rPr>
                <w:bCs/>
                <w:sz w:val="24"/>
                <w:szCs w:val="24"/>
              </w:rPr>
            </w:pPr>
          </w:p>
          <w:p w14:paraId="17155703" w14:textId="77777777" w:rsidR="00245787" w:rsidRPr="00245787" w:rsidRDefault="00245787" w:rsidP="00245787">
            <w:pPr>
              <w:spacing w:line="360" w:lineRule="auto"/>
              <w:jc w:val="both"/>
              <w:rPr>
                <w:bCs/>
                <w:sz w:val="24"/>
                <w:szCs w:val="24"/>
              </w:rPr>
            </w:pPr>
            <w:r w:rsidRPr="00245787">
              <w:rPr>
                <w:bCs/>
                <w:sz w:val="24"/>
                <w:szCs w:val="24"/>
              </w:rPr>
              <w:lastRenderedPageBreak/>
              <w:t>When Child 2 disclosed abuse and neglect, I treated their account seriously. As siblings also lived at home, I needed to consider whether they might also be at risk. However, assessment required me to test rather than simply repeat information. I spoke with family members and professionals and reviewed documentary evidence. When Child 2 raised concerns regarding medical neglect, for example, I checked attendance information with health colleagues rather than assuming either Child 2's or their parent's account was correct.</w:t>
            </w:r>
          </w:p>
          <w:p w14:paraId="28B7DABE" w14:textId="77777777" w:rsidR="00245787" w:rsidRPr="00245787" w:rsidRDefault="00245787" w:rsidP="00245787">
            <w:pPr>
              <w:spacing w:line="360" w:lineRule="auto"/>
              <w:jc w:val="both"/>
              <w:rPr>
                <w:bCs/>
                <w:sz w:val="24"/>
                <w:szCs w:val="24"/>
              </w:rPr>
            </w:pPr>
          </w:p>
          <w:p w14:paraId="304F7DE5" w14:textId="77777777" w:rsidR="00245787" w:rsidRPr="00245787" w:rsidRDefault="00245787" w:rsidP="00245787">
            <w:pPr>
              <w:spacing w:line="360" w:lineRule="auto"/>
              <w:jc w:val="both"/>
              <w:rPr>
                <w:bCs/>
                <w:sz w:val="24"/>
                <w:szCs w:val="24"/>
              </w:rPr>
            </w:pPr>
            <w:r w:rsidRPr="00245787">
              <w:rPr>
                <w:bCs/>
                <w:sz w:val="24"/>
                <w:szCs w:val="24"/>
              </w:rPr>
              <w:t>The differences within the information available were difficult to navigate. I did not want variations within Child 2's accounts to result in their experiences being dismissed, but neither could I ignore evidence that did not support particular allegations. I became increasingly aware that my role was not to make a simplistic judgement about Child 2's credibility. It was to establish what could be evidenced, identify what remained uncertain and consider what Child 2's presentation might tell me about their needs regardless of whether every allegation could be substantiated.</w:t>
            </w:r>
          </w:p>
          <w:p w14:paraId="749D8FFB" w14:textId="77777777" w:rsidR="00245787" w:rsidRPr="00245787" w:rsidRDefault="00245787" w:rsidP="00245787">
            <w:pPr>
              <w:spacing w:line="360" w:lineRule="auto"/>
              <w:jc w:val="both"/>
              <w:rPr>
                <w:bCs/>
                <w:sz w:val="24"/>
                <w:szCs w:val="24"/>
              </w:rPr>
            </w:pPr>
          </w:p>
          <w:p w14:paraId="5BA98F8F" w14:textId="77777777" w:rsidR="00245787" w:rsidRPr="00245787" w:rsidRDefault="00245787" w:rsidP="00245787">
            <w:pPr>
              <w:spacing w:line="360" w:lineRule="auto"/>
              <w:jc w:val="both"/>
              <w:rPr>
                <w:bCs/>
                <w:sz w:val="24"/>
                <w:szCs w:val="24"/>
              </w:rPr>
            </w:pPr>
            <w:r w:rsidRPr="00245787">
              <w:rPr>
                <w:bCs/>
                <w:sz w:val="24"/>
                <w:szCs w:val="24"/>
              </w:rPr>
              <w:t>This reflects Harnett's (2024) discussion of uncertainty in child-protection decision-making. Harnett argues that complex child-protection decisions often involve uncertainty that cannot simply be removed through increasingly precise attempts to predict risk. This fitted my experience. Gathering more information was necessary, but some uncertainty remained. I learned that uncertainty did not mean the assessment was inadequate; it meant being explicit about what was known, unknown and how I had reached my judgement.</w:t>
            </w:r>
          </w:p>
          <w:p w14:paraId="12F55910" w14:textId="77777777" w:rsidR="00245787" w:rsidRPr="00245787" w:rsidRDefault="00245787" w:rsidP="00245787">
            <w:pPr>
              <w:spacing w:line="360" w:lineRule="auto"/>
              <w:jc w:val="both"/>
              <w:rPr>
                <w:bCs/>
                <w:sz w:val="24"/>
                <w:szCs w:val="24"/>
              </w:rPr>
            </w:pPr>
          </w:p>
          <w:p w14:paraId="696674CE" w14:textId="77777777" w:rsidR="00245787" w:rsidRPr="00245787" w:rsidRDefault="00245787" w:rsidP="00245787">
            <w:pPr>
              <w:spacing w:line="360" w:lineRule="auto"/>
              <w:jc w:val="both"/>
              <w:rPr>
                <w:bCs/>
                <w:sz w:val="24"/>
                <w:szCs w:val="24"/>
              </w:rPr>
            </w:pPr>
            <w:r w:rsidRPr="00245787">
              <w:rPr>
                <w:bCs/>
                <w:sz w:val="24"/>
                <w:szCs w:val="24"/>
              </w:rPr>
              <w:t>My assessment of Parent 1 also developed. Initially they were primarily positioned within the safeguarding process as the person against whom allegations had been made. However, as the case progressed, I also needed to understand them as a parent trying to manage needs and behaviours that they increasingly felt unable to safely manage. Parent 1 initially wanted Child 2 home but later said they could not manage the risks associated with their return. Taking Parent 1’s account seriously did not mean losing focus on Child 2; it gave me further evidence about whether a return home was realistically sustainable.</w:t>
            </w:r>
          </w:p>
          <w:p w14:paraId="1A9BF34E" w14:textId="77777777" w:rsidR="00245787" w:rsidRPr="00245787" w:rsidRDefault="00245787" w:rsidP="00245787">
            <w:pPr>
              <w:spacing w:line="360" w:lineRule="auto"/>
              <w:jc w:val="both"/>
              <w:rPr>
                <w:bCs/>
                <w:sz w:val="24"/>
                <w:szCs w:val="24"/>
              </w:rPr>
            </w:pPr>
          </w:p>
          <w:p w14:paraId="6BD1C376" w14:textId="77777777" w:rsidR="00245787" w:rsidRPr="00245787" w:rsidRDefault="00245787" w:rsidP="00245787">
            <w:pPr>
              <w:spacing w:line="360" w:lineRule="auto"/>
              <w:jc w:val="both"/>
              <w:rPr>
                <w:bCs/>
                <w:sz w:val="24"/>
                <w:szCs w:val="24"/>
              </w:rPr>
            </w:pPr>
            <w:r w:rsidRPr="00245787">
              <w:rPr>
                <w:bCs/>
                <w:sz w:val="24"/>
                <w:szCs w:val="24"/>
              </w:rPr>
              <w:lastRenderedPageBreak/>
              <w:t>Child 2's wishes were particularly difficult to balance. During one-to-one and craft-based sessions they engaged well with me and clearly communicated that they hated being at home, would rather die than return and wanted residential care. I could not dismiss these statements because other evidence did not substantiate the allegations of abuse. Equally, listening to Child 2 did not mean promising the placement they requested.</w:t>
            </w:r>
          </w:p>
          <w:p w14:paraId="694474AF" w14:textId="77777777" w:rsidR="00245787" w:rsidRPr="00245787" w:rsidRDefault="00245787" w:rsidP="00245787">
            <w:pPr>
              <w:spacing w:line="360" w:lineRule="auto"/>
              <w:jc w:val="both"/>
              <w:rPr>
                <w:bCs/>
                <w:sz w:val="24"/>
                <w:szCs w:val="24"/>
              </w:rPr>
            </w:pPr>
          </w:p>
          <w:p w14:paraId="023D504B" w14:textId="77777777" w:rsidR="00245787" w:rsidRPr="00245787" w:rsidRDefault="00245787" w:rsidP="00245787">
            <w:pPr>
              <w:spacing w:line="360" w:lineRule="auto"/>
              <w:jc w:val="both"/>
              <w:rPr>
                <w:bCs/>
                <w:sz w:val="24"/>
                <w:szCs w:val="24"/>
              </w:rPr>
            </w:pPr>
            <w:r w:rsidRPr="00245787">
              <w:rPr>
                <w:bCs/>
                <w:sz w:val="24"/>
                <w:szCs w:val="24"/>
              </w:rPr>
              <w:t>This tested my relationship with Child 2. They generally engaged well until I introduced a boundary, said something was not immediately possible or explained that a decision required further assessment. At these points Child 2 could withdraw or stop engaging. I sometimes felt pulled towards wanting to provide an answer that would reduce their distress, but recognised that promising an outcome to maintain engagement would have been dishonest.</w:t>
            </w:r>
          </w:p>
          <w:p w14:paraId="053E043F" w14:textId="77777777" w:rsidR="00245787" w:rsidRPr="00245787" w:rsidRDefault="00245787" w:rsidP="00245787">
            <w:pPr>
              <w:spacing w:line="360" w:lineRule="auto"/>
              <w:jc w:val="both"/>
              <w:rPr>
                <w:bCs/>
                <w:sz w:val="24"/>
                <w:szCs w:val="24"/>
              </w:rPr>
            </w:pPr>
          </w:p>
          <w:p w14:paraId="3735A4CE" w14:textId="77777777" w:rsidR="00245787" w:rsidRPr="00245787" w:rsidRDefault="00245787" w:rsidP="00245787">
            <w:pPr>
              <w:spacing w:line="360" w:lineRule="auto"/>
              <w:jc w:val="both"/>
              <w:rPr>
                <w:bCs/>
                <w:sz w:val="24"/>
                <w:szCs w:val="24"/>
              </w:rPr>
            </w:pPr>
            <w:r w:rsidRPr="00245787">
              <w:rPr>
                <w:bCs/>
                <w:sz w:val="24"/>
                <w:szCs w:val="24"/>
              </w:rPr>
              <w:t>The temporary placement with Child 2's wider family member gave me further information. The wider family member introduced household expectations around bedtime, noise and overnight phone use. Child 2 experienced these restrictions negatively. Child 2’s phone appeared to be an important connection with online friendships and had been freely available during time at home with Parent 1 and hospital admission. I therefore did not interpret the placement breakdown simply as Child 2 refusing to follow rules. Instead, I considered what their response to boundaries, changes in environment and need for connection might tell me about the support they required.</w:t>
            </w:r>
          </w:p>
          <w:p w14:paraId="20003AFC" w14:textId="77777777" w:rsidR="00245787" w:rsidRPr="00245787" w:rsidRDefault="00245787" w:rsidP="00245787">
            <w:pPr>
              <w:spacing w:line="360" w:lineRule="auto"/>
              <w:jc w:val="both"/>
              <w:rPr>
                <w:bCs/>
                <w:sz w:val="24"/>
                <w:szCs w:val="24"/>
              </w:rPr>
            </w:pPr>
          </w:p>
          <w:p w14:paraId="43E39D07" w14:textId="77777777" w:rsidR="00245787" w:rsidRPr="00245787" w:rsidRDefault="00245787" w:rsidP="00245787">
            <w:pPr>
              <w:spacing w:line="360" w:lineRule="auto"/>
              <w:jc w:val="both"/>
              <w:rPr>
                <w:bCs/>
                <w:sz w:val="24"/>
                <w:szCs w:val="24"/>
              </w:rPr>
            </w:pPr>
            <w:r w:rsidRPr="00245787">
              <w:rPr>
                <w:bCs/>
                <w:sz w:val="24"/>
                <w:szCs w:val="24"/>
              </w:rPr>
              <w:t xml:space="preserve">Risk relating to suicide and self-harm required similar caution. There had been superficial self-harm and an incident involving five paracetamol tablets. I did not use the apparent severity of previous incidents to dismiss later statements or make assumptions regarding Child 2's intent. However, I also did not assume that every statement necessarily had the same meaning or indicated the same level of risk. I considered whether some escalation could be communicating distress or a need for adults to respond, but retained this as a hypothesis rather than a fact. I utilised CAMHS assessments, multi-agency risk information and safety planning to inform my analysis and decision-making, ensuring that professional assessments of risk were considered alongside Child 2's expressed wishes and presentation. This meant </w:t>
            </w:r>
            <w:r w:rsidRPr="00245787">
              <w:rPr>
                <w:bCs/>
                <w:sz w:val="24"/>
                <w:szCs w:val="24"/>
              </w:rPr>
              <w:lastRenderedPageBreak/>
              <w:t>continuing to take risk seriously while avoiding reducing Child 2's presentation to either "suicidal" or "behavioural".</w:t>
            </w:r>
          </w:p>
          <w:p w14:paraId="0E0BFA53" w14:textId="77777777" w:rsidR="00245787" w:rsidRPr="00245787" w:rsidRDefault="00245787" w:rsidP="00245787">
            <w:pPr>
              <w:spacing w:line="360" w:lineRule="auto"/>
              <w:jc w:val="both"/>
              <w:rPr>
                <w:bCs/>
                <w:sz w:val="24"/>
                <w:szCs w:val="24"/>
              </w:rPr>
            </w:pPr>
          </w:p>
          <w:p w14:paraId="7C8F0163" w14:textId="77777777" w:rsidR="00245787" w:rsidRPr="00245787" w:rsidRDefault="00245787" w:rsidP="00245787">
            <w:pPr>
              <w:spacing w:line="360" w:lineRule="auto"/>
              <w:jc w:val="both"/>
              <w:rPr>
                <w:bCs/>
                <w:sz w:val="24"/>
                <w:szCs w:val="24"/>
              </w:rPr>
            </w:pPr>
            <w:r w:rsidRPr="00245787">
              <w:rPr>
                <w:bCs/>
                <w:sz w:val="24"/>
                <w:szCs w:val="24"/>
              </w:rPr>
              <w:t>A range of options were considered, including return home with intensive support, family care, foster care, continued hospital admission and specialist residential provision. None provided a simple solution. Hospital was not considered clinically appropriate, the family placement had broken down, both Child 2 and Parent 1 opposed a return home by the later stages, and several residential settings assessed that they could not meet Child 2's needs or raised concerns about compatibility with other children.</w:t>
            </w:r>
          </w:p>
          <w:p w14:paraId="15353EDC" w14:textId="77777777" w:rsidR="00245787" w:rsidRPr="00245787" w:rsidRDefault="00245787" w:rsidP="00245787">
            <w:pPr>
              <w:spacing w:line="360" w:lineRule="auto"/>
              <w:jc w:val="both"/>
              <w:rPr>
                <w:bCs/>
                <w:sz w:val="24"/>
                <w:szCs w:val="24"/>
              </w:rPr>
            </w:pPr>
          </w:p>
          <w:p w14:paraId="36B93632" w14:textId="77777777" w:rsidR="00245787" w:rsidRPr="00245787" w:rsidRDefault="00245787" w:rsidP="00245787">
            <w:pPr>
              <w:spacing w:line="360" w:lineRule="auto"/>
              <w:jc w:val="both"/>
              <w:rPr>
                <w:bCs/>
                <w:sz w:val="24"/>
                <w:szCs w:val="24"/>
              </w:rPr>
            </w:pPr>
            <w:r w:rsidRPr="00245787">
              <w:rPr>
                <w:bCs/>
                <w:sz w:val="24"/>
                <w:szCs w:val="24"/>
              </w:rPr>
              <w:t>I ultimately supported therapeutic residential provision because, in my assessment, Child 2 needed more than somewhere different to live. The eventual provision could offer education, structure, therapeutic input and relational stability while also undertaking work with Parent 1. I considered this important because I did not see Child 2 living away from home as resolving the difficulties within the family relationship.</w:t>
            </w:r>
          </w:p>
          <w:p w14:paraId="7A60DF72" w14:textId="77777777" w:rsidR="00245787" w:rsidRPr="00245787" w:rsidRDefault="00245787" w:rsidP="00245787">
            <w:pPr>
              <w:spacing w:line="360" w:lineRule="auto"/>
              <w:jc w:val="both"/>
              <w:rPr>
                <w:bCs/>
                <w:sz w:val="24"/>
                <w:szCs w:val="24"/>
              </w:rPr>
            </w:pPr>
          </w:p>
          <w:p w14:paraId="71691CF6" w14:textId="77777777" w:rsidR="00245787" w:rsidRPr="00245787" w:rsidRDefault="00245787" w:rsidP="00245787">
            <w:pPr>
              <w:spacing w:line="360" w:lineRule="auto"/>
              <w:jc w:val="both"/>
              <w:rPr>
                <w:bCs/>
                <w:sz w:val="24"/>
                <w:szCs w:val="24"/>
              </w:rPr>
            </w:pPr>
            <w:r w:rsidRPr="00245787">
              <w:rPr>
                <w:bCs/>
                <w:sz w:val="24"/>
                <w:szCs w:val="24"/>
              </w:rPr>
              <w:t>I experienced tension between organisational expectations and my professional judgement. At one stage, management considered that Child 2 should return home because the safeguarding concerns had not been substantiated and other options were limited. I understood the reasoning, but the evidence I was gathering made me increasingly concerned that this would not provide a sustainable plan. I therefore needed to explain my reasoning rather than simply accept either Child 2's requested outcome or the organisational preference.</w:t>
            </w:r>
          </w:p>
          <w:p w14:paraId="6888EFA4" w14:textId="77777777" w:rsidR="00245787" w:rsidRPr="00245787" w:rsidRDefault="00245787" w:rsidP="00245787">
            <w:pPr>
              <w:spacing w:line="360" w:lineRule="auto"/>
              <w:jc w:val="both"/>
              <w:rPr>
                <w:bCs/>
                <w:sz w:val="24"/>
                <w:szCs w:val="24"/>
              </w:rPr>
            </w:pPr>
          </w:p>
          <w:p w14:paraId="685E6488" w14:textId="77777777" w:rsidR="00245787" w:rsidRPr="00245787" w:rsidRDefault="00245787" w:rsidP="00245787">
            <w:pPr>
              <w:spacing w:line="360" w:lineRule="auto"/>
              <w:jc w:val="both"/>
              <w:rPr>
                <w:bCs/>
                <w:sz w:val="24"/>
                <w:szCs w:val="24"/>
              </w:rPr>
            </w:pPr>
            <w:r w:rsidRPr="00245787">
              <w:rPr>
                <w:bCs/>
                <w:sz w:val="24"/>
                <w:szCs w:val="24"/>
              </w:rPr>
              <w:t>Advocacy did not mean arguing that Child 2 should receive whatever they requested. I was advocating for Child 2's experience to be taken seriously, for their Parent 1's assessment of their own capacity to be considered and for the eventual plan to respond to the evidence rather than simply the option most readily available.</w:t>
            </w:r>
          </w:p>
          <w:p w14:paraId="08439C36" w14:textId="77777777" w:rsidR="00245787" w:rsidRPr="00245787" w:rsidRDefault="00245787" w:rsidP="00245787">
            <w:pPr>
              <w:spacing w:line="360" w:lineRule="auto"/>
              <w:jc w:val="both"/>
              <w:rPr>
                <w:bCs/>
                <w:sz w:val="24"/>
                <w:szCs w:val="24"/>
              </w:rPr>
            </w:pPr>
          </w:p>
          <w:p w14:paraId="24CC7F30" w14:textId="77777777" w:rsidR="00245787" w:rsidRPr="00245787" w:rsidRDefault="00245787" w:rsidP="00245787">
            <w:pPr>
              <w:spacing w:line="360" w:lineRule="auto"/>
              <w:jc w:val="both"/>
              <w:rPr>
                <w:bCs/>
                <w:sz w:val="24"/>
                <w:szCs w:val="24"/>
              </w:rPr>
            </w:pPr>
            <w:r w:rsidRPr="00245787">
              <w:rPr>
                <w:bCs/>
                <w:sz w:val="24"/>
                <w:szCs w:val="24"/>
              </w:rPr>
              <w:t>4. Collaborative and Multi-agency Working</w:t>
            </w:r>
          </w:p>
          <w:p w14:paraId="5438176C" w14:textId="77777777" w:rsidR="00245787" w:rsidRPr="00245787" w:rsidRDefault="00245787" w:rsidP="00245787">
            <w:pPr>
              <w:spacing w:line="360" w:lineRule="auto"/>
              <w:jc w:val="both"/>
              <w:rPr>
                <w:bCs/>
                <w:sz w:val="24"/>
                <w:szCs w:val="24"/>
              </w:rPr>
            </w:pPr>
            <w:r w:rsidRPr="00245787">
              <w:rPr>
                <w:bCs/>
                <w:sz w:val="24"/>
                <w:szCs w:val="24"/>
              </w:rPr>
              <w:t xml:space="preserve">Multi-agency working was not an additional element of this case; it was necessary because different agencies held different parts of the picture. Welsh statutory guidance states that </w:t>
            </w:r>
            <w:r w:rsidRPr="00245787">
              <w:rPr>
                <w:bCs/>
                <w:sz w:val="24"/>
                <w:szCs w:val="24"/>
              </w:rPr>
              <w:lastRenderedPageBreak/>
              <w:t>achieving good outcomes for children requires those responsible for assessment and services to work together through an agreed plan, with clarity regarding roles, responsibilities and information sharing (Welsh Government, 2018).</w:t>
            </w:r>
          </w:p>
          <w:p w14:paraId="06E772EA" w14:textId="77777777" w:rsidR="00245787" w:rsidRPr="00245787" w:rsidRDefault="00245787" w:rsidP="00245787">
            <w:pPr>
              <w:spacing w:line="360" w:lineRule="auto"/>
              <w:jc w:val="both"/>
              <w:rPr>
                <w:bCs/>
                <w:sz w:val="24"/>
                <w:szCs w:val="24"/>
              </w:rPr>
            </w:pPr>
          </w:p>
          <w:p w14:paraId="783024F7" w14:textId="77777777" w:rsidR="00245787" w:rsidRPr="00245787" w:rsidRDefault="00245787" w:rsidP="00245787">
            <w:pPr>
              <w:spacing w:line="360" w:lineRule="auto"/>
              <w:jc w:val="both"/>
              <w:rPr>
                <w:bCs/>
                <w:sz w:val="24"/>
                <w:szCs w:val="24"/>
              </w:rPr>
            </w:pPr>
            <w:r w:rsidRPr="00245787">
              <w:rPr>
                <w:bCs/>
                <w:sz w:val="24"/>
                <w:szCs w:val="24"/>
              </w:rPr>
              <w:t>Hospital colleagues understood Child 2's presentation during admission and had responsibility for their healthcare, but the hospital could not provide a long-term social care solution. CAMHS assessed Child 2's mental-health presentation and did not consider Tier 4 intervention appropriate. Children's social care then had to consider what those assessments meant alongside the family circumstances and safeguarding information.</w:t>
            </w:r>
          </w:p>
          <w:p w14:paraId="6A070D24" w14:textId="77777777" w:rsidR="00245787" w:rsidRPr="00245787" w:rsidRDefault="00245787" w:rsidP="00245787">
            <w:pPr>
              <w:spacing w:line="360" w:lineRule="auto"/>
              <w:jc w:val="both"/>
              <w:rPr>
                <w:bCs/>
                <w:sz w:val="24"/>
                <w:szCs w:val="24"/>
              </w:rPr>
            </w:pPr>
          </w:p>
          <w:p w14:paraId="2B901032" w14:textId="77777777" w:rsidR="00245787" w:rsidRPr="00245787" w:rsidRDefault="00245787" w:rsidP="00245787">
            <w:pPr>
              <w:spacing w:line="360" w:lineRule="auto"/>
              <w:jc w:val="both"/>
              <w:rPr>
                <w:bCs/>
                <w:sz w:val="24"/>
                <w:szCs w:val="24"/>
              </w:rPr>
            </w:pPr>
            <w:r w:rsidRPr="00245787">
              <w:rPr>
                <w:bCs/>
                <w:sz w:val="24"/>
                <w:szCs w:val="24"/>
              </w:rPr>
              <w:t>I learned that a specialist service concluding that its threshold was not met did not answer the social work question. CAMHS assessing that Tier 4 intervention was not indicated did not mean Child 2 had no emotional or relational needs. Similarly, the hospital considering Child 2 clinically ready for discharge did not establish where they could safely go. My role was to incorporate those assessments without allowing any one of them to become the whole assessment.</w:t>
            </w:r>
          </w:p>
          <w:p w14:paraId="50CA1A24" w14:textId="77777777" w:rsidR="00245787" w:rsidRPr="00245787" w:rsidRDefault="00245787" w:rsidP="00245787">
            <w:pPr>
              <w:spacing w:line="360" w:lineRule="auto"/>
              <w:jc w:val="both"/>
              <w:rPr>
                <w:bCs/>
                <w:sz w:val="24"/>
                <w:szCs w:val="24"/>
              </w:rPr>
            </w:pPr>
          </w:p>
          <w:p w14:paraId="7459B7F5" w14:textId="77777777" w:rsidR="00245787" w:rsidRPr="00245787" w:rsidRDefault="00245787" w:rsidP="00245787">
            <w:pPr>
              <w:spacing w:line="360" w:lineRule="auto"/>
              <w:jc w:val="both"/>
              <w:rPr>
                <w:bCs/>
                <w:sz w:val="24"/>
                <w:szCs w:val="24"/>
              </w:rPr>
            </w:pPr>
            <w:r w:rsidRPr="00245787">
              <w:rPr>
                <w:bCs/>
                <w:sz w:val="24"/>
                <w:szCs w:val="24"/>
              </w:rPr>
              <w:t>Daily discharge meetings were useful for sharing information but also became demanding. They demonstrated how organisational pressures can exist alongside shared concern for Child 2. I did not experience professionals as simply disagreeing with one another; rather, each service had different responsibilities, thresholds and options available.</w:t>
            </w:r>
          </w:p>
          <w:p w14:paraId="30F32CE3" w14:textId="77777777" w:rsidR="00245787" w:rsidRPr="00245787" w:rsidRDefault="00245787" w:rsidP="00245787">
            <w:pPr>
              <w:spacing w:line="360" w:lineRule="auto"/>
              <w:jc w:val="both"/>
              <w:rPr>
                <w:bCs/>
                <w:sz w:val="24"/>
                <w:szCs w:val="24"/>
              </w:rPr>
            </w:pPr>
          </w:p>
          <w:p w14:paraId="7C0DD61B" w14:textId="77777777" w:rsidR="00245787" w:rsidRPr="00245787" w:rsidRDefault="00245787" w:rsidP="00245787">
            <w:pPr>
              <w:spacing w:line="360" w:lineRule="auto"/>
              <w:jc w:val="both"/>
              <w:rPr>
                <w:bCs/>
                <w:sz w:val="24"/>
                <w:szCs w:val="24"/>
              </w:rPr>
            </w:pPr>
            <w:r w:rsidRPr="00245787">
              <w:rPr>
                <w:bCs/>
                <w:sz w:val="24"/>
                <w:szCs w:val="24"/>
              </w:rPr>
              <w:t>This helped me understand multi-agency working more critically. Collaboration does not necessarily mean everyone reaching the same professional judgement. Working Together to Safeguard People (Welsh Government, 2018a) requires clarity regarding roles and responsibilities as well as appropriate information sharing. In my practice, effective collaboration meant understanding what another professional's assessment could tell me, recognising what it could not tell me and retaining responsibility for my own social work analysis.</w:t>
            </w:r>
          </w:p>
          <w:p w14:paraId="39DBBB40" w14:textId="77777777" w:rsidR="00245787" w:rsidRPr="00245787" w:rsidRDefault="00245787" w:rsidP="00245787">
            <w:pPr>
              <w:spacing w:line="360" w:lineRule="auto"/>
              <w:jc w:val="both"/>
              <w:rPr>
                <w:bCs/>
                <w:sz w:val="24"/>
                <w:szCs w:val="24"/>
              </w:rPr>
            </w:pPr>
          </w:p>
          <w:p w14:paraId="3DAB6064" w14:textId="77777777" w:rsidR="00245787" w:rsidRPr="00245787" w:rsidRDefault="00245787" w:rsidP="00245787">
            <w:pPr>
              <w:spacing w:line="360" w:lineRule="auto"/>
              <w:jc w:val="both"/>
              <w:rPr>
                <w:bCs/>
                <w:sz w:val="24"/>
                <w:szCs w:val="24"/>
              </w:rPr>
            </w:pPr>
            <w:r w:rsidRPr="00245787">
              <w:rPr>
                <w:bCs/>
                <w:sz w:val="24"/>
                <w:szCs w:val="24"/>
              </w:rPr>
              <w:lastRenderedPageBreak/>
              <w:t>Information from other agencies also allowed me to triangulate Child 2's account. For example, medical attendance records enabled specific allegations of neglect to be considered against documented evidence. Information regarding Child 2's presentation and response to boundaries in hospital also contributed to my consideration of placement needs.</w:t>
            </w:r>
          </w:p>
          <w:p w14:paraId="729DA382" w14:textId="77777777" w:rsidR="00245787" w:rsidRPr="00245787" w:rsidRDefault="00245787" w:rsidP="00245787">
            <w:pPr>
              <w:spacing w:line="360" w:lineRule="auto"/>
              <w:jc w:val="both"/>
              <w:rPr>
                <w:bCs/>
                <w:sz w:val="24"/>
                <w:szCs w:val="24"/>
              </w:rPr>
            </w:pPr>
          </w:p>
          <w:p w14:paraId="2496A17F" w14:textId="77777777" w:rsidR="00245787" w:rsidRPr="00245787" w:rsidRDefault="00245787" w:rsidP="00245787">
            <w:pPr>
              <w:spacing w:line="360" w:lineRule="auto"/>
              <w:jc w:val="both"/>
              <w:rPr>
                <w:bCs/>
                <w:sz w:val="24"/>
                <w:szCs w:val="24"/>
              </w:rPr>
            </w:pPr>
            <w:r w:rsidRPr="00245787">
              <w:rPr>
                <w:bCs/>
                <w:sz w:val="24"/>
                <w:szCs w:val="24"/>
              </w:rPr>
              <w:t>Family members were equally important contributors to the assessment. Parent 1's perspective changed over time and their wider family member's experience provided important information regarding Child 2's response to everyday expectations. Neither should be understood simply as an adult account competing with Child 2's account. I needed to consider what each perspective added to the assessment.</w:t>
            </w:r>
          </w:p>
          <w:p w14:paraId="41BE54F0" w14:textId="77777777" w:rsidR="00245787" w:rsidRPr="00245787" w:rsidRDefault="00245787" w:rsidP="00245787">
            <w:pPr>
              <w:spacing w:line="360" w:lineRule="auto"/>
              <w:jc w:val="both"/>
              <w:rPr>
                <w:bCs/>
                <w:sz w:val="24"/>
                <w:szCs w:val="24"/>
              </w:rPr>
            </w:pPr>
          </w:p>
          <w:p w14:paraId="3DCD3FD3" w14:textId="77777777" w:rsidR="00245787" w:rsidRPr="00245787" w:rsidRDefault="00245787" w:rsidP="00245787">
            <w:pPr>
              <w:spacing w:line="360" w:lineRule="auto"/>
              <w:jc w:val="both"/>
              <w:rPr>
                <w:bCs/>
                <w:sz w:val="24"/>
                <w:szCs w:val="24"/>
              </w:rPr>
            </w:pPr>
            <w:r w:rsidRPr="00245787">
              <w:rPr>
                <w:bCs/>
                <w:sz w:val="24"/>
                <w:szCs w:val="24"/>
              </w:rPr>
              <w:t>Once residential care became a realistic option, I contacted and considered several specialist settings rather than treating placement availability as evidence of suitability. Some providers assessed that they could not meet Child 2's needs or raised concerns regarding compatibility. The eventual placement was selected because its provision appeared to correspond with the needs identified through assessment.</w:t>
            </w:r>
          </w:p>
          <w:p w14:paraId="061643D1" w14:textId="77777777" w:rsidR="00245787" w:rsidRPr="00245787" w:rsidRDefault="00245787" w:rsidP="00245787">
            <w:pPr>
              <w:spacing w:line="360" w:lineRule="auto"/>
              <w:jc w:val="both"/>
              <w:rPr>
                <w:bCs/>
                <w:sz w:val="24"/>
                <w:szCs w:val="24"/>
              </w:rPr>
            </w:pPr>
          </w:p>
          <w:p w14:paraId="1F346B51" w14:textId="77777777" w:rsidR="00245787" w:rsidRPr="00245787" w:rsidRDefault="00245787" w:rsidP="00245787">
            <w:pPr>
              <w:spacing w:line="360" w:lineRule="auto"/>
              <w:jc w:val="both"/>
              <w:rPr>
                <w:bCs/>
                <w:sz w:val="24"/>
                <w:szCs w:val="24"/>
              </w:rPr>
            </w:pPr>
            <w:r w:rsidRPr="00245787">
              <w:rPr>
                <w:bCs/>
                <w:sz w:val="24"/>
                <w:szCs w:val="24"/>
              </w:rPr>
              <w:t>The case therefore changed my understanding of collaborative working. I became less focused on professionals reaching consensus and more focused on whether different evidence had been properly considered. Professional challenge was part of collaboration rather than evidence that collaboration had failed.</w:t>
            </w:r>
          </w:p>
          <w:p w14:paraId="3905B35B" w14:textId="77777777" w:rsidR="00245787" w:rsidRPr="00245787" w:rsidRDefault="00245787" w:rsidP="00245787">
            <w:pPr>
              <w:spacing w:line="360" w:lineRule="auto"/>
              <w:jc w:val="both"/>
              <w:rPr>
                <w:bCs/>
                <w:sz w:val="24"/>
                <w:szCs w:val="24"/>
              </w:rPr>
            </w:pPr>
          </w:p>
          <w:p w14:paraId="2ABE74FD" w14:textId="77777777" w:rsidR="00245787" w:rsidRPr="00245787" w:rsidRDefault="00245787" w:rsidP="00245787">
            <w:pPr>
              <w:spacing w:line="360" w:lineRule="auto"/>
              <w:jc w:val="both"/>
              <w:rPr>
                <w:bCs/>
                <w:sz w:val="24"/>
                <w:szCs w:val="24"/>
              </w:rPr>
            </w:pPr>
            <w:r w:rsidRPr="00245787">
              <w:rPr>
                <w:bCs/>
                <w:sz w:val="24"/>
                <w:szCs w:val="24"/>
              </w:rPr>
              <w:t>5. Theory and Critical Reflection</w:t>
            </w:r>
          </w:p>
          <w:p w14:paraId="679AD9F6" w14:textId="77777777" w:rsidR="00245787" w:rsidRPr="00245787" w:rsidRDefault="00245787" w:rsidP="00245787">
            <w:pPr>
              <w:spacing w:line="360" w:lineRule="auto"/>
              <w:jc w:val="both"/>
              <w:rPr>
                <w:bCs/>
                <w:sz w:val="24"/>
                <w:szCs w:val="24"/>
              </w:rPr>
            </w:pPr>
            <w:r w:rsidRPr="00245787">
              <w:rPr>
                <w:bCs/>
                <w:sz w:val="24"/>
                <w:szCs w:val="24"/>
              </w:rPr>
              <w:t>Theory became most useful when it helped me ask different questions about Child 2's presentation rather than giving me an explanation for it.</w:t>
            </w:r>
          </w:p>
          <w:p w14:paraId="3AA89A38" w14:textId="77777777" w:rsidR="00245787" w:rsidRPr="00245787" w:rsidRDefault="00245787" w:rsidP="00245787">
            <w:pPr>
              <w:spacing w:line="360" w:lineRule="auto"/>
              <w:jc w:val="both"/>
              <w:rPr>
                <w:bCs/>
                <w:sz w:val="24"/>
                <w:szCs w:val="24"/>
              </w:rPr>
            </w:pPr>
          </w:p>
          <w:p w14:paraId="713126BD" w14:textId="77777777" w:rsidR="00245787" w:rsidRPr="00245787" w:rsidRDefault="00245787" w:rsidP="00245787">
            <w:pPr>
              <w:spacing w:line="360" w:lineRule="auto"/>
              <w:jc w:val="both"/>
              <w:rPr>
                <w:bCs/>
                <w:sz w:val="24"/>
                <w:szCs w:val="24"/>
              </w:rPr>
            </w:pPr>
            <w:r w:rsidRPr="00245787">
              <w:rPr>
                <w:bCs/>
                <w:sz w:val="24"/>
                <w:szCs w:val="24"/>
              </w:rPr>
              <w:t xml:space="preserve">Bowlby's (1969) attachment theory provided one possible framework for considering Child 2's relational presentation. Bowlby's original theory focused on the significance of attachment relationships and children's tendency to seek proximity to attachment figures, particularly when distressed. When I considered this alongside my direct work, I wondered whether some </w:t>
            </w:r>
            <w:r w:rsidRPr="00245787">
              <w:rPr>
                <w:bCs/>
                <w:sz w:val="24"/>
                <w:szCs w:val="24"/>
              </w:rPr>
              <w:lastRenderedPageBreak/>
              <w:t>of Child 2's escalation around relationships and boundaries might relate to a need for reassurance, emotional availability or certainty that adults would remain available.</w:t>
            </w:r>
          </w:p>
          <w:p w14:paraId="05A81D0C" w14:textId="77777777" w:rsidR="00245787" w:rsidRPr="00245787" w:rsidRDefault="00245787" w:rsidP="00245787">
            <w:pPr>
              <w:spacing w:line="360" w:lineRule="auto"/>
              <w:jc w:val="both"/>
              <w:rPr>
                <w:bCs/>
                <w:sz w:val="24"/>
                <w:szCs w:val="24"/>
              </w:rPr>
            </w:pPr>
          </w:p>
          <w:p w14:paraId="1D6EF68E" w14:textId="77777777" w:rsidR="00245787" w:rsidRPr="00245787" w:rsidRDefault="00245787" w:rsidP="00245787">
            <w:pPr>
              <w:spacing w:line="360" w:lineRule="auto"/>
              <w:jc w:val="both"/>
              <w:rPr>
                <w:bCs/>
                <w:sz w:val="24"/>
                <w:szCs w:val="24"/>
              </w:rPr>
            </w:pPr>
            <w:r w:rsidRPr="00245787">
              <w:rPr>
                <w:bCs/>
                <w:sz w:val="24"/>
                <w:szCs w:val="24"/>
              </w:rPr>
              <w:t>There were aspects of Child 2's presentation that made this a useful hypothesis. Child 2 appeared to want adults to respond quickly when they were distressed, could disengage when I introduced boundaries and described wanting a calm and consistently available parent. Their imagined residential placement also appeared to represent more than accommodation: they described their own room, a quiet environment, a small family, a dog and adults being available.</w:t>
            </w:r>
          </w:p>
          <w:p w14:paraId="44F56AF8" w14:textId="77777777" w:rsidR="00245787" w:rsidRPr="00245787" w:rsidRDefault="00245787" w:rsidP="00245787">
            <w:pPr>
              <w:spacing w:line="360" w:lineRule="auto"/>
              <w:jc w:val="both"/>
              <w:rPr>
                <w:bCs/>
                <w:sz w:val="24"/>
                <w:szCs w:val="24"/>
              </w:rPr>
            </w:pPr>
          </w:p>
          <w:p w14:paraId="16158D94" w14:textId="77777777" w:rsidR="00245787" w:rsidRPr="00245787" w:rsidRDefault="00245787" w:rsidP="00245787">
            <w:pPr>
              <w:spacing w:line="360" w:lineRule="auto"/>
              <w:jc w:val="both"/>
              <w:rPr>
                <w:bCs/>
                <w:sz w:val="24"/>
                <w:szCs w:val="24"/>
              </w:rPr>
            </w:pPr>
            <w:r w:rsidRPr="00245787">
              <w:rPr>
                <w:bCs/>
                <w:sz w:val="24"/>
                <w:szCs w:val="24"/>
              </w:rPr>
              <w:t>However, contemporary attachment literature made me more cautious about how far I could take this interpretation. Foster et al. (2026) argue that attachment theory remains valuable for understanding relational needs, behaviour and caregiving, but identify problems with simplified or inaccurate applications within child and family social work. They caution against reducing individual children to attachment classifications or treating attachment as a complete explanation for behaviour. When I applied this to my practice, attachment explained some possibilities but did not explain Child 2 as a whole. Their presentation occurred within the context of ADHD, hospitalisation, family conflict, placement disruption, online peer relationships and repeated changes in expectations and environment. I also had no specialist attachment assessment from which to make claims about a particular attachment pattern. Describing Child 2 as having an "attachment difficulty" would therefore have gone beyond the evidence available to me.</w:t>
            </w:r>
          </w:p>
          <w:p w14:paraId="53E5264E" w14:textId="77777777" w:rsidR="00245787" w:rsidRPr="00245787" w:rsidRDefault="00245787" w:rsidP="00245787">
            <w:pPr>
              <w:spacing w:line="360" w:lineRule="auto"/>
              <w:jc w:val="both"/>
              <w:rPr>
                <w:bCs/>
                <w:sz w:val="24"/>
                <w:szCs w:val="24"/>
              </w:rPr>
            </w:pPr>
          </w:p>
          <w:p w14:paraId="18FB5960" w14:textId="77777777" w:rsidR="00245787" w:rsidRPr="00245787" w:rsidRDefault="00245787" w:rsidP="00245787">
            <w:pPr>
              <w:spacing w:line="360" w:lineRule="auto"/>
              <w:jc w:val="both"/>
              <w:rPr>
                <w:bCs/>
                <w:sz w:val="24"/>
                <w:szCs w:val="24"/>
              </w:rPr>
            </w:pPr>
            <w:r w:rsidRPr="00245787">
              <w:rPr>
                <w:bCs/>
                <w:sz w:val="24"/>
                <w:szCs w:val="24"/>
              </w:rPr>
              <w:t>Despite this attachment theory was useful because it changed the questions I asked. Rather than asking only, "Why is Child 2 behaving like this?" I considered, "What might Child 2 be seeking from the adults around them when this happens?" Contemporary research prevented me from treating my hypothesis as a diagnosis or locating the explanation solely within the relationship between Child 2 and Parent 1. This influenced my support for a placement offering relational consistency and therapeutic work while maintaining work with Child 2's Parent 1, rather than viewing separation itself as the intervention.</w:t>
            </w:r>
          </w:p>
          <w:p w14:paraId="7DA085F2" w14:textId="77777777" w:rsidR="00245787" w:rsidRPr="00245787" w:rsidRDefault="00245787" w:rsidP="00245787">
            <w:pPr>
              <w:spacing w:line="360" w:lineRule="auto"/>
              <w:jc w:val="both"/>
              <w:rPr>
                <w:bCs/>
                <w:sz w:val="24"/>
                <w:szCs w:val="24"/>
              </w:rPr>
            </w:pPr>
          </w:p>
          <w:p w14:paraId="123F9F76" w14:textId="77777777" w:rsidR="00245787" w:rsidRPr="00245787" w:rsidRDefault="00245787" w:rsidP="00245787">
            <w:pPr>
              <w:spacing w:line="360" w:lineRule="auto"/>
              <w:jc w:val="both"/>
              <w:rPr>
                <w:bCs/>
                <w:sz w:val="24"/>
                <w:szCs w:val="24"/>
              </w:rPr>
            </w:pPr>
            <w:r w:rsidRPr="00245787">
              <w:rPr>
                <w:bCs/>
                <w:sz w:val="24"/>
                <w:szCs w:val="24"/>
              </w:rPr>
              <w:lastRenderedPageBreak/>
              <w:t>Relationship-based practice also helped me reflect on my direct work. Ferguson et al. (2022), completed a long-term study of child-protection practice in England, it was found that helpful social work relationships involved reliability, emotional engagement and critical attention to power and inequality. Although this research was undertaken in England, the relational processes it identifies were relevant when reflecting on my own practice. My relationship with Child 2 was strongest when they felt heard, but the real test of that relationship came when I could not give them what they wanted. I needed to explain that residential care was not guaranteed and that decisions could not be made immediately. At times Child 2 responded by withdrawing.</w:t>
            </w:r>
          </w:p>
          <w:p w14:paraId="2DD51FCD" w14:textId="77777777" w:rsidR="00245787" w:rsidRPr="00245787" w:rsidRDefault="00245787" w:rsidP="00245787">
            <w:pPr>
              <w:spacing w:line="360" w:lineRule="auto"/>
              <w:jc w:val="both"/>
              <w:rPr>
                <w:bCs/>
                <w:sz w:val="24"/>
                <w:szCs w:val="24"/>
              </w:rPr>
            </w:pPr>
          </w:p>
          <w:p w14:paraId="6431BC35" w14:textId="77777777" w:rsidR="00245787" w:rsidRPr="00245787" w:rsidRDefault="00245787" w:rsidP="00245787">
            <w:pPr>
              <w:spacing w:line="360" w:lineRule="auto"/>
              <w:jc w:val="both"/>
              <w:rPr>
                <w:bCs/>
                <w:sz w:val="24"/>
                <w:szCs w:val="24"/>
              </w:rPr>
            </w:pPr>
            <w:r w:rsidRPr="00245787">
              <w:rPr>
                <w:bCs/>
                <w:sz w:val="24"/>
                <w:szCs w:val="24"/>
              </w:rPr>
              <w:t>This made me recognise a limitation in my earlier understanding of relationship-based practice. I had associated a "good relationship" with engagement. In this case, maintaining an ethical relationship sometimes meant tolerating Child 2 being unhappy with me. Reliability meant continuing to return, listen and explain rather than changing my professional view simply to preserve the relationship.</w:t>
            </w:r>
          </w:p>
          <w:p w14:paraId="630E3B0F" w14:textId="77777777" w:rsidR="00245787" w:rsidRPr="00245787" w:rsidRDefault="00245787" w:rsidP="00245787">
            <w:pPr>
              <w:spacing w:line="360" w:lineRule="auto"/>
              <w:jc w:val="both"/>
              <w:rPr>
                <w:bCs/>
                <w:sz w:val="24"/>
                <w:szCs w:val="24"/>
              </w:rPr>
            </w:pPr>
          </w:p>
          <w:p w14:paraId="33FC8751" w14:textId="77777777" w:rsidR="00245787" w:rsidRPr="00245787" w:rsidRDefault="00245787" w:rsidP="00245787">
            <w:pPr>
              <w:spacing w:line="360" w:lineRule="auto"/>
              <w:jc w:val="both"/>
              <w:rPr>
                <w:bCs/>
                <w:sz w:val="24"/>
                <w:szCs w:val="24"/>
              </w:rPr>
            </w:pPr>
            <w:r w:rsidRPr="00245787">
              <w:rPr>
                <w:bCs/>
                <w:sz w:val="24"/>
                <w:szCs w:val="24"/>
              </w:rPr>
              <w:t>The power imbalance was also unavoidable. However participative my direct work was, I held information and professional influence within decisions affecting where Child 2 might live. Acknowledging that power made honesty particularly important. I could advocate for Child 2's wishes without suggesting that either they or I had control over decisions that ultimately sat elsewhere.</w:t>
            </w:r>
          </w:p>
          <w:p w14:paraId="79DFF23C" w14:textId="77777777" w:rsidR="00245787" w:rsidRPr="00245787" w:rsidRDefault="00245787" w:rsidP="00245787">
            <w:pPr>
              <w:spacing w:line="360" w:lineRule="auto"/>
              <w:jc w:val="both"/>
              <w:rPr>
                <w:bCs/>
                <w:sz w:val="24"/>
                <w:szCs w:val="24"/>
              </w:rPr>
            </w:pPr>
          </w:p>
          <w:p w14:paraId="1F5CD066" w14:textId="77777777" w:rsidR="00245787" w:rsidRPr="00245787" w:rsidRDefault="00245787" w:rsidP="00245787">
            <w:pPr>
              <w:spacing w:line="360" w:lineRule="auto"/>
              <w:jc w:val="both"/>
              <w:rPr>
                <w:bCs/>
                <w:sz w:val="24"/>
                <w:szCs w:val="24"/>
              </w:rPr>
            </w:pPr>
            <w:r w:rsidRPr="00245787">
              <w:rPr>
                <w:bCs/>
                <w:sz w:val="24"/>
                <w:szCs w:val="24"/>
              </w:rPr>
              <w:t>Bronfenbrenner's (1979) ecological systems theory provided another useful lens because it moves understanding beyond characteristics located within the individual child and considers development within their wider environments and relationships.</w:t>
            </w:r>
          </w:p>
          <w:p w14:paraId="46B3A269" w14:textId="77777777" w:rsidR="00245787" w:rsidRPr="00245787" w:rsidRDefault="00245787" w:rsidP="00245787">
            <w:pPr>
              <w:spacing w:line="360" w:lineRule="auto"/>
              <w:jc w:val="both"/>
              <w:rPr>
                <w:bCs/>
                <w:sz w:val="24"/>
                <w:szCs w:val="24"/>
              </w:rPr>
            </w:pPr>
          </w:p>
          <w:p w14:paraId="746A6950" w14:textId="77777777" w:rsidR="00245787" w:rsidRPr="00245787" w:rsidRDefault="00245787" w:rsidP="00245787">
            <w:pPr>
              <w:spacing w:line="360" w:lineRule="auto"/>
              <w:jc w:val="both"/>
              <w:rPr>
                <w:bCs/>
                <w:sz w:val="24"/>
                <w:szCs w:val="24"/>
              </w:rPr>
            </w:pPr>
            <w:r w:rsidRPr="00245787">
              <w:rPr>
                <w:bCs/>
                <w:sz w:val="24"/>
                <w:szCs w:val="24"/>
              </w:rPr>
              <w:t>This theory was particularly relevant to Child 2 because their experiences and behaviour needed to be understood across multiple contexts. They experienced family life, a hospital admission, a temporary placement with a wider family member, education, social care involvement, CAMHS involvement, and consideration of residential care. Expectations, boundaries and levels of support differed across these environments.</w:t>
            </w:r>
          </w:p>
          <w:p w14:paraId="315713BB" w14:textId="77777777" w:rsidR="00245787" w:rsidRPr="00245787" w:rsidRDefault="00245787" w:rsidP="00245787">
            <w:pPr>
              <w:spacing w:line="360" w:lineRule="auto"/>
              <w:jc w:val="both"/>
              <w:rPr>
                <w:bCs/>
                <w:sz w:val="24"/>
                <w:szCs w:val="24"/>
              </w:rPr>
            </w:pPr>
          </w:p>
          <w:p w14:paraId="749CB589" w14:textId="77777777" w:rsidR="00245787" w:rsidRPr="00245787" w:rsidRDefault="00245787" w:rsidP="00245787">
            <w:pPr>
              <w:spacing w:line="360" w:lineRule="auto"/>
              <w:jc w:val="both"/>
              <w:rPr>
                <w:bCs/>
                <w:sz w:val="24"/>
                <w:szCs w:val="24"/>
              </w:rPr>
            </w:pPr>
            <w:r w:rsidRPr="00245787">
              <w:rPr>
                <w:bCs/>
                <w:sz w:val="24"/>
                <w:szCs w:val="24"/>
              </w:rPr>
              <w:t>Child 2's phone use provided a clear example of this. During their hospital admission, unrestricted phone access enabled them to maintain important connections with online friendships. In contrast, when living with their wider family member, restrictions were introduced as part of established household boundaries. Child 2's response to these restrictions therefore needed to be understood within the context of the environment and the significance that phone access held for them.</w:t>
            </w:r>
          </w:p>
          <w:p w14:paraId="3AED4959" w14:textId="77777777" w:rsidR="00245787" w:rsidRPr="00245787" w:rsidRDefault="00245787" w:rsidP="00245787">
            <w:pPr>
              <w:spacing w:line="360" w:lineRule="auto"/>
              <w:jc w:val="both"/>
              <w:rPr>
                <w:bCs/>
                <w:sz w:val="24"/>
                <w:szCs w:val="24"/>
              </w:rPr>
            </w:pPr>
          </w:p>
          <w:p w14:paraId="3C23A97C" w14:textId="77777777" w:rsidR="00245787" w:rsidRPr="00245787" w:rsidRDefault="00245787" w:rsidP="00245787">
            <w:pPr>
              <w:spacing w:line="360" w:lineRule="auto"/>
              <w:jc w:val="both"/>
              <w:rPr>
                <w:bCs/>
                <w:sz w:val="24"/>
                <w:szCs w:val="24"/>
              </w:rPr>
            </w:pPr>
            <w:r w:rsidRPr="00245787">
              <w:rPr>
                <w:bCs/>
                <w:sz w:val="24"/>
                <w:szCs w:val="24"/>
              </w:rPr>
              <w:t>Applying this perspective prevented me from locating the difficulties solely within Child 2. While ADHD and behaviour were important factors, their experiences were also influenced by relationships, changing environments, family capacity, peer connections, service thresholds, and the responses of different professionals and systems. Considering these interacting factors enabled a more balanced understanding of Child 2's needs. It also encouraged me to reflect on whether changes to the environment around Child 2 could better support them, rather than focusing solely on changing Child 2's behaviour. This shifted the assessment from asking "what is wrong with Child 2?" to considering how the systems around them could reduce difficulties and promote positive outcomes.</w:t>
            </w:r>
          </w:p>
          <w:p w14:paraId="3F29BED5" w14:textId="77777777" w:rsidR="00245787" w:rsidRPr="00245787" w:rsidRDefault="00245787" w:rsidP="00245787">
            <w:pPr>
              <w:spacing w:line="360" w:lineRule="auto"/>
              <w:jc w:val="both"/>
              <w:rPr>
                <w:bCs/>
                <w:sz w:val="24"/>
                <w:szCs w:val="24"/>
              </w:rPr>
            </w:pPr>
          </w:p>
          <w:p w14:paraId="3F8AC17A" w14:textId="77777777" w:rsidR="00245787" w:rsidRPr="00245787" w:rsidRDefault="00245787" w:rsidP="00245787">
            <w:pPr>
              <w:spacing w:line="360" w:lineRule="auto"/>
              <w:jc w:val="both"/>
              <w:rPr>
                <w:bCs/>
                <w:sz w:val="24"/>
                <w:szCs w:val="24"/>
              </w:rPr>
            </w:pPr>
            <w:r w:rsidRPr="00245787">
              <w:rPr>
                <w:bCs/>
                <w:sz w:val="24"/>
                <w:szCs w:val="24"/>
              </w:rPr>
              <w:t>The case also strengthened my understanding of professional judgement. Munro (2011) argues against an overly procedural approach to safeguarding, emphasising the importance of professional expertise in situations characterised by complexity and uncertainty. Similarly, Harnett (2024) highlights the limitations of predicting outcomes in child protection work, where decisions often need to be made despite incomplete information.</w:t>
            </w:r>
          </w:p>
          <w:p w14:paraId="492D45D4" w14:textId="77777777" w:rsidR="00245787" w:rsidRPr="00245787" w:rsidRDefault="00245787" w:rsidP="00245787">
            <w:pPr>
              <w:spacing w:line="360" w:lineRule="auto"/>
              <w:jc w:val="both"/>
              <w:rPr>
                <w:bCs/>
                <w:sz w:val="24"/>
                <w:szCs w:val="24"/>
              </w:rPr>
            </w:pPr>
          </w:p>
          <w:p w14:paraId="68DCAE0E" w14:textId="77777777" w:rsidR="00245787" w:rsidRPr="00245787" w:rsidRDefault="00245787" w:rsidP="00245787">
            <w:pPr>
              <w:spacing w:line="360" w:lineRule="auto"/>
              <w:jc w:val="both"/>
              <w:rPr>
                <w:bCs/>
                <w:sz w:val="24"/>
                <w:szCs w:val="24"/>
              </w:rPr>
            </w:pPr>
            <w:r w:rsidRPr="00245787">
              <w:rPr>
                <w:bCs/>
                <w:sz w:val="24"/>
                <w:szCs w:val="24"/>
              </w:rPr>
              <w:t>This was reflected in my experience of the case. Completing the Section 47 enquiry answered an important safeguarding question, but it did not determine what should happen next. Had I relied solely on the procedural outcome, the conclusion may have been that, as the allegations were unsubstantiated, Child 2 should return home. However, my assessment required consideration of a much wider set of circumstances, including Child 2's persistent refusal to return home, suicidal statements, Parent 1's view that she could not manage their return, the breakdown of the wider family placement, and the lack of a suitable hospital or Tier 4 pathway.</w:t>
            </w:r>
          </w:p>
          <w:p w14:paraId="750E3955" w14:textId="77777777" w:rsidR="00245787" w:rsidRPr="00245787" w:rsidRDefault="00245787" w:rsidP="00245787">
            <w:pPr>
              <w:spacing w:line="360" w:lineRule="auto"/>
              <w:jc w:val="both"/>
              <w:rPr>
                <w:bCs/>
                <w:sz w:val="24"/>
                <w:szCs w:val="24"/>
              </w:rPr>
            </w:pPr>
          </w:p>
          <w:p w14:paraId="3DBA6173" w14:textId="77777777" w:rsidR="00245787" w:rsidRPr="00245787" w:rsidRDefault="00245787" w:rsidP="00245787">
            <w:pPr>
              <w:spacing w:line="360" w:lineRule="auto"/>
              <w:jc w:val="both"/>
              <w:rPr>
                <w:bCs/>
                <w:sz w:val="24"/>
                <w:szCs w:val="24"/>
              </w:rPr>
            </w:pPr>
            <w:r w:rsidRPr="00245787">
              <w:rPr>
                <w:bCs/>
                <w:sz w:val="24"/>
                <w:szCs w:val="24"/>
              </w:rPr>
              <w:t>Professional judgement therefore involved weighing multiple sources of information and being able to evidence why my recommendation could not be based on a single procedural outcome.</w:t>
            </w:r>
          </w:p>
          <w:p w14:paraId="32393E16" w14:textId="77777777" w:rsidR="00245787" w:rsidRPr="00245787" w:rsidRDefault="00245787" w:rsidP="00245787">
            <w:pPr>
              <w:spacing w:line="360" w:lineRule="auto"/>
              <w:jc w:val="both"/>
              <w:rPr>
                <w:bCs/>
                <w:sz w:val="24"/>
                <w:szCs w:val="24"/>
              </w:rPr>
            </w:pPr>
          </w:p>
          <w:p w14:paraId="590FAC81" w14:textId="77777777" w:rsidR="00245787" w:rsidRPr="00245787" w:rsidRDefault="00245787" w:rsidP="00245787">
            <w:pPr>
              <w:spacing w:line="360" w:lineRule="auto"/>
              <w:jc w:val="both"/>
              <w:rPr>
                <w:bCs/>
                <w:sz w:val="24"/>
                <w:szCs w:val="24"/>
              </w:rPr>
            </w:pPr>
            <w:r w:rsidRPr="00245787">
              <w:rPr>
                <w:bCs/>
                <w:sz w:val="24"/>
                <w:szCs w:val="24"/>
              </w:rPr>
              <w:t>It also required me to consider Child 2's expressed wishes alongside an exploration of the needs underlying them. Rather than simply accepting or dismissing their request for residential care, I sought to understand what this request represented. Residential care appeared to symbolise stability, consistency, connection, and access to adults who would remain available and responsive to their needs. This enabled Child 2's voice to meaningfully inform my assessment while maintaining professional curiosity about the factors driving their wishes.</w:t>
            </w:r>
          </w:p>
          <w:p w14:paraId="4959BAE3" w14:textId="77777777" w:rsidR="00245787" w:rsidRPr="00245787" w:rsidRDefault="00245787" w:rsidP="00245787">
            <w:pPr>
              <w:spacing w:line="360" w:lineRule="auto"/>
              <w:jc w:val="both"/>
              <w:rPr>
                <w:bCs/>
                <w:sz w:val="24"/>
                <w:szCs w:val="24"/>
              </w:rPr>
            </w:pPr>
          </w:p>
          <w:p w14:paraId="12637122" w14:textId="77777777" w:rsidR="00245787" w:rsidRPr="00245787" w:rsidRDefault="00245787" w:rsidP="00245787">
            <w:pPr>
              <w:spacing w:line="360" w:lineRule="auto"/>
              <w:jc w:val="both"/>
              <w:rPr>
                <w:bCs/>
                <w:sz w:val="24"/>
                <w:szCs w:val="24"/>
              </w:rPr>
            </w:pPr>
            <w:r w:rsidRPr="00245787">
              <w:rPr>
                <w:bCs/>
                <w:sz w:val="24"/>
                <w:szCs w:val="24"/>
              </w:rPr>
              <w:t>The case also highlighted a limitation in my practice. Although I received regular management supervision, benefitted from peer reflection, and continued to meet the demands of the work, I underestimated the cumulative impact of the case on my wellbeing. The intensity of daily meetings, hospital pressures, placement searches, frequent visits, assessment writing and competing expectations, alongside my wider caseload, gradually became emotionally and mentally draining. Looking back, I was focused on progressing the case and did not fully acknowledge how fatigued I had become. I viewed feeling tired and stretched as an expected part of managing complexity rather than seeking additional reflective support.</w:t>
            </w:r>
          </w:p>
          <w:p w14:paraId="0BF7D097" w14:textId="77777777" w:rsidR="00245787" w:rsidRPr="00245787" w:rsidRDefault="00245787" w:rsidP="00245787">
            <w:pPr>
              <w:spacing w:line="360" w:lineRule="auto"/>
              <w:jc w:val="both"/>
              <w:rPr>
                <w:bCs/>
                <w:sz w:val="24"/>
                <w:szCs w:val="24"/>
              </w:rPr>
            </w:pPr>
          </w:p>
          <w:p w14:paraId="3D09DCEA" w14:textId="77777777" w:rsidR="00245787" w:rsidRPr="00245787" w:rsidRDefault="00245787" w:rsidP="00245787">
            <w:pPr>
              <w:spacing w:line="360" w:lineRule="auto"/>
              <w:jc w:val="both"/>
              <w:rPr>
                <w:bCs/>
                <w:sz w:val="24"/>
                <w:szCs w:val="24"/>
              </w:rPr>
            </w:pPr>
            <w:r w:rsidRPr="00245787">
              <w:rPr>
                <w:bCs/>
                <w:sz w:val="24"/>
                <w:szCs w:val="24"/>
              </w:rPr>
              <w:t>The learning for me is not that I was unable to manage the work, but that recognising and responding to the impact of sustained complexity is an important professional skill. Additional reflective space could have supported me to consider whether organisational pressures, emotional investment or case dynamics were influencing my thinking and decision-making. It may also have helped me maintain greater awareness of my own wellbeing while continuing to safeguard effectively.</w:t>
            </w:r>
          </w:p>
          <w:p w14:paraId="3E6CCF5B" w14:textId="77777777" w:rsidR="00245787" w:rsidRPr="00245787" w:rsidRDefault="00245787" w:rsidP="00245787">
            <w:pPr>
              <w:spacing w:line="360" w:lineRule="auto"/>
              <w:jc w:val="both"/>
              <w:rPr>
                <w:bCs/>
                <w:sz w:val="24"/>
                <w:szCs w:val="24"/>
              </w:rPr>
            </w:pPr>
          </w:p>
          <w:p w14:paraId="6F5BA16F" w14:textId="77777777" w:rsidR="00245787" w:rsidRPr="00245787" w:rsidRDefault="00245787" w:rsidP="00245787">
            <w:pPr>
              <w:spacing w:line="360" w:lineRule="auto"/>
              <w:jc w:val="both"/>
              <w:rPr>
                <w:bCs/>
                <w:sz w:val="24"/>
                <w:szCs w:val="24"/>
              </w:rPr>
            </w:pPr>
            <w:r w:rsidRPr="00245787">
              <w:rPr>
                <w:bCs/>
                <w:sz w:val="24"/>
                <w:szCs w:val="24"/>
              </w:rPr>
              <w:t xml:space="preserve">This experience reinforced that accountable practice involves not only critical reflection on the child and family circumstances, but also reflection on how the work is affecting the practitioner. </w:t>
            </w:r>
            <w:r w:rsidRPr="00245787">
              <w:rPr>
                <w:bCs/>
                <w:sz w:val="24"/>
                <w:szCs w:val="24"/>
              </w:rPr>
              <w:lastRenderedPageBreak/>
              <w:t>Seeking additional professional reflection when needed is therefore a strength rather than a weakness.</w:t>
            </w:r>
          </w:p>
          <w:p w14:paraId="294D1530" w14:textId="77777777" w:rsidR="00245787" w:rsidRPr="00245787" w:rsidRDefault="00245787" w:rsidP="00245787">
            <w:pPr>
              <w:spacing w:line="360" w:lineRule="auto"/>
              <w:jc w:val="both"/>
              <w:rPr>
                <w:bCs/>
                <w:sz w:val="24"/>
                <w:szCs w:val="24"/>
              </w:rPr>
            </w:pPr>
          </w:p>
          <w:p w14:paraId="0D32A1A4" w14:textId="77777777" w:rsidR="00245787" w:rsidRPr="00245787" w:rsidRDefault="00245787" w:rsidP="00245787">
            <w:pPr>
              <w:spacing w:line="360" w:lineRule="auto"/>
              <w:jc w:val="both"/>
              <w:rPr>
                <w:bCs/>
                <w:sz w:val="24"/>
                <w:szCs w:val="24"/>
              </w:rPr>
            </w:pPr>
            <w:r w:rsidRPr="00245787">
              <w:rPr>
                <w:bCs/>
                <w:sz w:val="24"/>
                <w:szCs w:val="24"/>
              </w:rPr>
              <w:t>Overall, no single theory was sufficient to explain Child 2's experiences. Attachment, relationship-based and ecological perspectives each contributed to my understanding, while research on uncertainty reinforced that social work decisions are often made without certainty. Rather than providing answers, theory supported my thinking throughout the assessment. It helped me develop and test hypotheses, challenge my assumptions against the available evidence, and recognise when my explanations did not adequately account for Child 2's experiences. As a result, theory informed and strengthened my professional judgement, rather than determining it.</w:t>
            </w:r>
          </w:p>
          <w:p w14:paraId="6A6FC3D4" w14:textId="77777777" w:rsidR="00245787" w:rsidRPr="00245787" w:rsidRDefault="00245787" w:rsidP="00245787">
            <w:pPr>
              <w:spacing w:line="360" w:lineRule="auto"/>
              <w:jc w:val="both"/>
              <w:rPr>
                <w:bCs/>
                <w:sz w:val="24"/>
                <w:szCs w:val="24"/>
              </w:rPr>
            </w:pPr>
          </w:p>
          <w:p w14:paraId="5CB87F25" w14:textId="77777777" w:rsidR="00245787" w:rsidRPr="00245787" w:rsidRDefault="00245787" w:rsidP="00245787">
            <w:pPr>
              <w:spacing w:line="360" w:lineRule="auto"/>
              <w:jc w:val="both"/>
              <w:rPr>
                <w:bCs/>
                <w:sz w:val="24"/>
                <w:szCs w:val="24"/>
              </w:rPr>
            </w:pPr>
            <w:r w:rsidRPr="00245787">
              <w:rPr>
                <w:bCs/>
                <w:sz w:val="24"/>
                <w:szCs w:val="24"/>
              </w:rPr>
              <w:t>6. Conclusion</w:t>
            </w:r>
          </w:p>
          <w:p w14:paraId="2CF29432" w14:textId="77777777" w:rsidR="00245787" w:rsidRPr="00245787" w:rsidRDefault="00245787" w:rsidP="00245787">
            <w:pPr>
              <w:spacing w:line="360" w:lineRule="auto"/>
              <w:jc w:val="both"/>
              <w:rPr>
                <w:bCs/>
                <w:sz w:val="24"/>
                <w:szCs w:val="24"/>
              </w:rPr>
            </w:pPr>
            <w:r w:rsidRPr="00245787">
              <w:rPr>
                <w:bCs/>
                <w:sz w:val="24"/>
                <w:szCs w:val="24"/>
              </w:rPr>
              <w:t>This case developed my understanding of safeguarding because the conclusion of the Section 47 enquiry did not resolve Child 2's wider circumstances. Although the allegations against Parent 1 were not substantiated, Child 2's distress and refusal to return home persisted, Parent 1 remained concerned about her ability to manage the associated risks, and the wider family placement ultimately broke down.</w:t>
            </w:r>
          </w:p>
          <w:p w14:paraId="712C0F43" w14:textId="77777777" w:rsidR="00245787" w:rsidRPr="00245787" w:rsidRDefault="00245787" w:rsidP="00245787">
            <w:pPr>
              <w:spacing w:line="360" w:lineRule="auto"/>
              <w:jc w:val="both"/>
              <w:rPr>
                <w:bCs/>
                <w:sz w:val="24"/>
                <w:szCs w:val="24"/>
              </w:rPr>
            </w:pPr>
          </w:p>
          <w:p w14:paraId="42527A05" w14:textId="77777777" w:rsidR="00245787" w:rsidRPr="00245787" w:rsidRDefault="00245787" w:rsidP="00245787">
            <w:pPr>
              <w:spacing w:line="360" w:lineRule="auto"/>
              <w:jc w:val="both"/>
              <w:rPr>
                <w:bCs/>
                <w:sz w:val="24"/>
                <w:szCs w:val="24"/>
              </w:rPr>
            </w:pPr>
            <w:r w:rsidRPr="00245787">
              <w:rPr>
                <w:bCs/>
                <w:sz w:val="24"/>
                <w:szCs w:val="24"/>
              </w:rPr>
              <w:t>I learned that listening to Child 2 did not mean automatically providing their preferred outcome. Rather, it meant understanding what their wish for residential care communicated about their experiences and needs, and ensuring this meaningfully informed my assessment and decision-making.</w:t>
            </w:r>
          </w:p>
          <w:p w14:paraId="711FF53E" w14:textId="77777777" w:rsidR="00245787" w:rsidRPr="00245787" w:rsidRDefault="00245787" w:rsidP="00245787">
            <w:pPr>
              <w:spacing w:line="360" w:lineRule="auto"/>
              <w:jc w:val="both"/>
              <w:rPr>
                <w:bCs/>
                <w:sz w:val="24"/>
                <w:szCs w:val="24"/>
              </w:rPr>
            </w:pPr>
          </w:p>
          <w:p w14:paraId="72104D26" w14:textId="77777777" w:rsidR="00245787" w:rsidRPr="00245787" w:rsidRDefault="00245787" w:rsidP="00245787">
            <w:pPr>
              <w:spacing w:line="360" w:lineRule="auto"/>
              <w:jc w:val="both"/>
              <w:rPr>
                <w:bCs/>
                <w:sz w:val="24"/>
                <w:szCs w:val="24"/>
              </w:rPr>
            </w:pPr>
            <w:r w:rsidRPr="00245787">
              <w:rPr>
                <w:bCs/>
                <w:sz w:val="24"/>
                <w:szCs w:val="24"/>
              </w:rPr>
              <w:t>The case also strengthened my critical use of theory. Attachment, relational and ecological perspectives each helped me understand different aspects of Child 2's circumstances, but none provided a complete explanation in isolation. Contemporary research reinforced the importance of using theory to inform professional curiosity and analysis, rather than allowing theoretical ideas to become fixed labels or assumptions.</w:t>
            </w:r>
          </w:p>
          <w:p w14:paraId="766C8DEF" w14:textId="77777777" w:rsidR="00245787" w:rsidRPr="00245787" w:rsidRDefault="00245787" w:rsidP="00245787">
            <w:pPr>
              <w:spacing w:line="360" w:lineRule="auto"/>
              <w:jc w:val="both"/>
              <w:rPr>
                <w:bCs/>
                <w:sz w:val="24"/>
                <w:szCs w:val="24"/>
              </w:rPr>
            </w:pPr>
          </w:p>
          <w:p w14:paraId="3D8DEFA7" w14:textId="77777777" w:rsidR="00245787" w:rsidRPr="00245787" w:rsidRDefault="00245787" w:rsidP="00245787">
            <w:pPr>
              <w:spacing w:line="360" w:lineRule="auto"/>
              <w:jc w:val="both"/>
              <w:rPr>
                <w:bCs/>
                <w:sz w:val="24"/>
                <w:szCs w:val="24"/>
              </w:rPr>
            </w:pPr>
            <w:r w:rsidRPr="00245787">
              <w:rPr>
                <w:bCs/>
                <w:sz w:val="24"/>
                <w:szCs w:val="24"/>
              </w:rPr>
              <w:lastRenderedPageBreak/>
              <w:t>Multi-agency working was central throughout the intervention. Hospital staff, CAMHS, social care, family members and placement providers each held different information, perspectives and responsibilities. My role was not simply to follow the opinion of the most specialist service or secure professional agreement. Instead, it was to bring together the available evidence, analyse it critically, and formulate a defensible social work assessment while providing appropriate professional challenge where required.</w:t>
            </w:r>
          </w:p>
          <w:p w14:paraId="092FADD1" w14:textId="77777777" w:rsidR="00245787" w:rsidRPr="00245787" w:rsidRDefault="00245787" w:rsidP="00245787">
            <w:pPr>
              <w:spacing w:line="360" w:lineRule="auto"/>
              <w:jc w:val="both"/>
              <w:rPr>
                <w:bCs/>
                <w:sz w:val="24"/>
                <w:szCs w:val="24"/>
              </w:rPr>
            </w:pPr>
          </w:p>
          <w:p w14:paraId="052BDDBB" w14:textId="77777777" w:rsidR="00245787" w:rsidRPr="00245787" w:rsidRDefault="00245787" w:rsidP="00245787">
            <w:pPr>
              <w:spacing w:line="360" w:lineRule="auto"/>
              <w:jc w:val="both"/>
              <w:rPr>
                <w:bCs/>
                <w:sz w:val="24"/>
                <w:szCs w:val="24"/>
              </w:rPr>
            </w:pPr>
            <w:r w:rsidRPr="00245787">
              <w:rPr>
                <w:bCs/>
                <w:sz w:val="24"/>
                <w:szCs w:val="24"/>
              </w:rPr>
              <w:t>The most significant development in my practice was my confidence in holding uncertainty. I was able to advocate for both Child 2's experience and Parent 1's circumstances while recognising that neither provided the whole answer. The eventual therapeutic residential placement reflected my assessment that Child 2 required structure, education, relational stability and therapeutic support, rather than simply an alternative address.</w:t>
            </w:r>
          </w:p>
          <w:p w14:paraId="7EE60840" w14:textId="77777777" w:rsidR="00245787" w:rsidRPr="00245787" w:rsidRDefault="00245787" w:rsidP="00245787">
            <w:pPr>
              <w:spacing w:line="360" w:lineRule="auto"/>
              <w:jc w:val="both"/>
              <w:rPr>
                <w:bCs/>
                <w:sz w:val="24"/>
                <w:szCs w:val="24"/>
              </w:rPr>
            </w:pPr>
          </w:p>
          <w:p w14:paraId="59D77DBA" w14:textId="77777777" w:rsidR="00245787" w:rsidRPr="00245787" w:rsidRDefault="00245787" w:rsidP="00245787">
            <w:pPr>
              <w:spacing w:line="360" w:lineRule="auto"/>
              <w:jc w:val="both"/>
              <w:rPr>
                <w:bCs/>
                <w:sz w:val="24"/>
                <w:szCs w:val="24"/>
              </w:rPr>
            </w:pPr>
            <w:r w:rsidRPr="00245787">
              <w:rPr>
                <w:bCs/>
                <w:sz w:val="24"/>
                <w:szCs w:val="24"/>
              </w:rPr>
              <w:t>Finally, I learned something about my own professional limits. Although I continued to manage the demands of the case and benefitted from management and peer support, I did not fully recognise the cumulative impact that the intensity of the work was having on me. Looking back, additional reflective space may have been helpful in enabling me to process the complexity of the case and consider how the ongoing pressures were influencing my thinking. I now understand supervision and professional support as an essential part of safe and accountable practice. The case strengthened my understanding that good professional judgement relies on evidence, theory, reflection and collaboration, alongside recognising when my own thinking would benefit from support and challenge.</w:t>
            </w:r>
          </w:p>
          <w:p w14:paraId="3AFF39CA" w14:textId="77777777" w:rsidR="00245787" w:rsidRPr="00245787" w:rsidRDefault="00245787" w:rsidP="00245787">
            <w:pPr>
              <w:spacing w:line="360" w:lineRule="auto"/>
              <w:jc w:val="both"/>
              <w:rPr>
                <w:b/>
                <w:sz w:val="24"/>
                <w:szCs w:val="24"/>
              </w:rPr>
            </w:pPr>
          </w:p>
          <w:p w14:paraId="47F21B6A" w14:textId="6C58BF77" w:rsidR="007A628F" w:rsidRPr="003F3695" w:rsidRDefault="00245787" w:rsidP="00245787">
            <w:pPr>
              <w:spacing w:line="360" w:lineRule="auto"/>
              <w:jc w:val="both"/>
              <w:rPr>
                <w:sz w:val="24"/>
                <w:szCs w:val="24"/>
              </w:rPr>
            </w:pPr>
            <w:r w:rsidRPr="00245787">
              <w:rPr>
                <w:b/>
                <w:sz w:val="24"/>
                <w:szCs w:val="24"/>
              </w:rPr>
              <w:t>Word count: 4392</w:t>
            </w: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5C41F" w14:textId="77777777" w:rsidR="00FE2939" w:rsidRDefault="00FE2939">
      <w:r>
        <w:separator/>
      </w:r>
    </w:p>
  </w:endnote>
  <w:endnote w:type="continuationSeparator" w:id="0">
    <w:p w14:paraId="7028D2B2" w14:textId="77777777" w:rsidR="00FE2939" w:rsidRDefault="00FE2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18E57" w14:textId="77777777" w:rsidR="00FE2939" w:rsidRDefault="00FE2939">
      <w:r>
        <w:separator/>
      </w:r>
    </w:p>
  </w:footnote>
  <w:footnote w:type="continuationSeparator" w:id="0">
    <w:p w14:paraId="078A7350" w14:textId="77777777" w:rsidR="00FE2939" w:rsidRDefault="00FE2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83499B"/>
    <w:multiLevelType w:val="multilevel"/>
    <w:tmpl w:val="2232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3AF50CD"/>
    <w:multiLevelType w:val="multilevel"/>
    <w:tmpl w:val="FB2E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4"/>
  </w:num>
  <w:num w:numId="22" w16cid:durableId="352731724">
    <w:abstractNumId w:val="11"/>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2"/>
  </w:num>
  <w:num w:numId="32" w16cid:durableId="1175995731">
    <w:abstractNumId w:val="46"/>
  </w:num>
  <w:num w:numId="33" w16cid:durableId="694232600">
    <w:abstractNumId w:val="40"/>
  </w:num>
  <w:num w:numId="34" w16cid:durableId="1062095063">
    <w:abstractNumId w:val="5"/>
  </w:num>
  <w:num w:numId="35" w16cid:durableId="2051881075">
    <w:abstractNumId w:val="48"/>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640920031">
    <w:abstractNumId w:val="16"/>
  </w:num>
  <w:num w:numId="55" w16cid:durableId="769935101">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4E1"/>
    <w:rsid w:val="00012B16"/>
    <w:rsid w:val="00020EEC"/>
    <w:rsid w:val="0002440E"/>
    <w:rsid w:val="0002759A"/>
    <w:rsid w:val="00027B1F"/>
    <w:rsid w:val="0003088B"/>
    <w:rsid w:val="000325D9"/>
    <w:rsid w:val="000372B2"/>
    <w:rsid w:val="0004079F"/>
    <w:rsid w:val="00043543"/>
    <w:rsid w:val="00044BB8"/>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06A6"/>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197"/>
    <w:rsid w:val="0024288B"/>
    <w:rsid w:val="00243DB0"/>
    <w:rsid w:val="00245787"/>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B3389"/>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3695"/>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D55"/>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016"/>
    <w:rsid w:val="0056684C"/>
    <w:rsid w:val="00574A0C"/>
    <w:rsid w:val="0057780F"/>
    <w:rsid w:val="00581E0A"/>
    <w:rsid w:val="005823B9"/>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5342"/>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096"/>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A56"/>
    <w:rsid w:val="00816CE7"/>
    <w:rsid w:val="008171E4"/>
    <w:rsid w:val="008208EA"/>
    <w:rsid w:val="00822B44"/>
    <w:rsid w:val="00824368"/>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1C95"/>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4F4D"/>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D7BB7"/>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4BEC"/>
    <w:rsid w:val="00A47621"/>
    <w:rsid w:val="00A479CD"/>
    <w:rsid w:val="00A50CFC"/>
    <w:rsid w:val="00A54D67"/>
    <w:rsid w:val="00A555F6"/>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30A0"/>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30C"/>
    <w:rsid w:val="00C23F17"/>
    <w:rsid w:val="00C246F2"/>
    <w:rsid w:val="00C26D0D"/>
    <w:rsid w:val="00C27C95"/>
    <w:rsid w:val="00C300D2"/>
    <w:rsid w:val="00C31A70"/>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2AA0"/>
    <w:rsid w:val="00CB3494"/>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2D6"/>
    <w:rsid w:val="00DC185D"/>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3AA"/>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006"/>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2939"/>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CB2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16</Pages>
  <Words>4755</Words>
  <Characters>27105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Megan Jones</cp:lastModifiedBy>
  <cp:revision>11</cp:revision>
  <cp:lastPrinted>2020-02-11T19:20:00Z</cp:lastPrinted>
  <dcterms:created xsi:type="dcterms:W3CDTF">2026-08-11T09:19:00Z</dcterms:created>
  <dcterms:modified xsi:type="dcterms:W3CDTF">2026-10-06T21:59:00Z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