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22E3B" w14:textId="35888B9D" w:rsidR="00D53648" w:rsidRPr="006C20C5" w:rsidRDefault="00F27EB7">
      <w:r>
        <w:rPr>
          <w:rFonts w:cs="Times New Roman"/>
          <w:noProof/>
          <w:szCs w:val="24"/>
        </w:rPr>
        <w:drawing>
          <wp:inline distT="0" distB="0" distL="0" distR="0" wp14:anchorId="5260C4C0" wp14:editId="6568D4DC">
            <wp:extent cx="3170942" cy="105156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2803" cy="1062126"/>
                    </a:xfrm>
                    <a:prstGeom prst="rect">
                      <a:avLst/>
                    </a:prstGeom>
                    <a:noFill/>
                    <a:ln>
                      <a:noFill/>
                    </a:ln>
                  </pic:spPr>
                </pic:pic>
              </a:graphicData>
            </a:graphic>
          </wp:inline>
        </w:drawing>
      </w:r>
    </w:p>
    <w:p w14:paraId="6E7D9130" w14:textId="77777777" w:rsidR="009824CE" w:rsidRPr="006C20C5" w:rsidRDefault="009824CE"/>
    <w:p w14:paraId="10181CC9" w14:textId="77777777" w:rsidR="009824CE" w:rsidRPr="006C20C5" w:rsidRDefault="009824CE"/>
    <w:p w14:paraId="2934B725" w14:textId="77777777" w:rsidR="009824CE" w:rsidRPr="006C20C5" w:rsidRDefault="009824CE"/>
    <w:p w14:paraId="790F69AA" w14:textId="77777777" w:rsidR="009824CE" w:rsidRPr="006C20C5" w:rsidRDefault="009824CE"/>
    <w:p w14:paraId="6FC65775" w14:textId="77777777" w:rsidR="009824CE" w:rsidRPr="006C20C5" w:rsidRDefault="009824CE"/>
    <w:p w14:paraId="245075B6" w14:textId="77777777" w:rsidR="00F27EB7" w:rsidRPr="009B3D9A" w:rsidRDefault="00F27EB7" w:rsidP="00F27EB7">
      <w:pPr>
        <w:jc w:val="center"/>
        <w:rPr>
          <w:b/>
          <w:bCs/>
        </w:rPr>
      </w:pPr>
      <w:r w:rsidRPr="009B3D9A">
        <w:rPr>
          <w:b/>
          <w:bCs/>
        </w:rPr>
        <w:t>BA BUSINESS MANAGEMENT</w:t>
      </w:r>
    </w:p>
    <w:p w14:paraId="3DC08FA6" w14:textId="77777777" w:rsidR="00F27EB7" w:rsidRDefault="00F27EB7" w:rsidP="00F27EB7">
      <w:pPr>
        <w:jc w:val="center"/>
        <w:rPr>
          <w:b/>
          <w:bCs/>
        </w:rPr>
      </w:pPr>
      <w:r w:rsidRPr="009B3D9A">
        <w:rPr>
          <w:b/>
          <w:bCs/>
        </w:rPr>
        <w:t xml:space="preserve">Assignment </w:t>
      </w:r>
      <w:r>
        <w:rPr>
          <w:b/>
          <w:bCs/>
        </w:rPr>
        <w:t>1</w:t>
      </w:r>
    </w:p>
    <w:p w14:paraId="1F53A68D" w14:textId="77777777" w:rsidR="00F27EB7" w:rsidRDefault="00F27EB7" w:rsidP="00F27EB7">
      <w:pPr>
        <w:jc w:val="center"/>
        <w:rPr>
          <w:b/>
          <w:bCs/>
        </w:rPr>
      </w:pPr>
    </w:p>
    <w:p w14:paraId="6729417E" w14:textId="77777777" w:rsidR="00F27EB7" w:rsidRDefault="00F27EB7" w:rsidP="00F27EB7">
      <w:pPr>
        <w:jc w:val="center"/>
        <w:rPr>
          <w:b/>
          <w:bCs/>
        </w:rPr>
      </w:pPr>
    </w:p>
    <w:p w14:paraId="34C2698C" w14:textId="77777777" w:rsidR="00F27EB7" w:rsidRDefault="00F27EB7" w:rsidP="00F27EB7">
      <w:pPr>
        <w:jc w:val="center"/>
        <w:rPr>
          <w:b/>
          <w:bCs/>
        </w:rPr>
      </w:pPr>
    </w:p>
    <w:p w14:paraId="2157F37B" w14:textId="77777777" w:rsidR="00F27EB7" w:rsidRDefault="00F27EB7" w:rsidP="00F27EB7">
      <w:pPr>
        <w:rPr>
          <w:b/>
          <w:bCs/>
        </w:rPr>
      </w:pPr>
    </w:p>
    <w:p w14:paraId="4624846F" w14:textId="77777777" w:rsidR="00F27EB7" w:rsidRDefault="00F27EB7" w:rsidP="00F27EB7">
      <w:pPr>
        <w:rPr>
          <w:b/>
          <w:bCs/>
        </w:rPr>
      </w:pPr>
    </w:p>
    <w:p w14:paraId="01F96C7F" w14:textId="77777777" w:rsidR="00F27EB7" w:rsidRDefault="00F27EB7" w:rsidP="00F27EB7">
      <w:pPr>
        <w:rPr>
          <w:b/>
          <w:bCs/>
        </w:rPr>
      </w:pPr>
    </w:p>
    <w:p w14:paraId="58C3F344" w14:textId="1064173E" w:rsidR="00F27EB7" w:rsidRPr="009B3D9A" w:rsidRDefault="00F27EB7" w:rsidP="00F27EB7">
      <w:r w:rsidRPr="009B3D9A">
        <w:rPr>
          <w:b/>
          <w:bCs/>
        </w:rPr>
        <w:t>Module</w:t>
      </w:r>
      <w:r w:rsidRPr="009B3D9A">
        <w:t>:</w:t>
      </w:r>
      <w:r>
        <w:t xml:space="preserve"> Management Economics</w:t>
      </w:r>
    </w:p>
    <w:p w14:paraId="70585B35" w14:textId="23F5B3AA" w:rsidR="00F27EB7" w:rsidRPr="004F7AB2" w:rsidRDefault="00F27EB7" w:rsidP="00F27EB7">
      <w:r w:rsidRPr="00E50DC2">
        <w:rPr>
          <w:b/>
          <w:bCs/>
        </w:rPr>
        <w:t>Code:</w:t>
      </w:r>
      <w:r w:rsidRPr="004F7AB2">
        <w:t xml:space="preserve"> LCBB</w:t>
      </w:r>
      <w:r>
        <w:t>5008</w:t>
      </w:r>
    </w:p>
    <w:p w14:paraId="08AFF97E" w14:textId="6B0B57AD" w:rsidR="00F27EB7" w:rsidRPr="00E50DC2" w:rsidRDefault="00F27EB7" w:rsidP="00F27EB7">
      <w:r w:rsidRPr="009B3D9A">
        <w:rPr>
          <w:b/>
          <w:bCs/>
        </w:rPr>
        <w:t>Lecturer</w:t>
      </w:r>
      <w:r w:rsidRPr="009B3D9A">
        <w:t>:</w:t>
      </w:r>
      <w:r>
        <w:t xml:space="preserve"> Dr Timothy </w:t>
      </w:r>
      <w:proofErr w:type="spellStart"/>
      <w:r>
        <w:t>Osadiya</w:t>
      </w:r>
      <w:proofErr w:type="spellEnd"/>
    </w:p>
    <w:p w14:paraId="6203065A" w14:textId="77777777" w:rsidR="00F27EB7" w:rsidRPr="00F82ABD" w:rsidRDefault="00F27EB7" w:rsidP="00F27EB7">
      <w:pPr>
        <w:tabs>
          <w:tab w:val="left" w:pos="1224"/>
        </w:tabs>
      </w:pPr>
      <w:r w:rsidRPr="009B3D9A">
        <w:rPr>
          <w:b/>
          <w:bCs/>
        </w:rPr>
        <w:t xml:space="preserve">Name: </w:t>
      </w:r>
      <w:r w:rsidRPr="00051A60">
        <w:t>Tanya Garabinska</w:t>
      </w:r>
    </w:p>
    <w:p w14:paraId="291791A6" w14:textId="77777777" w:rsidR="00F27EB7" w:rsidRPr="009B3D9A" w:rsidRDefault="00F27EB7" w:rsidP="00F27EB7">
      <w:pPr>
        <w:rPr>
          <w:b/>
          <w:bCs/>
        </w:rPr>
      </w:pPr>
      <w:r w:rsidRPr="009B3D9A">
        <w:rPr>
          <w:b/>
          <w:bCs/>
        </w:rPr>
        <w:t>Student ID:</w:t>
      </w:r>
      <w:r w:rsidRPr="00F82ABD">
        <w:t>2129044</w:t>
      </w:r>
    </w:p>
    <w:p w14:paraId="083B56D0" w14:textId="77777777" w:rsidR="00F27EB7" w:rsidRDefault="00F27EB7" w:rsidP="00F27EB7">
      <w:pPr>
        <w:spacing w:line="480" w:lineRule="auto"/>
        <w:jc w:val="center"/>
      </w:pPr>
    </w:p>
    <w:p w14:paraId="677E244E" w14:textId="77777777" w:rsidR="00F27EB7" w:rsidRDefault="00F27EB7" w:rsidP="00F27EB7">
      <w:pPr>
        <w:spacing w:line="480" w:lineRule="auto"/>
        <w:jc w:val="center"/>
      </w:pPr>
    </w:p>
    <w:p w14:paraId="6D43ADC2" w14:textId="77777777" w:rsidR="00F27EB7" w:rsidRDefault="00F27EB7" w:rsidP="00F27EB7">
      <w:pPr>
        <w:spacing w:line="480" w:lineRule="auto"/>
        <w:jc w:val="center"/>
      </w:pPr>
    </w:p>
    <w:p w14:paraId="586DDB1E" w14:textId="33F15E50" w:rsidR="00F27EB7" w:rsidRDefault="00F27EB7" w:rsidP="00F27EB7">
      <w:pPr>
        <w:jc w:val="center"/>
        <w:rPr>
          <w:b/>
          <w:bCs/>
        </w:rPr>
      </w:pPr>
      <w:r w:rsidRPr="009B3D9A">
        <w:rPr>
          <w:b/>
          <w:bCs/>
        </w:rPr>
        <w:t xml:space="preserve">SUBMITTED ON THE </w:t>
      </w:r>
      <w:r>
        <w:rPr>
          <w:b/>
          <w:bCs/>
        </w:rPr>
        <w:t>30</w:t>
      </w:r>
      <w:r w:rsidRPr="00F27EB7">
        <w:rPr>
          <w:b/>
          <w:bCs/>
          <w:vertAlign w:val="superscript"/>
        </w:rPr>
        <w:t>th</w:t>
      </w:r>
      <w:r>
        <w:rPr>
          <w:b/>
          <w:bCs/>
        </w:rPr>
        <w:t xml:space="preserve"> of April 2024</w:t>
      </w:r>
    </w:p>
    <w:p w14:paraId="097C009E" w14:textId="77777777" w:rsidR="00F27EB7" w:rsidRDefault="00F27EB7" w:rsidP="00F27EB7">
      <w:pPr>
        <w:jc w:val="center"/>
        <w:rPr>
          <w:b/>
          <w:bCs/>
        </w:rPr>
      </w:pPr>
    </w:p>
    <w:p w14:paraId="75306465" w14:textId="77777777" w:rsidR="00F27EB7" w:rsidRDefault="00F27EB7" w:rsidP="00F27EB7">
      <w:pPr>
        <w:jc w:val="center"/>
        <w:rPr>
          <w:rFonts w:ascii="Arial" w:hAnsi="Arial" w:cs="Arial"/>
        </w:rPr>
      </w:pPr>
    </w:p>
    <w:p w14:paraId="2D140611" w14:textId="77777777" w:rsidR="00D53648" w:rsidRPr="006C20C5" w:rsidRDefault="00D53648" w:rsidP="00D53648">
      <w:pPr>
        <w:jc w:val="both"/>
      </w:pPr>
    </w:p>
    <w:p w14:paraId="065AB3FE" w14:textId="3CB1A052" w:rsidR="00AA19DA" w:rsidRPr="000D63A2" w:rsidRDefault="00845479" w:rsidP="000D63A2">
      <w:pPr>
        <w:spacing w:line="360" w:lineRule="auto"/>
        <w:jc w:val="both"/>
        <w:rPr>
          <w:rFonts w:ascii="Arial" w:hAnsi="Arial" w:cs="Arial"/>
          <w:sz w:val="22"/>
        </w:rPr>
      </w:pPr>
      <w:r w:rsidRPr="000D63A2">
        <w:rPr>
          <w:rFonts w:ascii="Arial" w:hAnsi="Arial" w:cs="Arial"/>
          <w:sz w:val="22"/>
        </w:rPr>
        <w:lastRenderedPageBreak/>
        <w:t>The COVID-19 virus incident has severely affected the work of overseas supply chains and has greatly caused global economic problems and predicaments. The negative impacts of the pandemic highlight the weaknesses inherent in the global trade and shipping system, as shown by the current cases of shortages and the disturbances in balancing demand and supply (Ivanov, 2020). Furthermore, consumer demand was triggered by the pandemic, which seems to have pushed people to buy more goods than services, and thus, lots of goods were stocked or sold, though people had to pay much for a few products (Shih, 2020). This essay will examine the key economic concepts to help deepen our comprehension of the topics, which include the consequences of COVID-19 and other similar disruptions in the future.</w:t>
      </w:r>
    </w:p>
    <w:p w14:paraId="7DA48040" w14:textId="4CE7CB1E" w:rsidR="008B1D84" w:rsidRPr="000D63A2" w:rsidRDefault="00AA19DA" w:rsidP="000D63A2">
      <w:pPr>
        <w:spacing w:line="360" w:lineRule="auto"/>
        <w:jc w:val="both"/>
        <w:rPr>
          <w:rFonts w:ascii="Arial" w:hAnsi="Arial" w:cs="Arial"/>
          <w:sz w:val="22"/>
        </w:rPr>
      </w:pPr>
      <w:r w:rsidRPr="000D63A2">
        <w:rPr>
          <w:rFonts w:ascii="Arial" w:hAnsi="Arial" w:cs="Arial"/>
          <w:sz w:val="22"/>
        </w:rPr>
        <w:t xml:space="preserve">The case in this context exposes some principal economic issues that arose throughout the COVID-19 pandemic, with adverse effects on business and the economy worldwide. With a significant number of drivers leaving the job, problems connected with supply shortages were enlarged. The labour shortage also didn’t help to remedy this. The representation that lack of human labour was one of the main issues experienced across almost all areas shown in Figure 1, like at the sector level, </w:t>
      </w:r>
      <w:r w:rsidR="00F27EB7" w:rsidRPr="000D63A2">
        <w:rPr>
          <w:rFonts w:ascii="Arial" w:hAnsi="Arial" w:cs="Arial"/>
          <w:sz w:val="22"/>
        </w:rPr>
        <w:t>transportation,</w:t>
      </w:r>
      <w:r w:rsidRPr="000D63A2">
        <w:rPr>
          <w:rFonts w:ascii="Arial" w:hAnsi="Arial" w:cs="Arial"/>
          <w:sz w:val="22"/>
        </w:rPr>
        <w:t xml:space="preserve"> and logistics, for example, were affected. The high number of EU drivers who quit their jobs in the UK has been responsible for the disruption of deliveries to petrol stations and some of the country's basic services as replacing them has been somehow complicated due to issues like Brexit and COVID-19. Similarly, a lack of demand was often due to a rising consumer desire for tangible items of need and want, which at times evoked a return to panic buying. </w:t>
      </w:r>
      <w:r w:rsidR="00786446" w:rsidRPr="000D63A2">
        <w:rPr>
          <w:rFonts w:ascii="Arial" w:hAnsi="Arial" w:cs="Arial"/>
          <w:sz w:val="22"/>
        </w:rPr>
        <w:t>Figure</w:t>
      </w:r>
      <w:r w:rsidRPr="000D63A2">
        <w:rPr>
          <w:rFonts w:ascii="Arial" w:hAnsi="Arial" w:cs="Arial"/>
          <w:sz w:val="22"/>
        </w:rPr>
        <w:t xml:space="preserve"> </w:t>
      </w:r>
      <w:r w:rsidR="00396240" w:rsidRPr="000D63A2">
        <w:rPr>
          <w:rFonts w:ascii="Arial" w:hAnsi="Arial" w:cs="Arial"/>
          <w:sz w:val="22"/>
        </w:rPr>
        <w:t>1</w:t>
      </w:r>
      <w:r w:rsidRPr="000D63A2">
        <w:rPr>
          <w:rFonts w:ascii="Arial" w:hAnsi="Arial" w:cs="Arial"/>
          <w:sz w:val="22"/>
        </w:rPr>
        <w:t xml:space="preserve"> is a manifestation of the movement from services to goods, which is one of the new trends in a pandemic setting (Shih, 2020). With service-oriented businesses forced to close due to lockdowns and restrictions, most people have rerouted their spending towards goods. This has led to a drastic shift, with some products experiencing unexpected spikes in demand (Ivanov, 2020). The demand outweighed the supply even more because consumers hoarded foods, which worsened the situation and prolonged disruptions in the supply chains (Aday </w:t>
      </w:r>
      <w:r w:rsidR="00786446" w:rsidRPr="000D63A2">
        <w:rPr>
          <w:rFonts w:ascii="Arial" w:hAnsi="Arial" w:cs="Arial"/>
          <w:sz w:val="22"/>
        </w:rPr>
        <w:t>and</w:t>
      </w:r>
      <w:r w:rsidRPr="000D63A2">
        <w:rPr>
          <w:rFonts w:ascii="Arial" w:hAnsi="Arial" w:cs="Arial"/>
          <w:sz w:val="22"/>
        </w:rPr>
        <w:t xml:space="preserve"> Aday, 2020). The effects of this trend did</w:t>
      </w:r>
      <w:r w:rsidR="00A15F58" w:rsidRPr="000D63A2">
        <w:rPr>
          <w:rFonts w:ascii="Arial" w:hAnsi="Arial" w:cs="Arial"/>
          <w:sz w:val="22"/>
        </w:rPr>
        <w:t xml:space="preserve"> not</w:t>
      </w:r>
      <w:r w:rsidRPr="000D63A2">
        <w:rPr>
          <w:rFonts w:ascii="Arial" w:hAnsi="Arial" w:cs="Arial"/>
          <w:sz w:val="22"/>
        </w:rPr>
        <w:t xml:space="preserve"> come directly from supply and demand shocks; they affected international supply chains, which kept spreading disruption and pressure on businesses.</w:t>
      </w:r>
      <w:r w:rsidR="00703D22" w:rsidRPr="000D63A2">
        <w:rPr>
          <w:rFonts w:ascii="Arial" w:hAnsi="Arial" w:cs="Arial"/>
          <w:sz w:val="22"/>
        </w:rPr>
        <w:t xml:space="preserve"> </w:t>
      </w:r>
      <w:r w:rsidRPr="000D63A2">
        <w:rPr>
          <w:rFonts w:ascii="Arial" w:hAnsi="Arial" w:cs="Arial"/>
          <w:sz w:val="22"/>
        </w:rPr>
        <w:t xml:space="preserve">The global supply networks underwent a major test situation owing to the problems of </w:t>
      </w:r>
      <w:r w:rsidR="006C20C5" w:rsidRPr="000D63A2">
        <w:rPr>
          <w:rFonts w:ascii="Arial" w:hAnsi="Arial" w:cs="Arial"/>
          <w:sz w:val="22"/>
        </w:rPr>
        <w:t>businesses'</w:t>
      </w:r>
      <w:r w:rsidRPr="000D63A2">
        <w:rPr>
          <w:rFonts w:ascii="Arial" w:hAnsi="Arial" w:cs="Arial"/>
          <w:sz w:val="22"/>
        </w:rPr>
        <w:t xml:space="preserve"> procurement of all raw materials, intermediate goods, and finished goods from different sources (Guan et al., 2020). Another economic issue that was observed was the increasing oil prices, which we can see from </w:t>
      </w:r>
      <w:r w:rsidR="00786446" w:rsidRPr="000D63A2">
        <w:rPr>
          <w:rFonts w:ascii="Arial" w:hAnsi="Arial" w:cs="Arial"/>
          <w:sz w:val="22"/>
        </w:rPr>
        <w:t>Figure</w:t>
      </w:r>
      <w:r w:rsidR="008525D2" w:rsidRPr="000D63A2">
        <w:rPr>
          <w:rFonts w:ascii="Arial" w:hAnsi="Arial" w:cs="Arial"/>
          <w:sz w:val="22"/>
        </w:rPr>
        <w:t xml:space="preserve"> 3. </w:t>
      </w:r>
      <w:r w:rsidR="006C20C5" w:rsidRPr="000D63A2">
        <w:rPr>
          <w:rFonts w:ascii="Arial" w:hAnsi="Arial" w:cs="Arial"/>
          <w:sz w:val="22"/>
        </w:rPr>
        <w:t>Driver</w:t>
      </w:r>
      <w:r w:rsidRPr="000D63A2">
        <w:rPr>
          <w:rFonts w:ascii="Arial" w:hAnsi="Arial" w:cs="Arial"/>
          <w:sz w:val="22"/>
        </w:rPr>
        <w:t xml:space="preserve"> scarcity, which was responsible for the upsurge </w:t>
      </w:r>
      <w:r w:rsidR="009A6A4A" w:rsidRPr="000D63A2">
        <w:rPr>
          <w:rFonts w:ascii="Arial" w:hAnsi="Arial" w:cs="Arial"/>
          <w:sz w:val="22"/>
        </w:rPr>
        <w:t>in</w:t>
      </w:r>
      <w:r w:rsidRPr="000D63A2">
        <w:rPr>
          <w:rFonts w:ascii="Arial" w:hAnsi="Arial" w:cs="Arial"/>
          <w:sz w:val="22"/>
        </w:rPr>
        <w:t xml:space="preserve"> fuel prices, built a universal pressure that affected every sector and industry in </w:t>
      </w:r>
      <w:r w:rsidR="00F27EB7" w:rsidRPr="000D63A2">
        <w:rPr>
          <w:rFonts w:ascii="Arial" w:hAnsi="Arial" w:cs="Arial"/>
          <w:sz w:val="22"/>
        </w:rPr>
        <w:t>society</w:t>
      </w:r>
      <w:r w:rsidRPr="000D63A2">
        <w:rPr>
          <w:rFonts w:ascii="Arial" w:hAnsi="Arial" w:cs="Arial"/>
          <w:sz w:val="22"/>
        </w:rPr>
        <w:t xml:space="preserve">. Greater fuel prices led to the expenses of running companies going up; such businesses may feel the heat on their income </w:t>
      </w:r>
      <w:r w:rsidR="00F27EB7" w:rsidRPr="000D63A2">
        <w:rPr>
          <w:rFonts w:ascii="Arial" w:hAnsi="Arial" w:cs="Arial"/>
          <w:sz w:val="22"/>
        </w:rPr>
        <w:t>and</w:t>
      </w:r>
      <w:r w:rsidRPr="000D63A2">
        <w:rPr>
          <w:rFonts w:ascii="Arial" w:hAnsi="Arial" w:cs="Arial"/>
          <w:sz w:val="22"/>
        </w:rPr>
        <w:t xml:space="preserve"> their ability to compete in the market. </w:t>
      </w:r>
      <w:r w:rsidRPr="000D63A2">
        <w:rPr>
          <w:rFonts w:ascii="Arial" w:hAnsi="Arial" w:cs="Arial"/>
          <w:sz w:val="22"/>
        </w:rPr>
        <w:lastRenderedPageBreak/>
        <w:t xml:space="preserve">In addition, the case study mentions economic difficulties, for example, on account of high lending fees, potential bankruptcies, Brexit, and unemployment-supporting schemes. As some companies confront difficulties like halted cash flow or a depressed cash flow stream, they are required to borrow money to meet their operating expenses and soaring living costs (Aday </w:t>
      </w:r>
      <w:r w:rsidR="00786446" w:rsidRPr="000D63A2">
        <w:rPr>
          <w:rFonts w:ascii="Arial" w:hAnsi="Arial" w:cs="Arial"/>
          <w:sz w:val="22"/>
        </w:rPr>
        <w:t>and</w:t>
      </w:r>
      <w:r w:rsidRPr="000D63A2">
        <w:rPr>
          <w:rFonts w:ascii="Arial" w:hAnsi="Arial" w:cs="Arial"/>
          <w:sz w:val="22"/>
        </w:rPr>
        <w:t xml:space="preserve"> Aday, 2020). Nevertheless, extravagant debt service may have been a leading factor that intensified financial hardship, which in turn led to insolvency or bankruptcy for numerous companies. While historical events such as Brexit and the closure of the furlough scheme did not help with the situation, businesses and people faced a lot of economic difficulties</w:t>
      </w:r>
      <w:r w:rsidR="003037F1" w:rsidRPr="000D63A2">
        <w:rPr>
          <w:rFonts w:ascii="Arial" w:hAnsi="Arial" w:cs="Arial"/>
          <w:sz w:val="22"/>
        </w:rPr>
        <w:t>.</w:t>
      </w:r>
    </w:p>
    <w:p w14:paraId="39CE4579" w14:textId="49BE091B" w:rsidR="00E162E7" w:rsidRPr="000D63A2" w:rsidRDefault="008B1D84" w:rsidP="000D63A2">
      <w:pPr>
        <w:spacing w:line="360" w:lineRule="auto"/>
        <w:jc w:val="both"/>
        <w:rPr>
          <w:rFonts w:ascii="Arial" w:hAnsi="Arial" w:cs="Arial"/>
          <w:sz w:val="22"/>
        </w:rPr>
      </w:pPr>
      <w:r w:rsidRPr="000D63A2">
        <w:rPr>
          <w:rFonts w:ascii="Arial" w:hAnsi="Arial" w:cs="Arial"/>
          <w:noProof/>
          <w:sz w:val="22"/>
        </w:rPr>
        <w:drawing>
          <wp:inline distT="0" distB="0" distL="0" distR="0" wp14:anchorId="40CEF7EE" wp14:editId="32D3E3BA">
            <wp:extent cx="5629275" cy="3385650"/>
            <wp:effectExtent l="0" t="0" r="0" b="5715"/>
            <wp:docPr id="15803877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387781" name="Picture 1580387781"/>
                    <pic:cNvPicPr/>
                  </pic:nvPicPr>
                  <pic:blipFill rotWithShape="1">
                    <a:blip r:embed="rId9">
                      <a:extLst>
                        <a:ext uri="{28A0092B-C50C-407E-A947-70E740481C1C}">
                          <a14:useLocalDpi xmlns:a14="http://schemas.microsoft.com/office/drawing/2010/main" val="0"/>
                        </a:ext>
                      </a:extLst>
                    </a:blip>
                    <a:srcRect t="14540"/>
                    <a:stretch/>
                  </pic:blipFill>
                  <pic:spPr bwMode="auto">
                    <a:xfrm>
                      <a:off x="0" y="0"/>
                      <a:ext cx="5629275" cy="3385650"/>
                    </a:xfrm>
                    <a:prstGeom prst="rect">
                      <a:avLst/>
                    </a:prstGeom>
                    <a:ln>
                      <a:noFill/>
                    </a:ln>
                    <a:extLst>
                      <a:ext uri="{53640926-AAD7-44D8-BBD7-CCE9431645EC}">
                        <a14:shadowObscured xmlns:a14="http://schemas.microsoft.com/office/drawing/2010/main"/>
                      </a:ext>
                    </a:extLst>
                  </pic:spPr>
                </pic:pic>
              </a:graphicData>
            </a:graphic>
          </wp:inline>
        </w:drawing>
      </w:r>
    </w:p>
    <w:p w14:paraId="4A32E81A" w14:textId="2339D439" w:rsidR="008B1D84" w:rsidRPr="000D63A2" w:rsidRDefault="00786446" w:rsidP="000D63A2">
      <w:pPr>
        <w:spacing w:line="360" w:lineRule="auto"/>
        <w:jc w:val="center"/>
        <w:rPr>
          <w:rFonts w:ascii="Arial" w:hAnsi="Arial" w:cs="Arial"/>
          <w:b/>
          <w:bCs/>
          <w:color w:val="000000"/>
          <w:sz w:val="22"/>
        </w:rPr>
      </w:pPr>
      <w:r w:rsidRPr="000D63A2">
        <w:rPr>
          <w:rFonts w:ascii="Arial" w:hAnsi="Arial" w:cs="Arial"/>
          <w:b/>
          <w:bCs/>
          <w:sz w:val="22"/>
        </w:rPr>
        <w:t>Figure</w:t>
      </w:r>
      <w:r w:rsidR="00E162E7" w:rsidRPr="000D63A2">
        <w:rPr>
          <w:rFonts w:ascii="Arial" w:hAnsi="Arial" w:cs="Arial"/>
          <w:b/>
          <w:bCs/>
          <w:sz w:val="22"/>
        </w:rPr>
        <w:t xml:space="preserve"> 1</w:t>
      </w:r>
      <w:r w:rsidRPr="000D63A2">
        <w:rPr>
          <w:rFonts w:ascii="Arial" w:hAnsi="Arial" w:cs="Arial"/>
          <w:b/>
          <w:bCs/>
          <w:sz w:val="22"/>
        </w:rPr>
        <w:t>: S</w:t>
      </w:r>
      <w:r w:rsidR="00976477" w:rsidRPr="000D63A2">
        <w:rPr>
          <w:rFonts w:ascii="Arial" w:hAnsi="Arial" w:cs="Arial"/>
          <w:b/>
          <w:bCs/>
          <w:sz w:val="22"/>
        </w:rPr>
        <w:t>hift in consumer demand from services to goods</w:t>
      </w:r>
      <w:r w:rsidRPr="000D63A2">
        <w:rPr>
          <w:rFonts w:ascii="Arial" w:hAnsi="Arial" w:cs="Arial"/>
          <w:b/>
          <w:bCs/>
          <w:sz w:val="22"/>
        </w:rPr>
        <w:t xml:space="preserve"> </w:t>
      </w:r>
      <w:r w:rsidR="00976477" w:rsidRPr="000D63A2">
        <w:rPr>
          <w:rFonts w:ascii="Arial" w:hAnsi="Arial" w:cs="Arial"/>
          <w:b/>
          <w:bCs/>
          <w:color w:val="000000"/>
          <w:sz w:val="22"/>
        </w:rPr>
        <w:t>(Lee </w:t>
      </w:r>
      <w:r w:rsidR="00976477" w:rsidRPr="000D63A2">
        <w:rPr>
          <w:rFonts w:ascii="Arial" w:hAnsi="Arial" w:cs="Arial"/>
          <w:b/>
          <w:bCs/>
          <w:i/>
          <w:iCs/>
          <w:color w:val="000000"/>
          <w:sz w:val="22"/>
        </w:rPr>
        <w:t>et al.</w:t>
      </w:r>
      <w:r w:rsidR="00976477" w:rsidRPr="000D63A2">
        <w:rPr>
          <w:rFonts w:ascii="Arial" w:hAnsi="Arial" w:cs="Arial"/>
          <w:b/>
          <w:bCs/>
          <w:color w:val="000000"/>
          <w:sz w:val="22"/>
        </w:rPr>
        <w:t>, 2022)</w:t>
      </w:r>
    </w:p>
    <w:p w14:paraId="6B42EAFB" w14:textId="73641C23" w:rsidR="008525D2" w:rsidRPr="000D63A2" w:rsidRDefault="00E162E7" w:rsidP="000D63A2">
      <w:pPr>
        <w:spacing w:line="360" w:lineRule="auto"/>
        <w:jc w:val="center"/>
        <w:rPr>
          <w:rFonts w:ascii="Arial" w:hAnsi="Arial" w:cs="Arial"/>
          <w:sz w:val="22"/>
        </w:rPr>
      </w:pPr>
      <w:r w:rsidRPr="000D63A2">
        <w:rPr>
          <w:rFonts w:ascii="Arial" w:hAnsi="Arial" w:cs="Arial"/>
          <w:noProof/>
          <w:sz w:val="22"/>
        </w:rPr>
        <w:lastRenderedPageBreak/>
        <w:drawing>
          <wp:inline distT="0" distB="0" distL="0" distR="0" wp14:anchorId="78A27280" wp14:editId="0CB77287">
            <wp:extent cx="5591175" cy="3324240"/>
            <wp:effectExtent l="0" t="0" r="0" b="9525"/>
            <wp:docPr id="6859781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978179" name="Picture 685978179"/>
                    <pic:cNvPicPr/>
                  </pic:nvPicPr>
                  <pic:blipFill>
                    <a:blip r:embed="rId10">
                      <a:extLst>
                        <a:ext uri="{28A0092B-C50C-407E-A947-70E740481C1C}">
                          <a14:useLocalDpi xmlns:a14="http://schemas.microsoft.com/office/drawing/2010/main" val="0"/>
                        </a:ext>
                      </a:extLst>
                    </a:blip>
                    <a:stretch>
                      <a:fillRect/>
                    </a:stretch>
                  </pic:blipFill>
                  <pic:spPr>
                    <a:xfrm>
                      <a:off x="0" y="0"/>
                      <a:ext cx="5591175" cy="3324240"/>
                    </a:xfrm>
                    <a:prstGeom prst="rect">
                      <a:avLst/>
                    </a:prstGeom>
                  </pic:spPr>
                </pic:pic>
              </a:graphicData>
            </a:graphic>
          </wp:inline>
        </w:drawing>
      </w:r>
      <w:r w:rsidR="00786446" w:rsidRPr="000D63A2">
        <w:rPr>
          <w:rFonts w:ascii="Arial" w:hAnsi="Arial" w:cs="Arial"/>
          <w:b/>
          <w:bCs/>
          <w:sz w:val="22"/>
        </w:rPr>
        <w:t>Figure</w:t>
      </w:r>
      <w:r w:rsidRPr="000D63A2">
        <w:rPr>
          <w:rFonts w:ascii="Arial" w:hAnsi="Arial" w:cs="Arial"/>
          <w:b/>
          <w:bCs/>
          <w:sz w:val="22"/>
        </w:rPr>
        <w:t xml:space="preserve"> 2</w:t>
      </w:r>
      <w:r w:rsidR="00976477" w:rsidRPr="000D63A2">
        <w:rPr>
          <w:rFonts w:ascii="Arial" w:hAnsi="Arial" w:cs="Arial"/>
          <w:b/>
          <w:bCs/>
          <w:sz w:val="22"/>
        </w:rPr>
        <w:t xml:space="preserve">: Global Supply Chain Pressure Index </w:t>
      </w:r>
      <w:r w:rsidR="00976477" w:rsidRPr="000D63A2">
        <w:rPr>
          <w:rFonts w:ascii="Arial" w:hAnsi="Arial" w:cs="Arial"/>
          <w:b/>
          <w:bCs/>
          <w:color w:val="000000"/>
          <w:sz w:val="22"/>
        </w:rPr>
        <w:t>(Ying, 2022)</w:t>
      </w:r>
    </w:p>
    <w:p w14:paraId="76FF3FCF" w14:textId="77777777" w:rsidR="008525D2" w:rsidRPr="000D63A2" w:rsidRDefault="008525D2" w:rsidP="000D63A2">
      <w:pPr>
        <w:spacing w:line="360" w:lineRule="auto"/>
        <w:jc w:val="both"/>
        <w:rPr>
          <w:rFonts w:ascii="Arial" w:hAnsi="Arial" w:cs="Arial"/>
          <w:sz w:val="22"/>
        </w:rPr>
      </w:pPr>
    </w:p>
    <w:p w14:paraId="384BC448" w14:textId="3149CB0B" w:rsidR="00E162E7" w:rsidRPr="000D63A2" w:rsidRDefault="00E162E7" w:rsidP="000D63A2">
      <w:pPr>
        <w:spacing w:line="360" w:lineRule="auto"/>
        <w:jc w:val="both"/>
        <w:rPr>
          <w:rFonts w:ascii="Arial" w:hAnsi="Arial" w:cs="Arial"/>
          <w:b/>
          <w:bCs/>
          <w:sz w:val="22"/>
        </w:rPr>
      </w:pPr>
      <w:r w:rsidRPr="000D63A2">
        <w:rPr>
          <w:rFonts w:ascii="Arial" w:hAnsi="Arial" w:cs="Arial"/>
          <w:noProof/>
          <w:sz w:val="22"/>
        </w:rPr>
        <w:drawing>
          <wp:inline distT="0" distB="0" distL="0" distR="0" wp14:anchorId="00EC3135" wp14:editId="308A3791">
            <wp:extent cx="5943600" cy="3625215"/>
            <wp:effectExtent l="0" t="0" r="0" b="0"/>
            <wp:docPr id="4426010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601058" name="Picture 442601058"/>
                    <pic:cNvPicPr/>
                  </pic:nvPicPr>
                  <pic:blipFill>
                    <a:blip r:embed="rId11">
                      <a:extLst>
                        <a:ext uri="{28A0092B-C50C-407E-A947-70E740481C1C}">
                          <a14:useLocalDpi xmlns:a14="http://schemas.microsoft.com/office/drawing/2010/main" val="0"/>
                        </a:ext>
                      </a:extLst>
                    </a:blip>
                    <a:stretch>
                      <a:fillRect/>
                    </a:stretch>
                  </pic:blipFill>
                  <pic:spPr>
                    <a:xfrm>
                      <a:off x="0" y="0"/>
                      <a:ext cx="5943600" cy="3625215"/>
                    </a:xfrm>
                    <a:prstGeom prst="rect">
                      <a:avLst/>
                    </a:prstGeom>
                  </pic:spPr>
                </pic:pic>
              </a:graphicData>
            </a:graphic>
          </wp:inline>
        </w:drawing>
      </w:r>
    </w:p>
    <w:p w14:paraId="60977DBC" w14:textId="7CFE8CD6" w:rsidR="008525D2" w:rsidRPr="000D63A2" w:rsidRDefault="00786446" w:rsidP="000D63A2">
      <w:pPr>
        <w:spacing w:line="360" w:lineRule="auto"/>
        <w:jc w:val="center"/>
        <w:rPr>
          <w:rFonts w:ascii="Arial" w:hAnsi="Arial" w:cs="Arial"/>
          <w:b/>
          <w:bCs/>
          <w:sz w:val="22"/>
        </w:rPr>
      </w:pPr>
      <w:r w:rsidRPr="000D63A2">
        <w:rPr>
          <w:rFonts w:ascii="Arial" w:hAnsi="Arial" w:cs="Arial"/>
          <w:b/>
          <w:bCs/>
          <w:sz w:val="22"/>
        </w:rPr>
        <w:t>Figure</w:t>
      </w:r>
      <w:r w:rsidR="008525D2" w:rsidRPr="000D63A2">
        <w:rPr>
          <w:rFonts w:ascii="Arial" w:hAnsi="Arial" w:cs="Arial"/>
          <w:b/>
          <w:bCs/>
          <w:sz w:val="22"/>
        </w:rPr>
        <w:t xml:space="preserve"> 3</w:t>
      </w:r>
      <w:r w:rsidR="005F1687" w:rsidRPr="000D63A2">
        <w:rPr>
          <w:rFonts w:ascii="Arial" w:hAnsi="Arial" w:cs="Arial"/>
          <w:b/>
          <w:bCs/>
          <w:sz w:val="22"/>
        </w:rPr>
        <w:t xml:space="preserve">: </w:t>
      </w:r>
      <w:r w:rsidR="00AB14DA" w:rsidRPr="000D63A2">
        <w:rPr>
          <w:rFonts w:ascii="Arial" w:hAnsi="Arial" w:cs="Arial"/>
          <w:b/>
          <w:bCs/>
          <w:sz w:val="22"/>
        </w:rPr>
        <w:t>F</w:t>
      </w:r>
      <w:r w:rsidR="005F1687" w:rsidRPr="000D63A2">
        <w:rPr>
          <w:rFonts w:ascii="Arial" w:hAnsi="Arial" w:cs="Arial"/>
          <w:b/>
          <w:bCs/>
          <w:sz w:val="22"/>
        </w:rPr>
        <w:t xml:space="preserve">uel Price </w:t>
      </w:r>
      <w:r w:rsidR="00AB14DA" w:rsidRPr="000D63A2">
        <w:rPr>
          <w:rFonts w:ascii="Arial" w:hAnsi="Arial" w:cs="Arial"/>
          <w:b/>
          <w:bCs/>
          <w:sz w:val="22"/>
        </w:rPr>
        <w:t>Trends During</w:t>
      </w:r>
      <w:r w:rsidR="005F1687" w:rsidRPr="000D63A2">
        <w:rPr>
          <w:rFonts w:ascii="Arial" w:hAnsi="Arial" w:cs="Arial"/>
          <w:b/>
          <w:bCs/>
          <w:sz w:val="22"/>
        </w:rPr>
        <w:t xml:space="preserve"> </w:t>
      </w:r>
      <w:r w:rsidR="00F27EB7" w:rsidRPr="000D63A2">
        <w:rPr>
          <w:rFonts w:ascii="Arial" w:hAnsi="Arial" w:cs="Arial"/>
          <w:b/>
          <w:bCs/>
          <w:sz w:val="22"/>
        </w:rPr>
        <w:t>the</w:t>
      </w:r>
      <w:r w:rsidR="005F1687" w:rsidRPr="000D63A2">
        <w:rPr>
          <w:rFonts w:ascii="Arial" w:hAnsi="Arial" w:cs="Arial"/>
          <w:b/>
          <w:bCs/>
          <w:sz w:val="22"/>
        </w:rPr>
        <w:t xml:space="preserve"> Pandemic </w:t>
      </w:r>
      <w:r w:rsidR="005F1687" w:rsidRPr="000D63A2">
        <w:rPr>
          <w:rFonts w:ascii="Arial" w:hAnsi="Arial" w:cs="Arial"/>
          <w:b/>
          <w:bCs/>
          <w:color w:val="000000"/>
          <w:sz w:val="22"/>
        </w:rPr>
        <w:t>(</w:t>
      </w:r>
      <w:proofErr w:type="spellStart"/>
      <w:r w:rsidR="005F1687" w:rsidRPr="000D63A2">
        <w:rPr>
          <w:rFonts w:ascii="Arial" w:hAnsi="Arial" w:cs="Arial"/>
          <w:b/>
          <w:bCs/>
          <w:color w:val="000000"/>
          <w:sz w:val="22"/>
        </w:rPr>
        <w:t>Mugaloglu</w:t>
      </w:r>
      <w:proofErr w:type="spellEnd"/>
      <w:r w:rsidR="005F1687" w:rsidRPr="000D63A2">
        <w:rPr>
          <w:rFonts w:ascii="Arial" w:hAnsi="Arial" w:cs="Arial"/>
          <w:b/>
          <w:bCs/>
          <w:color w:val="000000"/>
          <w:sz w:val="22"/>
        </w:rPr>
        <w:t>, 2021)</w:t>
      </w:r>
    </w:p>
    <w:p w14:paraId="2D2FB4CE" w14:textId="29BF2101" w:rsidR="008525D2" w:rsidRPr="000D63A2" w:rsidRDefault="008525D2" w:rsidP="000D63A2">
      <w:pPr>
        <w:spacing w:line="360" w:lineRule="auto"/>
        <w:jc w:val="both"/>
        <w:rPr>
          <w:rFonts w:ascii="Arial" w:hAnsi="Arial" w:cs="Arial"/>
          <w:sz w:val="22"/>
        </w:rPr>
      </w:pPr>
      <w:r w:rsidRPr="000D63A2">
        <w:rPr>
          <w:rFonts w:ascii="Arial" w:hAnsi="Arial" w:cs="Arial"/>
          <w:sz w:val="22"/>
        </w:rPr>
        <w:lastRenderedPageBreak/>
        <w:t xml:space="preserve">To solve the economic issues highlighted in this case study, a lot of different approaches may be appropriate, including those of governments, private institutions, as well as all stakeholders. </w:t>
      </w:r>
      <w:r w:rsidR="006C20C5" w:rsidRPr="000D63A2">
        <w:rPr>
          <w:rFonts w:ascii="Arial" w:hAnsi="Arial" w:cs="Arial"/>
          <w:sz w:val="22"/>
        </w:rPr>
        <w:t>Government</w:t>
      </w:r>
      <w:r w:rsidRPr="000D63A2">
        <w:rPr>
          <w:rFonts w:ascii="Arial" w:hAnsi="Arial" w:cs="Arial"/>
          <w:sz w:val="22"/>
        </w:rPr>
        <w:t xml:space="preserve"> intervention is among the most effective approaches which can be carried out via means of regulations, immigration policies, financial aid, and communication. As shown in Reference 5, global governments have channelled a major chunk of their resources to maintain </w:t>
      </w:r>
      <w:r w:rsidR="006C20C5" w:rsidRPr="000D63A2">
        <w:rPr>
          <w:rFonts w:ascii="Arial" w:hAnsi="Arial" w:cs="Arial"/>
          <w:sz w:val="22"/>
        </w:rPr>
        <w:t xml:space="preserve">the </w:t>
      </w:r>
      <w:r w:rsidRPr="000D63A2">
        <w:rPr>
          <w:rFonts w:ascii="Arial" w:hAnsi="Arial" w:cs="Arial"/>
          <w:sz w:val="22"/>
        </w:rPr>
        <w:t xml:space="preserve">smooth functioning of the supply chains and address the challenges caused by the COVID-19 pandemic (OECD, 2021). Some of the approaches used </w:t>
      </w:r>
      <w:r w:rsidR="006C20C5" w:rsidRPr="000D63A2">
        <w:rPr>
          <w:rFonts w:ascii="Arial" w:hAnsi="Arial" w:cs="Arial"/>
          <w:sz w:val="22"/>
        </w:rPr>
        <w:t>may be</w:t>
      </w:r>
      <w:r w:rsidRPr="000D63A2">
        <w:rPr>
          <w:rFonts w:ascii="Arial" w:hAnsi="Arial" w:cs="Arial"/>
          <w:sz w:val="22"/>
        </w:rPr>
        <w:t xml:space="preserve"> suspension of certain rules, leniency on immigration laws to address </w:t>
      </w:r>
      <w:r w:rsidR="006C20C5" w:rsidRPr="000D63A2">
        <w:rPr>
          <w:rFonts w:ascii="Arial" w:hAnsi="Arial" w:cs="Arial"/>
          <w:sz w:val="22"/>
        </w:rPr>
        <w:t>labour</w:t>
      </w:r>
      <w:r w:rsidRPr="000D63A2">
        <w:rPr>
          <w:rFonts w:ascii="Arial" w:hAnsi="Arial" w:cs="Arial"/>
          <w:sz w:val="22"/>
        </w:rPr>
        <w:t xml:space="preserve"> shortages, and conducting financial aid or incentive programs for businesses failing due to supply </w:t>
      </w:r>
      <w:r w:rsidR="006C20C5" w:rsidRPr="000D63A2">
        <w:rPr>
          <w:rFonts w:ascii="Arial" w:hAnsi="Arial" w:cs="Arial"/>
          <w:sz w:val="22"/>
        </w:rPr>
        <w:t>chain</w:t>
      </w:r>
      <w:r w:rsidRPr="000D63A2">
        <w:rPr>
          <w:rFonts w:ascii="Arial" w:hAnsi="Arial" w:cs="Arial"/>
          <w:sz w:val="22"/>
        </w:rPr>
        <w:t xml:space="preserve"> disruption (Institute for Government, 2021). The government has an important role in controlling public expectations, communicating </w:t>
      </w:r>
      <w:r w:rsidR="006C20C5" w:rsidRPr="000D63A2">
        <w:rPr>
          <w:rFonts w:ascii="Arial" w:hAnsi="Arial" w:cs="Arial"/>
          <w:sz w:val="22"/>
        </w:rPr>
        <w:t>with</w:t>
      </w:r>
      <w:r w:rsidRPr="000D63A2">
        <w:rPr>
          <w:rFonts w:ascii="Arial" w:hAnsi="Arial" w:cs="Arial"/>
          <w:sz w:val="22"/>
        </w:rPr>
        <w:t xml:space="preserve"> the </w:t>
      </w:r>
      <w:r w:rsidR="006C20C5" w:rsidRPr="000D63A2">
        <w:rPr>
          <w:rFonts w:ascii="Arial" w:hAnsi="Arial" w:cs="Arial"/>
          <w:sz w:val="22"/>
        </w:rPr>
        <w:t>government</w:t>
      </w:r>
      <w:r w:rsidRPr="000D63A2">
        <w:rPr>
          <w:rFonts w:ascii="Arial" w:hAnsi="Arial" w:cs="Arial"/>
          <w:sz w:val="22"/>
        </w:rPr>
        <w:t xml:space="preserve">, as well as addressing </w:t>
      </w:r>
      <w:r w:rsidR="006C20C5" w:rsidRPr="000D63A2">
        <w:rPr>
          <w:rFonts w:ascii="Arial" w:hAnsi="Arial" w:cs="Arial"/>
          <w:sz w:val="22"/>
        </w:rPr>
        <w:t xml:space="preserve">the </w:t>
      </w:r>
      <w:r w:rsidRPr="000D63A2">
        <w:rPr>
          <w:rFonts w:ascii="Arial" w:hAnsi="Arial" w:cs="Arial"/>
          <w:sz w:val="22"/>
        </w:rPr>
        <w:t xml:space="preserve">concerns of the people with appropriate information to prevent panic buying and hoarding (Aday </w:t>
      </w:r>
      <w:r w:rsidR="00786446" w:rsidRPr="000D63A2">
        <w:rPr>
          <w:rFonts w:ascii="Arial" w:hAnsi="Arial" w:cs="Arial"/>
          <w:sz w:val="22"/>
        </w:rPr>
        <w:t>and</w:t>
      </w:r>
      <w:r w:rsidRPr="000D63A2">
        <w:rPr>
          <w:rFonts w:ascii="Arial" w:hAnsi="Arial" w:cs="Arial"/>
          <w:sz w:val="22"/>
        </w:rPr>
        <w:t xml:space="preserve"> Aday, 2020). Developing demand and supply management strategies and enhancing collaborations with suppliers can also prove instrumental in mitigating supply chain upsets. Businesses can take proactive actions like broadening their supplier portfolio, shaping a crisis management plan, and initiating cooperation with the suppliers so that the non-stopping of operations is guaranteed. These tactics not only serve to reduce the repercussions of disruptions but also contribute to the capability of the supply chain to withstand adverse circumstances. In this regard, designing alternatives so that we can minim</w:t>
      </w:r>
      <w:r w:rsidR="00535FCD" w:rsidRPr="000D63A2">
        <w:rPr>
          <w:rFonts w:ascii="Arial" w:hAnsi="Arial" w:cs="Arial"/>
          <w:sz w:val="22"/>
        </w:rPr>
        <w:t>is</w:t>
      </w:r>
      <w:r w:rsidRPr="000D63A2">
        <w:rPr>
          <w:rFonts w:ascii="Arial" w:hAnsi="Arial" w:cs="Arial"/>
          <w:sz w:val="22"/>
        </w:rPr>
        <w:t>e waste and improve supply chain efficiency also is another important factor</w:t>
      </w:r>
      <w:r w:rsidR="006C20C5" w:rsidRPr="000D63A2">
        <w:rPr>
          <w:rFonts w:ascii="Arial" w:hAnsi="Arial" w:cs="Arial"/>
          <w:sz w:val="22"/>
        </w:rPr>
        <w:t>.</w:t>
      </w:r>
      <w:r w:rsidRPr="000D63A2">
        <w:rPr>
          <w:rFonts w:ascii="Arial" w:hAnsi="Arial" w:cs="Arial"/>
          <w:sz w:val="22"/>
        </w:rPr>
        <w:t xml:space="preserve"> Having such may mean adopting lean principles, optim</w:t>
      </w:r>
      <w:r w:rsidR="00535FCD" w:rsidRPr="000D63A2">
        <w:rPr>
          <w:rFonts w:ascii="Arial" w:hAnsi="Arial" w:cs="Arial"/>
          <w:sz w:val="22"/>
        </w:rPr>
        <w:t>is</w:t>
      </w:r>
      <w:r w:rsidRPr="000D63A2">
        <w:rPr>
          <w:rFonts w:ascii="Arial" w:hAnsi="Arial" w:cs="Arial"/>
          <w:sz w:val="22"/>
        </w:rPr>
        <w:t xml:space="preserve">ing inventory management </w:t>
      </w:r>
      <w:r w:rsidR="00535FCD" w:rsidRPr="000D63A2">
        <w:rPr>
          <w:rFonts w:ascii="Arial" w:hAnsi="Arial" w:cs="Arial"/>
          <w:sz w:val="22"/>
        </w:rPr>
        <w:t>using</w:t>
      </w:r>
      <w:r w:rsidRPr="000D63A2">
        <w:rPr>
          <w:rFonts w:ascii="Arial" w:hAnsi="Arial" w:cs="Arial"/>
          <w:sz w:val="22"/>
        </w:rPr>
        <w:t xml:space="preserve"> technology for better forecasting of demand and </w:t>
      </w:r>
      <w:r w:rsidR="006C20C5" w:rsidRPr="000D63A2">
        <w:rPr>
          <w:rFonts w:ascii="Arial" w:hAnsi="Arial" w:cs="Arial"/>
          <w:sz w:val="22"/>
        </w:rPr>
        <w:t>practising</w:t>
      </w:r>
      <w:r w:rsidRPr="000D63A2">
        <w:rPr>
          <w:rFonts w:ascii="Arial" w:hAnsi="Arial" w:cs="Arial"/>
          <w:sz w:val="22"/>
        </w:rPr>
        <w:t xml:space="preserve"> circular economy principles to minim</w:t>
      </w:r>
      <w:r w:rsidR="00535FCD" w:rsidRPr="000D63A2">
        <w:rPr>
          <w:rFonts w:ascii="Arial" w:hAnsi="Arial" w:cs="Arial"/>
          <w:sz w:val="22"/>
        </w:rPr>
        <w:t>is</w:t>
      </w:r>
      <w:r w:rsidRPr="000D63A2">
        <w:rPr>
          <w:rFonts w:ascii="Arial" w:hAnsi="Arial" w:cs="Arial"/>
          <w:sz w:val="22"/>
        </w:rPr>
        <w:t>e waste and increase resource util</w:t>
      </w:r>
      <w:r w:rsidR="00535FCD" w:rsidRPr="000D63A2">
        <w:rPr>
          <w:rFonts w:ascii="Arial" w:hAnsi="Arial" w:cs="Arial"/>
          <w:sz w:val="22"/>
        </w:rPr>
        <w:t>is</w:t>
      </w:r>
      <w:r w:rsidRPr="000D63A2">
        <w:rPr>
          <w:rFonts w:ascii="Arial" w:hAnsi="Arial" w:cs="Arial"/>
          <w:sz w:val="22"/>
        </w:rPr>
        <w:t xml:space="preserve">ation (Ivanov </w:t>
      </w:r>
      <w:r w:rsidR="00786446" w:rsidRPr="000D63A2">
        <w:rPr>
          <w:rFonts w:ascii="Arial" w:hAnsi="Arial" w:cs="Arial"/>
          <w:sz w:val="22"/>
        </w:rPr>
        <w:t>and</w:t>
      </w:r>
      <w:r w:rsidRPr="000D63A2">
        <w:rPr>
          <w:rFonts w:ascii="Arial" w:hAnsi="Arial" w:cs="Arial"/>
          <w:sz w:val="22"/>
        </w:rPr>
        <w:t xml:space="preserve"> </w:t>
      </w:r>
      <w:proofErr w:type="spellStart"/>
      <w:r w:rsidRPr="000D63A2">
        <w:rPr>
          <w:rFonts w:ascii="Arial" w:hAnsi="Arial" w:cs="Arial"/>
          <w:sz w:val="22"/>
        </w:rPr>
        <w:t>Dolgui</w:t>
      </w:r>
      <w:proofErr w:type="spellEnd"/>
      <w:r w:rsidRPr="000D63A2">
        <w:rPr>
          <w:rFonts w:ascii="Arial" w:hAnsi="Arial" w:cs="Arial"/>
          <w:sz w:val="22"/>
        </w:rPr>
        <w:t xml:space="preserve">, 2020). Moreover, they should embrace the suppliers in cutting down the prices and keep the stockholders in the picture. Through a cooperative approach, enterprises </w:t>
      </w:r>
      <w:r w:rsidR="00535FCD" w:rsidRPr="000D63A2">
        <w:rPr>
          <w:rFonts w:ascii="Arial" w:hAnsi="Arial" w:cs="Arial"/>
          <w:sz w:val="22"/>
        </w:rPr>
        <w:t>can</w:t>
      </w:r>
      <w:r w:rsidRPr="000D63A2">
        <w:rPr>
          <w:rFonts w:ascii="Arial" w:hAnsi="Arial" w:cs="Arial"/>
          <w:sz w:val="22"/>
        </w:rPr>
        <w:t xml:space="preserve"> negotiate better pricing contracts, review possible cost-cutting options, and maintain transparency across the supply chain. The active engagement of all the stakeholders, for instance</w:t>
      </w:r>
      <w:r w:rsidR="006C20C5" w:rsidRPr="000D63A2">
        <w:rPr>
          <w:rFonts w:ascii="Arial" w:hAnsi="Arial" w:cs="Arial"/>
          <w:sz w:val="22"/>
        </w:rPr>
        <w:t>,</w:t>
      </w:r>
      <w:r w:rsidRPr="000D63A2">
        <w:rPr>
          <w:rFonts w:ascii="Arial" w:hAnsi="Arial" w:cs="Arial"/>
          <w:sz w:val="22"/>
        </w:rPr>
        <w:t xml:space="preserve"> the customers and the workers, in the knowledge of the problems and measures of their mitigation strategy can help to contain concerns and faith. The eventual way out of this is to lay down some selected strict </w:t>
      </w:r>
      <w:r w:rsidR="006C20C5" w:rsidRPr="000D63A2">
        <w:rPr>
          <w:rFonts w:ascii="Arial" w:hAnsi="Arial" w:cs="Arial"/>
          <w:sz w:val="22"/>
        </w:rPr>
        <w:t>COVID-19</w:t>
      </w:r>
      <w:r w:rsidRPr="000D63A2">
        <w:rPr>
          <w:rFonts w:ascii="Arial" w:hAnsi="Arial" w:cs="Arial"/>
          <w:sz w:val="22"/>
        </w:rPr>
        <w:t xml:space="preserve"> rules to see through business continuity. </w:t>
      </w:r>
      <w:r w:rsidR="006C20C5" w:rsidRPr="000D63A2">
        <w:rPr>
          <w:rFonts w:ascii="Arial" w:hAnsi="Arial" w:cs="Arial"/>
          <w:sz w:val="22"/>
        </w:rPr>
        <w:t>In</w:t>
      </w:r>
      <w:r w:rsidRPr="000D63A2">
        <w:rPr>
          <w:rFonts w:ascii="Arial" w:hAnsi="Arial" w:cs="Arial"/>
          <w:sz w:val="22"/>
        </w:rPr>
        <w:t xml:space="preserve"> public health and safety</w:t>
      </w:r>
      <w:r w:rsidR="006C20C5" w:rsidRPr="000D63A2">
        <w:rPr>
          <w:rFonts w:ascii="Arial" w:hAnsi="Arial" w:cs="Arial"/>
          <w:sz w:val="22"/>
        </w:rPr>
        <w:t>,</w:t>
      </w:r>
      <w:r w:rsidRPr="000D63A2">
        <w:rPr>
          <w:rFonts w:ascii="Arial" w:hAnsi="Arial" w:cs="Arial"/>
          <w:sz w:val="22"/>
        </w:rPr>
        <w:t xml:space="preserve"> of course, governments and regulatory bodies can reconsider and, according to the situation, temporarily ease up on restrictions that may be preventing </w:t>
      </w:r>
      <w:r w:rsidR="006C20C5" w:rsidRPr="000D63A2">
        <w:rPr>
          <w:rFonts w:ascii="Arial" w:hAnsi="Arial" w:cs="Arial"/>
          <w:sz w:val="22"/>
        </w:rPr>
        <w:t xml:space="preserve">the </w:t>
      </w:r>
      <w:r w:rsidRPr="000D63A2">
        <w:rPr>
          <w:rFonts w:ascii="Arial" w:hAnsi="Arial" w:cs="Arial"/>
          <w:sz w:val="22"/>
        </w:rPr>
        <w:t>smooth operation of supply chains and economic recovery (Institute for Government, 2021). Nevertheless, the adoption of such decisions must be accompanied by a careful assessment of the risks and benefits and must be introduced yes gingerly and moderately. The util</w:t>
      </w:r>
      <w:r w:rsidR="00535FCD" w:rsidRPr="000D63A2">
        <w:rPr>
          <w:rFonts w:ascii="Arial" w:hAnsi="Arial" w:cs="Arial"/>
          <w:sz w:val="22"/>
        </w:rPr>
        <w:t>is</w:t>
      </w:r>
      <w:r w:rsidRPr="000D63A2">
        <w:rPr>
          <w:rFonts w:ascii="Arial" w:hAnsi="Arial" w:cs="Arial"/>
          <w:sz w:val="22"/>
        </w:rPr>
        <w:t xml:space="preserve">ation of a comprehensive set of the mentioned strategies that involves the cooperation between governments, businesses </w:t>
      </w:r>
      <w:r w:rsidRPr="000D63A2">
        <w:rPr>
          <w:rFonts w:ascii="Arial" w:hAnsi="Arial" w:cs="Arial"/>
          <w:sz w:val="22"/>
        </w:rPr>
        <w:lastRenderedPageBreak/>
        <w:t>and stakeholders is crucial to solve the problems evolving from the supply chain disturbances, and hence to have a more sophisticated and flexible global supply chain network.</w:t>
      </w:r>
    </w:p>
    <w:p w14:paraId="75718BDF" w14:textId="77777777" w:rsidR="005C5D9C" w:rsidRPr="000D63A2" w:rsidRDefault="005C5D9C" w:rsidP="000D63A2">
      <w:pPr>
        <w:spacing w:line="360" w:lineRule="auto"/>
        <w:jc w:val="both"/>
        <w:rPr>
          <w:rFonts w:ascii="Arial" w:hAnsi="Arial" w:cs="Arial"/>
          <w:sz w:val="22"/>
        </w:rPr>
      </w:pPr>
    </w:p>
    <w:p w14:paraId="39026ECE" w14:textId="51162530" w:rsidR="00845479" w:rsidRPr="000D63A2" w:rsidRDefault="00845479" w:rsidP="000D63A2">
      <w:pPr>
        <w:spacing w:line="360" w:lineRule="auto"/>
        <w:jc w:val="both"/>
        <w:rPr>
          <w:rFonts w:ascii="Arial" w:hAnsi="Arial" w:cs="Arial"/>
          <w:sz w:val="22"/>
        </w:rPr>
      </w:pPr>
      <w:r w:rsidRPr="000D63A2">
        <w:rPr>
          <w:rFonts w:ascii="Arial" w:hAnsi="Arial" w:cs="Arial"/>
          <w:sz w:val="22"/>
        </w:rPr>
        <w:t xml:space="preserve">The notions of demand and supply are seen to be very significant in the context of the case, as they have a lot to do with comprehending and dealing with the economic problems that come from COVID-19. This provides an avenue for companies and businesspeople alike to get an idea of what must be done in different aspects of business, such as operations and decision-making. This involves pricing strategies that the operation uses to buffer pressures from demand and supply. Price cutting can increase demand, which should clear any large stock when there is excess supply. To summarise, being competitive and bringing prices down is also one of the important areas that is related to where demand and supply considerations are brought to the table. Companies can deliberately work in the dynamics of demand and supply to figure out the wise pricing strategies, market differentiation of products, </w:t>
      </w:r>
      <w:r w:rsidR="00F27EB7" w:rsidRPr="000D63A2">
        <w:rPr>
          <w:rFonts w:ascii="Arial" w:hAnsi="Arial" w:cs="Arial"/>
          <w:sz w:val="22"/>
        </w:rPr>
        <w:t>and</w:t>
      </w:r>
      <w:r w:rsidRPr="000D63A2">
        <w:rPr>
          <w:rFonts w:ascii="Arial" w:hAnsi="Arial" w:cs="Arial"/>
          <w:sz w:val="22"/>
        </w:rPr>
        <w:t xml:space="preserve"> market positioning to win over competing brands. Demand and supply concepts are also often the major driving forces for the productivity and growth of a business. Through the assessment of the demand patterns of consumers and the trends that the markets are faced with, companies can improve their methods of production, </w:t>
      </w:r>
      <w:r w:rsidR="000A3926" w:rsidRPr="000D63A2">
        <w:rPr>
          <w:rFonts w:ascii="Arial" w:hAnsi="Arial" w:cs="Arial"/>
          <w:sz w:val="22"/>
        </w:rPr>
        <w:t>stock keeping</w:t>
      </w:r>
      <w:r w:rsidRPr="000D63A2">
        <w:rPr>
          <w:rFonts w:ascii="Arial" w:hAnsi="Arial" w:cs="Arial"/>
          <w:sz w:val="22"/>
        </w:rPr>
        <w:t xml:space="preserve">, and resource allocation. By doing this, it can lead to increased efficiency and reduced costs, eventually making them more competitive, profitable, and </w:t>
      </w:r>
      <w:r w:rsidR="00F27EB7" w:rsidRPr="000D63A2">
        <w:rPr>
          <w:rFonts w:ascii="Arial" w:hAnsi="Arial" w:cs="Arial"/>
          <w:sz w:val="22"/>
        </w:rPr>
        <w:t>growth oriented</w:t>
      </w:r>
      <w:r w:rsidRPr="000D63A2">
        <w:rPr>
          <w:rFonts w:ascii="Arial" w:hAnsi="Arial" w:cs="Arial"/>
          <w:sz w:val="22"/>
        </w:rPr>
        <w:t xml:space="preserve">. Marketing campaigns, which are targeted at consumers, can impact the market, create demand for a certain product, and build brand loyalty, which in turn can boost sales and revenue. Inventory strategies, like the just-in-time concept, are based on the dependent and autonomous model of demand and supply. </w:t>
      </w:r>
      <w:r w:rsidR="000A3926" w:rsidRPr="000D63A2">
        <w:rPr>
          <w:rFonts w:ascii="Arial" w:hAnsi="Arial" w:cs="Arial"/>
          <w:sz w:val="22"/>
        </w:rPr>
        <w:t>By</w:t>
      </w:r>
      <w:r w:rsidRPr="000D63A2">
        <w:rPr>
          <w:rFonts w:ascii="Arial" w:hAnsi="Arial" w:cs="Arial"/>
          <w:sz w:val="22"/>
        </w:rPr>
        <w:t xml:space="preserve"> specifically tracking consumer demand patterns and maximising the efficiency of supply chain operations, businesses would be able to minimise excess inventory, save the cost needed to carry it and smooth the cash flow. To achieve this, there should be in-depth knowledge of demand trends, delivery times, and the entire supply chain network that should help ensure the uninterrupted flow of commodities or services. In the labour market, with a shortage of workers and a highly competitive workforce, employers can be forced to offer excellent benefits to the selected ones </w:t>
      </w:r>
      <w:r w:rsidR="000A3926" w:rsidRPr="000D63A2">
        <w:rPr>
          <w:rFonts w:ascii="Arial" w:hAnsi="Arial" w:cs="Arial"/>
          <w:sz w:val="22"/>
        </w:rPr>
        <w:t>to</w:t>
      </w:r>
      <w:r w:rsidRPr="000D63A2">
        <w:rPr>
          <w:rFonts w:ascii="Arial" w:hAnsi="Arial" w:cs="Arial"/>
          <w:sz w:val="22"/>
        </w:rPr>
        <w:t xml:space="preserve"> keep the best employees. </w:t>
      </w:r>
      <w:r w:rsidR="000A3926" w:rsidRPr="000D63A2">
        <w:rPr>
          <w:rFonts w:ascii="Arial" w:hAnsi="Arial" w:cs="Arial"/>
          <w:sz w:val="22"/>
        </w:rPr>
        <w:t>Liberating</w:t>
      </w:r>
      <w:r w:rsidRPr="000D63A2">
        <w:rPr>
          <w:rFonts w:ascii="Arial" w:hAnsi="Arial" w:cs="Arial"/>
          <w:sz w:val="22"/>
        </w:rPr>
        <w:t xml:space="preserve"> the mechanisms of labour supply and demand tutorials can assist organisations in coming up with good recruitment and retention strategies </w:t>
      </w:r>
      <w:r w:rsidR="000A3926" w:rsidRPr="000D63A2">
        <w:rPr>
          <w:rFonts w:ascii="Arial" w:hAnsi="Arial" w:cs="Arial"/>
          <w:sz w:val="22"/>
        </w:rPr>
        <w:t>to have</w:t>
      </w:r>
      <w:r w:rsidRPr="000D63A2">
        <w:rPr>
          <w:rFonts w:ascii="Arial" w:hAnsi="Arial" w:cs="Arial"/>
          <w:sz w:val="22"/>
        </w:rPr>
        <w:t xml:space="preserve"> a motivated and productive workforce. This risk management, which acts non-stop in the way of demand and supply balance, is a key issue for business survival. By observing and analysing the market tendency, organisations can foresee the increasing imbalance before it happens and apply different tools to prevent risk occurrence. This could be through alternative </w:t>
      </w:r>
      <w:r w:rsidRPr="000D63A2">
        <w:rPr>
          <w:rFonts w:ascii="Arial" w:hAnsi="Arial" w:cs="Arial"/>
          <w:sz w:val="22"/>
        </w:rPr>
        <w:lastRenderedPageBreak/>
        <w:t xml:space="preserve">input sourcing, creating backup plans, and adjusting production capacities with a flick of a switch to shops. Besides, the </w:t>
      </w:r>
      <w:r w:rsidR="00F27EB7" w:rsidRPr="000D63A2">
        <w:rPr>
          <w:rFonts w:ascii="Arial" w:hAnsi="Arial" w:cs="Arial"/>
          <w:sz w:val="22"/>
        </w:rPr>
        <w:t>finally</w:t>
      </w:r>
      <w:r w:rsidRPr="000D63A2">
        <w:rPr>
          <w:rFonts w:ascii="Arial" w:hAnsi="Arial" w:cs="Arial"/>
          <w:sz w:val="22"/>
        </w:rPr>
        <w:t xml:space="preserve"> important feature is the feature of demand shifting, which involves bringing supply and demand in line with each other. The ability to predict consumer demand in advance and ensure supply chain capabilities’ coordination is essential to eliminating excess inventory and waste and increasing resource efficiency (Heien and </w:t>
      </w:r>
      <w:proofErr w:type="spellStart"/>
      <w:r w:rsidRPr="000D63A2">
        <w:rPr>
          <w:rFonts w:ascii="Arial" w:hAnsi="Arial" w:cs="Arial"/>
          <w:sz w:val="22"/>
        </w:rPr>
        <w:t>Pompelli</w:t>
      </w:r>
      <w:proofErr w:type="spellEnd"/>
      <w:r w:rsidRPr="000D63A2">
        <w:rPr>
          <w:rFonts w:ascii="Arial" w:hAnsi="Arial" w:cs="Arial"/>
          <w:sz w:val="22"/>
        </w:rPr>
        <w:t>, 1989). The use of demand and supply dynamics and efficient cooperation among stakeholders all along the supply chain are needed to achieve these ends. In a nutshell, theories around demand and supply are significant in this case story as they ensure that factors such as pricing, competition, productivity, marketing, cash management, employee loyalty, risk management, and demand alignment in the market are known. By adopting these principles, organisations will overcome any economic challenges stemming from the harshness of the COVID-19 pandemic.</w:t>
      </w:r>
      <w:r w:rsidR="00187EB4" w:rsidRPr="000D63A2">
        <w:rPr>
          <w:rFonts w:ascii="Arial" w:hAnsi="Arial" w:cs="Arial"/>
          <w:sz w:val="22"/>
        </w:rPr>
        <w:t xml:space="preserve"> </w:t>
      </w:r>
    </w:p>
    <w:p w14:paraId="4E10F110" w14:textId="115A0464" w:rsidR="006C20C5" w:rsidRPr="000D63A2" w:rsidRDefault="00187EB4" w:rsidP="000D63A2">
      <w:pPr>
        <w:spacing w:line="360" w:lineRule="auto"/>
        <w:jc w:val="both"/>
        <w:rPr>
          <w:rFonts w:ascii="Arial" w:hAnsi="Arial" w:cs="Arial"/>
          <w:sz w:val="22"/>
        </w:rPr>
      </w:pPr>
      <w:r w:rsidRPr="000D63A2">
        <w:rPr>
          <w:rFonts w:ascii="Arial" w:hAnsi="Arial" w:cs="Arial"/>
          <w:sz w:val="22"/>
        </w:rPr>
        <w:t xml:space="preserve"> </w:t>
      </w:r>
      <w:r w:rsidR="00845479" w:rsidRPr="000D63A2">
        <w:rPr>
          <w:rFonts w:ascii="Arial" w:hAnsi="Arial" w:cs="Arial"/>
          <w:sz w:val="22"/>
        </w:rPr>
        <w:t xml:space="preserve">                                                </w:t>
      </w:r>
      <w:r w:rsidR="006C20C5" w:rsidRPr="000D63A2">
        <w:rPr>
          <w:rFonts w:ascii="Arial" w:hAnsi="Arial" w:cs="Arial"/>
          <w:noProof/>
          <w:sz w:val="22"/>
        </w:rPr>
        <w:drawing>
          <wp:inline distT="0" distB="0" distL="0" distR="0" wp14:anchorId="4710CDB9" wp14:editId="4DC809F4">
            <wp:extent cx="2419350" cy="2242632"/>
            <wp:effectExtent l="0" t="0" r="0" b="5715"/>
            <wp:docPr id="10605567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556752" name="Picture 1060556752"/>
                    <pic:cNvPicPr/>
                  </pic:nvPicPr>
                  <pic:blipFill>
                    <a:blip r:embed="rId12">
                      <a:extLst>
                        <a:ext uri="{28A0092B-C50C-407E-A947-70E740481C1C}">
                          <a14:useLocalDpi xmlns:a14="http://schemas.microsoft.com/office/drawing/2010/main" val="0"/>
                        </a:ext>
                      </a:extLst>
                    </a:blip>
                    <a:stretch>
                      <a:fillRect/>
                    </a:stretch>
                  </pic:blipFill>
                  <pic:spPr>
                    <a:xfrm>
                      <a:off x="0" y="0"/>
                      <a:ext cx="2419728" cy="2242983"/>
                    </a:xfrm>
                    <a:prstGeom prst="rect">
                      <a:avLst/>
                    </a:prstGeom>
                  </pic:spPr>
                </pic:pic>
              </a:graphicData>
            </a:graphic>
          </wp:inline>
        </w:drawing>
      </w:r>
    </w:p>
    <w:p w14:paraId="5F4306F7" w14:textId="61D4240C" w:rsidR="006C20C5" w:rsidRPr="000D63A2" w:rsidRDefault="006C20C5" w:rsidP="000D63A2">
      <w:pPr>
        <w:spacing w:line="360" w:lineRule="auto"/>
        <w:jc w:val="center"/>
        <w:rPr>
          <w:rFonts w:ascii="Arial" w:hAnsi="Arial" w:cs="Arial"/>
          <w:b/>
          <w:bCs/>
          <w:sz w:val="22"/>
        </w:rPr>
      </w:pPr>
      <w:r w:rsidRPr="000D63A2">
        <w:rPr>
          <w:rFonts w:ascii="Arial" w:hAnsi="Arial" w:cs="Arial"/>
          <w:b/>
          <w:bCs/>
          <w:sz w:val="22"/>
        </w:rPr>
        <w:t xml:space="preserve">Figure 4: Elasticity of Demand Curve </w:t>
      </w:r>
      <w:r w:rsidRPr="000D63A2">
        <w:rPr>
          <w:rFonts w:ascii="Arial" w:hAnsi="Arial" w:cs="Arial"/>
          <w:b/>
          <w:bCs/>
          <w:color w:val="000000"/>
          <w:sz w:val="22"/>
        </w:rPr>
        <w:t>(Sargent, Marrone and Evans, 2020)</w:t>
      </w:r>
    </w:p>
    <w:p w14:paraId="296F292B" w14:textId="77777777" w:rsidR="006C20C5" w:rsidRPr="000D63A2" w:rsidRDefault="006C20C5" w:rsidP="000D63A2">
      <w:pPr>
        <w:spacing w:line="360" w:lineRule="auto"/>
        <w:jc w:val="both"/>
        <w:rPr>
          <w:rFonts w:ascii="Arial" w:hAnsi="Arial" w:cs="Arial"/>
          <w:sz w:val="22"/>
        </w:rPr>
      </w:pPr>
      <w:r w:rsidRPr="000D63A2">
        <w:rPr>
          <w:rFonts w:ascii="Arial" w:hAnsi="Arial" w:cs="Arial"/>
          <w:sz w:val="22"/>
        </w:rPr>
        <w:t xml:space="preserve">                                    </w:t>
      </w:r>
      <w:r w:rsidRPr="000D63A2">
        <w:rPr>
          <w:rFonts w:ascii="Arial" w:hAnsi="Arial" w:cs="Arial"/>
          <w:noProof/>
          <w:sz w:val="22"/>
        </w:rPr>
        <w:drawing>
          <wp:inline distT="0" distB="0" distL="0" distR="0" wp14:anchorId="2336B068" wp14:editId="215C946D">
            <wp:extent cx="3826967" cy="2390775"/>
            <wp:effectExtent l="0" t="0" r="2540" b="0"/>
            <wp:docPr id="1564933289" name="Picture 6" descr="A graph showing the price of a fuel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933289" name="Picture 6" descr="A graph showing the price of a fuel pri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27237" cy="2390944"/>
                    </a:xfrm>
                    <a:prstGeom prst="rect">
                      <a:avLst/>
                    </a:prstGeom>
                  </pic:spPr>
                </pic:pic>
              </a:graphicData>
            </a:graphic>
          </wp:inline>
        </w:drawing>
      </w:r>
    </w:p>
    <w:p w14:paraId="288B1EA1" w14:textId="77777777" w:rsidR="006C20C5" w:rsidRPr="000D63A2" w:rsidRDefault="006C20C5" w:rsidP="000D63A2">
      <w:pPr>
        <w:spacing w:line="360" w:lineRule="auto"/>
        <w:jc w:val="center"/>
        <w:rPr>
          <w:rFonts w:ascii="Arial" w:hAnsi="Arial" w:cs="Arial"/>
          <w:b/>
          <w:bCs/>
          <w:sz w:val="22"/>
        </w:rPr>
      </w:pPr>
      <w:r w:rsidRPr="000D63A2">
        <w:rPr>
          <w:rFonts w:ascii="Arial" w:hAnsi="Arial" w:cs="Arial"/>
          <w:b/>
          <w:bCs/>
          <w:sz w:val="22"/>
        </w:rPr>
        <w:lastRenderedPageBreak/>
        <w:t xml:space="preserve">Figure 5: Elasticity of Demand for Fuel </w:t>
      </w:r>
      <w:r w:rsidRPr="000D63A2">
        <w:rPr>
          <w:rFonts w:ascii="Arial" w:hAnsi="Arial" w:cs="Arial"/>
          <w:b/>
          <w:bCs/>
          <w:color w:val="000000"/>
          <w:sz w:val="22"/>
        </w:rPr>
        <w:t>(</w:t>
      </w:r>
      <w:proofErr w:type="spellStart"/>
      <w:r w:rsidRPr="000D63A2">
        <w:rPr>
          <w:rFonts w:ascii="Arial" w:hAnsi="Arial" w:cs="Arial"/>
          <w:b/>
          <w:bCs/>
          <w:color w:val="000000"/>
          <w:sz w:val="22"/>
        </w:rPr>
        <w:t>Hössinger</w:t>
      </w:r>
      <w:proofErr w:type="spellEnd"/>
      <w:r w:rsidRPr="000D63A2">
        <w:rPr>
          <w:rFonts w:ascii="Arial" w:hAnsi="Arial" w:cs="Arial"/>
          <w:b/>
          <w:bCs/>
          <w:color w:val="000000"/>
          <w:sz w:val="22"/>
        </w:rPr>
        <w:t> </w:t>
      </w:r>
      <w:r w:rsidRPr="000D63A2">
        <w:rPr>
          <w:rFonts w:ascii="Arial" w:hAnsi="Arial" w:cs="Arial"/>
          <w:b/>
          <w:bCs/>
          <w:i/>
          <w:iCs/>
          <w:color w:val="000000"/>
          <w:sz w:val="22"/>
        </w:rPr>
        <w:t>et al.</w:t>
      </w:r>
      <w:r w:rsidRPr="000D63A2">
        <w:rPr>
          <w:rFonts w:ascii="Arial" w:hAnsi="Arial" w:cs="Arial"/>
          <w:b/>
          <w:bCs/>
          <w:color w:val="000000"/>
          <w:sz w:val="22"/>
        </w:rPr>
        <w:t>, 2017)</w:t>
      </w:r>
      <w:r w:rsidRPr="000D63A2">
        <w:rPr>
          <w:rFonts w:ascii="Arial" w:hAnsi="Arial" w:cs="Arial"/>
          <w:b/>
          <w:bCs/>
          <w:sz w:val="22"/>
        </w:rPr>
        <w:t xml:space="preserve"> </w:t>
      </w:r>
    </w:p>
    <w:p w14:paraId="500F2B66" w14:textId="0BD4C907" w:rsidR="00F94F7F" w:rsidRPr="000D63A2" w:rsidRDefault="00F94F7F" w:rsidP="000D63A2">
      <w:pPr>
        <w:spacing w:line="360" w:lineRule="auto"/>
        <w:jc w:val="both"/>
        <w:rPr>
          <w:rFonts w:ascii="Arial" w:hAnsi="Arial" w:cs="Arial"/>
          <w:sz w:val="22"/>
        </w:rPr>
      </w:pPr>
      <w:r w:rsidRPr="000D63A2">
        <w:rPr>
          <w:rFonts w:ascii="Arial" w:hAnsi="Arial" w:cs="Arial"/>
          <w:sz w:val="22"/>
        </w:rPr>
        <w:t>Elasticity and inelasticity of demand: The absolute measure of the responsiveness in demand of any product or service according to price variation or any other undisclosed factor is referred to as the elasticity of demand (</w:t>
      </w:r>
      <w:proofErr w:type="spellStart"/>
      <w:r w:rsidRPr="000D63A2">
        <w:rPr>
          <w:rFonts w:ascii="Arial" w:hAnsi="Arial" w:cs="Arial"/>
          <w:sz w:val="22"/>
        </w:rPr>
        <w:t>Osadiya</w:t>
      </w:r>
      <w:proofErr w:type="spellEnd"/>
      <w:r w:rsidRPr="000D63A2">
        <w:rPr>
          <w:rFonts w:ascii="Arial" w:hAnsi="Arial" w:cs="Arial"/>
          <w:sz w:val="22"/>
        </w:rPr>
        <w:t xml:space="preserve">, 2023). As a sample, the given figure in Figure 4 shows the demand curve, while price and demand are positively connected. Given the nearly flat line in the figure, the elastic demand is considered, while the less responsive demand is addressed as the relatively steeper area in the curve. The necessity condition is particularised when a marginal shift in prices is affected by a great discrepancy in the quantities demanded. In line with the previous figure, it can be interpreted as a rather inelastic demand for fuel, so the fuel price could be such that the volume demanded will be small regardless of the price. Consequently, sideways, there is so-called inelastic demand, which occurs when the quantity desired does not change greatly even with price fluctuations. Enterprises featuring products that may have a high to low level of price elasticity can exercise greater pricing freedom as consumers may tend to modify their expenditure on some products when there are price changes (Shapiro, 1987). Advantages and disadvantages: Flexible demand can function well for business owners because this feature requires effective pricing strategies and demand management. On the other hand, this may work the other way; increased competition and market penetration are often bound to lead to a firm price decrease. Inelastic demand enables businesses to have more flexible pricing and reliable revenue streams, but at the same time, it limits them from making price adjustments, which will result in a change in demand (Andreyeva et al., 2010). Examples: Items that customers can switch from are called "elastic goods." </w:t>
      </w:r>
      <w:r w:rsidR="00845479" w:rsidRPr="000D63A2">
        <w:rPr>
          <w:rFonts w:ascii="Arial" w:hAnsi="Arial" w:cs="Arial"/>
          <w:sz w:val="22"/>
        </w:rPr>
        <w:t>S</w:t>
      </w:r>
      <w:r w:rsidRPr="000D63A2">
        <w:rPr>
          <w:rFonts w:ascii="Arial" w:hAnsi="Arial" w:cs="Arial"/>
          <w:sz w:val="22"/>
        </w:rPr>
        <w:t xml:space="preserve">o as consumers react to the change in price by switching to substitute products, the demand elasticity is high. Rather than that, goods that are primarily consumed, for instance, gasoline, utilities, and prescription drugs, usually exhibit inelastic demand because consumers have few options and don’t react much to the changes in price.  As an impetus for the case study, fuel is categorised as </w:t>
      </w:r>
      <w:r w:rsidR="00F27EB7" w:rsidRPr="000D63A2">
        <w:rPr>
          <w:rFonts w:ascii="Arial" w:hAnsi="Arial" w:cs="Arial"/>
          <w:sz w:val="22"/>
        </w:rPr>
        <w:t>an inelastic</w:t>
      </w:r>
      <w:r w:rsidRPr="000D63A2">
        <w:rPr>
          <w:rFonts w:ascii="Arial" w:hAnsi="Arial" w:cs="Arial"/>
          <w:sz w:val="22"/>
        </w:rPr>
        <w:t xml:space="preserve"> good. Meaning that when fuel prices are altered, the quantity demanded by consumers is changed by a small level (Guan et al., 2020). This in general was one of the main factors that made it even more difficult for the transportation sector to cope during the time of the pandemic because, as the customer base was shrinking and prices of fuel were going up at the same time, the ability of the consumers to adjust their demand to match the supply drastically decreased.</w:t>
      </w:r>
    </w:p>
    <w:p w14:paraId="3B28085C" w14:textId="2B125F1B" w:rsidR="003270C5" w:rsidRPr="000D63A2" w:rsidRDefault="003270C5" w:rsidP="000D63A2">
      <w:pPr>
        <w:spacing w:line="360" w:lineRule="auto"/>
        <w:jc w:val="both"/>
        <w:rPr>
          <w:rFonts w:ascii="Arial" w:hAnsi="Arial" w:cs="Arial"/>
          <w:sz w:val="22"/>
        </w:rPr>
      </w:pPr>
      <w:r w:rsidRPr="000D63A2">
        <w:rPr>
          <w:rFonts w:ascii="Arial" w:hAnsi="Arial" w:cs="Arial"/>
          <w:sz w:val="22"/>
        </w:rPr>
        <w:t>The four basic laws of supply and demand, which dictate the behaviour of markets, help to ascertain prices and quantities.</w:t>
      </w:r>
      <w:r w:rsidR="006C20C5" w:rsidRPr="000D63A2">
        <w:rPr>
          <w:rFonts w:ascii="Arial" w:hAnsi="Arial" w:cs="Arial"/>
          <w:sz w:val="22"/>
        </w:rPr>
        <w:t xml:space="preserve"> </w:t>
      </w:r>
      <w:r w:rsidRPr="000D63A2">
        <w:rPr>
          <w:rFonts w:ascii="Arial" w:hAnsi="Arial" w:cs="Arial"/>
          <w:sz w:val="22"/>
        </w:rPr>
        <w:t>These laws are</w:t>
      </w:r>
      <w:r w:rsidR="006C20C5" w:rsidRPr="000D63A2">
        <w:rPr>
          <w:rFonts w:ascii="Arial" w:hAnsi="Arial" w:cs="Arial"/>
          <w:sz w:val="22"/>
        </w:rPr>
        <w:t xml:space="preserve"> as follows.</w:t>
      </w:r>
      <w:r w:rsidR="00014D05" w:rsidRPr="000D63A2">
        <w:rPr>
          <w:rFonts w:ascii="Arial" w:hAnsi="Arial" w:cs="Arial"/>
          <w:sz w:val="22"/>
        </w:rPr>
        <w:t xml:space="preserve"> </w:t>
      </w:r>
      <w:r w:rsidR="006C20C5" w:rsidRPr="000D63A2">
        <w:rPr>
          <w:rFonts w:ascii="Arial" w:hAnsi="Arial" w:cs="Arial"/>
          <w:b/>
          <w:bCs/>
          <w:sz w:val="22"/>
        </w:rPr>
        <w:t>One,</w:t>
      </w:r>
      <w:r w:rsidR="006C20C5" w:rsidRPr="000D63A2">
        <w:rPr>
          <w:rFonts w:ascii="Arial" w:hAnsi="Arial" w:cs="Arial"/>
          <w:sz w:val="22"/>
        </w:rPr>
        <w:t xml:space="preserve"> </w:t>
      </w:r>
      <w:r w:rsidR="00014D05" w:rsidRPr="000D63A2">
        <w:rPr>
          <w:rFonts w:ascii="Arial" w:hAnsi="Arial" w:cs="Arial"/>
          <w:sz w:val="22"/>
        </w:rPr>
        <w:t>t</w:t>
      </w:r>
      <w:r w:rsidRPr="000D63A2">
        <w:rPr>
          <w:rFonts w:ascii="Arial" w:hAnsi="Arial" w:cs="Arial"/>
          <w:sz w:val="22"/>
        </w:rPr>
        <w:t xml:space="preserve">he price and quantity increase if there is an unchanged supply with a rise in demand. In the world of economics, when demand </w:t>
      </w:r>
      <w:r w:rsidRPr="000D63A2">
        <w:rPr>
          <w:rFonts w:ascii="Arial" w:hAnsi="Arial" w:cs="Arial"/>
          <w:sz w:val="22"/>
        </w:rPr>
        <w:lastRenderedPageBreak/>
        <w:t>for a commodity or service increases, the demand curve moves to the right. Thus, due to this shift, there will be a higher price of equilibrium and a greater quantity traded in the market (Mankiw, 2021) Likewise, with the arrival of the Covid-19 pandemic, a sharp increase was observed in demand, which pushed prices up and spawned a boost in production to satisfy the rising demand.</w:t>
      </w:r>
      <w:r w:rsidR="00014D05" w:rsidRPr="000D63A2">
        <w:rPr>
          <w:rFonts w:ascii="Arial" w:hAnsi="Arial" w:cs="Arial"/>
          <w:sz w:val="22"/>
        </w:rPr>
        <w:t xml:space="preserve"> </w:t>
      </w:r>
      <w:r w:rsidR="00014D05" w:rsidRPr="000D63A2">
        <w:rPr>
          <w:rFonts w:ascii="Arial" w:hAnsi="Arial" w:cs="Arial"/>
          <w:b/>
          <w:bCs/>
          <w:sz w:val="22"/>
        </w:rPr>
        <w:t>Two,</w:t>
      </w:r>
      <w:r w:rsidR="00014D05" w:rsidRPr="000D63A2">
        <w:rPr>
          <w:rFonts w:ascii="Arial" w:hAnsi="Arial" w:cs="Arial"/>
          <w:sz w:val="22"/>
        </w:rPr>
        <w:t xml:space="preserve"> a</w:t>
      </w:r>
      <w:r w:rsidRPr="000D63A2">
        <w:rPr>
          <w:rFonts w:ascii="Arial" w:hAnsi="Arial" w:cs="Arial"/>
          <w:sz w:val="22"/>
        </w:rPr>
        <w:t xml:space="preserve"> shift of </w:t>
      </w:r>
      <w:r w:rsidR="006C20C5" w:rsidRPr="000D63A2">
        <w:rPr>
          <w:rFonts w:ascii="Arial" w:hAnsi="Arial" w:cs="Arial"/>
          <w:sz w:val="22"/>
        </w:rPr>
        <w:t xml:space="preserve">the </w:t>
      </w:r>
      <w:r w:rsidRPr="000D63A2">
        <w:rPr>
          <w:rFonts w:ascii="Arial" w:hAnsi="Arial" w:cs="Arial"/>
          <w:sz w:val="22"/>
        </w:rPr>
        <w:t xml:space="preserve">demand curve to the left will lead to </w:t>
      </w:r>
      <w:r w:rsidR="006C20C5" w:rsidRPr="000D63A2">
        <w:rPr>
          <w:rFonts w:ascii="Arial" w:hAnsi="Arial" w:cs="Arial"/>
          <w:sz w:val="22"/>
        </w:rPr>
        <w:t xml:space="preserve">a </w:t>
      </w:r>
      <w:r w:rsidRPr="000D63A2">
        <w:rPr>
          <w:rFonts w:ascii="Arial" w:hAnsi="Arial" w:cs="Arial"/>
          <w:sz w:val="22"/>
        </w:rPr>
        <w:t xml:space="preserve">lower equilibrium price and quantity if the supply conditions remain unchanged, whereas a decrease in </w:t>
      </w:r>
      <w:r w:rsidR="006C20C5" w:rsidRPr="000D63A2">
        <w:rPr>
          <w:rFonts w:ascii="Arial" w:hAnsi="Arial" w:cs="Arial"/>
          <w:sz w:val="22"/>
        </w:rPr>
        <w:t xml:space="preserve">the </w:t>
      </w:r>
      <w:r w:rsidRPr="000D63A2">
        <w:rPr>
          <w:rFonts w:ascii="Arial" w:hAnsi="Arial" w:cs="Arial"/>
          <w:sz w:val="22"/>
        </w:rPr>
        <w:t xml:space="preserve">demand curve will result in a lower equilibrium price and quantity. </w:t>
      </w:r>
      <w:r w:rsidR="00014D05" w:rsidRPr="000D63A2">
        <w:rPr>
          <w:rFonts w:ascii="Arial" w:hAnsi="Arial" w:cs="Arial"/>
          <w:b/>
          <w:bCs/>
          <w:sz w:val="22"/>
        </w:rPr>
        <w:t>Three,</w:t>
      </w:r>
      <w:r w:rsidR="00014D05" w:rsidRPr="000D63A2">
        <w:rPr>
          <w:rFonts w:ascii="Arial" w:hAnsi="Arial" w:cs="Arial"/>
          <w:sz w:val="22"/>
        </w:rPr>
        <w:t xml:space="preserve"> w</w:t>
      </w:r>
      <w:r w:rsidRPr="000D63A2">
        <w:rPr>
          <w:rFonts w:ascii="Arial" w:hAnsi="Arial" w:cs="Arial"/>
          <w:sz w:val="22"/>
        </w:rPr>
        <w:t xml:space="preserve">hen demand remains the same, extra supply brings down </w:t>
      </w:r>
      <w:r w:rsidR="006C20C5" w:rsidRPr="000D63A2">
        <w:rPr>
          <w:rFonts w:ascii="Arial" w:hAnsi="Arial" w:cs="Arial"/>
          <w:sz w:val="22"/>
        </w:rPr>
        <w:t xml:space="preserve">the </w:t>
      </w:r>
      <w:r w:rsidRPr="000D63A2">
        <w:rPr>
          <w:rFonts w:ascii="Arial" w:hAnsi="Arial" w:cs="Arial"/>
          <w:sz w:val="22"/>
        </w:rPr>
        <w:t xml:space="preserve">price and increases the quantity traded, like a rightward shift of the supply curve that makes </w:t>
      </w:r>
      <w:r w:rsidR="006C20C5" w:rsidRPr="000D63A2">
        <w:rPr>
          <w:rFonts w:ascii="Arial" w:hAnsi="Arial" w:cs="Arial"/>
          <w:sz w:val="22"/>
        </w:rPr>
        <w:t xml:space="preserve">the </w:t>
      </w:r>
      <w:r w:rsidRPr="000D63A2">
        <w:rPr>
          <w:rFonts w:ascii="Arial" w:hAnsi="Arial" w:cs="Arial"/>
          <w:sz w:val="22"/>
        </w:rPr>
        <w:t>equilibrium price and quantity lower to be traded</w:t>
      </w:r>
      <w:r w:rsidR="00D53648" w:rsidRPr="000D63A2">
        <w:rPr>
          <w:rFonts w:ascii="Arial" w:hAnsi="Arial" w:cs="Arial"/>
          <w:sz w:val="22"/>
        </w:rPr>
        <w:t xml:space="preserve"> (Pindyck </w:t>
      </w:r>
      <w:r w:rsidR="00786446" w:rsidRPr="000D63A2">
        <w:rPr>
          <w:rFonts w:ascii="Arial" w:hAnsi="Arial" w:cs="Arial"/>
          <w:sz w:val="22"/>
        </w:rPr>
        <w:t>and</w:t>
      </w:r>
      <w:r w:rsidR="00D53648" w:rsidRPr="000D63A2">
        <w:rPr>
          <w:rFonts w:ascii="Arial" w:hAnsi="Arial" w:cs="Arial"/>
          <w:sz w:val="22"/>
        </w:rPr>
        <w:t xml:space="preserve"> Rubinfeld, 2018)</w:t>
      </w:r>
      <w:r w:rsidRPr="000D63A2">
        <w:rPr>
          <w:rFonts w:ascii="Arial" w:hAnsi="Arial" w:cs="Arial"/>
          <w:sz w:val="22"/>
        </w:rPr>
        <w:t>. Similarly, PPE oversupply in selected areas brought PPE prices down as sellers strived to outbid each other during the outbreak to attract buyers.</w:t>
      </w:r>
      <w:r w:rsidR="00014D05" w:rsidRPr="000D63A2">
        <w:rPr>
          <w:rFonts w:ascii="Arial" w:hAnsi="Arial" w:cs="Arial"/>
          <w:sz w:val="22"/>
        </w:rPr>
        <w:t xml:space="preserve"> </w:t>
      </w:r>
      <w:r w:rsidR="000A3926" w:rsidRPr="000D63A2">
        <w:rPr>
          <w:rFonts w:ascii="Arial" w:hAnsi="Arial" w:cs="Arial"/>
          <w:b/>
          <w:bCs/>
          <w:sz w:val="22"/>
        </w:rPr>
        <w:t>Fourth</w:t>
      </w:r>
      <w:r w:rsidR="00014D05" w:rsidRPr="000D63A2">
        <w:rPr>
          <w:rFonts w:ascii="Arial" w:hAnsi="Arial" w:cs="Arial"/>
          <w:b/>
          <w:bCs/>
          <w:sz w:val="22"/>
        </w:rPr>
        <w:t>,</w:t>
      </w:r>
      <w:r w:rsidR="00014D05" w:rsidRPr="000D63A2">
        <w:rPr>
          <w:rFonts w:ascii="Arial" w:hAnsi="Arial" w:cs="Arial"/>
          <w:sz w:val="22"/>
        </w:rPr>
        <w:t xml:space="preserve"> w</w:t>
      </w:r>
      <w:r w:rsidRPr="000D63A2">
        <w:rPr>
          <w:rFonts w:ascii="Arial" w:hAnsi="Arial" w:cs="Arial"/>
          <w:sz w:val="22"/>
        </w:rPr>
        <w:t xml:space="preserve">hen demand remains unchanged and supply decreases, prices get </w:t>
      </w:r>
      <w:r w:rsidR="00A66AED" w:rsidRPr="000D63A2">
        <w:rPr>
          <w:rFonts w:ascii="Arial" w:hAnsi="Arial" w:cs="Arial"/>
          <w:sz w:val="22"/>
        </w:rPr>
        <w:t>higher,</w:t>
      </w:r>
      <w:r w:rsidRPr="000D63A2">
        <w:rPr>
          <w:rFonts w:ascii="Arial" w:hAnsi="Arial" w:cs="Arial"/>
          <w:sz w:val="22"/>
        </w:rPr>
        <w:t xml:space="preserve"> and the quantity goes down. After supply </w:t>
      </w:r>
      <w:r w:rsidR="006C20C5" w:rsidRPr="000D63A2">
        <w:rPr>
          <w:rFonts w:ascii="Arial" w:hAnsi="Arial" w:cs="Arial"/>
          <w:sz w:val="22"/>
        </w:rPr>
        <w:t>remains</w:t>
      </w:r>
      <w:r w:rsidRPr="000D63A2">
        <w:rPr>
          <w:rFonts w:ascii="Arial" w:hAnsi="Arial" w:cs="Arial"/>
          <w:sz w:val="22"/>
        </w:rPr>
        <w:t xml:space="preserve"> less, the supply curve shifts to the left, the equilibrium price goes higher, and the quantity traded in the market would be lower. Such circumstances were also apparent in the case study that focused on a shortage of drivers, which meant less supply of fuel, which in turn forced people to pay high prices just to secure the available fuel</w:t>
      </w:r>
      <w:r w:rsidR="00014D05" w:rsidRPr="000D63A2">
        <w:rPr>
          <w:rFonts w:ascii="Arial" w:hAnsi="Arial" w:cs="Arial"/>
          <w:sz w:val="22"/>
        </w:rPr>
        <w:t xml:space="preserve">. </w:t>
      </w:r>
      <w:r w:rsidRPr="000D63A2">
        <w:rPr>
          <w:rFonts w:ascii="Arial" w:hAnsi="Arial" w:cs="Arial"/>
          <w:sz w:val="22"/>
        </w:rPr>
        <w:t xml:space="preserve">Those rules shed insights </w:t>
      </w:r>
      <w:r w:rsidR="006C20C5" w:rsidRPr="000D63A2">
        <w:rPr>
          <w:rFonts w:ascii="Arial" w:hAnsi="Arial" w:cs="Arial"/>
          <w:sz w:val="22"/>
        </w:rPr>
        <w:t>into</w:t>
      </w:r>
      <w:r w:rsidRPr="000D63A2">
        <w:rPr>
          <w:rFonts w:ascii="Arial" w:hAnsi="Arial" w:cs="Arial"/>
          <w:sz w:val="22"/>
        </w:rPr>
        <w:t xml:space="preserve"> the constant match and mismatch of supply and demand that determine the respective market results. If the equilibrium gets disrupted either at the supply or demand curve, are adjustments made in both prices and the quantity that will be traded to establish a new level of equilibrium.</w:t>
      </w:r>
    </w:p>
    <w:p w14:paraId="1008AD16" w14:textId="77833142" w:rsidR="003270C5" w:rsidRPr="000D63A2" w:rsidRDefault="00F94F7F" w:rsidP="000D63A2">
      <w:pPr>
        <w:spacing w:line="360" w:lineRule="auto"/>
        <w:jc w:val="both"/>
        <w:rPr>
          <w:rFonts w:ascii="Arial" w:hAnsi="Arial" w:cs="Arial"/>
          <w:sz w:val="22"/>
        </w:rPr>
      </w:pPr>
      <w:r w:rsidRPr="000D63A2">
        <w:rPr>
          <w:rFonts w:ascii="Arial" w:hAnsi="Arial" w:cs="Arial"/>
          <w:sz w:val="22"/>
        </w:rPr>
        <w:t>The COVID-19 virus showed up, bringing major economic problems, which led to the fluctuation of fuel prices. Knowledge of demand and supply is always needed when dealing with these problems. On the contrary, according to Mankiw, supply and demand highly determine the nature of market behaviour variations, where both demand and supply curves impact equilibrium prices and quantities (Mankiw, 2021). The demand for fuel is in general classified as an inelastic product; that is, even if there are price fluctuations, there remain relatively low changes in demand (Parkin, 2018). The understanding of demand and supply principles, elasticity and inelasticity, and the laws of supply and demand are consequential for ventures and policymakers to develop the right problem-solving issues.</w:t>
      </w:r>
      <w:r w:rsidR="006C20C5" w:rsidRPr="000D63A2">
        <w:rPr>
          <w:rFonts w:ascii="Arial" w:hAnsi="Arial" w:cs="Arial"/>
          <w:sz w:val="22"/>
        </w:rPr>
        <w:br w:type="page"/>
      </w:r>
    </w:p>
    <w:sdt>
      <w:sdtPr>
        <w:rPr>
          <w:rFonts w:eastAsiaTheme="minorHAnsi" w:cstheme="minorBidi"/>
          <w:b w:val="0"/>
          <w:color w:val="auto"/>
          <w:sz w:val="20"/>
          <w:szCs w:val="22"/>
        </w:rPr>
        <w:id w:val="7880741"/>
        <w:docPartObj>
          <w:docPartGallery w:val="Bibliographies"/>
          <w:docPartUnique/>
        </w:docPartObj>
      </w:sdtPr>
      <w:sdtContent>
        <w:p w14:paraId="3FFB51FC" w14:textId="466EB607" w:rsidR="00DC7AFA" w:rsidRPr="00F9543E" w:rsidRDefault="00D00B07" w:rsidP="00703954">
          <w:pPr>
            <w:pStyle w:val="Heading1"/>
          </w:pPr>
          <w:r w:rsidRPr="006C20C5">
            <w:t>References</w:t>
          </w:r>
        </w:p>
        <w:p w14:paraId="27850272"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Aday, S. and Aday, M. S. (2020) ‘Impact of COVID-19 on the food supply chain’, </w:t>
          </w:r>
          <w:r w:rsidRPr="006C20C5">
            <w:rPr>
              <w:rFonts w:eastAsia="Times New Roman" w:cs="Times New Roman"/>
              <w:i/>
              <w:iCs/>
              <w:kern w:val="0"/>
              <w:sz w:val="24"/>
              <w:szCs w:val="24"/>
              <w14:ligatures w14:val="none"/>
            </w:rPr>
            <w:t>Food quality and safety</w:t>
          </w:r>
          <w:r w:rsidRPr="006C20C5">
            <w:rPr>
              <w:rFonts w:eastAsia="Times New Roman" w:cs="Times New Roman"/>
              <w:kern w:val="0"/>
              <w:sz w:val="24"/>
              <w:szCs w:val="24"/>
              <w14:ligatures w14:val="none"/>
            </w:rPr>
            <w:t xml:space="preserve">, 4(4), pp. 167–180. </w:t>
          </w:r>
          <w:proofErr w:type="spellStart"/>
          <w:r w:rsidRPr="006C20C5">
            <w:rPr>
              <w:rFonts w:eastAsia="Times New Roman" w:cs="Times New Roman"/>
              <w:kern w:val="0"/>
              <w:sz w:val="24"/>
              <w:szCs w:val="24"/>
              <w14:ligatures w14:val="none"/>
            </w:rPr>
            <w:t>doi</w:t>
          </w:r>
          <w:proofErr w:type="spellEnd"/>
          <w:r w:rsidRPr="006C20C5">
            <w:rPr>
              <w:rFonts w:eastAsia="Times New Roman" w:cs="Times New Roman"/>
              <w:kern w:val="0"/>
              <w:sz w:val="24"/>
              <w:szCs w:val="24"/>
              <w14:ligatures w14:val="none"/>
            </w:rPr>
            <w:t>: 10.1093/</w:t>
          </w:r>
          <w:r>
            <w:rPr>
              <w:rFonts w:eastAsia="Times New Roman" w:cs="Times New Roman"/>
              <w:kern w:val="0"/>
              <w:sz w:val="24"/>
              <w:szCs w:val="24"/>
              <w14:ligatures w14:val="none"/>
            </w:rPr>
            <w:t>safe</w:t>
          </w:r>
          <w:r w:rsidRPr="006C20C5">
            <w:rPr>
              <w:rFonts w:eastAsia="Times New Roman" w:cs="Times New Roman"/>
              <w:kern w:val="0"/>
              <w:sz w:val="24"/>
              <w:szCs w:val="24"/>
              <w14:ligatures w14:val="none"/>
            </w:rPr>
            <w:t>/fyaa024.</w:t>
          </w:r>
        </w:p>
        <w:p w14:paraId="34BB9759"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Andreyeva, T., Long, M., and Brownell, K. (2010). The Impact of Food Prices on Consumption: A Systematic Review of Research on the Price Elasticity of Demand for Food. American Journal of Public Health, 100(2), 216-222.</w:t>
          </w:r>
        </w:p>
        <w:p w14:paraId="61E3920A"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Guan, D. </w:t>
          </w:r>
          <w:r w:rsidRPr="006C20C5">
            <w:rPr>
              <w:rFonts w:eastAsia="Times New Roman" w:cs="Times New Roman"/>
              <w:i/>
              <w:iCs/>
              <w:kern w:val="0"/>
              <w:sz w:val="24"/>
              <w:szCs w:val="24"/>
              <w14:ligatures w14:val="none"/>
            </w:rPr>
            <w:t>et al.</w:t>
          </w:r>
          <w:r w:rsidRPr="006C20C5">
            <w:rPr>
              <w:rFonts w:eastAsia="Times New Roman" w:cs="Times New Roman"/>
              <w:kern w:val="0"/>
              <w:sz w:val="24"/>
              <w:szCs w:val="24"/>
              <w14:ligatures w14:val="none"/>
            </w:rPr>
            <w:t> (2020) ‘Global supply-chain effects of COVID-19 control measures’, </w:t>
          </w:r>
          <w:r w:rsidRPr="006C20C5">
            <w:rPr>
              <w:rFonts w:eastAsia="Times New Roman" w:cs="Times New Roman"/>
              <w:i/>
              <w:iCs/>
              <w:kern w:val="0"/>
              <w:sz w:val="24"/>
              <w:szCs w:val="24"/>
              <w14:ligatures w14:val="none"/>
            </w:rPr>
            <w:t>Nature human behaviour</w:t>
          </w:r>
          <w:r w:rsidRPr="006C20C5">
            <w:rPr>
              <w:rFonts w:eastAsia="Times New Roman" w:cs="Times New Roman"/>
              <w:kern w:val="0"/>
              <w:sz w:val="24"/>
              <w:szCs w:val="24"/>
              <w14:ligatures w14:val="none"/>
            </w:rPr>
            <w:t xml:space="preserve">, 4(6), pp. 577–587. </w:t>
          </w:r>
          <w:proofErr w:type="spellStart"/>
          <w:r w:rsidRPr="006C20C5">
            <w:rPr>
              <w:rFonts w:eastAsia="Times New Roman" w:cs="Times New Roman"/>
              <w:kern w:val="0"/>
              <w:sz w:val="24"/>
              <w:szCs w:val="24"/>
              <w14:ligatures w14:val="none"/>
            </w:rPr>
            <w:t>doi</w:t>
          </w:r>
          <w:proofErr w:type="spellEnd"/>
          <w:r w:rsidRPr="006C20C5">
            <w:rPr>
              <w:rFonts w:eastAsia="Times New Roman" w:cs="Times New Roman"/>
              <w:kern w:val="0"/>
              <w:sz w:val="24"/>
              <w:szCs w:val="24"/>
              <w14:ligatures w14:val="none"/>
            </w:rPr>
            <w:t>: 10.1038/s41562-020-0896-8.</w:t>
          </w:r>
        </w:p>
        <w:p w14:paraId="72667168"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 xml:space="preserve">Heien, D., and </w:t>
          </w:r>
          <w:proofErr w:type="spellStart"/>
          <w:r w:rsidRPr="006C20C5">
            <w:rPr>
              <w:rFonts w:eastAsia="Times New Roman" w:cs="Times New Roman"/>
              <w:kern w:val="0"/>
              <w:sz w:val="24"/>
              <w:szCs w:val="24"/>
              <w14:ligatures w14:val="none"/>
            </w:rPr>
            <w:t>Pompelli</w:t>
          </w:r>
          <w:proofErr w:type="spellEnd"/>
          <w:r w:rsidRPr="006C20C5">
            <w:rPr>
              <w:rFonts w:eastAsia="Times New Roman" w:cs="Times New Roman"/>
              <w:kern w:val="0"/>
              <w:sz w:val="24"/>
              <w:szCs w:val="24"/>
              <w14:ligatures w14:val="none"/>
            </w:rPr>
            <w:t>, G. (1989). The Demand for Alcoholic Beverages: Economic and Demographic Effects, Southern Economic Journal, pp. 759–769.</w:t>
          </w:r>
        </w:p>
        <w:p w14:paraId="5F199293" w14:textId="62EBFBCA"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proofErr w:type="spellStart"/>
          <w:r w:rsidRPr="006C20C5">
            <w:rPr>
              <w:rFonts w:eastAsia="Times New Roman" w:cs="Times New Roman"/>
              <w:kern w:val="0"/>
              <w:sz w:val="24"/>
              <w:szCs w:val="24"/>
              <w14:ligatures w14:val="none"/>
            </w:rPr>
            <w:t>Hössinger</w:t>
          </w:r>
          <w:proofErr w:type="spellEnd"/>
          <w:r w:rsidRPr="006C20C5">
            <w:rPr>
              <w:rFonts w:eastAsia="Times New Roman" w:cs="Times New Roman"/>
              <w:kern w:val="0"/>
              <w:sz w:val="24"/>
              <w:szCs w:val="24"/>
              <w14:ligatures w14:val="none"/>
            </w:rPr>
            <w:t>, R. </w:t>
          </w:r>
          <w:r w:rsidRPr="006C20C5">
            <w:rPr>
              <w:rFonts w:eastAsia="Times New Roman" w:cs="Times New Roman"/>
              <w:i/>
              <w:iCs/>
              <w:kern w:val="0"/>
              <w:sz w:val="24"/>
              <w:szCs w:val="24"/>
              <w14:ligatures w14:val="none"/>
            </w:rPr>
            <w:t>et al.</w:t>
          </w:r>
          <w:r w:rsidRPr="006C20C5">
            <w:rPr>
              <w:rFonts w:eastAsia="Times New Roman" w:cs="Times New Roman"/>
              <w:kern w:val="0"/>
              <w:sz w:val="24"/>
              <w:szCs w:val="24"/>
              <w14:ligatures w14:val="none"/>
            </w:rPr>
            <w:t> (2017) ‘Estimating the price elasticity of fuel demand with stated preferences derived from a situational approach’, </w:t>
          </w:r>
          <w:r w:rsidRPr="006C20C5">
            <w:rPr>
              <w:rFonts w:eastAsia="Times New Roman" w:cs="Times New Roman"/>
              <w:i/>
              <w:iCs/>
              <w:kern w:val="0"/>
              <w:sz w:val="24"/>
              <w:szCs w:val="24"/>
              <w14:ligatures w14:val="none"/>
            </w:rPr>
            <w:t xml:space="preserve">Transportation research. Part A, </w:t>
          </w:r>
          <w:r w:rsidR="00A66AED" w:rsidRPr="006C20C5">
            <w:rPr>
              <w:rFonts w:eastAsia="Times New Roman" w:cs="Times New Roman"/>
              <w:i/>
              <w:iCs/>
              <w:kern w:val="0"/>
              <w:sz w:val="24"/>
              <w:szCs w:val="24"/>
              <w14:ligatures w14:val="none"/>
            </w:rPr>
            <w:t>Policy,</w:t>
          </w:r>
          <w:r w:rsidRPr="006C20C5">
            <w:rPr>
              <w:rFonts w:eastAsia="Times New Roman" w:cs="Times New Roman"/>
              <w:i/>
              <w:iCs/>
              <w:kern w:val="0"/>
              <w:sz w:val="24"/>
              <w:szCs w:val="24"/>
              <w14:ligatures w14:val="none"/>
            </w:rPr>
            <w:t xml:space="preserve"> and practice</w:t>
          </w:r>
          <w:r w:rsidRPr="006C20C5">
            <w:rPr>
              <w:rFonts w:eastAsia="Times New Roman" w:cs="Times New Roman"/>
              <w:kern w:val="0"/>
              <w:sz w:val="24"/>
              <w:szCs w:val="24"/>
              <w14:ligatures w14:val="none"/>
            </w:rPr>
            <w:t xml:space="preserve">, 103, pp. 154–171. </w:t>
          </w:r>
          <w:proofErr w:type="spellStart"/>
          <w:r w:rsidRPr="006C20C5">
            <w:rPr>
              <w:rFonts w:eastAsia="Times New Roman" w:cs="Times New Roman"/>
              <w:kern w:val="0"/>
              <w:sz w:val="24"/>
              <w:szCs w:val="24"/>
              <w14:ligatures w14:val="none"/>
            </w:rPr>
            <w:t>doi</w:t>
          </w:r>
          <w:proofErr w:type="spellEnd"/>
          <w:r w:rsidRPr="006C20C5">
            <w:rPr>
              <w:rFonts w:eastAsia="Times New Roman" w:cs="Times New Roman"/>
              <w:kern w:val="0"/>
              <w:sz w:val="24"/>
              <w:szCs w:val="24"/>
              <w14:ligatures w14:val="none"/>
            </w:rPr>
            <w:t>: 10.1016/j.tra.2017.06.001.</w:t>
          </w:r>
        </w:p>
        <w:p w14:paraId="44F20DBE" w14:textId="3F8E1548" w:rsidR="008A185F" w:rsidRPr="008A185F" w:rsidRDefault="008A185F" w:rsidP="00D608A6">
          <w:pPr>
            <w:spacing w:before="100" w:beforeAutospacing="1" w:after="100" w:afterAutospacing="1" w:line="360" w:lineRule="auto"/>
            <w:rPr>
              <w:rFonts w:eastAsia="Times New Roman" w:cs="Times New Roman"/>
              <w:kern w:val="0"/>
              <w:sz w:val="24"/>
              <w:szCs w:val="24"/>
              <w:lang w:val="en-US"/>
              <w14:ligatures w14:val="none"/>
            </w:rPr>
          </w:pPr>
          <w:r w:rsidRPr="008A185F">
            <w:rPr>
              <w:rFonts w:eastAsia="Times New Roman" w:cs="Times New Roman"/>
              <w:kern w:val="0"/>
              <w:sz w:val="24"/>
              <w:szCs w:val="24"/>
              <w:lang w:val="en-US"/>
              <w14:ligatures w14:val="none"/>
            </w:rPr>
            <w:t>Institute for Government (2021) </w:t>
          </w:r>
          <w:r w:rsidRPr="008A185F">
            <w:rPr>
              <w:rFonts w:eastAsia="Times New Roman" w:cs="Times New Roman"/>
              <w:i/>
              <w:iCs/>
              <w:kern w:val="0"/>
              <w:sz w:val="24"/>
              <w:szCs w:val="24"/>
              <w:lang w:val="en-US"/>
              <w14:ligatures w14:val="none"/>
            </w:rPr>
            <w:t>Supply chain problems</w:t>
          </w:r>
          <w:r w:rsidRPr="008A185F">
            <w:rPr>
              <w:rFonts w:eastAsia="Times New Roman" w:cs="Times New Roman"/>
              <w:kern w:val="0"/>
              <w:sz w:val="24"/>
              <w:szCs w:val="24"/>
              <w:lang w:val="en-US"/>
              <w14:ligatures w14:val="none"/>
            </w:rPr>
            <w:t>, </w:t>
          </w:r>
          <w:r w:rsidRPr="008A185F">
            <w:rPr>
              <w:rFonts w:eastAsia="Times New Roman" w:cs="Times New Roman"/>
              <w:i/>
              <w:iCs/>
              <w:kern w:val="0"/>
              <w:sz w:val="24"/>
              <w:szCs w:val="24"/>
              <w:lang w:val="en-US"/>
              <w14:ligatures w14:val="none"/>
            </w:rPr>
            <w:t>Institute for Government</w:t>
          </w:r>
          <w:r w:rsidRPr="008A185F">
            <w:rPr>
              <w:rFonts w:eastAsia="Times New Roman" w:cs="Times New Roman"/>
              <w:kern w:val="0"/>
              <w:sz w:val="24"/>
              <w:szCs w:val="24"/>
              <w:lang w:val="en-US"/>
              <w14:ligatures w14:val="none"/>
            </w:rPr>
            <w:t>. Available at: https://www.instituteforgovernment.org.uk/publication/supply-chains/causes (Accessed: 30 March 2024).</w:t>
          </w:r>
        </w:p>
        <w:p w14:paraId="7318EB8A" w14:textId="3CCDF9B9"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Ivanov, D. (2020) ‘Predicting the impacts of epidemic outbreaks on global supply chains: A simulation-based analysis on the coronavirus outbreak (COVID-19/SARS-CoV-2) case’, </w:t>
          </w:r>
          <w:r w:rsidRPr="006C20C5">
            <w:rPr>
              <w:rFonts w:eastAsia="Times New Roman" w:cs="Times New Roman"/>
              <w:i/>
              <w:iCs/>
              <w:kern w:val="0"/>
              <w:sz w:val="24"/>
              <w:szCs w:val="24"/>
              <w14:ligatures w14:val="none"/>
            </w:rPr>
            <w:t>Transportation Research Part E: Logistics and Transportation Review</w:t>
          </w:r>
          <w:r w:rsidRPr="006C20C5">
            <w:rPr>
              <w:rFonts w:eastAsia="Times New Roman" w:cs="Times New Roman"/>
              <w:kern w:val="0"/>
              <w:sz w:val="24"/>
              <w:szCs w:val="24"/>
              <w14:ligatures w14:val="none"/>
            </w:rPr>
            <w:t xml:space="preserve">, 136(101922), p. 101922. </w:t>
          </w:r>
          <w:proofErr w:type="spellStart"/>
          <w:r w:rsidRPr="006C20C5">
            <w:rPr>
              <w:rFonts w:eastAsia="Times New Roman" w:cs="Times New Roman"/>
              <w:kern w:val="0"/>
              <w:sz w:val="24"/>
              <w:szCs w:val="24"/>
              <w14:ligatures w14:val="none"/>
            </w:rPr>
            <w:t>doi</w:t>
          </w:r>
          <w:proofErr w:type="spellEnd"/>
          <w:r w:rsidRPr="006C20C5">
            <w:rPr>
              <w:rFonts w:eastAsia="Times New Roman" w:cs="Times New Roman"/>
              <w:kern w:val="0"/>
              <w:sz w:val="24"/>
              <w:szCs w:val="24"/>
              <w14:ligatures w14:val="none"/>
            </w:rPr>
            <w:t>: 10.1016/j.tre.2020.101922.</w:t>
          </w:r>
        </w:p>
        <w:p w14:paraId="1E10FAAE"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 xml:space="preserve">Ivanov, D. and </w:t>
          </w:r>
          <w:proofErr w:type="spellStart"/>
          <w:r w:rsidRPr="006C20C5">
            <w:rPr>
              <w:rFonts w:eastAsia="Times New Roman" w:cs="Times New Roman"/>
              <w:kern w:val="0"/>
              <w:sz w:val="24"/>
              <w:szCs w:val="24"/>
              <w14:ligatures w14:val="none"/>
            </w:rPr>
            <w:t>Dolgui</w:t>
          </w:r>
          <w:proofErr w:type="spellEnd"/>
          <w:r w:rsidRPr="006C20C5">
            <w:rPr>
              <w:rFonts w:eastAsia="Times New Roman" w:cs="Times New Roman"/>
              <w:kern w:val="0"/>
              <w:sz w:val="24"/>
              <w:szCs w:val="24"/>
              <w14:ligatures w14:val="none"/>
            </w:rPr>
            <w:t>, A. (2020) ‘Viability of intertwined supply networks: extending the supply chain resilience angles towards survivability. A position paper motivated by COVID-19 outbreak’, </w:t>
          </w:r>
          <w:r w:rsidRPr="006C20C5">
            <w:rPr>
              <w:rFonts w:eastAsia="Times New Roman" w:cs="Times New Roman"/>
              <w:i/>
              <w:iCs/>
              <w:kern w:val="0"/>
              <w:sz w:val="24"/>
              <w:szCs w:val="24"/>
              <w14:ligatures w14:val="none"/>
            </w:rPr>
            <w:t>International journal of production research</w:t>
          </w:r>
          <w:r w:rsidRPr="006C20C5">
            <w:rPr>
              <w:rFonts w:eastAsia="Times New Roman" w:cs="Times New Roman"/>
              <w:kern w:val="0"/>
              <w:sz w:val="24"/>
              <w:szCs w:val="24"/>
              <w14:ligatures w14:val="none"/>
            </w:rPr>
            <w:t xml:space="preserve">, 58(10), pp. 2904–2915. </w:t>
          </w:r>
          <w:proofErr w:type="spellStart"/>
          <w:r w:rsidRPr="006C20C5">
            <w:rPr>
              <w:rFonts w:eastAsia="Times New Roman" w:cs="Times New Roman"/>
              <w:kern w:val="0"/>
              <w:sz w:val="24"/>
              <w:szCs w:val="24"/>
              <w14:ligatures w14:val="none"/>
            </w:rPr>
            <w:t>doi</w:t>
          </w:r>
          <w:proofErr w:type="spellEnd"/>
          <w:r w:rsidRPr="006C20C5">
            <w:rPr>
              <w:rFonts w:eastAsia="Times New Roman" w:cs="Times New Roman"/>
              <w:kern w:val="0"/>
              <w:sz w:val="24"/>
              <w:szCs w:val="24"/>
              <w14:ligatures w14:val="none"/>
            </w:rPr>
            <w:t>: 10.1080/00207543.2020.1750727.</w:t>
          </w:r>
        </w:p>
        <w:p w14:paraId="0C6DAE45"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lastRenderedPageBreak/>
            <w:t>Lee, T. </w:t>
          </w:r>
          <w:r w:rsidRPr="006C20C5">
            <w:rPr>
              <w:rFonts w:eastAsia="Times New Roman" w:cs="Times New Roman"/>
              <w:i/>
              <w:iCs/>
              <w:kern w:val="0"/>
              <w:sz w:val="24"/>
              <w:szCs w:val="24"/>
              <w14:ligatures w14:val="none"/>
            </w:rPr>
            <w:t>et al.</w:t>
          </w:r>
          <w:r w:rsidRPr="006C20C5">
            <w:rPr>
              <w:rFonts w:eastAsia="Times New Roman" w:cs="Times New Roman"/>
              <w:kern w:val="0"/>
              <w:sz w:val="24"/>
              <w:szCs w:val="24"/>
              <w14:ligatures w14:val="none"/>
            </w:rPr>
            <w:t> (2022) </w:t>
          </w:r>
          <w:r w:rsidRPr="006C20C5">
            <w:rPr>
              <w:rFonts w:eastAsia="Times New Roman" w:cs="Times New Roman"/>
              <w:i/>
              <w:iCs/>
              <w:kern w:val="0"/>
              <w:sz w:val="24"/>
              <w:szCs w:val="24"/>
              <w14:ligatures w14:val="none"/>
            </w:rPr>
            <w:t>Coronavirus (COVID-19) and its effects on household consumption, UK - Office for National Statistics</w:t>
          </w:r>
          <w:r w:rsidRPr="006C20C5">
            <w:rPr>
              <w:rFonts w:eastAsia="Times New Roman" w:cs="Times New Roman"/>
              <w:kern w:val="0"/>
              <w:sz w:val="24"/>
              <w:szCs w:val="24"/>
              <w14:ligatures w14:val="none"/>
            </w:rPr>
            <w:t>, </w:t>
          </w:r>
          <w:r w:rsidRPr="006C20C5">
            <w:rPr>
              <w:rFonts w:eastAsia="Times New Roman" w:cs="Times New Roman"/>
              <w:i/>
              <w:iCs/>
              <w:kern w:val="0"/>
              <w:sz w:val="24"/>
              <w:szCs w:val="24"/>
              <w14:ligatures w14:val="none"/>
            </w:rPr>
            <w:t>Gov.uk</w:t>
          </w:r>
          <w:r w:rsidRPr="006C20C5">
            <w:rPr>
              <w:rFonts w:eastAsia="Times New Roman" w:cs="Times New Roman"/>
              <w:kern w:val="0"/>
              <w:sz w:val="24"/>
              <w:szCs w:val="24"/>
              <w14:ligatures w14:val="none"/>
            </w:rPr>
            <w:t>. Office for National Statistics. Available at: https://www.ons.gov.uk/economy/nationalaccounts/uksectoraccounts/articles/coronaviruscovid19anditseffectsonhouseholdconsumptionuk/january2020todecember2021 (Accessed: 29 March 2024).</w:t>
          </w:r>
        </w:p>
        <w:p w14:paraId="66C3445D" w14:textId="77777777" w:rsidR="00DC7AFA" w:rsidRPr="006C20C5" w:rsidRDefault="00DC7AFA" w:rsidP="00D608A6">
          <w:pPr>
            <w:spacing w:line="360" w:lineRule="auto"/>
            <w:jc w:val="both"/>
            <w:rPr>
              <w:rFonts w:cs="Times New Roman"/>
              <w:sz w:val="24"/>
              <w:szCs w:val="24"/>
            </w:rPr>
          </w:pPr>
          <w:r w:rsidRPr="006C20C5">
            <w:rPr>
              <w:rFonts w:cs="Times New Roman"/>
              <w:sz w:val="24"/>
              <w:szCs w:val="24"/>
            </w:rPr>
            <w:t>Mankiw, N.G., 2021. Principles of Economics. 9th ed. Cengage Learning.</w:t>
          </w:r>
        </w:p>
        <w:p w14:paraId="6C227F92"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proofErr w:type="spellStart"/>
          <w:r w:rsidRPr="006C20C5">
            <w:rPr>
              <w:rFonts w:eastAsia="Times New Roman" w:cs="Times New Roman"/>
              <w:kern w:val="0"/>
              <w:sz w:val="24"/>
              <w:szCs w:val="24"/>
              <w14:ligatures w14:val="none"/>
            </w:rPr>
            <w:t>Mugaloglu</w:t>
          </w:r>
          <w:proofErr w:type="spellEnd"/>
          <w:r w:rsidRPr="006C20C5">
            <w:rPr>
              <w:rFonts w:eastAsia="Times New Roman" w:cs="Times New Roman"/>
              <w:kern w:val="0"/>
              <w:sz w:val="24"/>
              <w:szCs w:val="24"/>
              <w14:ligatures w14:val="none"/>
            </w:rPr>
            <w:t>, E. (2021) </w:t>
          </w:r>
          <w:r w:rsidRPr="006C20C5">
            <w:rPr>
              <w:rFonts w:eastAsia="Times New Roman" w:cs="Times New Roman"/>
              <w:i/>
              <w:iCs/>
              <w:kern w:val="0"/>
              <w:sz w:val="24"/>
              <w:szCs w:val="24"/>
              <w14:ligatures w14:val="none"/>
            </w:rPr>
            <w:t>Oil Price Shocks During the COVID-19 Pandemic</w:t>
          </w:r>
          <w:r w:rsidRPr="006C20C5">
            <w:rPr>
              <w:rFonts w:eastAsia="Times New Roman" w:cs="Times New Roman"/>
              <w:kern w:val="0"/>
              <w:sz w:val="24"/>
              <w:szCs w:val="24"/>
              <w14:ligatures w14:val="none"/>
            </w:rPr>
            <w:t>, </w:t>
          </w:r>
          <w:r w:rsidRPr="006C20C5">
            <w:rPr>
              <w:rFonts w:eastAsia="Times New Roman" w:cs="Times New Roman"/>
              <w:i/>
              <w:iCs/>
              <w:kern w:val="0"/>
              <w:sz w:val="24"/>
              <w:szCs w:val="24"/>
              <w14:ligatures w14:val="none"/>
            </w:rPr>
            <w:t>Scholasticahq.com</w:t>
          </w:r>
          <w:r w:rsidRPr="006C20C5">
            <w:rPr>
              <w:rFonts w:eastAsia="Times New Roman" w:cs="Times New Roman"/>
              <w:kern w:val="0"/>
              <w:sz w:val="24"/>
              <w:szCs w:val="24"/>
              <w14:ligatures w14:val="none"/>
            </w:rPr>
            <w:t>. Available at: https://erl.scholasticahq.com/article/24253-oil-price-shocks-during-the-covid-19-pandemic-evidence-from-united-kingdom-energy-stocks (Accessed: 29 March 2024).</w:t>
          </w:r>
        </w:p>
        <w:p w14:paraId="0284F170" w14:textId="77777777" w:rsidR="00DC7AFA" w:rsidRPr="00845479" w:rsidRDefault="00DC7AFA" w:rsidP="00D608A6">
          <w:pPr>
            <w:spacing w:line="360" w:lineRule="auto"/>
            <w:jc w:val="both"/>
            <w:rPr>
              <w:rFonts w:eastAsia="Times New Roman" w:cs="Times New Roman"/>
              <w:i/>
              <w:iCs/>
              <w:kern w:val="0"/>
              <w:sz w:val="24"/>
              <w:szCs w:val="24"/>
              <w14:ligatures w14:val="none"/>
            </w:rPr>
          </w:pPr>
          <w:r w:rsidRPr="00845479">
            <w:rPr>
              <w:rFonts w:eastAsia="Times New Roman" w:cs="Times New Roman"/>
              <w:i/>
              <w:iCs/>
              <w:kern w:val="0"/>
              <w:sz w:val="24"/>
              <w:szCs w:val="24"/>
              <w14:ligatures w14:val="none"/>
            </w:rPr>
            <w:t>OECD (2015), OECD Employment Outlook 2015, OECD Publishing, Paris.</w:t>
          </w:r>
        </w:p>
        <w:p w14:paraId="412F10A8"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proofErr w:type="spellStart"/>
          <w:r w:rsidRPr="006C20C5">
            <w:rPr>
              <w:rFonts w:eastAsia="Times New Roman" w:cs="Times New Roman"/>
              <w:kern w:val="0"/>
              <w:sz w:val="24"/>
              <w:szCs w:val="24"/>
              <w14:ligatures w14:val="none"/>
            </w:rPr>
            <w:t>Osadiya</w:t>
          </w:r>
          <w:proofErr w:type="spellEnd"/>
          <w:r w:rsidRPr="006C20C5">
            <w:rPr>
              <w:rFonts w:eastAsia="Times New Roman" w:cs="Times New Roman"/>
              <w:kern w:val="0"/>
              <w:sz w:val="24"/>
              <w:szCs w:val="24"/>
              <w14:ligatures w14:val="none"/>
            </w:rPr>
            <w:t>, T. (2023). Introduction to Economics. Amazon.</w:t>
          </w:r>
        </w:p>
        <w:p w14:paraId="459ED500"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Parkin, M. (2018) </w:t>
          </w:r>
          <w:r w:rsidRPr="006C20C5">
            <w:rPr>
              <w:rFonts w:eastAsia="Times New Roman" w:cs="Times New Roman"/>
              <w:i/>
              <w:iCs/>
              <w:kern w:val="0"/>
              <w:sz w:val="24"/>
              <w:szCs w:val="24"/>
              <w14:ligatures w14:val="none"/>
            </w:rPr>
            <w:t>Microeconomics</w:t>
          </w:r>
          <w:r w:rsidRPr="006C20C5">
            <w:rPr>
              <w:rFonts w:eastAsia="Times New Roman" w:cs="Times New Roman"/>
              <w:kern w:val="0"/>
              <w:sz w:val="24"/>
              <w:szCs w:val="24"/>
              <w14:ligatures w14:val="none"/>
            </w:rPr>
            <w:t xml:space="preserve">. 13th </w:t>
          </w:r>
          <w:proofErr w:type="spellStart"/>
          <w:r w:rsidRPr="006C20C5">
            <w:rPr>
              <w:rFonts w:eastAsia="Times New Roman" w:cs="Times New Roman"/>
              <w:kern w:val="0"/>
              <w:sz w:val="24"/>
              <w:szCs w:val="24"/>
              <w14:ligatures w14:val="none"/>
            </w:rPr>
            <w:t>edn</w:t>
          </w:r>
          <w:proofErr w:type="spellEnd"/>
          <w:r w:rsidRPr="006C20C5">
            <w:rPr>
              <w:rFonts w:eastAsia="Times New Roman" w:cs="Times New Roman"/>
              <w:kern w:val="0"/>
              <w:sz w:val="24"/>
              <w:szCs w:val="24"/>
              <w14:ligatures w14:val="none"/>
            </w:rPr>
            <w:t>. Upper Saddle River, NJ, USA: Pearson.</w:t>
          </w:r>
        </w:p>
        <w:p w14:paraId="795E34EB"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Rauch, D. E. and Schleicher, D. (2015) ‘Like Uber, but for local governmental policy: The future of local regulation of the “sharing economy”’, </w:t>
          </w:r>
          <w:r w:rsidRPr="006C20C5">
            <w:rPr>
              <w:rFonts w:eastAsia="Times New Roman" w:cs="Times New Roman"/>
              <w:i/>
              <w:iCs/>
              <w:kern w:val="0"/>
              <w:sz w:val="24"/>
              <w:szCs w:val="24"/>
              <w14:ligatures w14:val="none"/>
            </w:rPr>
            <w:t>SSRN Electronic Journal</w:t>
          </w:r>
          <w:r w:rsidRPr="006C20C5">
            <w:rPr>
              <w:rFonts w:eastAsia="Times New Roman" w:cs="Times New Roman"/>
              <w:kern w:val="0"/>
              <w:sz w:val="24"/>
              <w:szCs w:val="24"/>
              <w14:ligatures w14:val="none"/>
            </w:rPr>
            <w:t xml:space="preserve">. </w:t>
          </w:r>
          <w:proofErr w:type="spellStart"/>
          <w:r w:rsidRPr="006C20C5">
            <w:rPr>
              <w:rFonts w:eastAsia="Times New Roman" w:cs="Times New Roman"/>
              <w:kern w:val="0"/>
              <w:sz w:val="24"/>
              <w:szCs w:val="24"/>
              <w14:ligatures w14:val="none"/>
            </w:rPr>
            <w:t>doi</w:t>
          </w:r>
          <w:proofErr w:type="spellEnd"/>
          <w:r w:rsidRPr="006C20C5">
            <w:rPr>
              <w:rFonts w:eastAsia="Times New Roman" w:cs="Times New Roman"/>
              <w:kern w:val="0"/>
              <w:sz w:val="24"/>
              <w:szCs w:val="24"/>
              <w14:ligatures w14:val="none"/>
            </w:rPr>
            <w:t>: 10.2139/ssrn.2549919.</w:t>
          </w:r>
        </w:p>
        <w:p w14:paraId="2E2105FF" w14:textId="196BA029" w:rsidR="00DC7AFA" w:rsidRPr="006C20C5" w:rsidRDefault="00DC7AFA" w:rsidP="00D608A6">
          <w:pPr>
            <w:spacing w:line="360" w:lineRule="auto"/>
            <w:jc w:val="both"/>
            <w:rPr>
              <w:rFonts w:cs="Times New Roman"/>
              <w:sz w:val="24"/>
              <w:szCs w:val="24"/>
            </w:rPr>
          </w:pPr>
          <w:r w:rsidRPr="006C20C5">
            <w:rPr>
              <w:rFonts w:cs="Times New Roman"/>
              <w:sz w:val="24"/>
              <w:szCs w:val="24"/>
            </w:rPr>
            <w:t xml:space="preserve">Samuelson, </w:t>
          </w:r>
          <w:r w:rsidR="00A66AED" w:rsidRPr="006C20C5">
            <w:rPr>
              <w:rFonts w:cs="Times New Roman"/>
              <w:sz w:val="24"/>
              <w:szCs w:val="24"/>
            </w:rPr>
            <w:t>P.A.,</w:t>
          </w:r>
          <w:r w:rsidRPr="006C20C5">
            <w:rPr>
              <w:rFonts w:cs="Times New Roman"/>
              <w:sz w:val="24"/>
              <w:szCs w:val="24"/>
            </w:rPr>
            <w:t xml:space="preserve"> and Nordhaus, W.D., 2010. Economics. 19th ed. McGraw-Hill Education.</w:t>
          </w:r>
        </w:p>
        <w:p w14:paraId="43EFCD65" w14:textId="338EC8B9"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Sargent, M., Marrone, J. V. and Evans, A. (2020) </w:t>
          </w:r>
          <w:r w:rsidRPr="006C20C5">
            <w:rPr>
              <w:rFonts w:eastAsia="Times New Roman" w:cs="Times New Roman"/>
              <w:i/>
              <w:iCs/>
              <w:kern w:val="0"/>
              <w:sz w:val="24"/>
              <w:szCs w:val="24"/>
              <w14:ligatures w14:val="none"/>
            </w:rPr>
            <w:t xml:space="preserve">Tracking and disrupting the illicit antiquities trade with </w:t>
          </w:r>
          <w:r w:rsidR="00A66AED" w:rsidRPr="006C20C5">
            <w:rPr>
              <w:rFonts w:eastAsia="Times New Roman" w:cs="Times New Roman"/>
              <w:i/>
              <w:iCs/>
              <w:kern w:val="0"/>
              <w:sz w:val="24"/>
              <w:szCs w:val="24"/>
              <w14:ligatures w14:val="none"/>
            </w:rPr>
            <w:t>open-source</w:t>
          </w:r>
          <w:r w:rsidRPr="006C20C5">
            <w:rPr>
              <w:rFonts w:eastAsia="Times New Roman" w:cs="Times New Roman"/>
              <w:i/>
              <w:iCs/>
              <w:kern w:val="0"/>
              <w:sz w:val="24"/>
              <w:szCs w:val="24"/>
              <w14:ligatures w14:val="none"/>
            </w:rPr>
            <w:t xml:space="preserve"> data</w:t>
          </w:r>
          <w:r w:rsidRPr="006C20C5">
            <w:rPr>
              <w:rFonts w:eastAsia="Times New Roman" w:cs="Times New Roman"/>
              <w:kern w:val="0"/>
              <w:sz w:val="24"/>
              <w:szCs w:val="24"/>
              <w14:ligatures w14:val="none"/>
            </w:rPr>
            <w:t>. Santa Monica, CA, USA: RAND.</w:t>
          </w:r>
        </w:p>
        <w:p w14:paraId="61A779A6"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Shapiro, M. (1987). Measuring Market Power in U.S. Industry, NBER Working Paper, No. 2212</w:t>
          </w:r>
        </w:p>
        <w:p w14:paraId="70F2CCF6" w14:textId="77777777" w:rsidR="00DC7AFA" w:rsidRPr="006C20C5" w:rsidRDefault="00DC7AFA" w:rsidP="00D608A6">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t>Shih, W. C. (2020) ‘Global supply chains in a post-pandemic world’, </w:t>
          </w:r>
          <w:r w:rsidRPr="006C20C5">
            <w:rPr>
              <w:rFonts w:eastAsia="Times New Roman" w:cs="Times New Roman"/>
              <w:i/>
              <w:iCs/>
              <w:kern w:val="0"/>
              <w:sz w:val="24"/>
              <w:szCs w:val="24"/>
              <w14:ligatures w14:val="none"/>
            </w:rPr>
            <w:t>Harvard business review</w:t>
          </w:r>
          <w:r w:rsidRPr="006C20C5">
            <w:rPr>
              <w:rFonts w:eastAsia="Times New Roman" w:cs="Times New Roman"/>
              <w:kern w:val="0"/>
              <w:sz w:val="24"/>
              <w:szCs w:val="24"/>
              <w14:ligatures w14:val="none"/>
            </w:rPr>
            <w:t>, 1 September. Available at: https://hbr.org/2020/09/global-supply-chains-in-a-post-pandemic-world (Accessed: 29 March 2024).</w:t>
          </w:r>
        </w:p>
        <w:p w14:paraId="5C755724" w14:textId="111C7B1F" w:rsidR="00D00B07" w:rsidRPr="00F9543E" w:rsidRDefault="00DC7AFA" w:rsidP="00F9543E">
          <w:pPr>
            <w:spacing w:before="100" w:beforeAutospacing="1" w:after="100" w:afterAutospacing="1" w:line="360" w:lineRule="auto"/>
            <w:rPr>
              <w:rFonts w:eastAsia="Times New Roman" w:cs="Times New Roman"/>
              <w:kern w:val="0"/>
              <w:sz w:val="24"/>
              <w:szCs w:val="24"/>
              <w14:ligatures w14:val="none"/>
            </w:rPr>
          </w:pPr>
          <w:r w:rsidRPr="006C20C5">
            <w:rPr>
              <w:rFonts w:eastAsia="Times New Roman" w:cs="Times New Roman"/>
              <w:kern w:val="0"/>
              <w:sz w:val="24"/>
              <w:szCs w:val="24"/>
              <w14:ligatures w14:val="none"/>
            </w:rPr>
            <w:lastRenderedPageBreak/>
            <w:t>Ying, C.-M. (2022) </w:t>
          </w:r>
          <w:r w:rsidRPr="006C20C5">
            <w:rPr>
              <w:rFonts w:eastAsia="Times New Roman" w:cs="Times New Roman"/>
              <w:i/>
              <w:iCs/>
              <w:kern w:val="0"/>
              <w:sz w:val="24"/>
              <w:szCs w:val="24"/>
              <w14:ligatures w14:val="none"/>
            </w:rPr>
            <w:t>Global Supply Chain Pressure Index: A barometer of stress</w:t>
          </w:r>
          <w:r w:rsidRPr="006C20C5">
            <w:rPr>
              <w:rFonts w:eastAsia="Times New Roman" w:cs="Times New Roman"/>
              <w:kern w:val="0"/>
              <w:sz w:val="24"/>
              <w:szCs w:val="24"/>
              <w14:ligatures w14:val="none"/>
            </w:rPr>
            <w:t>, </w:t>
          </w:r>
          <w:r w:rsidRPr="006C20C5">
            <w:rPr>
              <w:rFonts w:eastAsia="Times New Roman" w:cs="Times New Roman"/>
              <w:i/>
              <w:iCs/>
              <w:kern w:val="0"/>
              <w:sz w:val="24"/>
              <w:szCs w:val="24"/>
              <w14:ligatures w14:val="none"/>
            </w:rPr>
            <w:t xml:space="preserve">New </w:t>
          </w:r>
          <w:proofErr w:type="spellStart"/>
          <w:r w:rsidRPr="006C20C5">
            <w:rPr>
              <w:rFonts w:eastAsia="Times New Roman" w:cs="Times New Roman"/>
              <w:i/>
              <w:iCs/>
              <w:kern w:val="0"/>
              <w:sz w:val="24"/>
              <w:szCs w:val="24"/>
              <w14:ligatures w14:val="none"/>
            </w:rPr>
            <w:t>Hor</w:t>
          </w:r>
          <w:r w:rsidR="00535FCD">
            <w:rPr>
              <w:rFonts w:eastAsia="Times New Roman" w:cs="Times New Roman"/>
              <w:i/>
              <w:iCs/>
              <w:kern w:val="0"/>
              <w:sz w:val="24"/>
              <w:szCs w:val="24"/>
              <w14:ligatures w14:val="none"/>
            </w:rPr>
            <w:t>is</w:t>
          </w:r>
          <w:r w:rsidRPr="006C20C5">
            <w:rPr>
              <w:rFonts w:eastAsia="Times New Roman" w:cs="Times New Roman"/>
              <w:i/>
              <w:iCs/>
              <w:kern w:val="0"/>
              <w:sz w:val="24"/>
              <w:szCs w:val="24"/>
              <w14:ligatures w14:val="none"/>
            </w:rPr>
            <w:t>on</w:t>
          </w:r>
          <w:proofErr w:type="spellEnd"/>
          <w:r w:rsidRPr="006C20C5">
            <w:rPr>
              <w:rFonts w:eastAsia="Times New Roman" w:cs="Times New Roman"/>
              <w:kern w:val="0"/>
              <w:sz w:val="24"/>
              <w:szCs w:val="24"/>
              <w14:ligatures w14:val="none"/>
            </w:rPr>
            <w:t>. Available at: https://www.newhor</w:t>
          </w:r>
          <w:r w:rsidR="00535FCD">
            <w:rPr>
              <w:rFonts w:eastAsia="Times New Roman" w:cs="Times New Roman"/>
              <w:kern w:val="0"/>
              <w:sz w:val="24"/>
              <w:szCs w:val="24"/>
              <w14:ligatures w14:val="none"/>
            </w:rPr>
            <w:t>is</w:t>
          </w:r>
          <w:r w:rsidRPr="006C20C5">
            <w:rPr>
              <w:rFonts w:eastAsia="Times New Roman" w:cs="Times New Roman"/>
              <w:kern w:val="0"/>
              <w:sz w:val="24"/>
              <w:szCs w:val="24"/>
              <w14:ligatures w14:val="none"/>
            </w:rPr>
            <w:t>on.ai/industry-insights/global-supply-chain-pressure-index-a-barometer-of-stress/ (Accessed: 29 March 2024).</w:t>
          </w:r>
        </w:p>
      </w:sdtContent>
    </w:sdt>
    <w:sectPr w:rsidR="00D00B07" w:rsidRPr="00F9543E" w:rsidSect="00FC6476">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E0554" w14:textId="77777777" w:rsidR="00FC6476" w:rsidRDefault="00FC6476" w:rsidP="009A6A4A">
      <w:pPr>
        <w:spacing w:after="0" w:line="240" w:lineRule="auto"/>
      </w:pPr>
      <w:r>
        <w:separator/>
      </w:r>
    </w:p>
  </w:endnote>
  <w:endnote w:type="continuationSeparator" w:id="0">
    <w:p w14:paraId="3E3915D0" w14:textId="77777777" w:rsidR="00FC6476" w:rsidRDefault="00FC6476" w:rsidP="009A6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970999"/>
      <w:docPartObj>
        <w:docPartGallery w:val="Page Numbers (Bottom of Page)"/>
        <w:docPartUnique/>
      </w:docPartObj>
    </w:sdtPr>
    <w:sdtEndPr>
      <w:rPr>
        <w:noProof/>
      </w:rPr>
    </w:sdtEndPr>
    <w:sdtContent>
      <w:p w14:paraId="2821F93F" w14:textId="3748E4AC" w:rsidR="009A6A4A" w:rsidRDefault="009A6A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CD6367" w14:textId="77777777" w:rsidR="009A6A4A" w:rsidRDefault="009A6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849E8" w14:textId="77777777" w:rsidR="00FC6476" w:rsidRDefault="00FC6476" w:rsidP="009A6A4A">
      <w:pPr>
        <w:spacing w:after="0" w:line="240" w:lineRule="auto"/>
      </w:pPr>
      <w:r>
        <w:separator/>
      </w:r>
    </w:p>
  </w:footnote>
  <w:footnote w:type="continuationSeparator" w:id="0">
    <w:p w14:paraId="1074598F" w14:textId="77777777" w:rsidR="00FC6476" w:rsidRDefault="00FC6476" w:rsidP="009A6A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F2A60"/>
    <w:multiLevelType w:val="hybridMultilevel"/>
    <w:tmpl w:val="7BE0C1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607441"/>
    <w:multiLevelType w:val="hybridMultilevel"/>
    <w:tmpl w:val="7DE678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F860A7"/>
    <w:multiLevelType w:val="hybridMultilevel"/>
    <w:tmpl w:val="57BE81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EF4D13"/>
    <w:multiLevelType w:val="hybridMultilevel"/>
    <w:tmpl w:val="DF463F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6825585">
    <w:abstractNumId w:val="2"/>
  </w:num>
  <w:num w:numId="2" w16cid:durableId="591665099">
    <w:abstractNumId w:val="3"/>
  </w:num>
  <w:num w:numId="3" w16cid:durableId="1036854310">
    <w:abstractNumId w:val="1"/>
  </w:num>
  <w:num w:numId="4" w16cid:durableId="499583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4CE"/>
    <w:rsid w:val="00014D05"/>
    <w:rsid w:val="000A3926"/>
    <w:rsid w:val="000D63A2"/>
    <w:rsid w:val="001346B4"/>
    <w:rsid w:val="00141261"/>
    <w:rsid w:val="00187EB4"/>
    <w:rsid w:val="003037F1"/>
    <w:rsid w:val="003270C5"/>
    <w:rsid w:val="00362AC2"/>
    <w:rsid w:val="00396240"/>
    <w:rsid w:val="00456A16"/>
    <w:rsid w:val="00492E48"/>
    <w:rsid w:val="00535FCD"/>
    <w:rsid w:val="005B2CDF"/>
    <w:rsid w:val="005C5D9C"/>
    <w:rsid w:val="005C7156"/>
    <w:rsid w:val="005D6E0B"/>
    <w:rsid w:val="005F1687"/>
    <w:rsid w:val="006C20C5"/>
    <w:rsid w:val="007036B2"/>
    <w:rsid w:val="00703954"/>
    <w:rsid w:val="00703D22"/>
    <w:rsid w:val="0073431B"/>
    <w:rsid w:val="00786446"/>
    <w:rsid w:val="00845479"/>
    <w:rsid w:val="008525D2"/>
    <w:rsid w:val="008A185F"/>
    <w:rsid w:val="008B1D84"/>
    <w:rsid w:val="008B4403"/>
    <w:rsid w:val="00976477"/>
    <w:rsid w:val="009824CE"/>
    <w:rsid w:val="0098274D"/>
    <w:rsid w:val="00997544"/>
    <w:rsid w:val="009A6A4A"/>
    <w:rsid w:val="009B4888"/>
    <w:rsid w:val="009F0DB8"/>
    <w:rsid w:val="00A15F58"/>
    <w:rsid w:val="00A66AED"/>
    <w:rsid w:val="00AA19DA"/>
    <w:rsid w:val="00AB14DA"/>
    <w:rsid w:val="00AF47D8"/>
    <w:rsid w:val="00BA225E"/>
    <w:rsid w:val="00C25AFF"/>
    <w:rsid w:val="00CC4952"/>
    <w:rsid w:val="00CD2422"/>
    <w:rsid w:val="00D00B07"/>
    <w:rsid w:val="00D1778A"/>
    <w:rsid w:val="00D53648"/>
    <w:rsid w:val="00D54237"/>
    <w:rsid w:val="00D608A6"/>
    <w:rsid w:val="00D72D43"/>
    <w:rsid w:val="00DA4174"/>
    <w:rsid w:val="00DC7AFA"/>
    <w:rsid w:val="00DE34F5"/>
    <w:rsid w:val="00E162E7"/>
    <w:rsid w:val="00EB7568"/>
    <w:rsid w:val="00F058D5"/>
    <w:rsid w:val="00F27EB7"/>
    <w:rsid w:val="00F64D7A"/>
    <w:rsid w:val="00F94F7F"/>
    <w:rsid w:val="00F9543E"/>
    <w:rsid w:val="00FB06D8"/>
    <w:rsid w:val="00FC647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4BC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74D"/>
    <w:rPr>
      <w:rFonts w:ascii="Times New Roman" w:hAnsi="Times New Roman"/>
      <w:sz w:val="20"/>
      <w:lang w:val="en-GB"/>
    </w:rPr>
  </w:style>
  <w:style w:type="paragraph" w:styleId="Heading1">
    <w:name w:val="heading 1"/>
    <w:basedOn w:val="Normal"/>
    <w:next w:val="Normal"/>
    <w:link w:val="Heading1Char"/>
    <w:autoRedefine/>
    <w:uiPriority w:val="9"/>
    <w:qFormat/>
    <w:rsid w:val="00703954"/>
    <w:pPr>
      <w:keepNext/>
      <w:keepLines/>
      <w:spacing w:before="240" w:after="0"/>
      <w:jc w:val="center"/>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954"/>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autoRedefine/>
    <w:uiPriority w:val="10"/>
    <w:qFormat/>
    <w:rsid w:val="00703954"/>
    <w:pPr>
      <w:spacing w:after="0" w:line="240" w:lineRule="auto"/>
      <w:contextualSpacing/>
      <w:jc w:val="center"/>
    </w:pPr>
    <w:rPr>
      <w:rFonts w:eastAsiaTheme="majorEastAsia" w:cstheme="majorBidi"/>
      <w:b/>
      <w:spacing w:val="-10"/>
      <w:kern w:val="28"/>
      <w:sz w:val="40"/>
      <w:szCs w:val="40"/>
    </w:rPr>
  </w:style>
  <w:style w:type="character" w:customStyle="1" w:styleId="TitleChar">
    <w:name w:val="Title Char"/>
    <w:basedOn w:val="DefaultParagraphFont"/>
    <w:link w:val="Title"/>
    <w:uiPriority w:val="10"/>
    <w:rsid w:val="00703954"/>
    <w:rPr>
      <w:rFonts w:ascii="Times New Roman" w:eastAsiaTheme="majorEastAsia" w:hAnsi="Times New Roman" w:cstheme="majorBidi"/>
      <w:b/>
      <w:spacing w:val="-10"/>
      <w:kern w:val="28"/>
      <w:sz w:val="40"/>
      <w:szCs w:val="40"/>
      <w:lang w:val="en-GB"/>
    </w:rPr>
  </w:style>
  <w:style w:type="paragraph" w:styleId="ListParagraph">
    <w:name w:val="List Paragraph"/>
    <w:basedOn w:val="Normal"/>
    <w:uiPriority w:val="34"/>
    <w:qFormat/>
    <w:rsid w:val="009F0DB8"/>
    <w:pPr>
      <w:ind w:left="720"/>
      <w:contextualSpacing/>
    </w:pPr>
  </w:style>
  <w:style w:type="paragraph" w:styleId="NormalWeb">
    <w:name w:val="Normal (Web)"/>
    <w:basedOn w:val="Normal"/>
    <w:uiPriority w:val="99"/>
    <w:semiHidden/>
    <w:unhideWhenUsed/>
    <w:rsid w:val="00D00B07"/>
    <w:pPr>
      <w:spacing w:before="100" w:beforeAutospacing="1" w:after="100" w:afterAutospacing="1" w:line="240" w:lineRule="auto"/>
    </w:pPr>
    <w:rPr>
      <w:rFonts w:eastAsia="Times New Roman" w:cs="Times New Roman"/>
      <w:kern w:val="0"/>
      <w:sz w:val="24"/>
      <w:szCs w:val="24"/>
      <w14:ligatures w14:val="none"/>
    </w:rPr>
  </w:style>
  <w:style w:type="character" w:styleId="Hyperlink">
    <w:name w:val="Hyperlink"/>
    <w:basedOn w:val="DefaultParagraphFont"/>
    <w:uiPriority w:val="99"/>
    <w:unhideWhenUsed/>
    <w:rsid w:val="00786446"/>
    <w:rPr>
      <w:color w:val="0563C1" w:themeColor="hyperlink"/>
      <w:u w:val="single"/>
    </w:rPr>
  </w:style>
  <w:style w:type="character" w:styleId="UnresolvedMention">
    <w:name w:val="Unresolved Mention"/>
    <w:basedOn w:val="DefaultParagraphFont"/>
    <w:uiPriority w:val="99"/>
    <w:semiHidden/>
    <w:unhideWhenUsed/>
    <w:rsid w:val="00786446"/>
    <w:rPr>
      <w:color w:val="605E5C"/>
      <w:shd w:val="clear" w:color="auto" w:fill="E1DFDD"/>
    </w:rPr>
  </w:style>
  <w:style w:type="paragraph" w:styleId="Header">
    <w:name w:val="header"/>
    <w:basedOn w:val="Normal"/>
    <w:link w:val="HeaderChar"/>
    <w:uiPriority w:val="99"/>
    <w:unhideWhenUsed/>
    <w:rsid w:val="009A6A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6A4A"/>
    <w:rPr>
      <w:rFonts w:ascii="Times New Roman" w:hAnsi="Times New Roman"/>
      <w:sz w:val="20"/>
      <w:lang w:val="en-GB"/>
    </w:rPr>
  </w:style>
  <w:style w:type="paragraph" w:styleId="Footer">
    <w:name w:val="footer"/>
    <w:basedOn w:val="Normal"/>
    <w:link w:val="FooterChar"/>
    <w:uiPriority w:val="99"/>
    <w:unhideWhenUsed/>
    <w:rsid w:val="009A6A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6A4A"/>
    <w:rPr>
      <w:rFonts w:ascii="Times New Roman" w:hAnsi="Times New Roman"/>
      <w:sz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509852">
      <w:bodyDiv w:val="1"/>
      <w:marLeft w:val="0"/>
      <w:marRight w:val="0"/>
      <w:marTop w:val="0"/>
      <w:marBottom w:val="0"/>
      <w:divBdr>
        <w:top w:val="none" w:sz="0" w:space="0" w:color="auto"/>
        <w:left w:val="none" w:sz="0" w:space="0" w:color="auto"/>
        <w:bottom w:val="none" w:sz="0" w:space="0" w:color="auto"/>
        <w:right w:val="none" w:sz="0" w:space="0" w:color="auto"/>
      </w:divBdr>
    </w:div>
    <w:div w:id="1257326115">
      <w:bodyDiv w:val="1"/>
      <w:marLeft w:val="0"/>
      <w:marRight w:val="0"/>
      <w:marTop w:val="0"/>
      <w:marBottom w:val="0"/>
      <w:divBdr>
        <w:top w:val="none" w:sz="0" w:space="0" w:color="auto"/>
        <w:left w:val="none" w:sz="0" w:space="0" w:color="auto"/>
        <w:bottom w:val="none" w:sz="0" w:space="0" w:color="auto"/>
        <w:right w:val="none" w:sz="0" w:space="0" w:color="auto"/>
      </w:divBdr>
      <w:divsChild>
        <w:div w:id="1786922304">
          <w:marLeft w:val="0"/>
          <w:marRight w:val="0"/>
          <w:marTop w:val="0"/>
          <w:marBottom w:val="0"/>
          <w:divBdr>
            <w:top w:val="none" w:sz="0" w:space="0" w:color="auto"/>
            <w:left w:val="none" w:sz="0" w:space="0" w:color="auto"/>
            <w:bottom w:val="none" w:sz="0" w:space="0" w:color="auto"/>
            <w:right w:val="none" w:sz="0" w:space="0" w:color="auto"/>
          </w:divBdr>
          <w:divsChild>
            <w:div w:id="112526187">
              <w:marLeft w:val="0"/>
              <w:marRight w:val="0"/>
              <w:marTop w:val="0"/>
              <w:marBottom w:val="0"/>
              <w:divBdr>
                <w:top w:val="none" w:sz="0" w:space="0" w:color="auto"/>
                <w:left w:val="none" w:sz="0" w:space="0" w:color="auto"/>
                <w:bottom w:val="none" w:sz="0" w:space="0" w:color="auto"/>
                <w:right w:val="none" w:sz="0" w:space="0" w:color="auto"/>
              </w:divBdr>
            </w:div>
            <w:div w:id="142241393">
              <w:marLeft w:val="0"/>
              <w:marRight w:val="0"/>
              <w:marTop w:val="0"/>
              <w:marBottom w:val="0"/>
              <w:divBdr>
                <w:top w:val="none" w:sz="0" w:space="0" w:color="auto"/>
                <w:left w:val="none" w:sz="0" w:space="0" w:color="auto"/>
                <w:bottom w:val="none" w:sz="0" w:space="0" w:color="auto"/>
                <w:right w:val="none" w:sz="0" w:space="0" w:color="auto"/>
              </w:divBdr>
            </w:div>
            <w:div w:id="172649706">
              <w:marLeft w:val="0"/>
              <w:marRight w:val="0"/>
              <w:marTop w:val="0"/>
              <w:marBottom w:val="0"/>
              <w:divBdr>
                <w:top w:val="none" w:sz="0" w:space="0" w:color="auto"/>
                <w:left w:val="none" w:sz="0" w:space="0" w:color="auto"/>
                <w:bottom w:val="none" w:sz="0" w:space="0" w:color="auto"/>
                <w:right w:val="none" w:sz="0" w:space="0" w:color="auto"/>
              </w:divBdr>
            </w:div>
            <w:div w:id="83638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068839">
      <w:bodyDiv w:val="1"/>
      <w:marLeft w:val="0"/>
      <w:marRight w:val="0"/>
      <w:marTop w:val="0"/>
      <w:marBottom w:val="0"/>
      <w:divBdr>
        <w:top w:val="none" w:sz="0" w:space="0" w:color="auto"/>
        <w:left w:val="none" w:sz="0" w:space="0" w:color="auto"/>
        <w:bottom w:val="none" w:sz="0" w:space="0" w:color="auto"/>
        <w:right w:val="none" w:sz="0" w:space="0" w:color="auto"/>
      </w:divBdr>
    </w:div>
    <w:div w:id="1919555568">
      <w:bodyDiv w:val="1"/>
      <w:marLeft w:val="0"/>
      <w:marRight w:val="0"/>
      <w:marTop w:val="0"/>
      <w:marBottom w:val="0"/>
      <w:divBdr>
        <w:top w:val="none" w:sz="0" w:space="0" w:color="auto"/>
        <w:left w:val="none" w:sz="0" w:space="0" w:color="auto"/>
        <w:bottom w:val="none" w:sz="0" w:space="0" w:color="auto"/>
        <w:right w:val="none" w:sz="0" w:space="0" w:color="auto"/>
      </w:divBdr>
      <w:divsChild>
        <w:div w:id="1478719096">
          <w:marLeft w:val="0"/>
          <w:marRight w:val="0"/>
          <w:marTop w:val="0"/>
          <w:marBottom w:val="0"/>
          <w:divBdr>
            <w:top w:val="none" w:sz="0" w:space="0" w:color="auto"/>
            <w:left w:val="none" w:sz="0" w:space="0" w:color="auto"/>
            <w:bottom w:val="none" w:sz="0" w:space="0" w:color="auto"/>
            <w:right w:val="none" w:sz="0" w:space="0" w:color="auto"/>
          </w:divBdr>
          <w:divsChild>
            <w:div w:id="104934022">
              <w:marLeft w:val="0"/>
              <w:marRight w:val="0"/>
              <w:marTop w:val="0"/>
              <w:marBottom w:val="0"/>
              <w:divBdr>
                <w:top w:val="none" w:sz="0" w:space="0" w:color="auto"/>
                <w:left w:val="none" w:sz="0" w:space="0" w:color="auto"/>
                <w:bottom w:val="none" w:sz="0" w:space="0" w:color="auto"/>
                <w:right w:val="none" w:sz="0" w:space="0" w:color="auto"/>
              </w:divBdr>
            </w:div>
            <w:div w:id="388193840">
              <w:marLeft w:val="0"/>
              <w:marRight w:val="0"/>
              <w:marTop w:val="0"/>
              <w:marBottom w:val="0"/>
              <w:divBdr>
                <w:top w:val="none" w:sz="0" w:space="0" w:color="auto"/>
                <w:left w:val="none" w:sz="0" w:space="0" w:color="auto"/>
                <w:bottom w:val="none" w:sz="0" w:space="0" w:color="auto"/>
                <w:right w:val="none" w:sz="0" w:space="0" w:color="auto"/>
              </w:divBdr>
            </w:div>
            <w:div w:id="494952428">
              <w:marLeft w:val="0"/>
              <w:marRight w:val="0"/>
              <w:marTop w:val="0"/>
              <w:marBottom w:val="0"/>
              <w:divBdr>
                <w:top w:val="none" w:sz="0" w:space="0" w:color="auto"/>
                <w:left w:val="none" w:sz="0" w:space="0" w:color="auto"/>
                <w:bottom w:val="none" w:sz="0" w:space="0" w:color="auto"/>
                <w:right w:val="none" w:sz="0" w:space="0" w:color="auto"/>
              </w:divBdr>
            </w:div>
            <w:div w:id="596181825">
              <w:marLeft w:val="0"/>
              <w:marRight w:val="0"/>
              <w:marTop w:val="0"/>
              <w:marBottom w:val="0"/>
              <w:divBdr>
                <w:top w:val="none" w:sz="0" w:space="0" w:color="auto"/>
                <w:left w:val="none" w:sz="0" w:space="0" w:color="auto"/>
                <w:bottom w:val="none" w:sz="0" w:space="0" w:color="auto"/>
                <w:right w:val="none" w:sz="0" w:space="0" w:color="auto"/>
              </w:divBdr>
            </w:div>
            <w:div w:id="607127848">
              <w:marLeft w:val="0"/>
              <w:marRight w:val="0"/>
              <w:marTop w:val="0"/>
              <w:marBottom w:val="0"/>
              <w:divBdr>
                <w:top w:val="none" w:sz="0" w:space="0" w:color="auto"/>
                <w:left w:val="none" w:sz="0" w:space="0" w:color="auto"/>
                <w:bottom w:val="none" w:sz="0" w:space="0" w:color="auto"/>
                <w:right w:val="none" w:sz="0" w:space="0" w:color="auto"/>
              </w:divBdr>
            </w:div>
            <w:div w:id="1264992186">
              <w:marLeft w:val="0"/>
              <w:marRight w:val="0"/>
              <w:marTop w:val="0"/>
              <w:marBottom w:val="0"/>
              <w:divBdr>
                <w:top w:val="none" w:sz="0" w:space="0" w:color="auto"/>
                <w:left w:val="none" w:sz="0" w:space="0" w:color="auto"/>
                <w:bottom w:val="none" w:sz="0" w:space="0" w:color="auto"/>
                <w:right w:val="none" w:sz="0" w:space="0" w:color="auto"/>
              </w:divBdr>
            </w:div>
            <w:div w:id="1446533938">
              <w:marLeft w:val="0"/>
              <w:marRight w:val="0"/>
              <w:marTop w:val="0"/>
              <w:marBottom w:val="0"/>
              <w:divBdr>
                <w:top w:val="none" w:sz="0" w:space="0" w:color="auto"/>
                <w:left w:val="none" w:sz="0" w:space="0" w:color="auto"/>
                <w:bottom w:val="none" w:sz="0" w:space="0" w:color="auto"/>
                <w:right w:val="none" w:sz="0" w:space="0" w:color="auto"/>
              </w:divBdr>
            </w:div>
            <w:div w:id="1545872653">
              <w:marLeft w:val="0"/>
              <w:marRight w:val="0"/>
              <w:marTop w:val="0"/>
              <w:marBottom w:val="0"/>
              <w:divBdr>
                <w:top w:val="none" w:sz="0" w:space="0" w:color="auto"/>
                <w:left w:val="none" w:sz="0" w:space="0" w:color="auto"/>
                <w:bottom w:val="none" w:sz="0" w:space="0" w:color="auto"/>
                <w:right w:val="none" w:sz="0" w:space="0" w:color="auto"/>
              </w:divBdr>
            </w:div>
            <w:div w:id="1698891610">
              <w:marLeft w:val="0"/>
              <w:marRight w:val="0"/>
              <w:marTop w:val="0"/>
              <w:marBottom w:val="0"/>
              <w:divBdr>
                <w:top w:val="none" w:sz="0" w:space="0" w:color="auto"/>
                <w:left w:val="none" w:sz="0" w:space="0" w:color="auto"/>
                <w:bottom w:val="none" w:sz="0" w:space="0" w:color="auto"/>
                <w:right w:val="none" w:sz="0" w:space="0" w:color="auto"/>
              </w:divBdr>
            </w:div>
            <w:div w:id="1975062347">
              <w:marLeft w:val="0"/>
              <w:marRight w:val="0"/>
              <w:marTop w:val="0"/>
              <w:marBottom w:val="0"/>
              <w:divBdr>
                <w:top w:val="none" w:sz="0" w:space="0" w:color="auto"/>
                <w:left w:val="none" w:sz="0" w:space="0" w:color="auto"/>
                <w:bottom w:val="none" w:sz="0" w:space="0" w:color="auto"/>
                <w:right w:val="none" w:sz="0" w:space="0" w:color="auto"/>
              </w:divBdr>
            </w:div>
            <w:div w:id="212175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94AC07-E7E5-49C5-B77A-ED6FA4C3E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3124</Words>
  <Characters>17808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20891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2024-04-20T20:30:00Z</dcterms:created>
  <dcterms:modified xsi:type="dcterms:W3CDTF">2024-04-28T07:59:00Z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dc527fe485ff4f76fd7f6224204fe5fb685f47ed40f19fc0ae3b42450a053acf</vt:lpwstr>
  </property>
</Properties>
</file>