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84079" w14:textId="6A71AE2F" w:rsidR="00863818" w:rsidRPr="00863818" w:rsidRDefault="00863818">
      <w:pPr>
        <w:rPr>
          <w:u w:val="single"/>
        </w:rPr>
      </w:pPr>
      <w:r>
        <w:rPr>
          <w:u w:val="single"/>
        </w:rPr>
        <w:t>Introduction.</w:t>
      </w:r>
    </w:p>
    <w:p w14:paraId="064203FD" w14:textId="3ACC96BC" w:rsidR="001330DD" w:rsidRPr="000548E8" w:rsidRDefault="00863818">
      <w:r>
        <w:t xml:space="preserve">The focus of this presentation will be child poverty in Wales. </w:t>
      </w:r>
      <w:r w:rsidR="00BA7FE6">
        <w:t xml:space="preserve">According to Senedd Research (2023) child poverty is one of the biggest challenges that Welsh Government face, and dealing with child poverty effectively has become increasingly challenging due to aspects such as the </w:t>
      </w:r>
      <w:r w:rsidR="008A5782">
        <w:t>cost-of-living</w:t>
      </w:r>
      <w:r w:rsidR="00BA7FE6">
        <w:t xml:space="preserve"> crisis which has exacerbated child poverty. </w:t>
      </w:r>
      <w:r w:rsidR="003744BD">
        <w:t>UNICEF (no date) state that every child has a right to have their voice heard</w:t>
      </w:r>
      <w:r w:rsidR="00F023B7">
        <w:t>. Children’s Commissioner for Wales (2024</w:t>
      </w:r>
      <w:r w:rsidR="0058667C">
        <w:t>a</w:t>
      </w:r>
      <w:r w:rsidR="00F023B7">
        <w:t>) determined that around 30% of children are living in poverty</w:t>
      </w:r>
      <w:r w:rsidR="002D12BA">
        <w:t xml:space="preserve">, and on speaking with some of these children, discovered that </w:t>
      </w:r>
      <w:r w:rsidR="00C06761">
        <w:t xml:space="preserve">45% of </w:t>
      </w:r>
      <w:r w:rsidR="00807B41">
        <w:t>7–11-year-olds</w:t>
      </w:r>
      <w:r w:rsidR="00C06761">
        <w:t xml:space="preserve"> felt anxious that they would not have enough to eat. </w:t>
      </w:r>
      <w:r w:rsidR="001330DD">
        <w:t xml:space="preserve">Egan (2020) voices the concern of children living in poverty and education. It is stated that children from deprived areas are less likely to achieve high grades in school, leading to a lesser chance of employment in adulthood. </w:t>
      </w:r>
      <w:r w:rsidR="000548E8">
        <w:t xml:space="preserve">In addition, </w:t>
      </w:r>
      <w:r w:rsidR="000548E8" w:rsidRPr="000548E8">
        <w:t>Bandyopadhyay</w:t>
      </w:r>
      <w:r w:rsidR="000548E8">
        <w:t xml:space="preserve"> </w:t>
      </w:r>
      <w:r w:rsidR="000548E8">
        <w:rPr>
          <w:i/>
          <w:iCs/>
        </w:rPr>
        <w:t xml:space="preserve">et al. </w:t>
      </w:r>
      <w:r w:rsidR="006123BF">
        <w:t xml:space="preserve">(2023) </w:t>
      </w:r>
      <w:r w:rsidR="000548E8">
        <w:t>undertook research which found that children from deprived areas are more likely to undertake risk taking behaviours</w:t>
      </w:r>
      <w:r w:rsidR="000A630F">
        <w:t>, be less resilient and more likely to suffer with mental health concerns.</w:t>
      </w:r>
      <w:r w:rsidR="003F4420">
        <w:t xml:space="preserve"> Furthermore, Bandyopadhyay </w:t>
      </w:r>
      <w:r w:rsidR="003F4420">
        <w:rPr>
          <w:i/>
          <w:iCs/>
        </w:rPr>
        <w:t xml:space="preserve">et al. </w:t>
      </w:r>
      <w:r w:rsidR="003F4420">
        <w:t>(2023) state that infant mortality has increased in recent years due to child poverty.</w:t>
      </w:r>
      <w:r w:rsidR="000A630F">
        <w:t xml:space="preserve"> These factors show that poverty has a detrimental impact on children, therefore, change needs to occur to mitigate the risk poverty has on children. </w:t>
      </w:r>
      <w:proofErr w:type="gramStart"/>
      <w:r w:rsidR="0027119A" w:rsidRPr="0027119A">
        <w:t>For the purpose of</w:t>
      </w:r>
      <w:proofErr w:type="gramEnd"/>
      <w:r w:rsidR="0027119A" w:rsidRPr="0027119A">
        <w:t xml:space="preserve"> this presentation, I will be analysing the Child Poverty Strategy for Wales 2024, with a focus on its strengths, challenges and implications to practice. I will also discuss an innovative approach to reducing a challenge that the policy faces. </w:t>
      </w:r>
    </w:p>
    <w:p w14:paraId="0DAD6C7E" w14:textId="7D5D4C03" w:rsidR="003950D4" w:rsidRDefault="00611567">
      <w:r>
        <w:t xml:space="preserve">The Child Poverty Strategy </w:t>
      </w:r>
      <w:r w:rsidR="006340FC">
        <w:t xml:space="preserve">implemented by Welsh Government (2015) </w:t>
      </w:r>
      <w:r w:rsidR="00166F6D">
        <w:t xml:space="preserve">aimed to eradicate Child Poverty by 2020. However, </w:t>
      </w:r>
      <w:r w:rsidR="00D472A1">
        <w:t xml:space="preserve">this did not </w:t>
      </w:r>
      <w:r w:rsidR="00FB26F2">
        <w:t xml:space="preserve">transpire, </w:t>
      </w:r>
      <w:r w:rsidR="006D53C2">
        <w:t>and W</w:t>
      </w:r>
      <w:r w:rsidR="00EE1DC9">
        <w:t xml:space="preserve">elsh Government </w:t>
      </w:r>
      <w:r w:rsidR="00A66207">
        <w:t>(2024</w:t>
      </w:r>
      <w:r w:rsidR="00315E1F">
        <w:t>a</w:t>
      </w:r>
      <w:r w:rsidR="00A66207">
        <w:t xml:space="preserve">) have now created a new Child Poverty Strategy. </w:t>
      </w:r>
      <w:r w:rsidR="00DC0C2A">
        <w:t>T</w:t>
      </w:r>
      <w:r w:rsidR="005766FC">
        <w:t>he previous Child Poverty Strategy stated that its aim was to eradicate child poverty</w:t>
      </w:r>
      <w:r w:rsidR="00421BFE">
        <w:t xml:space="preserve">, </w:t>
      </w:r>
      <w:r w:rsidR="00DC0C2A">
        <w:t xml:space="preserve">however </w:t>
      </w:r>
      <w:r w:rsidR="00421BFE">
        <w:t xml:space="preserve">the new strategy states </w:t>
      </w:r>
      <w:r w:rsidR="00FC5EB2">
        <w:t xml:space="preserve">within its opening statement </w:t>
      </w:r>
      <w:r w:rsidR="00421BFE">
        <w:t xml:space="preserve">that its aim is </w:t>
      </w:r>
      <w:r w:rsidR="00E972DA">
        <w:t>to “prevent and mitigate” child poverty</w:t>
      </w:r>
      <w:r w:rsidR="00661013">
        <w:t xml:space="preserve"> (Welsh Government, 2024</w:t>
      </w:r>
      <w:r w:rsidR="0046040C">
        <w:t>a</w:t>
      </w:r>
      <w:r w:rsidR="00661013">
        <w:t xml:space="preserve">). </w:t>
      </w:r>
      <w:r w:rsidR="00F37C90">
        <w:t xml:space="preserve">This suggests that Welsh Government have </w:t>
      </w:r>
      <w:r w:rsidR="006123BF">
        <w:t xml:space="preserve">realised that the possibility of eradicating child poverty is not a possibility, and instead are aiming to reduce the levels of child poverty in Wales. </w:t>
      </w:r>
      <w:r w:rsidR="0027119A">
        <w:t>W</w:t>
      </w:r>
      <w:r w:rsidR="003950D4">
        <w:t xml:space="preserve">ithin the policy </w:t>
      </w:r>
      <w:r w:rsidR="0027119A">
        <w:t xml:space="preserve">it is stated </w:t>
      </w:r>
      <w:r w:rsidR="003950D4">
        <w:t>“t</w:t>
      </w:r>
      <w:r w:rsidR="003950D4">
        <w:t>his reflects the levers we have at our disposal and our desire not only to contribute to the eradication of poverty but to eradicating the worst effects of poverty on children and young people</w:t>
      </w:r>
      <w:r w:rsidR="00FC5EB2">
        <w:t xml:space="preserve">” (Welsh Government, 2024a). </w:t>
      </w:r>
      <w:r w:rsidR="0027119A">
        <w:t xml:space="preserve">This supports the change in viewpoint between the two policies. </w:t>
      </w:r>
    </w:p>
    <w:p w14:paraId="2CAB40F2" w14:textId="4D3A6C73" w:rsidR="00611567" w:rsidRDefault="005955E4">
      <w:r>
        <w:t>Children’s Commissioner for Wales (2024b) have challenged the way child poverty is measured. Household income has been the focal point for measuring poverty, however this does no</w:t>
      </w:r>
      <w:r w:rsidR="00FC5EB2">
        <w:t>t</w:t>
      </w:r>
      <w:r>
        <w:t xml:space="preserve"> acknowledge families who do not meet the threshold for low household income, but still find paying for housing, heating, and every day basic items a challenge.  </w:t>
      </w:r>
      <w:r w:rsidR="00FC5EB2">
        <w:t xml:space="preserve">Welsh Government (2024a) </w:t>
      </w:r>
      <w:r w:rsidR="00947403">
        <w:t>advises that “</w:t>
      </w:r>
      <w:r w:rsidR="00947403">
        <w:t xml:space="preserve">The key indicator of relative child poverty is the percentage of children living in households below 60% of the median UK household </w:t>
      </w:r>
      <w:r w:rsidR="00947403">
        <w:lastRenderedPageBreak/>
        <w:t>income (after housing costs)</w:t>
      </w:r>
      <w:r w:rsidR="00947403">
        <w:t xml:space="preserve">”. Additionally, socio-economic disadvantage is intersectional, and many protected characteristics face more challenges due to this. This supports the concern that whilst the Child Poverty Strategy promises an improvement in current circumstances, there is a lack of specificity as to how this will be done to help each individual family. </w:t>
      </w:r>
    </w:p>
    <w:p w14:paraId="16FC6665" w14:textId="70E1C147" w:rsidR="00F37C90" w:rsidRDefault="00F37C90">
      <w:pPr>
        <w:rPr>
          <w:u w:val="single"/>
        </w:rPr>
      </w:pPr>
      <w:r>
        <w:rPr>
          <w:u w:val="single"/>
        </w:rPr>
        <w:t>Strengths</w:t>
      </w:r>
    </w:p>
    <w:p w14:paraId="082CD6E9" w14:textId="244EEE56" w:rsidR="00315E1F" w:rsidRDefault="00315E1F">
      <w:r>
        <w:t xml:space="preserve">Welsh Government (2024b) released their consultation response which stated that they engaged with 3,272 people, with 1,402 of those being children and young people before creating a draft for the new Child Poverty Strategy. </w:t>
      </w:r>
      <w:r w:rsidR="00D50548">
        <w:t xml:space="preserve">The </w:t>
      </w:r>
      <w:r w:rsidR="00D50548" w:rsidRPr="00D50548">
        <w:rPr>
          <w:i/>
          <w:iCs/>
        </w:rPr>
        <w:t>Children and Families (Wales) Measure 2010</w:t>
      </w:r>
      <w:r w:rsidR="00D50548">
        <w:rPr>
          <w:i/>
          <w:iCs/>
        </w:rPr>
        <w:t xml:space="preserve"> </w:t>
      </w:r>
      <w:r w:rsidR="00D50548">
        <w:t>was followed during this consultation to ensure that the draft strategy included speaking with children who have direct experience living in poverty, allowing them the chance to discuss their concerns and what they feel is needed to improve the current situation</w:t>
      </w:r>
      <w:r w:rsidR="006123BF">
        <w:t xml:space="preserve"> (Welsh Government 2024b)</w:t>
      </w:r>
      <w:r w:rsidR="00D50548">
        <w:t xml:space="preserve">. </w:t>
      </w:r>
      <w:r w:rsidR="00AF55CD">
        <w:t>The policy states that it recognises the importance of speaking with children with lived experiences of poverty, as well as organisations who work with and for children.</w:t>
      </w:r>
    </w:p>
    <w:p w14:paraId="78C6C284" w14:textId="17DCD607" w:rsidR="001D26F6" w:rsidRDefault="0030047D">
      <w:r>
        <w:t>Welsh Government (2024a) informs that since the child poverty strategy 2015, many action plans have been improved and updated, as well as new ones being published due to learning from prior mistakes and experience.</w:t>
      </w:r>
      <w:r w:rsidR="00BB61F3">
        <w:t xml:space="preserve"> </w:t>
      </w:r>
      <w:r w:rsidR="001D26F6">
        <w:t xml:space="preserve">Following the consultation, it was determined that specific household characteristics were more at risk of living in poverty (Welsh Government, 2024a; Welsh Government, 2024b). </w:t>
      </w:r>
      <w:r w:rsidR="00BB61F3">
        <w:t xml:space="preserve">Whilst the policy recognises the challenges of intersectionality and promoting equality, the phrase “we will think about equality issues” suggests that this is not a priority, and merely an afterthought. This is supported by Castaneda, Chavez-Juarez and Guererro (2018) who claim that government policies often prioritise what will have a positive impact on additional factors and will reach specific targets. </w:t>
      </w:r>
      <w:r w:rsidR="00735C97">
        <w:t xml:space="preserve">Therefore, whilst the consideration of intersectionality is mentioned, there is no direct plan as to what will be done to alleviate these challenges. </w:t>
      </w:r>
      <w:r w:rsidR="007B03A3">
        <w:t xml:space="preserve">The child poverty strategy 2024 identified this </w:t>
      </w:r>
      <w:r w:rsidR="008C4CC4">
        <w:t xml:space="preserve">challenge </w:t>
      </w:r>
      <w:r w:rsidR="007B03A3">
        <w:t>and state that collaboration with services across Wales will help to mitigate this. However, it is not made clear who they will be collaborating with, and what exactly this will look like.</w:t>
      </w:r>
      <w:r w:rsidR="0017414D">
        <w:t xml:space="preserve"> Hudson, Hunter and Peckham (2018) discuss the “policy-implementation gap” which is often the cause of policy failure. Inadequate collaboration between </w:t>
      </w:r>
      <w:r w:rsidR="00145477">
        <w:t>policymakers</w:t>
      </w:r>
      <w:r w:rsidR="0017414D">
        <w:t xml:space="preserve"> and unclear guidance as to how policies will be implemented often leads to failure and the lack of specific targets and high expectations also factor into policy failure (Hudson, Hunter and Peckham, 2018). </w:t>
      </w:r>
    </w:p>
    <w:p w14:paraId="248B0F04" w14:textId="6F167CB0" w:rsidR="00417BAD" w:rsidRDefault="00417BAD">
      <w:r>
        <w:t xml:space="preserve">The newer child poverty strategy has included some additional factors that were not considered in the previous strategy. For example, rural poverty has been identified as a concern as many rural areas face challenges in reaching services, facing higher living costs and less job opportunities (Observatory Wales, 2024; Welsh Government, 2024a). </w:t>
      </w:r>
      <w:r w:rsidR="004629BB">
        <w:t xml:space="preserve">Due to the lack of services in rural areas, a suggestion of rotating services has been </w:t>
      </w:r>
      <w:r w:rsidR="004629BB">
        <w:lastRenderedPageBreak/>
        <w:t>mentioned within the policy which will provide these areas with access to services they may not normally be able to access (Welsh Government, 2024</w:t>
      </w:r>
      <w:r w:rsidR="0046040C">
        <w:t>a</w:t>
      </w:r>
      <w:r w:rsidR="004629BB">
        <w:t xml:space="preserve">). </w:t>
      </w:r>
      <w:r w:rsidR="0017414D">
        <w:t xml:space="preserve">This proves that there have been additional considerations for those who were missed in the previous </w:t>
      </w:r>
      <w:r w:rsidR="004629BB">
        <w:t>strategy and</w:t>
      </w:r>
      <w:r w:rsidR="0017414D">
        <w:t xml:space="preserve"> promotes the importance of those groups who may not be thought of in previous years. </w:t>
      </w:r>
    </w:p>
    <w:p w14:paraId="3F76D6DE" w14:textId="7A7DC846" w:rsidR="00F37C90" w:rsidRDefault="00F37C90">
      <w:pPr>
        <w:rPr>
          <w:u w:val="single"/>
        </w:rPr>
      </w:pPr>
      <w:r>
        <w:rPr>
          <w:u w:val="single"/>
        </w:rPr>
        <w:t>Challenges</w:t>
      </w:r>
    </w:p>
    <w:p w14:paraId="7202C55A" w14:textId="1ABF742A" w:rsidR="00F95570" w:rsidRDefault="00DE5679">
      <w:r>
        <w:t>There will now be a discussion on</w:t>
      </w:r>
      <w:r w:rsidR="00F37C90">
        <w:t xml:space="preserve"> some of</w:t>
      </w:r>
      <w:r w:rsidR="004B73F7">
        <w:t xml:space="preserve"> the barriers to implementing the Child Poverty Strategy 2024. </w:t>
      </w:r>
      <w:r>
        <w:t>A</w:t>
      </w:r>
      <w:r w:rsidR="006B405A" w:rsidRPr="006B405A">
        <w:t xml:space="preserve"> recent measure of poverty in Wales has provided unreliable data as less than 380 households in Wales were us</w:t>
      </w:r>
      <w:r w:rsidR="00537E1E">
        <w:t>e</w:t>
      </w:r>
      <w:r w:rsidR="006B405A" w:rsidRPr="006B405A">
        <w:t>d to provide the data (Welsh Government, 2022). Due to this, an accurate measure of poverty trends in Wales has been compromised</w:t>
      </w:r>
      <w:r>
        <w:t>, which creates a challenge in implementing an effective child poverty strategy</w:t>
      </w:r>
      <w:r w:rsidR="006B405A" w:rsidRPr="006B405A">
        <w:t xml:space="preserve">. </w:t>
      </w:r>
      <w:r w:rsidR="004B73F7">
        <w:t>According to the United Nations Committee on the Rights of the Child (cited in Children’s Commissioner for Wales, 2024</w:t>
      </w:r>
      <w:r w:rsidR="005955E4">
        <w:t>c</w:t>
      </w:r>
      <w:r w:rsidR="004B73F7">
        <w:t xml:space="preserve">) Welsh Government are lacking in </w:t>
      </w:r>
      <w:r w:rsidR="004B73F7" w:rsidRPr="004B73F7">
        <w:t>develop</w:t>
      </w:r>
      <w:r w:rsidR="004B73F7">
        <w:t>ing</w:t>
      </w:r>
      <w:r w:rsidR="004B73F7" w:rsidRPr="004B73F7">
        <w:t xml:space="preserve"> </w:t>
      </w:r>
      <w:r w:rsidR="004B73F7">
        <w:t xml:space="preserve">and improving </w:t>
      </w:r>
      <w:r w:rsidR="004B73F7" w:rsidRPr="004B73F7">
        <w:t>existing policies</w:t>
      </w:r>
      <w:r w:rsidR="004B73F7">
        <w:t>. It is stated that they need</w:t>
      </w:r>
      <w:r w:rsidR="004B73F7" w:rsidRPr="004B73F7">
        <w:t xml:space="preserve"> clear targets, measurable indicators</w:t>
      </w:r>
      <w:r w:rsidR="0063056D">
        <w:t xml:space="preserve">, </w:t>
      </w:r>
      <w:r w:rsidR="004B73F7" w:rsidRPr="004B73F7">
        <w:t xml:space="preserve">monitoring and accountability </w:t>
      </w:r>
      <w:r w:rsidR="004B73F7" w:rsidRPr="004B73F7">
        <w:t>procedures</w:t>
      </w:r>
      <w:r w:rsidR="004B73F7">
        <w:t xml:space="preserve">. </w:t>
      </w:r>
      <w:r w:rsidR="00E60316">
        <w:t>This is supported by</w:t>
      </w:r>
      <w:r w:rsidR="004B73F7">
        <w:t xml:space="preserve"> Child Poverty Action Group (2024) </w:t>
      </w:r>
      <w:r w:rsidR="00E60316">
        <w:t>who state</w:t>
      </w:r>
      <w:r w:rsidR="00901A36">
        <w:t xml:space="preserve"> that Welsh Government are utilising wider Government work to implement the 5 priorities of the Child Poverty Strategy 2024, rather than creating specific action plans for each one.</w:t>
      </w:r>
      <w:r w:rsidR="00E60316">
        <w:t xml:space="preserve"> </w:t>
      </w:r>
      <w:r w:rsidR="00F95570">
        <w:t xml:space="preserve">An example of this is the </w:t>
      </w:r>
      <w:r w:rsidR="00F95570">
        <w:t>New Warm Homes Programme</w:t>
      </w:r>
      <w:r w:rsidR="00F95570">
        <w:t xml:space="preserve"> </w:t>
      </w:r>
      <w:r w:rsidR="00F95570">
        <w:t>2023</w:t>
      </w:r>
      <w:r w:rsidR="00F95570">
        <w:t>. This policy strives to improve energy efficiency in Wales at a cost that is affordable (Welsh Government, 2023</w:t>
      </w:r>
      <w:r w:rsidR="00B148B1">
        <w:t>a</w:t>
      </w:r>
      <w:r w:rsidR="00F95570">
        <w:t xml:space="preserve">). Whilst </w:t>
      </w:r>
      <w:r w:rsidR="00E25DCA">
        <w:t xml:space="preserve">Welsh Government aim to reach less than 5% of homes no longer struggling with fuel poverty by 2035, it is not stated what </w:t>
      </w:r>
      <w:proofErr w:type="gramStart"/>
      <w:r w:rsidR="00E25DCA">
        <w:t>is considered to be</w:t>
      </w:r>
      <w:proofErr w:type="gramEnd"/>
      <w:r w:rsidR="00E25DCA">
        <w:t xml:space="preserve"> affordable, and again, how this will be measured. Therefore, a plan as to how this policy will be implemented and how it will reduce child poverty in Wales is unclear. </w:t>
      </w:r>
    </w:p>
    <w:p w14:paraId="61DA9C19" w14:textId="606A887B" w:rsidR="00F37C90" w:rsidRPr="00F37C90" w:rsidRDefault="00E60316">
      <w:r>
        <w:t xml:space="preserve">As a result, </w:t>
      </w:r>
      <w:r w:rsidR="001722B8">
        <w:t>the opportunity to monitor whether strategies are effective in reducing child poverty is being missed. A joint statement from Children’s services in Wales voiced their concern that they “</w:t>
      </w:r>
      <w:r w:rsidR="001722B8" w:rsidRPr="001722B8">
        <w:t>will not be able to determine whether public money being spent in Wales is reaching those children, whose lives are being so severely affected</w:t>
      </w:r>
      <w:r w:rsidR="001722B8">
        <w:t xml:space="preserve">” (Child Poverty Action Group, 2024). </w:t>
      </w:r>
    </w:p>
    <w:p w14:paraId="4F455454" w14:textId="7DEA95E9" w:rsidR="00315E1F" w:rsidRDefault="001722B8" w:rsidP="00F37C90">
      <w:r>
        <w:t>In addition, i</w:t>
      </w:r>
      <w:r w:rsidR="00F37C90" w:rsidRPr="001722B8">
        <w:t xml:space="preserve">t is not clear how the strategy will </w:t>
      </w:r>
      <w:r>
        <w:t xml:space="preserve">lead to </w:t>
      </w:r>
      <w:r w:rsidR="00F37C90" w:rsidRPr="001722B8">
        <w:t>action and how or when they would be delivered</w:t>
      </w:r>
      <w:r>
        <w:t xml:space="preserve">. This </w:t>
      </w:r>
      <w:r w:rsidR="00F37C90" w:rsidRPr="001722B8">
        <w:t>mak</w:t>
      </w:r>
      <w:r>
        <w:t>es</w:t>
      </w:r>
      <w:r w:rsidR="00F37C90" w:rsidRPr="001722B8">
        <w:t xml:space="preserve"> it more </w:t>
      </w:r>
      <w:r w:rsidRPr="001722B8">
        <w:t>challenging</w:t>
      </w:r>
      <w:r w:rsidR="00F37C90" w:rsidRPr="001722B8">
        <w:t xml:space="preserve"> to hold </w:t>
      </w:r>
      <w:r>
        <w:t xml:space="preserve">those implementing the Child Poverty Strategy 2024 </w:t>
      </w:r>
      <w:r w:rsidR="00F37C90" w:rsidRPr="001722B8">
        <w:t>accountable (Children’s Commissioner for Wales, 2024</w:t>
      </w:r>
      <w:r w:rsidR="009E582C">
        <w:t>a</w:t>
      </w:r>
      <w:r w:rsidR="00F37C90" w:rsidRPr="001722B8">
        <w:t>).</w:t>
      </w:r>
      <w:r w:rsidR="00DF6544">
        <w:t xml:space="preserve"> Leong and Howlett (2022) </w:t>
      </w:r>
      <w:r w:rsidR="006E14FB">
        <w:t xml:space="preserve">discuss the significance of learning from policy and how this should be used to make improvements and avoid policy failures in future. </w:t>
      </w:r>
      <w:r w:rsidR="00921A48">
        <w:t xml:space="preserve">However, there is often a significant focus </w:t>
      </w:r>
      <w:r w:rsidR="00921A48" w:rsidRPr="00921A48">
        <w:t>exclusively on the</w:t>
      </w:r>
      <w:r w:rsidR="00921A48">
        <w:t xml:space="preserve"> process of </w:t>
      </w:r>
      <w:r w:rsidR="00DA1A04" w:rsidRPr="00921A48">
        <w:t>policymaking</w:t>
      </w:r>
      <w:r w:rsidR="00921A48" w:rsidRPr="00921A48">
        <w:t>,</w:t>
      </w:r>
      <w:r w:rsidR="00921A48">
        <w:t xml:space="preserve"> leading to a lack of focus on the subject matter (Leong and Howlett, 2022). </w:t>
      </w:r>
      <w:r w:rsidR="00537E1E">
        <w:t xml:space="preserve">This is a concern, as the new child poverty strategy has not implemented many new ideas or policies and appears to have reused existing policies. </w:t>
      </w:r>
    </w:p>
    <w:p w14:paraId="73C67F6C" w14:textId="782A6E99" w:rsidR="00315E1F" w:rsidRDefault="00315E1F" w:rsidP="00F37C90">
      <w:r>
        <w:lastRenderedPageBreak/>
        <w:t xml:space="preserve">According to </w:t>
      </w:r>
      <w:proofErr w:type="spellStart"/>
      <w:r>
        <w:t>Bucelli</w:t>
      </w:r>
      <w:proofErr w:type="spellEnd"/>
      <w:r>
        <w:t xml:space="preserve"> and McKnight (2022), </w:t>
      </w:r>
      <w:r w:rsidR="00CD13F4">
        <w:t xml:space="preserve">an evaluation of place-based interventions is key in mitigating child poverty in Wales. They focus on the issue that where a person lives has an impact on the level of poverty. For example, an area of deprivation, with high crime rate, low quality housing, inadequate infrastructure and </w:t>
      </w:r>
      <w:r w:rsidR="00CE1239">
        <w:t>high-quality</w:t>
      </w:r>
      <w:r w:rsidR="00CD13F4">
        <w:t xml:space="preserve"> employment, education and training will be a greater challenge to tackle poverty as opposed to a more affluent area which provides high quality resources and services. </w:t>
      </w:r>
      <w:r w:rsidR="00557B14">
        <w:t>Although place-based policies used to reduce the levels of poverty in Wales have been in place since the 1990’s, those in need have not necessarily benefited from these due to the gentrification of deprived areas which has often led to disadvantaged residents and businesses being displaced (</w:t>
      </w:r>
      <w:proofErr w:type="spellStart"/>
      <w:r w:rsidR="00557B14">
        <w:t>Bucelli</w:t>
      </w:r>
      <w:proofErr w:type="spellEnd"/>
      <w:r w:rsidR="00557B14">
        <w:t xml:space="preserve"> and McKnight, 2022). </w:t>
      </w:r>
      <w:r w:rsidR="00475798">
        <w:t>This supports the need for more targeted and specific interventions for children and families living in poverty.</w:t>
      </w:r>
    </w:p>
    <w:p w14:paraId="7A9070A3" w14:textId="77777777" w:rsidR="00F37C90" w:rsidRDefault="00F37C90">
      <w:pPr>
        <w:rPr>
          <w:u w:val="single"/>
        </w:rPr>
      </w:pPr>
    </w:p>
    <w:p w14:paraId="2DF0C8D8" w14:textId="0F8ED002" w:rsidR="00F37C90" w:rsidRDefault="00F37C90">
      <w:pPr>
        <w:rPr>
          <w:u w:val="single"/>
        </w:rPr>
      </w:pPr>
      <w:r>
        <w:rPr>
          <w:u w:val="single"/>
        </w:rPr>
        <w:t>Implications to practice</w:t>
      </w:r>
    </w:p>
    <w:p w14:paraId="43C910F8" w14:textId="21288F41" w:rsidR="000561B3" w:rsidRDefault="001722B8">
      <w:r>
        <w:t xml:space="preserve">Within </w:t>
      </w:r>
      <w:r w:rsidR="00094828">
        <w:t>the Child Poverty Strategy 2024 it is stated that “t</w:t>
      </w:r>
      <w:r w:rsidR="00094828">
        <w:t>he strategy seeks to ensure stronger integration across national policies, programmes and action plans and to support collaboration at the regional and local levels</w:t>
      </w:r>
      <w:r w:rsidR="00094828">
        <w:t>”</w:t>
      </w:r>
      <w:r w:rsidR="0046040C" w:rsidRPr="0046040C">
        <w:t xml:space="preserve"> </w:t>
      </w:r>
      <w:r w:rsidR="0046040C" w:rsidRPr="0046040C">
        <w:t>(Welsh Government, 2024a)</w:t>
      </w:r>
      <w:r w:rsidR="00094828">
        <w:t xml:space="preserve">. The use of the word “seeks” suggests that </w:t>
      </w:r>
      <w:r w:rsidR="004A1859">
        <w:t>th</w:t>
      </w:r>
      <w:r w:rsidR="00DA1A04">
        <w:t xml:space="preserve">is is not absolute, </w:t>
      </w:r>
      <w:r w:rsidR="00381D0B">
        <w:t xml:space="preserve">meaning that it may not occur. </w:t>
      </w:r>
      <w:r w:rsidR="000561B3">
        <w:t xml:space="preserve">As previously mentioned, there are phrases that suggest that the policy thinks about how to </w:t>
      </w:r>
      <w:r w:rsidR="00DB75AA">
        <w:t>act</w:t>
      </w:r>
      <w:r w:rsidR="000561B3">
        <w:t xml:space="preserve">. </w:t>
      </w:r>
      <w:r w:rsidR="00DB75AA">
        <w:t xml:space="preserve">There are numerous mentions of how the policy is working towards improvements. </w:t>
      </w:r>
      <w:r w:rsidR="000561B3">
        <w:t xml:space="preserve">However, the implications of this fails to demonstrate how this will inform the policy or reconsider the guidelines currently used. </w:t>
      </w:r>
      <w:r w:rsidR="00DB75AA">
        <w:t xml:space="preserve">Additionally, there is a lack of consideration for the consequences should the policy be unsuccessful. </w:t>
      </w:r>
      <w:r w:rsidR="002857C7">
        <w:t xml:space="preserve">Senedd Research (2023) urge the significance of child poverty and its impact on children long term with considerations for health and educational implications. However, the child poverty strategy does not provide poverty reduction targets, and it has been challenged that it is recycling existing policies rather than </w:t>
      </w:r>
      <w:r w:rsidR="00172FA2">
        <w:t>improving on these</w:t>
      </w:r>
      <w:r w:rsidR="004C7AFB">
        <w:t xml:space="preserve"> or</w:t>
      </w:r>
      <w:r w:rsidR="00172FA2">
        <w:t xml:space="preserve"> </w:t>
      </w:r>
      <w:r w:rsidR="002857C7">
        <w:t>creating new ones</w:t>
      </w:r>
      <w:r w:rsidR="00172FA2">
        <w:t xml:space="preserve"> </w:t>
      </w:r>
      <w:r w:rsidR="002857C7">
        <w:t>(Senedd Research, 2023).</w:t>
      </w:r>
      <w:r w:rsidR="001173A3">
        <w:t xml:space="preserve"> In view of this, it could be argued that the newer policy is a more updated version of the old policy, even though it claims to be a replacement, with unclear targets and no consideration for the consequences if it fails. </w:t>
      </w:r>
    </w:p>
    <w:p w14:paraId="3644EC9F" w14:textId="6D5DD534" w:rsidR="00F37C90" w:rsidRPr="000561B3" w:rsidRDefault="001722B8">
      <w:r>
        <w:rPr>
          <w:u w:val="single"/>
        </w:rPr>
        <w:t>Innovation</w:t>
      </w:r>
    </w:p>
    <w:p w14:paraId="6B4D97AE" w14:textId="2E305717" w:rsidR="00807B41" w:rsidRDefault="00381D0B">
      <w:r w:rsidRPr="0081504F">
        <w:t xml:space="preserve">Next, there will be a discussion on an innovative idea to lessen the challenge of </w:t>
      </w:r>
      <w:r w:rsidR="0081504F">
        <w:t>access to healthy food for those living in</w:t>
      </w:r>
      <w:r w:rsidRPr="0081504F">
        <w:t xml:space="preserve"> poverty. As previously mentioned, the Child Poverty Strategy 2024 is utilising existing Government policies </w:t>
      </w:r>
      <w:proofErr w:type="gramStart"/>
      <w:r w:rsidRPr="0081504F">
        <w:t>as a way to</w:t>
      </w:r>
      <w:proofErr w:type="gramEnd"/>
      <w:r w:rsidRPr="0081504F">
        <w:t xml:space="preserve"> mitigate child poverty, rather than providing targeted strategies to help families in need</w:t>
      </w:r>
      <w:r w:rsidR="0058667C" w:rsidRPr="0081504F">
        <w:t xml:space="preserve"> </w:t>
      </w:r>
      <w:r w:rsidR="003F2783" w:rsidRPr="0081504F">
        <w:t>(</w:t>
      </w:r>
      <w:r w:rsidR="0058667C" w:rsidRPr="0081504F">
        <w:t>Welsh Government, 2024a)</w:t>
      </w:r>
      <w:r w:rsidRPr="0081504F">
        <w:t xml:space="preserve">. There are many variations of poverty such as food poverty or fuel poverty and it is not always the case that all families are experiencing the same kind of poverty. Many families may not meet the threshold of being considered </w:t>
      </w:r>
      <w:r w:rsidR="004C7AFB">
        <w:t xml:space="preserve">living </w:t>
      </w:r>
      <w:r w:rsidRPr="0081504F">
        <w:t>in poverty due to their household income</w:t>
      </w:r>
      <w:r w:rsidR="003F2783" w:rsidRPr="0081504F">
        <w:t xml:space="preserve"> (Children’s Commissioner for Wales, 2024c)</w:t>
      </w:r>
      <w:r w:rsidRPr="0081504F">
        <w:t xml:space="preserve">. However, it is not taken </w:t>
      </w:r>
      <w:r w:rsidRPr="0081504F">
        <w:lastRenderedPageBreak/>
        <w:t xml:space="preserve">into account each individual families </w:t>
      </w:r>
      <w:proofErr w:type="gramStart"/>
      <w:r w:rsidRPr="0081504F">
        <w:t>outgoings</w:t>
      </w:r>
      <w:proofErr w:type="gramEnd"/>
      <w:r w:rsidRPr="0081504F">
        <w:t xml:space="preserve">. For example, </w:t>
      </w:r>
      <w:r w:rsidR="003F2783" w:rsidRPr="0081504F">
        <w:t xml:space="preserve">The </w:t>
      </w:r>
      <w:r w:rsidR="001A0996" w:rsidRPr="0081504F">
        <w:t xml:space="preserve">Food Foundation (2023) discovered that to be able to purchase what the government believes to be appropriate ingredients to promote a healthy diet, 20% of the population would need to spend 50% of their disposable income to meet these expectations. Ravikumar </w:t>
      </w:r>
      <w:r w:rsidR="001A0996" w:rsidRPr="0081504F">
        <w:rPr>
          <w:i/>
          <w:iCs/>
        </w:rPr>
        <w:t xml:space="preserve">et al. </w:t>
      </w:r>
      <w:r w:rsidR="001A0996" w:rsidRPr="0081504F">
        <w:t xml:space="preserve">(2022) supports this, discussing how families living in poverty are unable to afford healthy foods, leading to unhealthy </w:t>
      </w:r>
      <w:r w:rsidR="003F2783" w:rsidRPr="0081504F">
        <w:t>eating</w:t>
      </w:r>
      <w:r w:rsidR="001A0996" w:rsidRPr="0081504F">
        <w:t xml:space="preserve"> habits. </w:t>
      </w:r>
      <w:r w:rsidR="003F2783" w:rsidRPr="0081504F">
        <w:t>They call for a policy which aids families with limited food access, such as those living in deprived areas, as well promoting more affordable healthy options.</w:t>
      </w:r>
      <w:r w:rsidR="003F2783">
        <w:t xml:space="preserve"> </w:t>
      </w:r>
      <w:r w:rsidR="0081504F">
        <w:t>T</w:t>
      </w:r>
      <w:r>
        <w:t xml:space="preserve">he utilisation of measuring </w:t>
      </w:r>
      <w:r w:rsidR="0058667C">
        <w:t>income alone</w:t>
      </w:r>
      <w:r>
        <w:t xml:space="preserve"> is not necessarily </w:t>
      </w:r>
      <w:r w:rsidR="004C7AFB">
        <w:t>accurate and</w:t>
      </w:r>
      <w:r w:rsidR="009E582C">
        <w:t xml:space="preserve"> </w:t>
      </w:r>
      <w:proofErr w:type="gramStart"/>
      <w:r w:rsidR="009E582C">
        <w:t>taking into account</w:t>
      </w:r>
      <w:proofErr w:type="gramEnd"/>
      <w:r w:rsidR="009E582C">
        <w:t xml:space="preserve"> the cost of healthy ingredients as well as areas that may have limited access to these should be taken into account</w:t>
      </w:r>
      <w:r w:rsidR="0058667C">
        <w:t xml:space="preserve"> (Children’s Commissioner for Wales, 2024c)</w:t>
      </w:r>
      <w:r w:rsidR="009E582C">
        <w:t>.</w:t>
      </w:r>
    </w:p>
    <w:p w14:paraId="3969F583" w14:textId="192E1AA9" w:rsidR="00732F69" w:rsidRDefault="00F63E80">
      <w:r>
        <w:t xml:space="preserve">Public Health Network Cymru (2025) discuss the importance of a healthy, balanced diet and how this can prevent health implications such as type 2 diabetes, heart disease and obesity. However, the National Diet and Nutrition Survey by Welsh Government (2019) revealed that 89% of children were not meeting the advised 5 portions of fruit and vegetables a day in Wales. In addition, three quarters of adults were also not meeting the required amount (Welsh Government, 2019). </w:t>
      </w:r>
      <w:r w:rsidR="00290B61">
        <w:t xml:space="preserve">Whilst a healthy diet is consistently encouraged, there is a lack of support for those families who are unable to afford or access healthy foods. </w:t>
      </w:r>
    </w:p>
    <w:p w14:paraId="50C29AA2" w14:textId="4C292CFA" w:rsidR="00290B61" w:rsidRDefault="00290B61">
      <w:r>
        <w:t xml:space="preserve">In previous years, strategies have been implemented in Wales to support and encourage healthy eating. </w:t>
      </w:r>
      <w:r w:rsidR="00B148B1">
        <w:t xml:space="preserve"> The Healthy Weight Healthy Wales policy strived to promote healthy eating to reduce levels of obesity in Wales (Welsh Government, 2023b). Within this policy, it is stated that they aim to </w:t>
      </w:r>
      <w:r w:rsidR="00B148B1">
        <w:t>clos</w:t>
      </w:r>
      <w:r w:rsidR="00B148B1">
        <w:t>e the gap</w:t>
      </w:r>
      <w:r w:rsidR="00B148B1">
        <w:t xml:space="preserve"> of health inequality </w:t>
      </w:r>
      <w:r w:rsidR="00B148B1">
        <w:t>amongst the</w:t>
      </w:r>
      <w:r w:rsidR="00B148B1">
        <w:t xml:space="preserve"> most disadvantaged communities through </w:t>
      </w:r>
      <w:r w:rsidR="00B148B1">
        <w:t>more specific funding and support services.</w:t>
      </w:r>
      <w:r w:rsidR="007B33AE">
        <w:t xml:space="preserve"> Whilst this policy states that it is aware of the challenges families living in poverty face with regards to a healthy diet, as well as the need for support, which is tailored to </w:t>
      </w:r>
      <w:proofErr w:type="gramStart"/>
      <w:r w:rsidR="007B33AE">
        <w:t>each individual’s</w:t>
      </w:r>
      <w:proofErr w:type="gramEnd"/>
      <w:r w:rsidR="007B33AE">
        <w:t xml:space="preserve"> circumstances, it does not state specifically what this would look like and how it will be implemented. </w:t>
      </w:r>
    </w:p>
    <w:p w14:paraId="621AE7A0" w14:textId="3DFADB5F" w:rsidR="00475FA1" w:rsidRDefault="00475FA1">
      <w:r>
        <w:t xml:space="preserve">Furthermore, Community Housing Cymru (2023) inform that between November 2021 and November 2023, food prices raised by 27% which led to many families reducing their food intake, with some skipping meals to be able to afford to eat. Bevan Foundation (no date) cited in Community Housing Cymru (2023) further this concern with research that found that families in receipt of universal credit are five times more likely to be unable to afford basic food items. </w:t>
      </w:r>
    </w:p>
    <w:p w14:paraId="47932025" w14:textId="32AB1D80" w:rsidR="00D82FC2" w:rsidRDefault="00D82FC2">
      <w:r>
        <w:t xml:space="preserve">Welsh Government (2024a) discuss objective one of the child poverty </w:t>
      </w:r>
      <w:proofErr w:type="gramStart"/>
      <w:r>
        <w:t>strategy</w:t>
      </w:r>
      <w:proofErr w:type="gramEnd"/>
      <w:r>
        <w:t xml:space="preserve"> 2024, which states that it aims to reduce the cost of every day necessities such as food and fuel. It also states that it aims to maximise household income. It is stated that “p</w:t>
      </w:r>
      <w:r w:rsidRPr="00D82FC2">
        <w:t xml:space="preserve">eople can face a ‘poverty premium’ at local food shops where prices are higher and may be limited in their ability to pay for transport to access food at better value prices in other </w:t>
      </w:r>
      <w:r w:rsidRPr="00D82FC2">
        <w:lastRenderedPageBreak/>
        <w:t xml:space="preserve">areas. A lack of access to affordable, healthy food is directly related to health </w:t>
      </w:r>
      <w:r w:rsidRPr="003F2AA5">
        <w:t>inequalities</w:t>
      </w:r>
      <w:r w:rsidRPr="003F2AA5">
        <w:t>”.</w:t>
      </w:r>
      <w:r>
        <w:t xml:space="preserve"> Following this, Welsh Government (2024a) state that Free School Meals </w:t>
      </w:r>
      <w:r w:rsidR="00E61721">
        <w:t xml:space="preserve">and free breakfast in maintained schools is aiding in ensuring that children are being offered healthy meals in school, and that and </w:t>
      </w:r>
      <w:proofErr w:type="gramStart"/>
      <w:r w:rsidR="00E61721">
        <w:t>future plans</w:t>
      </w:r>
      <w:proofErr w:type="gramEnd"/>
      <w:r w:rsidR="00E61721">
        <w:t xml:space="preserve"> to increase this offer will rely on budget being available. </w:t>
      </w:r>
      <w:r w:rsidR="00392E57">
        <w:t xml:space="preserve">Whilst free school meals </w:t>
      </w:r>
      <w:proofErr w:type="gramStart"/>
      <w:r w:rsidR="00392E57">
        <w:t>has</w:t>
      </w:r>
      <w:proofErr w:type="gramEnd"/>
      <w:r w:rsidR="00392E57">
        <w:t xml:space="preserve"> alleviated the challenge of poorer families being able to afford school meals or needing to supply a packed lunch, Davies (2024) raises the concern that this has now led to the end of free meals for children during school holidays. Many families relied on this offer, especially during the summer months when children are off school for a prolonged </w:t>
      </w:r>
      <w:proofErr w:type="gramStart"/>
      <w:r w:rsidR="00392E57">
        <w:t>period of time</w:t>
      </w:r>
      <w:proofErr w:type="gramEnd"/>
      <w:r w:rsidR="00392E57">
        <w:t xml:space="preserve">. Davies (2024) also challenged that this does not support children’s rights, and goes against the </w:t>
      </w:r>
      <w:r w:rsidR="00392E57">
        <w:rPr>
          <w:i/>
          <w:iCs/>
        </w:rPr>
        <w:t xml:space="preserve">Equality Act 2010, </w:t>
      </w:r>
      <w:r w:rsidR="00392E57">
        <w:t xml:space="preserve">as there is a lack of consideration for protected characteristics such as single parents and minority groups. </w:t>
      </w:r>
      <w:r w:rsidR="00081DC4">
        <w:t>Miles (no date) cited in Davies (2024) stated that further assessment on equality needed to be undertaken, however there is no budget for free school meals to be offered during school holidays.</w:t>
      </w:r>
      <w:r w:rsidR="00050E1B">
        <w:t xml:space="preserve"> Welsh Government (2024a) has created two additional policies – the </w:t>
      </w:r>
      <w:proofErr w:type="spellStart"/>
      <w:r w:rsidR="00050E1B">
        <w:t>Playworks</w:t>
      </w:r>
      <w:proofErr w:type="spellEnd"/>
      <w:r w:rsidR="00050E1B">
        <w:t xml:space="preserve"> Holiday Project and the School Holiday Enrichment Programme. </w:t>
      </w:r>
      <w:r w:rsidR="00194CD1">
        <w:t xml:space="preserve">These aim to provide healthy meals and snacks to children living in deprived areas during the school holidays. However, these are carried out at the discretion of the local authority and are not a legal requirement for all areas to implement. </w:t>
      </w:r>
    </w:p>
    <w:p w14:paraId="63833E2C" w14:textId="6D0B57CD" w:rsidR="00081DC4" w:rsidRDefault="000F7F26">
      <w:r>
        <w:t xml:space="preserve">As budget has become a clear barrier with implementing strategies that will alleviate food poverty concerns, </w:t>
      </w:r>
      <w:r w:rsidR="00194CD1">
        <w:t xml:space="preserve">as well as there being no strategy that is a requirement to support all families, </w:t>
      </w:r>
      <w:r>
        <w:t xml:space="preserve">there needs to be a clear, realistic strategy that will help families with limited food access or who are unable to afford food. Welsh Government (2024a) claims that it is working with food partnerships to tackle food poverty, and this will support families by offering </w:t>
      </w:r>
      <w:r w:rsidR="00CA2A8C">
        <w:t>no cost</w:t>
      </w:r>
      <w:r>
        <w:t xml:space="preserve"> or low-cost healthy foods. </w:t>
      </w:r>
      <w:r w:rsidR="0062681A">
        <w:t xml:space="preserve">As previously mentioned, it is not clear how this will be implemented. </w:t>
      </w:r>
      <w:r w:rsidR="00CA2A8C">
        <w:t xml:space="preserve">Whilst there are strategies available for during the school day, and in some areas additional help during school holidays, there is a gap in offering a consistent plan which will help families access healthy food which will provide all members three healthy meals with snacks per day. </w:t>
      </w:r>
    </w:p>
    <w:p w14:paraId="6FA8F474" w14:textId="6A244DBA" w:rsidR="009142A0" w:rsidRPr="00392E57" w:rsidRDefault="009142A0">
      <w:r>
        <w:t xml:space="preserve">This innovative idea draws upon existing strategies, amalgamating them into one. Creating a policy, where families </w:t>
      </w:r>
      <w:r w:rsidR="00432366">
        <w:t>can</w:t>
      </w:r>
      <w:r>
        <w:t xml:space="preserve"> produce their household income as well as their outgoings, to include rent or mortgage, essential household bills and all other outgoings will allow their local authority to determine what their disposable income is. Should this meet a set threshold, those families are to be supported with weekly </w:t>
      </w:r>
      <w:r w:rsidR="003F2AA5">
        <w:t>supermarket</w:t>
      </w:r>
      <w:r>
        <w:t xml:space="preserve"> vouchers which can be used for healthy foods, or foods that suit that family’s needs</w:t>
      </w:r>
      <w:r w:rsidR="003F2AA5">
        <w:t>, as well as basic hygiene items and period products</w:t>
      </w:r>
      <w:r>
        <w:t xml:space="preserve">. </w:t>
      </w:r>
      <w:r w:rsidR="00F12FEC">
        <w:t xml:space="preserve">For those who face challenges with transport to get to adequate supermarkets, such as those who live in rural areas and have limited </w:t>
      </w:r>
      <w:r w:rsidR="00F12FEC" w:rsidRPr="003F2AA5">
        <w:t>shops to attend,</w:t>
      </w:r>
      <w:r w:rsidR="00F12FEC">
        <w:t xml:space="preserve"> vouchers to use for public transport </w:t>
      </w:r>
      <w:r w:rsidR="003F2AA5">
        <w:t>could</w:t>
      </w:r>
      <w:r w:rsidR="00F12FEC">
        <w:t xml:space="preserve"> be provided that can be used any day of the week so that they are not constrained to specific days or times. </w:t>
      </w:r>
      <w:r w:rsidR="003F2AA5">
        <w:t xml:space="preserve">If this is a challenge for some who may be unable to use public transport due to </w:t>
      </w:r>
      <w:r w:rsidR="003F2AA5">
        <w:lastRenderedPageBreak/>
        <w:t xml:space="preserve">health concerns, a consideration for the </w:t>
      </w:r>
      <w:proofErr w:type="gramStart"/>
      <w:r w:rsidR="003F2AA5">
        <w:t>aforementioned poverty</w:t>
      </w:r>
      <w:proofErr w:type="gramEnd"/>
      <w:r w:rsidR="003F2AA5">
        <w:t xml:space="preserve"> premium should be taken into account when providing vouchers. </w:t>
      </w:r>
      <w:r w:rsidR="00432366">
        <w:t>To monitor this and to ensure that the vouchers are being used appropriately, families would be required to provide receipts so that the vouchers are being used appropriately, and not for unessential items such as alcohol or tobacco products.</w:t>
      </w:r>
    </w:p>
    <w:p w14:paraId="74FB7AA4" w14:textId="4F2E6D70" w:rsidR="00863818" w:rsidRDefault="00CE1239">
      <w:r>
        <w:t xml:space="preserve">This idea will ensure that family’s needs are being considered on a </w:t>
      </w:r>
      <w:r w:rsidR="00A110C4">
        <w:t>case-by-case</w:t>
      </w:r>
      <w:r>
        <w:t xml:space="preserve"> basis, rather than focusing purely on household income. Considerations for outgoings means that families will be able to show what their disposable income is. Many families are living in debt according to </w:t>
      </w:r>
      <w:r w:rsidR="00A110C4">
        <w:t xml:space="preserve">Bevan Foundation (2021). The coronavirus pandemic exacerbated this, and data showed that 10% of families had fallen behind on household bills during the pandemic, with 17% of households borrowing money (Bevan Foundation, 2021). The Money Charity (2024) informed that Citizens Advice Bureau delt with 1,223 cases of debt per day between 2023 and 2024 in Wales and England, with 332 people becoming bankrupt or insolvent per day in Wales and England. </w:t>
      </w:r>
      <w:r w:rsidR="009357E9">
        <w:t xml:space="preserve">As previously mentioned, poverty is currently measured by household income, and these statistics prove that considerations for household outgoings needs to be a priority. </w:t>
      </w:r>
    </w:p>
    <w:p w14:paraId="7DF74594" w14:textId="4EC6D132" w:rsidR="00791C1F" w:rsidRDefault="00791C1F">
      <w:r>
        <w:t>To conclude, the Child Poverty Strategy 2024 promises to prevent and mitigate child poverty and provides detailed information as to how it aims to carry this out. Collaboration with other services</w:t>
      </w:r>
      <w:r w:rsidR="00537E1E">
        <w:t xml:space="preserve">, the use of existing policies </w:t>
      </w:r>
      <w:r>
        <w:t xml:space="preserve">as well as an aim to reduce costs is at the forefront of this strategy. However, persistent challenges that appear to have not been </w:t>
      </w:r>
      <w:r w:rsidR="00537E1E">
        <w:t>improved upon,</w:t>
      </w:r>
      <w:r>
        <w:t xml:space="preserve"> as well as non-specific strategies to target the objectives means that carrying out this strategy may prove to be challenging, and potentially, impossible. </w:t>
      </w:r>
    </w:p>
    <w:sectPr w:rsidR="00791C1F">
      <w:headerReference w:type="default" r:id="rId6"/>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F9B40" w14:textId="77777777" w:rsidR="00234C10" w:rsidRDefault="00234C10" w:rsidP="00CE02A1">
      <w:pPr>
        <w:spacing w:after="0" w:line="240" w:lineRule="auto"/>
      </w:pPr>
      <w:r>
        <w:separator/>
      </w:r>
    </w:p>
  </w:endnote>
  <w:endnote w:type="continuationSeparator" w:id="0">
    <w:p w14:paraId="600F992E" w14:textId="77777777" w:rsidR="00234C10" w:rsidRDefault="00234C10" w:rsidP="00CE0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9A92A" w14:textId="70D2732B" w:rsidR="00BA7FE6" w:rsidRDefault="00BA7FE6">
    <w:pPr>
      <w:pStyle w:val="Footer"/>
    </w:pPr>
    <w:r>
      <w:rPr>
        <w:noProof/>
      </w:rPr>
      <mc:AlternateContent>
        <mc:Choice Requires="wps">
          <w:drawing>
            <wp:anchor distT="0" distB="0" distL="0" distR="0" simplePos="0" relativeHeight="251659264" behindDoc="0" locked="0" layoutInCell="1" allowOverlap="1" wp14:anchorId="54992B8F" wp14:editId="17B7564D">
              <wp:simplePos x="635" y="635"/>
              <wp:positionH relativeFrom="page">
                <wp:align>left</wp:align>
              </wp:positionH>
              <wp:positionV relativeFrom="page">
                <wp:align>bottom</wp:align>
              </wp:positionV>
              <wp:extent cx="1635125" cy="370205"/>
              <wp:effectExtent l="0" t="0" r="3175" b="0"/>
              <wp:wrapNone/>
              <wp:docPr id="1251348824" name="Text Box 2" descr="Classification - Non-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35125" cy="370205"/>
                      </a:xfrm>
                      <a:prstGeom prst="rect">
                        <a:avLst/>
                      </a:prstGeom>
                      <a:noFill/>
                      <a:ln>
                        <a:noFill/>
                      </a:ln>
                    </wps:spPr>
                    <wps:txbx>
                      <w:txbxContent>
                        <w:p w14:paraId="00428F9E" w14:textId="148C500E" w:rsidR="00BA7FE6" w:rsidRPr="00BA7FE6" w:rsidRDefault="00BA7FE6" w:rsidP="00BA7FE6">
                          <w:pPr>
                            <w:spacing w:after="0"/>
                            <w:rPr>
                              <w:rFonts w:ascii="Calibri" w:eastAsia="Calibri" w:hAnsi="Calibri" w:cs="Calibri"/>
                              <w:noProof/>
                              <w:color w:val="000000"/>
                              <w:sz w:val="20"/>
                              <w:szCs w:val="20"/>
                            </w:rPr>
                          </w:pPr>
                          <w:r w:rsidRPr="00BA7FE6">
                            <w:rPr>
                              <w:rFonts w:ascii="Calibri" w:eastAsia="Calibri" w:hAnsi="Calibri" w:cs="Calibri"/>
                              <w:noProof/>
                              <w:color w:val="000000"/>
                              <w:sz w:val="20"/>
                              <w:szCs w:val="20"/>
                            </w:rPr>
                            <w:t>Classification - Non-Official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992B8F" id="_x0000_t202" coordsize="21600,21600" o:spt="202" path="m,l,21600r21600,l21600,xe">
              <v:stroke joinstyle="miter"/>
              <v:path gradientshapeok="t" o:connecttype="rect"/>
            </v:shapetype>
            <v:shape id="Text Box 2" o:spid="_x0000_s1026" type="#_x0000_t202" alt="Classification - Non-Official" style="position:absolute;margin-left:0;margin-top:0;width:128.7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" filled="f" stroked="f">
              <v:textbox style="mso-fit-shape-to-text:t" inset="20pt,0,0,15pt">
                <w:txbxContent>
                  <w:p w14:paraId="00428F9E" w14:textId="148C500E" w:rsidR="00BA7FE6" w:rsidRPr="00BA7FE6" w:rsidRDefault="00BA7FE6" w:rsidP="00BA7FE6">
                    <w:pPr>
                      <w:spacing w:after="0"/>
                      <w:rPr>
                        <w:rFonts w:ascii="Calibri" w:eastAsia="Calibri" w:hAnsi="Calibri" w:cs="Calibri"/>
                        <w:noProof/>
                        <w:color w:val="000000"/>
                        <w:sz w:val="20"/>
                        <w:szCs w:val="20"/>
                      </w:rPr>
                    </w:pPr>
                    <w:r w:rsidRPr="00BA7FE6">
                      <w:rPr>
                        <w:rFonts w:ascii="Calibri" w:eastAsia="Calibri" w:hAnsi="Calibri" w:cs="Calibri"/>
                        <w:noProof/>
                        <w:color w:val="000000"/>
                        <w:sz w:val="20"/>
                        <w:szCs w:val="20"/>
                      </w:rPr>
                      <w:t>Classification - Non-Official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809B8" w14:textId="32533AF4" w:rsidR="00BA7FE6" w:rsidRDefault="00BA7FE6">
    <w:pPr>
      <w:pStyle w:val="Footer"/>
    </w:pPr>
    <w:r>
      <w:rPr>
        <w:noProof/>
      </w:rPr>
      <mc:AlternateContent>
        <mc:Choice Requires="wps">
          <w:drawing>
            <wp:anchor distT="0" distB="0" distL="0" distR="0" simplePos="0" relativeHeight="251660288" behindDoc="0" locked="0" layoutInCell="1" allowOverlap="1" wp14:anchorId="3E0982ED" wp14:editId="07A78D7C">
              <wp:simplePos x="635" y="635"/>
              <wp:positionH relativeFrom="page">
                <wp:align>left</wp:align>
              </wp:positionH>
              <wp:positionV relativeFrom="page">
                <wp:align>bottom</wp:align>
              </wp:positionV>
              <wp:extent cx="1635125" cy="370205"/>
              <wp:effectExtent l="0" t="0" r="3175" b="0"/>
              <wp:wrapNone/>
              <wp:docPr id="595495228" name="Text Box 3" descr="Classification - Non-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35125" cy="370205"/>
                      </a:xfrm>
                      <a:prstGeom prst="rect">
                        <a:avLst/>
                      </a:prstGeom>
                      <a:noFill/>
                      <a:ln>
                        <a:noFill/>
                      </a:ln>
                    </wps:spPr>
                    <wps:txbx>
                      <w:txbxContent>
                        <w:p w14:paraId="6EA0B370" w14:textId="2610C5DA" w:rsidR="00BA7FE6" w:rsidRPr="00BA7FE6" w:rsidRDefault="00BA7FE6" w:rsidP="00BA7FE6">
                          <w:pPr>
                            <w:spacing w:after="0"/>
                            <w:rPr>
                              <w:rFonts w:ascii="Calibri" w:eastAsia="Calibri" w:hAnsi="Calibri" w:cs="Calibri"/>
                              <w:noProof/>
                              <w:color w:val="000000"/>
                              <w:sz w:val="20"/>
                              <w:szCs w:val="20"/>
                            </w:rPr>
                          </w:pPr>
                          <w:r w:rsidRPr="00BA7FE6">
                            <w:rPr>
                              <w:rFonts w:ascii="Calibri" w:eastAsia="Calibri" w:hAnsi="Calibri" w:cs="Calibri"/>
                              <w:noProof/>
                              <w:color w:val="000000"/>
                              <w:sz w:val="20"/>
                              <w:szCs w:val="20"/>
                            </w:rPr>
                            <w:t>Classification - Non-Official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0982ED" id="_x0000_t202" coordsize="21600,21600" o:spt="202" path="m,l,21600r21600,l21600,xe">
              <v:stroke joinstyle="miter"/>
              <v:path gradientshapeok="t" o:connecttype="rect"/>
            </v:shapetype>
            <v:shape id="Text Box 3" o:spid="_x0000_s1027" type="#_x0000_t202" alt="Classification - Non-Official" style="position:absolute;margin-left:0;margin-top:0;width:128.75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" filled="f" stroked="f">
              <v:textbox style="mso-fit-shape-to-text:t" inset="20pt,0,0,15pt">
                <w:txbxContent>
                  <w:p w14:paraId="6EA0B370" w14:textId="2610C5DA" w:rsidR="00BA7FE6" w:rsidRPr="00BA7FE6" w:rsidRDefault="00BA7FE6" w:rsidP="00BA7FE6">
                    <w:pPr>
                      <w:spacing w:after="0"/>
                      <w:rPr>
                        <w:rFonts w:ascii="Calibri" w:eastAsia="Calibri" w:hAnsi="Calibri" w:cs="Calibri"/>
                        <w:noProof/>
                        <w:color w:val="000000"/>
                        <w:sz w:val="20"/>
                        <w:szCs w:val="20"/>
                      </w:rPr>
                    </w:pPr>
                    <w:r w:rsidRPr="00BA7FE6">
                      <w:rPr>
                        <w:rFonts w:ascii="Calibri" w:eastAsia="Calibri" w:hAnsi="Calibri" w:cs="Calibri"/>
                        <w:noProof/>
                        <w:color w:val="000000"/>
                        <w:sz w:val="20"/>
                        <w:szCs w:val="20"/>
                      </w:rPr>
                      <w:t>Classification - Non-Official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F8267" w14:textId="2DBA905C" w:rsidR="00BA7FE6" w:rsidRDefault="00BA7FE6">
    <w:pPr>
      <w:pStyle w:val="Footer"/>
    </w:pPr>
    <w:r>
      <w:rPr>
        <w:noProof/>
      </w:rPr>
      <mc:AlternateContent>
        <mc:Choice Requires="wps">
          <w:drawing>
            <wp:anchor distT="0" distB="0" distL="0" distR="0" simplePos="0" relativeHeight="251658240" behindDoc="0" locked="0" layoutInCell="1" allowOverlap="1" wp14:anchorId="6940F6C8" wp14:editId="3179C1C3">
              <wp:simplePos x="635" y="635"/>
              <wp:positionH relativeFrom="page">
                <wp:align>left</wp:align>
              </wp:positionH>
              <wp:positionV relativeFrom="page">
                <wp:align>bottom</wp:align>
              </wp:positionV>
              <wp:extent cx="1635125" cy="370205"/>
              <wp:effectExtent l="0" t="0" r="3175" b="0"/>
              <wp:wrapNone/>
              <wp:docPr id="1067642651" name="Text Box 1" descr="Classification - Non-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35125" cy="370205"/>
                      </a:xfrm>
                      <a:prstGeom prst="rect">
                        <a:avLst/>
                      </a:prstGeom>
                      <a:noFill/>
                      <a:ln>
                        <a:noFill/>
                      </a:ln>
                    </wps:spPr>
                    <wps:txbx>
                      <w:txbxContent>
                        <w:p w14:paraId="61BA0D70" w14:textId="39A267D1" w:rsidR="00BA7FE6" w:rsidRPr="00BA7FE6" w:rsidRDefault="00BA7FE6" w:rsidP="00BA7FE6">
                          <w:pPr>
                            <w:spacing w:after="0"/>
                            <w:rPr>
                              <w:rFonts w:ascii="Calibri" w:eastAsia="Calibri" w:hAnsi="Calibri" w:cs="Calibri"/>
                              <w:noProof/>
                              <w:color w:val="000000"/>
                              <w:sz w:val="20"/>
                              <w:szCs w:val="20"/>
                            </w:rPr>
                          </w:pPr>
                          <w:r w:rsidRPr="00BA7FE6">
                            <w:rPr>
                              <w:rFonts w:ascii="Calibri" w:eastAsia="Calibri" w:hAnsi="Calibri" w:cs="Calibri"/>
                              <w:noProof/>
                              <w:color w:val="000000"/>
                              <w:sz w:val="20"/>
                              <w:szCs w:val="20"/>
                            </w:rPr>
                            <w:t>Classification - Non-Official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40F6C8" id="_x0000_t202" coordsize="21600,21600" o:spt="202" path="m,l,21600r21600,l21600,xe">
              <v:stroke joinstyle="miter"/>
              <v:path gradientshapeok="t" o:connecttype="rect"/>
            </v:shapetype>
            <v:shape id="Text Box 1" o:spid="_x0000_s1028" type="#_x0000_t202" alt="Classification - Non-Official" style="position:absolute;margin-left:0;margin-top:0;width:128.7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" filled="f" stroked="f">
              <v:textbox style="mso-fit-shape-to-text:t" inset="20pt,0,0,15pt">
                <w:txbxContent>
                  <w:p w14:paraId="61BA0D70" w14:textId="39A267D1" w:rsidR="00BA7FE6" w:rsidRPr="00BA7FE6" w:rsidRDefault="00BA7FE6" w:rsidP="00BA7FE6">
                    <w:pPr>
                      <w:spacing w:after="0"/>
                      <w:rPr>
                        <w:rFonts w:ascii="Calibri" w:eastAsia="Calibri" w:hAnsi="Calibri" w:cs="Calibri"/>
                        <w:noProof/>
                        <w:color w:val="000000"/>
                        <w:sz w:val="20"/>
                        <w:szCs w:val="20"/>
                      </w:rPr>
                    </w:pPr>
                    <w:r w:rsidRPr="00BA7FE6">
                      <w:rPr>
                        <w:rFonts w:ascii="Calibri" w:eastAsia="Calibri" w:hAnsi="Calibri" w:cs="Calibri"/>
                        <w:noProof/>
                        <w:color w:val="000000"/>
                        <w:sz w:val="20"/>
                        <w:szCs w:val="20"/>
                      </w:rPr>
                      <w:t>Classification - Non-Official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6CD26" w14:textId="77777777" w:rsidR="00234C10" w:rsidRDefault="00234C10" w:rsidP="00CE02A1">
      <w:pPr>
        <w:spacing w:after="0" w:line="240" w:lineRule="auto"/>
      </w:pPr>
      <w:r>
        <w:separator/>
      </w:r>
    </w:p>
  </w:footnote>
  <w:footnote w:type="continuationSeparator" w:id="0">
    <w:p w14:paraId="505CD523" w14:textId="77777777" w:rsidR="00234C10" w:rsidRDefault="00234C10" w:rsidP="00CE02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A83EA" w14:textId="044057B9" w:rsidR="00CE02A1" w:rsidRDefault="00CE02A1">
    <w:pPr>
      <w:pStyle w:val="Header"/>
    </w:pPr>
    <w:r>
      <w:t>1908632</w:t>
    </w:r>
    <w:r>
      <w:ptab w:relativeTo="margin" w:alignment="center" w:leader="none"/>
    </w:r>
    <w:r>
      <w:t>ECCP7002</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A1"/>
    <w:rsid w:val="0002785D"/>
    <w:rsid w:val="00050E1B"/>
    <w:rsid w:val="000548E8"/>
    <w:rsid w:val="000561B3"/>
    <w:rsid w:val="000757F8"/>
    <w:rsid w:val="00081DC4"/>
    <w:rsid w:val="00094828"/>
    <w:rsid w:val="000A630F"/>
    <w:rsid w:val="000F7F26"/>
    <w:rsid w:val="001173A3"/>
    <w:rsid w:val="001330DD"/>
    <w:rsid w:val="00145477"/>
    <w:rsid w:val="00166F6D"/>
    <w:rsid w:val="001722B8"/>
    <w:rsid w:val="00172FA2"/>
    <w:rsid w:val="0017414D"/>
    <w:rsid w:val="00194CD1"/>
    <w:rsid w:val="001A0996"/>
    <w:rsid w:val="001D26F6"/>
    <w:rsid w:val="00234C10"/>
    <w:rsid w:val="0027119A"/>
    <w:rsid w:val="002857C7"/>
    <w:rsid w:val="00290B61"/>
    <w:rsid w:val="002D12BA"/>
    <w:rsid w:val="0030047D"/>
    <w:rsid w:val="00315E1F"/>
    <w:rsid w:val="003744BD"/>
    <w:rsid w:val="00381D0B"/>
    <w:rsid w:val="00392E57"/>
    <w:rsid w:val="003950D4"/>
    <w:rsid w:val="003F2783"/>
    <w:rsid w:val="003F2AA5"/>
    <w:rsid w:val="003F4420"/>
    <w:rsid w:val="00417BAD"/>
    <w:rsid w:val="00421BFE"/>
    <w:rsid w:val="00432366"/>
    <w:rsid w:val="0046040C"/>
    <w:rsid w:val="004629BB"/>
    <w:rsid w:val="00475798"/>
    <w:rsid w:val="00475FA1"/>
    <w:rsid w:val="004A1859"/>
    <w:rsid w:val="004B73F7"/>
    <w:rsid w:val="004C12D5"/>
    <w:rsid w:val="004C7AFB"/>
    <w:rsid w:val="00537E1E"/>
    <w:rsid w:val="00557B14"/>
    <w:rsid w:val="005766FC"/>
    <w:rsid w:val="0058667C"/>
    <w:rsid w:val="005955E4"/>
    <w:rsid w:val="005D1A1B"/>
    <w:rsid w:val="00611567"/>
    <w:rsid w:val="006123BF"/>
    <w:rsid w:val="0062681A"/>
    <w:rsid w:val="0063056D"/>
    <w:rsid w:val="006340FC"/>
    <w:rsid w:val="00661013"/>
    <w:rsid w:val="006B405A"/>
    <w:rsid w:val="006D53C2"/>
    <w:rsid w:val="006E14FB"/>
    <w:rsid w:val="00732F69"/>
    <w:rsid w:val="00735C97"/>
    <w:rsid w:val="00791C1F"/>
    <w:rsid w:val="007B03A3"/>
    <w:rsid w:val="007B33AE"/>
    <w:rsid w:val="00804CC8"/>
    <w:rsid w:val="00807B41"/>
    <w:rsid w:val="0081504F"/>
    <w:rsid w:val="00827ACE"/>
    <w:rsid w:val="00851609"/>
    <w:rsid w:val="00863818"/>
    <w:rsid w:val="0086462C"/>
    <w:rsid w:val="008A5782"/>
    <w:rsid w:val="008C4CC4"/>
    <w:rsid w:val="00901A36"/>
    <w:rsid w:val="009142A0"/>
    <w:rsid w:val="00921A48"/>
    <w:rsid w:val="009357E9"/>
    <w:rsid w:val="00947403"/>
    <w:rsid w:val="00962B45"/>
    <w:rsid w:val="009E582C"/>
    <w:rsid w:val="00A110C4"/>
    <w:rsid w:val="00A14EB6"/>
    <w:rsid w:val="00A336EA"/>
    <w:rsid w:val="00A66207"/>
    <w:rsid w:val="00AE2B22"/>
    <w:rsid w:val="00AF55CD"/>
    <w:rsid w:val="00B06CBF"/>
    <w:rsid w:val="00B148B1"/>
    <w:rsid w:val="00BA7FE6"/>
    <w:rsid w:val="00BB61F3"/>
    <w:rsid w:val="00BD44EB"/>
    <w:rsid w:val="00C06761"/>
    <w:rsid w:val="00CA2A8C"/>
    <w:rsid w:val="00CD13F4"/>
    <w:rsid w:val="00CE02A1"/>
    <w:rsid w:val="00CE1239"/>
    <w:rsid w:val="00CE3D6C"/>
    <w:rsid w:val="00D472A1"/>
    <w:rsid w:val="00D50548"/>
    <w:rsid w:val="00D82FC2"/>
    <w:rsid w:val="00DA1A04"/>
    <w:rsid w:val="00DB75AA"/>
    <w:rsid w:val="00DC0C2A"/>
    <w:rsid w:val="00DE5679"/>
    <w:rsid w:val="00DF6544"/>
    <w:rsid w:val="00E22A19"/>
    <w:rsid w:val="00E25DCA"/>
    <w:rsid w:val="00E60316"/>
    <w:rsid w:val="00E61721"/>
    <w:rsid w:val="00E972DA"/>
    <w:rsid w:val="00EE1DC9"/>
    <w:rsid w:val="00F023B7"/>
    <w:rsid w:val="00F12FEC"/>
    <w:rsid w:val="00F37C90"/>
    <w:rsid w:val="00F63E80"/>
    <w:rsid w:val="00F95570"/>
    <w:rsid w:val="00FB26F2"/>
    <w:rsid w:val="00FC5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94838"/>
  <w15:chartTrackingRefBased/>
  <w15:docId w15:val="{9E972012-6E8A-43B6-ABD2-03BE744E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2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2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2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2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2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2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2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2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2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2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2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2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2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2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2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2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2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2A1"/>
    <w:rPr>
      <w:rFonts w:eastAsiaTheme="majorEastAsia" w:cstheme="majorBidi"/>
      <w:color w:val="272727" w:themeColor="text1" w:themeTint="D8"/>
    </w:rPr>
  </w:style>
  <w:style w:type="paragraph" w:styleId="Title">
    <w:name w:val="Title"/>
    <w:basedOn w:val="Normal"/>
    <w:next w:val="Normal"/>
    <w:link w:val="TitleChar"/>
    <w:uiPriority w:val="10"/>
    <w:qFormat/>
    <w:rsid w:val="00CE02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2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2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2A1"/>
    <w:pPr>
      <w:spacing w:before="160"/>
      <w:jc w:val="center"/>
    </w:pPr>
    <w:rPr>
      <w:i/>
      <w:iCs/>
      <w:color w:val="404040" w:themeColor="text1" w:themeTint="BF"/>
    </w:rPr>
  </w:style>
  <w:style w:type="character" w:customStyle="1" w:styleId="QuoteChar">
    <w:name w:val="Quote Char"/>
    <w:basedOn w:val="DefaultParagraphFont"/>
    <w:link w:val="Quote"/>
    <w:uiPriority w:val="29"/>
    <w:rsid w:val="00CE02A1"/>
    <w:rPr>
      <w:i/>
      <w:iCs/>
      <w:color w:val="404040" w:themeColor="text1" w:themeTint="BF"/>
    </w:rPr>
  </w:style>
  <w:style w:type="paragraph" w:styleId="ListParagraph">
    <w:name w:val="List Paragraph"/>
    <w:basedOn w:val="Normal"/>
    <w:uiPriority w:val="34"/>
    <w:qFormat/>
    <w:rsid w:val="00CE02A1"/>
    <w:pPr>
      <w:ind w:left="720"/>
      <w:contextualSpacing/>
    </w:pPr>
  </w:style>
  <w:style w:type="character" w:styleId="IntenseEmphasis">
    <w:name w:val="Intense Emphasis"/>
    <w:basedOn w:val="DefaultParagraphFont"/>
    <w:uiPriority w:val="21"/>
    <w:qFormat/>
    <w:rsid w:val="00CE02A1"/>
    <w:rPr>
      <w:i/>
      <w:iCs/>
      <w:color w:val="0F4761" w:themeColor="accent1" w:themeShade="BF"/>
    </w:rPr>
  </w:style>
  <w:style w:type="paragraph" w:styleId="IntenseQuote">
    <w:name w:val="Intense Quote"/>
    <w:basedOn w:val="Normal"/>
    <w:next w:val="Normal"/>
    <w:link w:val="IntenseQuoteChar"/>
    <w:uiPriority w:val="30"/>
    <w:qFormat/>
    <w:rsid w:val="00CE02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2A1"/>
    <w:rPr>
      <w:i/>
      <w:iCs/>
      <w:color w:val="0F4761" w:themeColor="accent1" w:themeShade="BF"/>
    </w:rPr>
  </w:style>
  <w:style w:type="character" w:styleId="IntenseReference">
    <w:name w:val="Intense Reference"/>
    <w:basedOn w:val="DefaultParagraphFont"/>
    <w:uiPriority w:val="32"/>
    <w:qFormat/>
    <w:rsid w:val="00CE02A1"/>
    <w:rPr>
      <w:b/>
      <w:bCs/>
      <w:smallCaps/>
      <w:color w:val="0F4761" w:themeColor="accent1" w:themeShade="BF"/>
      <w:spacing w:val="5"/>
    </w:rPr>
  </w:style>
  <w:style w:type="paragraph" w:styleId="Header">
    <w:name w:val="header"/>
    <w:basedOn w:val="Normal"/>
    <w:link w:val="HeaderChar"/>
    <w:uiPriority w:val="99"/>
    <w:unhideWhenUsed/>
    <w:rsid w:val="00CE0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2A1"/>
  </w:style>
  <w:style w:type="paragraph" w:styleId="Footer">
    <w:name w:val="footer"/>
    <w:basedOn w:val="Normal"/>
    <w:link w:val="FooterChar"/>
    <w:uiPriority w:val="99"/>
    <w:unhideWhenUsed/>
    <w:rsid w:val="00CE0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12656</TotalTime>
  <Pages>7</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dc:creator>
  <cp:keywords/>
  <dc:description/>
  <cp:lastModifiedBy>Lauren Thomas (1908632)</cp:lastModifiedBy>
  <cp:revision>83</cp:revision>
  <dcterms:created xsi:type="dcterms:W3CDTF">2024-12-30T15:46:00Z</dcterms:created>
  <dcterms:modified xsi:type="dcterms:W3CDTF">2025-01-11T19:14:00Z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3fa2ef1b,4a961158,237e893c</vt:lpwstr>
  </property>
  <property fmtid="{D5CDD505-2E9C-101B-9397-08002B2CF9AE}" pid="3" name="ClassificationContentMarkingFooterFontProps">
    <vt:lpwstr>#000000,10,Calibri</vt:lpwstr>
  </property>
  <property fmtid="{D5CDD505-2E9C-101B-9397-08002B2CF9AE}" pid="4" name="ClassificationContentMarkingFooterText">
    <vt:lpwstr>Classification - Non-Official</vt:lpwstr>
  </property>
  <property fmtid="{D5CDD505-2E9C-101B-9397-08002B2CF9AE}" pid="5" name="MSIP_Label_e66f9eb8-5289-494c-ae3e-69c6da2ac438_Enabled">
    <vt:lpwstr>true</vt:lpwstr>
  </property>
  <property fmtid="{D5CDD505-2E9C-101B-9397-08002B2CF9AE}" pid="6" name="MSIP_Label_e66f9eb8-5289-494c-ae3e-69c6da2ac438_SetDate">
    <vt:lpwstr>2025-01-02T10:29:46Z</vt:lpwstr>
  </property>
  <property fmtid="{D5CDD505-2E9C-101B-9397-08002B2CF9AE}" pid="7" name="MSIP_Label_e66f9eb8-5289-494c-ae3e-69c6da2ac438_Method">
    <vt:lpwstr>Privileged</vt:lpwstr>
  </property>
  <property fmtid="{D5CDD505-2E9C-101B-9397-08002B2CF9AE}" pid="8" name="MSIP_Label_e66f9eb8-5289-494c-ae3e-69c6da2ac438_Name">
    <vt:lpwstr>Non-Official</vt:lpwstr>
  </property>
  <property fmtid="{D5CDD505-2E9C-101B-9397-08002B2CF9AE}" pid="9" name="MSIP_Label_e66f9eb8-5289-494c-ae3e-69c6da2ac438_SiteId">
    <vt:lpwstr>1d1a1c05-a92b-45f2-958c-461ddc8b74e1</vt:lpwstr>
  </property>
  <property fmtid="{D5CDD505-2E9C-101B-9397-08002B2CF9AE}" pid="10" name="MSIP_Label_e66f9eb8-5289-494c-ae3e-69c6da2ac438_ActionId">
    <vt:lpwstr>5195e857-a7ed-4147-9c06-4b4905827cd3</vt:lpwstr>
  </property>
  <property fmtid="{D5CDD505-2E9C-101B-9397-08002B2CF9AE}" pid="11" name="MSIP_Label_e66f9eb8-5289-494c-ae3e-69c6da2ac438_ContentBits">
    <vt:lpwstr>2</vt:lpwstr>
  </property>
</Properties>
</file>