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FD77FA" w14:textId="235211FB" w:rsidR="0095244B" w:rsidRPr="00C930D5" w:rsidRDefault="0095244B" w:rsidP="0095244B">
      <w:pPr>
        <w:spacing w:line="480" w:lineRule="auto"/>
        <w:rPr>
          <w:rFonts w:ascii="Times New Roman" w:hAnsi="Times New Roman"/>
          <w:sz w:val="24"/>
          <w:szCs w:val="24"/>
          <w:u w:val="single"/>
        </w:rPr>
      </w:pPr>
      <w:r w:rsidRPr="00C930D5">
        <w:rPr>
          <w:rFonts w:ascii="Times New Roman" w:hAnsi="Times New Roman"/>
          <w:sz w:val="24"/>
          <w:szCs w:val="24"/>
          <w:u w:val="single"/>
        </w:rPr>
        <w:t>The significance of the destruction of the second temple and it’s significance for the development of Jewish belief.</w:t>
      </w:r>
    </w:p>
    <w:p w14:paraId="1E88896D" w14:textId="770CD9C2" w:rsidR="0095244B" w:rsidRDefault="0095244B" w:rsidP="0095244B">
      <w:pPr>
        <w:spacing w:line="480" w:lineRule="auto"/>
        <w:rPr>
          <w:rFonts w:ascii="Times New Roman" w:hAnsi="Times New Roman"/>
          <w:sz w:val="24"/>
          <w:szCs w:val="24"/>
        </w:rPr>
      </w:pPr>
    </w:p>
    <w:p w14:paraId="430AEC66" w14:textId="4074A9D2" w:rsidR="0095244B" w:rsidRDefault="0095244B" w:rsidP="0095244B">
      <w:pPr>
        <w:spacing w:line="480" w:lineRule="auto"/>
        <w:rPr>
          <w:rFonts w:ascii="Times New Roman" w:hAnsi="Times New Roman"/>
          <w:sz w:val="24"/>
          <w:szCs w:val="24"/>
        </w:rPr>
      </w:pPr>
      <w:r>
        <w:rPr>
          <w:rFonts w:ascii="Times New Roman" w:hAnsi="Times New Roman"/>
          <w:sz w:val="24"/>
          <w:szCs w:val="24"/>
        </w:rPr>
        <w:t xml:space="preserve">This essay is going to evaluate the significance of the destruction of the second temple and </w:t>
      </w:r>
      <w:r w:rsidR="00AF70B2">
        <w:rPr>
          <w:rFonts w:ascii="Times New Roman" w:hAnsi="Times New Roman"/>
          <w:sz w:val="24"/>
          <w:szCs w:val="24"/>
        </w:rPr>
        <w:t>its</w:t>
      </w:r>
      <w:r>
        <w:rPr>
          <w:rFonts w:ascii="Times New Roman" w:hAnsi="Times New Roman"/>
          <w:sz w:val="24"/>
          <w:szCs w:val="24"/>
        </w:rPr>
        <w:t xml:space="preserve"> significance for the development of Jewish belief. </w:t>
      </w:r>
      <w:r w:rsidR="00AF70B2">
        <w:rPr>
          <w:rFonts w:ascii="Times New Roman" w:hAnsi="Times New Roman"/>
          <w:sz w:val="24"/>
          <w:szCs w:val="24"/>
        </w:rPr>
        <w:t>Firstly,</w:t>
      </w:r>
      <w:r>
        <w:rPr>
          <w:rFonts w:ascii="Times New Roman" w:hAnsi="Times New Roman"/>
          <w:sz w:val="24"/>
          <w:szCs w:val="24"/>
        </w:rPr>
        <w:t xml:space="preserve"> by briefly looking at the destruction of the first temple in 587 </w:t>
      </w:r>
      <w:r w:rsidR="00AF70B2">
        <w:rPr>
          <w:rFonts w:ascii="Times New Roman" w:hAnsi="Times New Roman"/>
          <w:sz w:val="24"/>
          <w:szCs w:val="24"/>
        </w:rPr>
        <w:t>BCE,</w:t>
      </w:r>
      <w:r>
        <w:rPr>
          <w:rFonts w:ascii="Times New Roman" w:hAnsi="Times New Roman"/>
          <w:sz w:val="24"/>
          <w:szCs w:val="24"/>
        </w:rPr>
        <w:t xml:space="preserve"> it shows how the Jewish people survived this and gave them hope that they too could survive the destruction of the second temple in 70 CE. Secondly by looking at how the scholars of the </w:t>
      </w:r>
      <w:r w:rsidR="00AF70B2">
        <w:rPr>
          <w:rFonts w:ascii="Times New Roman" w:hAnsi="Times New Roman"/>
          <w:sz w:val="24"/>
          <w:szCs w:val="24"/>
        </w:rPr>
        <w:t>Great Assembly was replaced by the Sanhedrin it shows how Yavneh would become a very important place for the survival of Judaism. Thirdly it will show how some important rabbis would help contribute to the future of Judaism and describe how the Oral Law became the Mishnah. Finally, this essay will evaluate how Jewish rituals and festivals changed and why the synagogue became important after the destruction of the second temple.</w:t>
      </w:r>
    </w:p>
    <w:p w14:paraId="56A3BE05" w14:textId="62BDB2C3" w:rsidR="00366D1A" w:rsidRDefault="00366D1A" w:rsidP="0095244B">
      <w:pPr>
        <w:spacing w:line="480" w:lineRule="auto"/>
        <w:rPr>
          <w:rFonts w:ascii="Times New Roman" w:hAnsi="Times New Roman"/>
          <w:sz w:val="24"/>
          <w:szCs w:val="24"/>
        </w:rPr>
      </w:pPr>
    </w:p>
    <w:p w14:paraId="227FC0BA" w14:textId="049C61DA" w:rsidR="00366D1A" w:rsidRDefault="00965234" w:rsidP="0095244B">
      <w:pPr>
        <w:spacing w:line="480" w:lineRule="auto"/>
        <w:rPr>
          <w:rFonts w:ascii="Times New Roman" w:hAnsi="Times New Roman"/>
          <w:sz w:val="24"/>
          <w:szCs w:val="24"/>
        </w:rPr>
      </w:pPr>
      <w:r>
        <w:rPr>
          <w:rFonts w:ascii="Times New Roman" w:hAnsi="Times New Roman"/>
          <w:sz w:val="24"/>
          <w:szCs w:val="24"/>
        </w:rPr>
        <w:t xml:space="preserve">The Jewish people has survived </w:t>
      </w:r>
      <w:r w:rsidR="001B78CC">
        <w:rPr>
          <w:rFonts w:ascii="Times New Roman" w:hAnsi="Times New Roman"/>
          <w:sz w:val="24"/>
          <w:szCs w:val="24"/>
        </w:rPr>
        <w:t xml:space="preserve">the destruction of their temple before, their first temple was built by </w:t>
      </w:r>
      <w:r w:rsidR="000514E0">
        <w:rPr>
          <w:rFonts w:ascii="Times New Roman" w:hAnsi="Times New Roman"/>
          <w:sz w:val="24"/>
          <w:szCs w:val="24"/>
        </w:rPr>
        <w:t>Solomon</w:t>
      </w:r>
      <w:r w:rsidR="001B78CC">
        <w:rPr>
          <w:rFonts w:ascii="Times New Roman" w:hAnsi="Times New Roman"/>
          <w:sz w:val="24"/>
          <w:szCs w:val="24"/>
        </w:rPr>
        <w:t xml:space="preserve"> in the 10</w:t>
      </w:r>
      <w:r w:rsidR="001B78CC" w:rsidRPr="00180D49">
        <w:rPr>
          <w:rFonts w:ascii="Times New Roman" w:hAnsi="Times New Roman"/>
          <w:sz w:val="24"/>
          <w:szCs w:val="24"/>
          <w:vertAlign w:val="superscript"/>
        </w:rPr>
        <w:t>th</w:t>
      </w:r>
      <w:r w:rsidR="00180D49">
        <w:rPr>
          <w:rFonts w:ascii="Times New Roman" w:hAnsi="Times New Roman"/>
          <w:sz w:val="24"/>
          <w:szCs w:val="24"/>
        </w:rPr>
        <w:t xml:space="preserve"> century BCE. (</w:t>
      </w:r>
      <w:r w:rsidR="00094D1D">
        <w:rPr>
          <w:rFonts w:ascii="Times New Roman" w:hAnsi="Times New Roman"/>
          <w:sz w:val="24"/>
          <w:szCs w:val="24"/>
        </w:rPr>
        <w:t>1</w:t>
      </w:r>
      <w:r w:rsidR="00E62A2B" w:rsidRPr="00E62A2B">
        <w:rPr>
          <w:rFonts w:ascii="Times New Roman" w:hAnsi="Times New Roman"/>
          <w:i/>
          <w:sz w:val="24"/>
          <w:szCs w:val="24"/>
        </w:rPr>
        <w:t xml:space="preserve"> Kings</w:t>
      </w:r>
      <w:r w:rsidR="009C574B">
        <w:rPr>
          <w:rFonts w:ascii="Times New Roman" w:hAnsi="Times New Roman"/>
          <w:i/>
          <w:sz w:val="24"/>
          <w:szCs w:val="24"/>
        </w:rPr>
        <w:t xml:space="preserve"> </w:t>
      </w:r>
      <w:r w:rsidR="009C574B" w:rsidRPr="00647B1C">
        <w:rPr>
          <w:rFonts w:ascii="Times New Roman" w:hAnsi="Times New Roman"/>
          <w:b/>
          <w:i/>
          <w:sz w:val="24"/>
          <w:szCs w:val="24"/>
        </w:rPr>
        <w:t>6-</w:t>
      </w:r>
      <w:r w:rsidR="00647B1C" w:rsidRPr="00647B1C">
        <w:rPr>
          <w:rFonts w:ascii="Times New Roman" w:hAnsi="Times New Roman"/>
          <w:b/>
          <w:i/>
          <w:sz w:val="24"/>
          <w:szCs w:val="24"/>
        </w:rPr>
        <w:t>8</w:t>
      </w:r>
      <w:r w:rsidR="00647B1C">
        <w:rPr>
          <w:rFonts w:ascii="Times New Roman" w:hAnsi="Times New Roman"/>
          <w:b/>
          <w:i/>
          <w:sz w:val="24"/>
          <w:szCs w:val="24"/>
        </w:rPr>
        <w:t>)</w:t>
      </w:r>
      <w:r w:rsidR="00B37B32">
        <w:rPr>
          <w:rFonts w:ascii="Times New Roman" w:hAnsi="Times New Roman"/>
          <w:b/>
          <w:i/>
          <w:sz w:val="24"/>
          <w:szCs w:val="24"/>
        </w:rPr>
        <w:t xml:space="preserve">. </w:t>
      </w:r>
      <w:r w:rsidR="008161E9" w:rsidRPr="008161E9">
        <w:rPr>
          <w:rFonts w:ascii="Times New Roman" w:hAnsi="Times New Roman"/>
          <w:sz w:val="24"/>
          <w:szCs w:val="24"/>
        </w:rPr>
        <w:t>It</w:t>
      </w:r>
      <w:r w:rsidR="00F93C67">
        <w:rPr>
          <w:rFonts w:ascii="Times New Roman" w:hAnsi="Times New Roman"/>
          <w:sz w:val="24"/>
          <w:szCs w:val="24"/>
        </w:rPr>
        <w:t xml:space="preserve"> was the most important place for the Jewish people</w:t>
      </w:r>
      <w:r w:rsidR="00B240D6">
        <w:rPr>
          <w:rFonts w:ascii="Times New Roman" w:hAnsi="Times New Roman"/>
          <w:sz w:val="24"/>
          <w:szCs w:val="24"/>
        </w:rPr>
        <w:t xml:space="preserve"> and the </w:t>
      </w:r>
      <w:r w:rsidR="00C70EBC">
        <w:rPr>
          <w:rFonts w:ascii="Times New Roman" w:hAnsi="Times New Roman"/>
          <w:sz w:val="24"/>
          <w:szCs w:val="24"/>
        </w:rPr>
        <w:t>focus</w:t>
      </w:r>
      <w:r w:rsidR="00B240D6">
        <w:rPr>
          <w:rFonts w:ascii="Times New Roman" w:hAnsi="Times New Roman"/>
          <w:sz w:val="24"/>
          <w:szCs w:val="24"/>
        </w:rPr>
        <w:t xml:space="preserve"> point for religion in Jerusalem.</w:t>
      </w:r>
      <w:r w:rsidR="006806C4">
        <w:rPr>
          <w:rFonts w:ascii="Times New Roman" w:hAnsi="Times New Roman"/>
          <w:sz w:val="24"/>
          <w:szCs w:val="24"/>
        </w:rPr>
        <w:t xml:space="preserve"> The first temple was destroyed in 587 BCE</w:t>
      </w:r>
      <w:r w:rsidR="0003330D">
        <w:rPr>
          <w:rFonts w:ascii="Times New Roman" w:hAnsi="Times New Roman"/>
          <w:sz w:val="24"/>
          <w:szCs w:val="24"/>
        </w:rPr>
        <w:t xml:space="preserve"> by the Babylonians and the Jewish people were sent to </w:t>
      </w:r>
      <w:r w:rsidR="00B64E59">
        <w:rPr>
          <w:rFonts w:ascii="Times New Roman" w:hAnsi="Times New Roman"/>
          <w:sz w:val="24"/>
          <w:szCs w:val="24"/>
        </w:rPr>
        <w:t xml:space="preserve">Babylonia into captivity. Babylonia fell to Persia and King Cyrus invited the Jewish people </w:t>
      </w:r>
      <w:r w:rsidR="00EA7F1E">
        <w:rPr>
          <w:rFonts w:ascii="Times New Roman" w:hAnsi="Times New Roman"/>
          <w:sz w:val="24"/>
          <w:szCs w:val="24"/>
        </w:rPr>
        <w:t>to return to their homeland and to rebuild their temple. (</w:t>
      </w:r>
      <w:r w:rsidR="00EA7F1E" w:rsidRPr="00060D18">
        <w:rPr>
          <w:rFonts w:ascii="Times New Roman" w:hAnsi="Times New Roman"/>
          <w:i/>
          <w:sz w:val="24"/>
          <w:szCs w:val="24"/>
        </w:rPr>
        <w:t>Ezra</w:t>
      </w:r>
      <w:r w:rsidR="00060D18">
        <w:rPr>
          <w:rFonts w:ascii="Times New Roman" w:hAnsi="Times New Roman"/>
          <w:i/>
          <w:sz w:val="24"/>
          <w:szCs w:val="24"/>
        </w:rPr>
        <w:t xml:space="preserve"> </w:t>
      </w:r>
      <w:r w:rsidR="00DC2A2E">
        <w:rPr>
          <w:rFonts w:ascii="Times New Roman" w:hAnsi="Times New Roman"/>
          <w:sz w:val="24"/>
          <w:szCs w:val="24"/>
        </w:rPr>
        <w:t>6:3-7</w:t>
      </w:r>
      <w:r w:rsidR="00A05016">
        <w:rPr>
          <w:rFonts w:ascii="Times New Roman" w:hAnsi="Times New Roman"/>
          <w:sz w:val="24"/>
          <w:szCs w:val="24"/>
        </w:rPr>
        <w:t>). The second temple was completed in 515</w:t>
      </w:r>
      <w:r w:rsidR="00673EA0">
        <w:rPr>
          <w:rFonts w:ascii="Times New Roman" w:hAnsi="Times New Roman"/>
          <w:sz w:val="24"/>
          <w:szCs w:val="24"/>
        </w:rPr>
        <w:t xml:space="preserve"> BCE and once again became the focal point of the Jewish faith</w:t>
      </w:r>
      <w:r w:rsidR="00AB71C1">
        <w:rPr>
          <w:rFonts w:ascii="Times New Roman" w:hAnsi="Times New Roman"/>
          <w:sz w:val="24"/>
          <w:szCs w:val="24"/>
        </w:rPr>
        <w:t xml:space="preserve">. The significance of this is that they </w:t>
      </w:r>
      <w:r w:rsidR="00E47FB7">
        <w:rPr>
          <w:rFonts w:ascii="Times New Roman" w:hAnsi="Times New Roman"/>
          <w:sz w:val="24"/>
          <w:szCs w:val="24"/>
        </w:rPr>
        <w:t>had survived the destruction of the first temple and this would give them hope</w:t>
      </w:r>
      <w:r w:rsidR="00721A39">
        <w:rPr>
          <w:rFonts w:ascii="Times New Roman" w:hAnsi="Times New Roman"/>
          <w:sz w:val="24"/>
          <w:szCs w:val="24"/>
        </w:rPr>
        <w:t xml:space="preserve"> that </w:t>
      </w:r>
      <w:r w:rsidR="00721A39">
        <w:rPr>
          <w:rFonts w:ascii="Times New Roman" w:hAnsi="Times New Roman"/>
          <w:sz w:val="24"/>
          <w:szCs w:val="24"/>
        </w:rPr>
        <w:lastRenderedPageBreak/>
        <w:t>they could also survive the destruction</w:t>
      </w:r>
      <w:r w:rsidR="00F66F36">
        <w:rPr>
          <w:rFonts w:ascii="Times New Roman" w:hAnsi="Times New Roman"/>
          <w:sz w:val="24"/>
          <w:szCs w:val="24"/>
        </w:rPr>
        <w:t xml:space="preserve"> of their second temple in 70 CE.</w:t>
      </w:r>
      <w:r w:rsidR="00546C90">
        <w:rPr>
          <w:rFonts w:ascii="Times New Roman" w:hAnsi="Times New Roman"/>
          <w:sz w:val="24"/>
          <w:szCs w:val="24"/>
        </w:rPr>
        <w:t xml:space="preserve"> The second temple was destroyed by the Roman</w:t>
      </w:r>
      <w:r w:rsidR="00864FF8">
        <w:rPr>
          <w:rFonts w:ascii="Times New Roman" w:hAnsi="Times New Roman"/>
          <w:sz w:val="24"/>
          <w:szCs w:val="24"/>
        </w:rPr>
        <w:t xml:space="preserve"> Titus.</w:t>
      </w:r>
      <w:r w:rsidR="00864FF8">
        <w:rPr>
          <w:rStyle w:val="FootnoteReference"/>
          <w:rFonts w:ascii="Times New Roman" w:hAnsi="Times New Roman"/>
          <w:sz w:val="24"/>
          <w:szCs w:val="24"/>
        </w:rPr>
        <w:footnoteReference w:id="2"/>
      </w:r>
    </w:p>
    <w:p w14:paraId="7E6291DA" w14:textId="011185B6" w:rsidR="006718ED" w:rsidRDefault="00583AE1" w:rsidP="0095244B">
      <w:pPr>
        <w:spacing w:line="480" w:lineRule="auto"/>
        <w:rPr>
          <w:rFonts w:ascii="Times New Roman" w:hAnsi="Times New Roman"/>
          <w:sz w:val="24"/>
          <w:szCs w:val="24"/>
        </w:rPr>
      </w:pPr>
      <w:r>
        <w:rPr>
          <w:rFonts w:ascii="Times New Roman" w:hAnsi="Times New Roman"/>
          <w:sz w:val="24"/>
          <w:szCs w:val="24"/>
        </w:rPr>
        <w:t xml:space="preserve">Ezra </w:t>
      </w:r>
      <w:r w:rsidR="006E594E">
        <w:rPr>
          <w:rFonts w:ascii="Times New Roman" w:hAnsi="Times New Roman"/>
          <w:sz w:val="24"/>
          <w:szCs w:val="24"/>
        </w:rPr>
        <w:t>brought together a body of scholars that would be known as the Great Ass</w:t>
      </w:r>
      <w:r w:rsidR="00700086">
        <w:rPr>
          <w:rFonts w:ascii="Times New Roman" w:hAnsi="Times New Roman"/>
          <w:sz w:val="24"/>
          <w:szCs w:val="24"/>
        </w:rPr>
        <w:t xml:space="preserve">embly, </w:t>
      </w:r>
      <w:r w:rsidR="00586729">
        <w:rPr>
          <w:rFonts w:ascii="Times New Roman" w:hAnsi="Times New Roman"/>
          <w:sz w:val="24"/>
          <w:szCs w:val="24"/>
        </w:rPr>
        <w:t>whose</w:t>
      </w:r>
      <w:r w:rsidR="00700086">
        <w:rPr>
          <w:rFonts w:ascii="Times New Roman" w:hAnsi="Times New Roman"/>
          <w:sz w:val="24"/>
          <w:szCs w:val="24"/>
        </w:rPr>
        <w:t xml:space="preserve"> role was to interpret the Torah and bring order to the increasing body of Oral Law</w:t>
      </w:r>
      <w:r w:rsidR="001F0E95">
        <w:rPr>
          <w:rFonts w:ascii="Times New Roman" w:hAnsi="Times New Roman"/>
          <w:sz w:val="24"/>
          <w:szCs w:val="24"/>
        </w:rPr>
        <w:t>. Oral Law was being discussed at this time but not yet written down, the men of the Great Assembly didn’t not want to draw attention away f</w:t>
      </w:r>
      <w:r w:rsidR="00926202">
        <w:rPr>
          <w:rFonts w:ascii="Times New Roman" w:hAnsi="Times New Roman"/>
          <w:sz w:val="24"/>
          <w:szCs w:val="24"/>
        </w:rPr>
        <w:t>rom the</w:t>
      </w:r>
      <w:r w:rsidR="001F0E95">
        <w:rPr>
          <w:rFonts w:ascii="Times New Roman" w:hAnsi="Times New Roman"/>
          <w:sz w:val="24"/>
          <w:szCs w:val="24"/>
        </w:rPr>
        <w:t xml:space="preserve"> P</w:t>
      </w:r>
      <w:r w:rsidR="00926202">
        <w:rPr>
          <w:rFonts w:ascii="Times New Roman" w:hAnsi="Times New Roman"/>
          <w:sz w:val="24"/>
          <w:szCs w:val="24"/>
        </w:rPr>
        <w:t xml:space="preserve">entateuch, and they felt that by writing it down it would be reduced to just another Law code. </w:t>
      </w:r>
      <w:r w:rsidR="000C6D09">
        <w:rPr>
          <w:rFonts w:ascii="Times New Roman" w:hAnsi="Times New Roman"/>
          <w:sz w:val="24"/>
          <w:szCs w:val="24"/>
        </w:rPr>
        <w:t xml:space="preserve">For </w:t>
      </w:r>
      <w:r w:rsidR="005E00A5">
        <w:rPr>
          <w:rFonts w:ascii="Times New Roman" w:hAnsi="Times New Roman"/>
          <w:sz w:val="24"/>
          <w:szCs w:val="24"/>
        </w:rPr>
        <w:t>now,</w:t>
      </w:r>
      <w:r w:rsidR="000C6D09">
        <w:rPr>
          <w:rFonts w:ascii="Times New Roman" w:hAnsi="Times New Roman"/>
          <w:sz w:val="24"/>
          <w:szCs w:val="24"/>
        </w:rPr>
        <w:t xml:space="preserve"> the Oral Law which would later </w:t>
      </w:r>
      <w:r w:rsidR="00761EBC">
        <w:rPr>
          <w:rFonts w:ascii="Times New Roman" w:hAnsi="Times New Roman"/>
          <w:sz w:val="24"/>
          <w:szCs w:val="24"/>
        </w:rPr>
        <w:t xml:space="preserve">become the </w:t>
      </w:r>
      <w:r w:rsidR="000C6D09">
        <w:rPr>
          <w:rFonts w:ascii="Times New Roman" w:hAnsi="Times New Roman"/>
          <w:sz w:val="24"/>
          <w:szCs w:val="24"/>
        </w:rPr>
        <w:t xml:space="preserve">Mishnah, would remain Oral Law. </w:t>
      </w:r>
      <w:r w:rsidR="00761EBC">
        <w:rPr>
          <w:rFonts w:ascii="Times New Roman" w:hAnsi="Times New Roman"/>
          <w:sz w:val="24"/>
          <w:szCs w:val="24"/>
        </w:rPr>
        <w:t>In or around 200 BCE</w:t>
      </w:r>
      <w:r w:rsidR="003A5E0E">
        <w:rPr>
          <w:rFonts w:ascii="Times New Roman" w:hAnsi="Times New Roman"/>
          <w:sz w:val="24"/>
          <w:szCs w:val="24"/>
        </w:rPr>
        <w:t xml:space="preserve"> due to a series of weak leaders the role of the men of the Great Assembly was replaced by the Sanhedrin, the high court. </w:t>
      </w:r>
      <w:r w:rsidR="00BD237B">
        <w:rPr>
          <w:rStyle w:val="FootnoteReference"/>
          <w:rFonts w:ascii="Times New Roman" w:hAnsi="Times New Roman"/>
          <w:sz w:val="24"/>
          <w:szCs w:val="24"/>
        </w:rPr>
        <w:footnoteReference w:id="3"/>
      </w:r>
    </w:p>
    <w:p w14:paraId="184345F3" w14:textId="6437C84D" w:rsidR="000127A8" w:rsidRDefault="00374169" w:rsidP="0095244B">
      <w:pPr>
        <w:spacing w:line="480" w:lineRule="auto"/>
        <w:rPr>
          <w:rFonts w:ascii="Times New Roman" w:hAnsi="Times New Roman"/>
          <w:sz w:val="24"/>
          <w:szCs w:val="24"/>
        </w:rPr>
      </w:pPr>
      <w:r>
        <w:rPr>
          <w:rFonts w:ascii="Times New Roman" w:hAnsi="Times New Roman"/>
          <w:sz w:val="24"/>
          <w:szCs w:val="24"/>
        </w:rPr>
        <w:t>The Great San</w:t>
      </w:r>
      <w:r w:rsidR="00664928">
        <w:rPr>
          <w:rFonts w:ascii="Times New Roman" w:hAnsi="Times New Roman"/>
          <w:sz w:val="24"/>
          <w:szCs w:val="24"/>
        </w:rPr>
        <w:t>h</w:t>
      </w:r>
      <w:r>
        <w:rPr>
          <w:rFonts w:ascii="Times New Roman" w:hAnsi="Times New Roman"/>
          <w:sz w:val="24"/>
          <w:szCs w:val="24"/>
        </w:rPr>
        <w:t>edrin (</w:t>
      </w:r>
      <w:r w:rsidR="00B236B0">
        <w:rPr>
          <w:rFonts w:ascii="Times New Roman" w:hAnsi="Times New Roman"/>
          <w:sz w:val="24"/>
          <w:szCs w:val="24"/>
        </w:rPr>
        <w:t>b</w:t>
      </w:r>
      <w:r>
        <w:rPr>
          <w:rFonts w:ascii="Times New Roman" w:hAnsi="Times New Roman"/>
          <w:sz w:val="24"/>
          <w:szCs w:val="24"/>
        </w:rPr>
        <w:t xml:space="preserve">et </w:t>
      </w:r>
      <w:r w:rsidR="00B236B0">
        <w:rPr>
          <w:rFonts w:ascii="Times New Roman" w:hAnsi="Times New Roman"/>
          <w:sz w:val="24"/>
          <w:szCs w:val="24"/>
        </w:rPr>
        <w:t>d</w:t>
      </w:r>
      <w:r>
        <w:rPr>
          <w:rFonts w:ascii="Times New Roman" w:hAnsi="Times New Roman"/>
          <w:sz w:val="24"/>
          <w:szCs w:val="24"/>
        </w:rPr>
        <w:t xml:space="preserve">in </w:t>
      </w:r>
      <w:r w:rsidR="00B236B0">
        <w:rPr>
          <w:rFonts w:ascii="Times New Roman" w:hAnsi="Times New Roman"/>
          <w:sz w:val="24"/>
          <w:szCs w:val="24"/>
        </w:rPr>
        <w:t>h</w:t>
      </w:r>
      <w:r>
        <w:rPr>
          <w:rFonts w:ascii="Times New Roman" w:hAnsi="Times New Roman"/>
          <w:sz w:val="24"/>
          <w:szCs w:val="24"/>
        </w:rPr>
        <w:t>ag</w:t>
      </w:r>
      <w:r w:rsidR="00235935">
        <w:rPr>
          <w:rFonts w:ascii="Times New Roman" w:hAnsi="Times New Roman"/>
          <w:sz w:val="24"/>
          <w:szCs w:val="24"/>
        </w:rPr>
        <w:t xml:space="preserve">adol), was the political, religious, and Judicial body in Israel. </w:t>
      </w:r>
      <w:r w:rsidR="007F675B">
        <w:rPr>
          <w:rFonts w:ascii="Times New Roman" w:hAnsi="Times New Roman"/>
          <w:sz w:val="24"/>
          <w:szCs w:val="24"/>
        </w:rPr>
        <w:t xml:space="preserve">The leaders were known as the Zugot/pairs. </w:t>
      </w:r>
      <w:r w:rsidR="00EB4FC2">
        <w:rPr>
          <w:rFonts w:ascii="Times New Roman" w:hAnsi="Times New Roman"/>
          <w:sz w:val="24"/>
          <w:szCs w:val="24"/>
        </w:rPr>
        <w:t>The pairs were made up of a nasi (chairman) and the Av Bet Din</w:t>
      </w:r>
      <w:r w:rsidR="008778C8">
        <w:rPr>
          <w:rFonts w:ascii="Times New Roman" w:hAnsi="Times New Roman"/>
          <w:sz w:val="24"/>
          <w:szCs w:val="24"/>
        </w:rPr>
        <w:t xml:space="preserve"> (deputy chair). The most famous pair of Zugot’s were </w:t>
      </w:r>
      <w:r w:rsidR="00770AFB">
        <w:rPr>
          <w:rFonts w:ascii="Times New Roman" w:hAnsi="Times New Roman"/>
          <w:sz w:val="24"/>
          <w:szCs w:val="24"/>
        </w:rPr>
        <w:t>Hillel</w:t>
      </w:r>
      <w:r w:rsidR="008778C8">
        <w:rPr>
          <w:rFonts w:ascii="Times New Roman" w:hAnsi="Times New Roman"/>
          <w:sz w:val="24"/>
          <w:szCs w:val="24"/>
        </w:rPr>
        <w:t xml:space="preserve"> and Shammai</w:t>
      </w:r>
      <w:r w:rsidR="00BD33B4">
        <w:rPr>
          <w:rFonts w:ascii="Times New Roman" w:hAnsi="Times New Roman"/>
          <w:sz w:val="24"/>
          <w:szCs w:val="24"/>
        </w:rPr>
        <w:t xml:space="preserve">, they were also the last pair of Zugot’s. The rulings of Shammai and his followers </w:t>
      </w:r>
      <w:r w:rsidR="001D04E5">
        <w:rPr>
          <w:rFonts w:ascii="Times New Roman" w:hAnsi="Times New Roman"/>
          <w:sz w:val="24"/>
          <w:szCs w:val="24"/>
        </w:rPr>
        <w:t>were</w:t>
      </w:r>
      <w:r w:rsidR="00BD33B4">
        <w:rPr>
          <w:rFonts w:ascii="Times New Roman" w:hAnsi="Times New Roman"/>
          <w:sz w:val="24"/>
          <w:szCs w:val="24"/>
        </w:rPr>
        <w:t xml:space="preserve"> stricter than the rulings of </w:t>
      </w:r>
      <w:r w:rsidR="001D04E5">
        <w:rPr>
          <w:rFonts w:ascii="Times New Roman" w:hAnsi="Times New Roman"/>
          <w:sz w:val="24"/>
          <w:szCs w:val="24"/>
        </w:rPr>
        <w:t>Hillel</w:t>
      </w:r>
      <w:r w:rsidR="00E12B3D">
        <w:rPr>
          <w:rFonts w:ascii="Times New Roman" w:hAnsi="Times New Roman"/>
          <w:sz w:val="24"/>
          <w:szCs w:val="24"/>
        </w:rPr>
        <w:t xml:space="preserve">. George Robinson states that </w:t>
      </w:r>
    </w:p>
    <w:p w14:paraId="136B4C6E" w14:textId="7DC2788E" w:rsidR="000D3DE0" w:rsidRDefault="000D3DE0" w:rsidP="00A11ACE">
      <w:pPr>
        <w:spacing w:line="480" w:lineRule="auto"/>
        <w:ind w:left="720"/>
        <w:rPr>
          <w:rFonts w:ascii="Times New Roman" w:hAnsi="Times New Roman"/>
          <w:sz w:val="24"/>
          <w:szCs w:val="24"/>
        </w:rPr>
      </w:pPr>
      <w:r>
        <w:rPr>
          <w:rFonts w:ascii="Times New Roman" w:hAnsi="Times New Roman"/>
          <w:sz w:val="24"/>
          <w:szCs w:val="24"/>
        </w:rPr>
        <w:t>“</w:t>
      </w:r>
      <w:r w:rsidR="001D04E5">
        <w:rPr>
          <w:rFonts w:ascii="Times New Roman" w:hAnsi="Times New Roman"/>
          <w:sz w:val="24"/>
          <w:szCs w:val="24"/>
        </w:rPr>
        <w:t>Hillel’s</w:t>
      </w:r>
      <w:r>
        <w:rPr>
          <w:rFonts w:ascii="Times New Roman" w:hAnsi="Times New Roman"/>
          <w:sz w:val="24"/>
          <w:szCs w:val="24"/>
        </w:rPr>
        <w:t xml:space="preserve"> method was more flexible, allowing for both </w:t>
      </w:r>
      <w:r w:rsidR="00FC2A10">
        <w:rPr>
          <w:rFonts w:ascii="Times New Roman" w:hAnsi="Times New Roman"/>
          <w:sz w:val="24"/>
          <w:szCs w:val="24"/>
        </w:rPr>
        <w:t>more and less restrictive halak</w:t>
      </w:r>
      <w:r w:rsidR="00A11ACE">
        <w:rPr>
          <w:rFonts w:ascii="Times New Roman" w:hAnsi="Times New Roman"/>
          <w:sz w:val="24"/>
          <w:szCs w:val="24"/>
        </w:rPr>
        <w:t>hic rulings.”</w:t>
      </w:r>
    </w:p>
    <w:p w14:paraId="69CB10E6" w14:textId="5092B630" w:rsidR="00067563" w:rsidRDefault="00067563" w:rsidP="00067563">
      <w:pPr>
        <w:spacing w:line="480" w:lineRule="auto"/>
        <w:rPr>
          <w:rFonts w:ascii="Times New Roman" w:hAnsi="Times New Roman"/>
          <w:sz w:val="24"/>
          <w:szCs w:val="24"/>
        </w:rPr>
      </w:pPr>
      <w:r>
        <w:rPr>
          <w:rFonts w:ascii="Times New Roman" w:hAnsi="Times New Roman"/>
          <w:sz w:val="24"/>
          <w:szCs w:val="24"/>
        </w:rPr>
        <w:t>The result was a</w:t>
      </w:r>
      <w:r w:rsidR="005359BE">
        <w:rPr>
          <w:rFonts w:ascii="Times New Roman" w:hAnsi="Times New Roman"/>
          <w:sz w:val="24"/>
          <w:szCs w:val="24"/>
        </w:rPr>
        <w:t xml:space="preserve"> veritable revolution in the interpretation of Torah.</w:t>
      </w:r>
      <w:r w:rsidR="008C625B">
        <w:rPr>
          <w:rStyle w:val="FootnoteReference"/>
          <w:rFonts w:ascii="Times New Roman" w:hAnsi="Times New Roman"/>
          <w:sz w:val="24"/>
          <w:szCs w:val="24"/>
        </w:rPr>
        <w:footnoteReference w:id="4"/>
      </w:r>
    </w:p>
    <w:p w14:paraId="276432F2" w14:textId="2AC00246" w:rsidR="0025533F" w:rsidRDefault="00287E6D" w:rsidP="00067563">
      <w:pPr>
        <w:spacing w:line="480" w:lineRule="auto"/>
        <w:rPr>
          <w:rFonts w:ascii="Times New Roman" w:hAnsi="Times New Roman"/>
          <w:sz w:val="24"/>
          <w:szCs w:val="24"/>
        </w:rPr>
      </w:pPr>
      <w:r>
        <w:rPr>
          <w:rFonts w:ascii="Times New Roman" w:hAnsi="Times New Roman"/>
          <w:sz w:val="24"/>
          <w:szCs w:val="24"/>
        </w:rPr>
        <w:t xml:space="preserve">Yosef Eisen states that </w:t>
      </w:r>
    </w:p>
    <w:p w14:paraId="0F287DE0" w14:textId="31DF210C" w:rsidR="00F76512" w:rsidRDefault="00187BCD" w:rsidP="006C0066">
      <w:pPr>
        <w:spacing w:line="480" w:lineRule="auto"/>
        <w:ind w:left="720"/>
        <w:rPr>
          <w:rFonts w:ascii="Times New Roman" w:hAnsi="Times New Roman"/>
          <w:sz w:val="24"/>
          <w:szCs w:val="24"/>
        </w:rPr>
      </w:pPr>
      <w:r>
        <w:rPr>
          <w:rFonts w:ascii="Times New Roman" w:hAnsi="Times New Roman"/>
          <w:sz w:val="24"/>
          <w:szCs w:val="24"/>
        </w:rPr>
        <w:lastRenderedPageBreak/>
        <w:t>“Indeed, the House of</w:t>
      </w:r>
      <w:r w:rsidR="00EB4F45">
        <w:rPr>
          <w:rFonts w:ascii="Times New Roman" w:hAnsi="Times New Roman"/>
          <w:sz w:val="24"/>
          <w:szCs w:val="24"/>
        </w:rPr>
        <w:t xml:space="preserve"> Hillel produced 14 generations of great leaders, spanning nearly 400 ye</w:t>
      </w:r>
      <w:r w:rsidR="00656FAF">
        <w:rPr>
          <w:rFonts w:ascii="Times New Roman" w:hAnsi="Times New Roman"/>
          <w:sz w:val="24"/>
          <w:szCs w:val="24"/>
        </w:rPr>
        <w:t>ars, guiding the Jewish people through</w:t>
      </w:r>
      <w:r w:rsidR="00E94747">
        <w:rPr>
          <w:rFonts w:ascii="Times New Roman" w:hAnsi="Times New Roman"/>
          <w:sz w:val="24"/>
          <w:szCs w:val="24"/>
        </w:rPr>
        <w:t xml:space="preserve"> some of their most difficult times.”</w:t>
      </w:r>
      <w:r w:rsidR="00680DC5">
        <w:rPr>
          <w:rStyle w:val="FootnoteReference"/>
          <w:rFonts w:ascii="Times New Roman" w:hAnsi="Times New Roman"/>
          <w:sz w:val="24"/>
          <w:szCs w:val="24"/>
        </w:rPr>
        <w:footnoteReference w:id="5"/>
      </w:r>
    </w:p>
    <w:p w14:paraId="3C883F5A" w14:textId="32B16633" w:rsidR="00E24A4C" w:rsidRDefault="00915E23" w:rsidP="0095244B">
      <w:pPr>
        <w:spacing w:line="480" w:lineRule="auto"/>
        <w:rPr>
          <w:rFonts w:ascii="Times New Roman" w:hAnsi="Times New Roman"/>
          <w:sz w:val="24"/>
          <w:szCs w:val="24"/>
        </w:rPr>
      </w:pPr>
      <w:r>
        <w:rPr>
          <w:rFonts w:ascii="Times New Roman" w:hAnsi="Times New Roman"/>
          <w:sz w:val="24"/>
          <w:szCs w:val="24"/>
        </w:rPr>
        <w:t>Rabbi Yochanon</w:t>
      </w:r>
      <w:r w:rsidR="00447300">
        <w:rPr>
          <w:rFonts w:ascii="Times New Roman" w:hAnsi="Times New Roman"/>
          <w:sz w:val="24"/>
          <w:szCs w:val="24"/>
        </w:rPr>
        <w:t xml:space="preserve"> </w:t>
      </w:r>
      <w:r w:rsidR="0074142C">
        <w:rPr>
          <w:rFonts w:ascii="Times New Roman" w:hAnsi="Times New Roman"/>
          <w:sz w:val="24"/>
          <w:szCs w:val="24"/>
        </w:rPr>
        <w:t>be</w:t>
      </w:r>
      <w:r w:rsidR="00447300">
        <w:rPr>
          <w:rFonts w:ascii="Times New Roman" w:hAnsi="Times New Roman"/>
          <w:sz w:val="24"/>
          <w:szCs w:val="24"/>
        </w:rPr>
        <w:t xml:space="preserve">n Zakai, was regarded as one of the greatest leaders of his time. </w:t>
      </w:r>
      <w:r w:rsidR="00302F01">
        <w:rPr>
          <w:rFonts w:ascii="Times New Roman" w:hAnsi="Times New Roman"/>
          <w:sz w:val="24"/>
          <w:szCs w:val="24"/>
        </w:rPr>
        <w:t>A legend in Rabbinic tradition states that during the siege of Jer</w:t>
      </w:r>
      <w:r w:rsidR="00773531">
        <w:rPr>
          <w:rFonts w:ascii="Times New Roman" w:hAnsi="Times New Roman"/>
          <w:sz w:val="24"/>
          <w:szCs w:val="24"/>
        </w:rPr>
        <w:t>usalem, Rabbi Yocha</w:t>
      </w:r>
      <w:r w:rsidR="0074142C">
        <w:rPr>
          <w:rFonts w:ascii="Times New Roman" w:hAnsi="Times New Roman"/>
          <w:sz w:val="24"/>
          <w:szCs w:val="24"/>
        </w:rPr>
        <w:t>non</w:t>
      </w:r>
      <w:r w:rsidR="00773531">
        <w:rPr>
          <w:rFonts w:ascii="Times New Roman" w:hAnsi="Times New Roman"/>
          <w:sz w:val="24"/>
          <w:szCs w:val="24"/>
        </w:rPr>
        <w:t xml:space="preserve"> </w:t>
      </w:r>
      <w:r w:rsidR="0074142C">
        <w:rPr>
          <w:rFonts w:ascii="Times New Roman" w:hAnsi="Times New Roman"/>
          <w:sz w:val="24"/>
          <w:szCs w:val="24"/>
        </w:rPr>
        <w:t>ben Zakai</w:t>
      </w:r>
      <w:r w:rsidR="00030724">
        <w:rPr>
          <w:rFonts w:ascii="Times New Roman" w:hAnsi="Times New Roman"/>
          <w:sz w:val="24"/>
          <w:szCs w:val="24"/>
        </w:rPr>
        <w:t xml:space="preserve"> smuggled himself out of the city walls and went to find General </w:t>
      </w:r>
      <w:r w:rsidR="00227996">
        <w:rPr>
          <w:rFonts w:ascii="Times New Roman" w:hAnsi="Times New Roman"/>
          <w:sz w:val="24"/>
          <w:szCs w:val="24"/>
        </w:rPr>
        <w:t>Vespasian</w:t>
      </w:r>
      <w:r w:rsidR="00F4278B">
        <w:rPr>
          <w:rFonts w:ascii="Times New Roman" w:hAnsi="Times New Roman"/>
          <w:sz w:val="24"/>
          <w:szCs w:val="24"/>
        </w:rPr>
        <w:t xml:space="preserve">. General </w:t>
      </w:r>
      <w:r w:rsidR="00227996">
        <w:rPr>
          <w:rFonts w:ascii="Times New Roman" w:hAnsi="Times New Roman"/>
          <w:sz w:val="24"/>
          <w:szCs w:val="24"/>
        </w:rPr>
        <w:t>Vespasian</w:t>
      </w:r>
      <w:r w:rsidR="00F4278B">
        <w:rPr>
          <w:rFonts w:ascii="Times New Roman" w:hAnsi="Times New Roman"/>
          <w:sz w:val="24"/>
          <w:szCs w:val="24"/>
        </w:rPr>
        <w:t xml:space="preserve"> was said to be impressed by the Rabbi and would grant him some requests. One of these requests was that he asked for </w:t>
      </w:r>
      <w:r w:rsidR="00576F25">
        <w:rPr>
          <w:rFonts w:ascii="Times New Roman" w:hAnsi="Times New Roman"/>
          <w:sz w:val="24"/>
          <w:szCs w:val="24"/>
        </w:rPr>
        <w:t xml:space="preserve">Yavneh and its sages, by doing this he was protecting the future </w:t>
      </w:r>
      <w:r w:rsidR="00105DD6">
        <w:rPr>
          <w:rFonts w:ascii="Times New Roman" w:hAnsi="Times New Roman"/>
          <w:sz w:val="24"/>
          <w:szCs w:val="24"/>
        </w:rPr>
        <w:t>spirituality</w:t>
      </w:r>
      <w:r w:rsidR="00576F25">
        <w:rPr>
          <w:rFonts w:ascii="Times New Roman" w:hAnsi="Times New Roman"/>
          <w:sz w:val="24"/>
          <w:szCs w:val="24"/>
        </w:rPr>
        <w:t xml:space="preserve"> of the Jewish people. By establishing </w:t>
      </w:r>
      <w:r w:rsidR="00A30523">
        <w:rPr>
          <w:rFonts w:ascii="Times New Roman" w:hAnsi="Times New Roman"/>
          <w:sz w:val="24"/>
          <w:szCs w:val="24"/>
        </w:rPr>
        <w:t>Yavneh,</w:t>
      </w:r>
      <w:r w:rsidR="00576F25">
        <w:rPr>
          <w:rFonts w:ascii="Times New Roman" w:hAnsi="Times New Roman"/>
          <w:sz w:val="24"/>
          <w:szCs w:val="24"/>
        </w:rPr>
        <w:t xml:space="preserve"> it was insuring that the teachings of the Torah would be transmitted to future generations. </w:t>
      </w:r>
      <w:r w:rsidR="002E71F7">
        <w:rPr>
          <w:rStyle w:val="FootnoteReference"/>
          <w:rFonts w:ascii="Times New Roman" w:hAnsi="Times New Roman"/>
          <w:sz w:val="24"/>
          <w:szCs w:val="24"/>
        </w:rPr>
        <w:footnoteReference w:id="6"/>
      </w:r>
    </w:p>
    <w:p w14:paraId="2D5267AE" w14:textId="70F1A19F" w:rsidR="00324C9E" w:rsidRDefault="00EC0A96" w:rsidP="0095244B">
      <w:pPr>
        <w:spacing w:line="480" w:lineRule="auto"/>
        <w:rPr>
          <w:rFonts w:ascii="Times New Roman" w:hAnsi="Times New Roman"/>
          <w:sz w:val="24"/>
          <w:szCs w:val="24"/>
        </w:rPr>
      </w:pPr>
      <w:r>
        <w:rPr>
          <w:rFonts w:ascii="Times New Roman" w:hAnsi="Times New Roman"/>
          <w:sz w:val="24"/>
          <w:szCs w:val="24"/>
        </w:rPr>
        <w:t>Yavneh was the first Palestinian ac</w:t>
      </w:r>
      <w:r w:rsidR="00F24699">
        <w:rPr>
          <w:rFonts w:ascii="Times New Roman" w:hAnsi="Times New Roman"/>
          <w:sz w:val="24"/>
          <w:szCs w:val="24"/>
        </w:rPr>
        <w:t xml:space="preserve">ademy, it was a small town that was approximately twenty-five miles west of </w:t>
      </w:r>
      <w:r w:rsidR="00553DBC">
        <w:rPr>
          <w:rFonts w:ascii="Times New Roman" w:hAnsi="Times New Roman"/>
          <w:sz w:val="24"/>
          <w:szCs w:val="24"/>
        </w:rPr>
        <w:t>Jerusalem</w:t>
      </w:r>
      <w:r w:rsidR="00D13A44">
        <w:rPr>
          <w:rFonts w:ascii="Times New Roman" w:hAnsi="Times New Roman"/>
          <w:sz w:val="24"/>
          <w:szCs w:val="24"/>
        </w:rPr>
        <w:t xml:space="preserve">. By the time the second temple was destroyed 70 CE, it was already being used as a meeting place by Torah </w:t>
      </w:r>
      <w:r w:rsidR="003E18C0">
        <w:rPr>
          <w:rFonts w:ascii="Times New Roman" w:hAnsi="Times New Roman"/>
          <w:sz w:val="24"/>
          <w:szCs w:val="24"/>
        </w:rPr>
        <w:t xml:space="preserve">scholars. After the </w:t>
      </w:r>
      <w:r w:rsidR="00553DBC">
        <w:rPr>
          <w:rFonts w:ascii="Times New Roman" w:hAnsi="Times New Roman"/>
          <w:sz w:val="24"/>
          <w:szCs w:val="24"/>
        </w:rPr>
        <w:t>destruction</w:t>
      </w:r>
      <w:r w:rsidR="003E18C0">
        <w:rPr>
          <w:rFonts w:ascii="Times New Roman" w:hAnsi="Times New Roman"/>
          <w:sz w:val="24"/>
          <w:szCs w:val="24"/>
        </w:rPr>
        <w:t xml:space="preserve"> of the temple, the </w:t>
      </w:r>
      <w:r w:rsidR="00553DBC">
        <w:rPr>
          <w:rFonts w:ascii="Times New Roman" w:hAnsi="Times New Roman"/>
          <w:sz w:val="24"/>
          <w:szCs w:val="24"/>
        </w:rPr>
        <w:t>Yav</w:t>
      </w:r>
      <w:r w:rsidR="003E18C0">
        <w:rPr>
          <w:rFonts w:ascii="Times New Roman" w:hAnsi="Times New Roman"/>
          <w:sz w:val="24"/>
          <w:szCs w:val="24"/>
        </w:rPr>
        <w:t xml:space="preserve">neh will become a very important place for the survival of </w:t>
      </w:r>
      <w:r w:rsidR="00553DBC">
        <w:rPr>
          <w:rFonts w:ascii="Times New Roman" w:hAnsi="Times New Roman"/>
          <w:sz w:val="24"/>
          <w:szCs w:val="24"/>
        </w:rPr>
        <w:t>Judaism</w:t>
      </w:r>
      <w:r w:rsidR="00707A61">
        <w:rPr>
          <w:rFonts w:ascii="Times New Roman" w:hAnsi="Times New Roman"/>
          <w:sz w:val="24"/>
          <w:szCs w:val="24"/>
        </w:rPr>
        <w:t xml:space="preserve">. </w:t>
      </w:r>
      <w:r w:rsidR="00A30523">
        <w:rPr>
          <w:rStyle w:val="FootnoteReference"/>
          <w:rFonts w:ascii="Times New Roman" w:hAnsi="Times New Roman"/>
          <w:sz w:val="24"/>
          <w:szCs w:val="24"/>
        </w:rPr>
        <w:footnoteReference w:id="7"/>
      </w:r>
    </w:p>
    <w:p w14:paraId="00D2444E" w14:textId="321E7D12" w:rsidR="003528C5" w:rsidRDefault="00BF1FC5" w:rsidP="0095244B">
      <w:pPr>
        <w:spacing w:line="480" w:lineRule="auto"/>
        <w:rPr>
          <w:rFonts w:ascii="Times New Roman" w:hAnsi="Times New Roman"/>
          <w:sz w:val="24"/>
          <w:szCs w:val="24"/>
        </w:rPr>
      </w:pPr>
      <w:r>
        <w:rPr>
          <w:rFonts w:ascii="Times New Roman" w:hAnsi="Times New Roman"/>
          <w:sz w:val="24"/>
          <w:szCs w:val="24"/>
        </w:rPr>
        <w:t>The periods between 70 CE and 135 CE</w:t>
      </w:r>
      <w:r w:rsidR="00E35E13">
        <w:rPr>
          <w:rFonts w:ascii="Times New Roman" w:hAnsi="Times New Roman"/>
          <w:sz w:val="24"/>
          <w:szCs w:val="24"/>
        </w:rPr>
        <w:t xml:space="preserve"> is often known as “Yavneh era.” </w:t>
      </w:r>
      <w:r w:rsidR="00213758">
        <w:rPr>
          <w:rFonts w:ascii="Times New Roman" w:hAnsi="Times New Roman"/>
          <w:sz w:val="24"/>
          <w:szCs w:val="24"/>
        </w:rPr>
        <w:t xml:space="preserve">This is an important time in Jewish history, it was here at Yavneh that the festival </w:t>
      </w:r>
      <w:r w:rsidR="00696BF7">
        <w:rPr>
          <w:rFonts w:ascii="Times New Roman" w:hAnsi="Times New Roman"/>
          <w:sz w:val="24"/>
          <w:szCs w:val="24"/>
        </w:rPr>
        <w:t xml:space="preserve">calendar was redefined, it was decided which rituals could continue without the presence of the temple. </w:t>
      </w:r>
      <w:r w:rsidR="003E303A">
        <w:rPr>
          <w:rFonts w:ascii="Times New Roman" w:hAnsi="Times New Roman"/>
          <w:sz w:val="24"/>
          <w:szCs w:val="24"/>
        </w:rPr>
        <w:t xml:space="preserve">The </w:t>
      </w:r>
      <w:r w:rsidR="0043120F">
        <w:rPr>
          <w:rFonts w:ascii="Times New Roman" w:hAnsi="Times New Roman"/>
          <w:sz w:val="24"/>
          <w:szCs w:val="24"/>
        </w:rPr>
        <w:t>establishment</w:t>
      </w:r>
      <w:r w:rsidR="003E303A">
        <w:rPr>
          <w:rFonts w:ascii="Times New Roman" w:hAnsi="Times New Roman"/>
          <w:sz w:val="24"/>
          <w:szCs w:val="24"/>
        </w:rPr>
        <w:t xml:space="preserve"> </w:t>
      </w:r>
      <w:r w:rsidR="0043120F">
        <w:rPr>
          <w:rFonts w:ascii="Times New Roman" w:hAnsi="Times New Roman"/>
          <w:sz w:val="24"/>
          <w:szCs w:val="24"/>
        </w:rPr>
        <w:t xml:space="preserve">of the </w:t>
      </w:r>
      <w:r w:rsidR="003E303A">
        <w:rPr>
          <w:rFonts w:ascii="Times New Roman" w:hAnsi="Times New Roman"/>
          <w:sz w:val="24"/>
          <w:szCs w:val="24"/>
        </w:rPr>
        <w:t>Judiciary system, Yavneh its</w:t>
      </w:r>
      <w:r w:rsidR="00240EB8">
        <w:rPr>
          <w:rFonts w:ascii="Times New Roman" w:hAnsi="Times New Roman"/>
          <w:sz w:val="24"/>
          <w:szCs w:val="24"/>
        </w:rPr>
        <w:t xml:space="preserve">elf was the replacement for the Sanhedrin, which used to take place in the temple. </w:t>
      </w:r>
      <w:r w:rsidR="0043120F">
        <w:rPr>
          <w:rFonts w:ascii="Times New Roman" w:hAnsi="Times New Roman"/>
          <w:sz w:val="24"/>
          <w:szCs w:val="24"/>
        </w:rPr>
        <w:t xml:space="preserve">The significance of this is </w:t>
      </w:r>
      <w:r w:rsidR="00732643">
        <w:rPr>
          <w:rFonts w:ascii="Times New Roman" w:hAnsi="Times New Roman"/>
          <w:sz w:val="24"/>
          <w:szCs w:val="24"/>
        </w:rPr>
        <w:t xml:space="preserve">the foundations of the Jewish Prayer book were also </w:t>
      </w:r>
      <w:r w:rsidR="007F48AE">
        <w:rPr>
          <w:rFonts w:ascii="Times New Roman" w:hAnsi="Times New Roman"/>
          <w:sz w:val="24"/>
          <w:szCs w:val="24"/>
        </w:rPr>
        <w:t>laid</w:t>
      </w:r>
      <w:r w:rsidR="00732643">
        <w:rPr>
          <w:rFonts w:ascii="Times New Roman" w:hAnsi="Times New Roman"/>
          <w:sz w:val="24"/>
          <w:szCs w:val="24"/>
        </w:rPr>
        <w:t xml:space="preserve"> down here, and an agreement of the closed </w:t>
      </w:r>
      <w:r w:rsidR="00841621">
        <w:rPr>
          <w:rFonts w:ascii="Times New Roman" w:hAnsi="Times New Roman"/>
          <w:sz w:val="24"/>
          <w:szCs w:val="24"/>
        </w:rPr>
        <w:t xml:space="preserve">cannon of Scripture the Tanakh. </w:t>
      </w:r>
      <w:r w:rsidR="007F48AE">
        <w:rPr>
          <w:rStyle w:val="FootnoteReference"/>
          <w:rFonts w:ascii="Times New Roman" w:hAnsi="Times New Roman"/>
          <w:sz w:val="24"/>
          <w:szCs w:val="24"/>
        </w:rPr>
        <w:footnoteReference w:id="8"/>
      </w:r>
    </w:p>
    <w:p w14:paraId="56B0F347" w14:textId="583FBD06" w:rsidR="00D705EB" w:rsidRDefault="00AE562C" w:rsidP="0095244B">
      <w:pPr>
        <w:spacing w:line="480" w:lineRule="auto"/>
        <w:rPr>
          <w:rFonts w:ascii="Times New Roman" w:hAnsi="Times New Roman"/>
          <w:sz w:val="24"/>
          <w:szCs w:val="24"/>
        </w:rPr>
      </w:pPr>
      <w:r>
        <w:rPr>
          <w:rFonts w:ascii="Times New Roman" w:hAnsi="Times New Roman"/>
          <w:sz w:val="24"/>
          <w:szCs w:val="24"/>
        </w:rPr>
        <w:lastRenderedPageBreak/>
        <w:t xml:space="preserve">Rabbi Akiva ben Joseph (50-135 CE) was an important Pioneer in the eras of biblical </w:t>
      </w:r>
      <w:r w:rsidR="00422A18">
        <w:rPr>
          <w:rFonts w:ascii="Times New Roman" w:hAnsi="Times New Roman"/>
          <w:sz w:val="24"/>
          <w:szCs w:val="24"/>
        </w:rPr>
        <w:t xml:space="preserve">interpretation. He openly defied Romans against the teachings and practices of </w:t>
      </w:r>
      <w:r w:rsidR="003A6966">
        <w:rPr>
          <w:rFonts w:ascii="Times New Roman" w:hAnsi="Times New Roman"/>
          <w:sz w:val="24"/>
          <w:szCs w:val="24"/>
        </w:rPr>
        <w:t>Judaism</w:t>
      </w:r>
      <w:r w:rsidR="00422A18">
        <w:rPr>
          <w:rFonts w:ascii="Times New Roman" w:hAnsi="Times New Roman"/>
          <w:sz w:val="24"/>
          <w:szCs w:val="24"/>
        </w:rPr>
        <w:t xml:space="preserve"> and died a ma</w:t>
      </w:r>
      <w:r w:rsidR="0029312A">
        <w:rPr>
          <w:rFonts w:ascii="Times New Roman" w:hAnsi="Times New Roman"/>
          <w:sz w:val="24"/>
          <w:szCs w:val="24"/>
        </w:rPr>
        <w:t>rtyr`s death at the time of the Bar Kokh</w:t>
      </w:r>
      <w:r w:rsidR="00DA1E28">
        <w:rPr>
          <w:rFonts w:ascii="Times New Roman" w:hAnsi="Times New Roman"/>
          <w:sz w:val="24"/>
          <w:szCs w:val="24"/>
        </w:rPr>
        <w:t xml:space="preserve">ba </w:t>
      </w:r>
      <w:r w:rsidR="003A6966">
        <w:rPr>
          <w:rFonts w:ascii="Times New Roman" w:hAnsi="Times New Roman"/>
          <w:sz w:val="24"/>
          <w:szCs w:val="24"/>
        </w:rPr>
        <w:t>Rebellion</w:t>
      </w:r>
      <w:r w:rsidR="00DA1E28">
        <w:rPr>
          <w:rFonts w:ascii="Times New Roman" w:hAnsi="Times New Roman"/>
          <w:sz w:val="24"/>
          <w:szCs w:val="24"/>
        </w:rPr>
        <w:t>. After the Revolt in 135 CE Jewish people were ba</w:t>
      </w:r>
      <w:r w:rsidR="003A6966">
        <w:rPr>
          <w:rFonts w:ascii="Times New Roman" w:hAnsi="Times New Roman"/>
          <w:sz w:val="24"/>
          <w:szCs w:val="24"/>
        </w:rPr>
        <w:t xml:space="preserve">nned from entering Jerusalem in Judea. </w:t>
      </w:r>
      <w:r w:rsidR="004E38EA">
        <w:rPr>
          <w:rFonts w:ascii="Times New Roman" w:hAnsi="Times New Roman"/>
          <w:sz w:val="24"/>
          <w:szCs w:val="24"/>
        </w:rPr>
        <w:t xml:space="preserve">Following the Bar Kokhba Revolt in 135 CE the centre of </w:t>
      </w:r>
      <w:r w:rsidR="00426210">
        <w:rPr>
          <w:rFonts w:ascii="Times New Roman" w:hAnsi="Times New Roman"/>
          <w:sz w:val="24"/>
          <w:szCs w:val="24"/>
        </w:rPr>
        <w:t>Rabbinic</w:t>
      </w:r>
      <w:r w:rsidR="004E38EA">
        <w:rPr>
          <w:rFonts w:ascii="Times New Roman" w:hAnsi="Times New Roman"/>
          <w:sz w:val="24"/>
          <w:szCs w:val="24"/>
        </w:rPr>
        <w:t xml:space="preserve"> study and activity moved from Yavneh to Usha in the north of Galilee. </w:t>
      </w:r>
      <w:r w:rsidR="00E45F4C">
        <w:rPr>
          <w:rStyle w:val="FootnoteReference"/>
          <w:rFonts w:ascii="Times New Roman" w:hAnsi="Times New Roman"/>
          <w:sz w:val="24"/>
          <w:szCs w:val="24"/>
        </w:rPr>
        <w:footnoteReference w:id="9"/>
      </w:r>
    </w:p>
    <w:p w14:paraId="20436C9E" w14:textId="603D1ACF" w:rsidR="00D979D9" w:rsidRDefault="00966405" w:rsidP="0095244B">
      <w:pPr>
        <w:spacing w:line="480" w:lineRule="auto"/>
        <w:rPr>
          <w:rFonts w:ascii="Times New Roman" w:hAnsi="Times New Roman"/>
          <w:sz w:val="24"/>
          <w:szCs w:val="24"/>
        </w:rPr>
      </w:pPr>
      <w:r>
        <w:rPr>
          <w:rFonts w:ascii="Times New Roman" w:hAnsi="Times New Roman"/>
          <w:sz w:val="24"/>
          <w:szCs w:val="24"/>
        </w:rPr>
        <w:t>Joseph ben Mattathias</w:t>
      </w:r>
      <w:r w:rsidR="00940775">
        <w:rPr>
          <w:rFonts w:ascii="Times New Roman" w:hAnsi="Times New Roman"/>
          <w:sz w:val="24"/>
          <w:szCs w:val="24"/>
        </w:rPr>
        <w:t xml:space="preserve">, who became known as Flavius Josephus, lived from around 37 CE to </w:t>
      </w:r>
      <w:r w:rsidR="005A6301">
        <w:rPr>
          <w:rFonts w:ascii="Times New Roman" w:hAnsi="Times New Roman"/>
          <w:sz w:val="24"/>
          <w:szCs w:val="24"/>
        </w:rPr>
        <w:t xml:space="preserve">100 CE. He was a member of the Jewish priestly aristocracy. He studies various parties within </w:t>
      </w:r>
      <w:r w:rsidR="00595755">
        <w:rPr>
          <w:rFonts w:ascii="Times New Roman" w:hAnsi="Times New Roman"/>
          <w:sz w:val="24"/>
          <w:szCs w:val="24"/>
        </w:rPr>
        <w:t>Judaism</w:t>
      </w:r>
      <w:r w:rsidR="005A6301">
        <w:rPr>
          <w:rFonts w:ascii="Times New Roman" w:hAnsi="Times New Roman"/>
          <w:sz w:val="24"/>
          <w:szCs w:val="24"/>
        </w:rPr>
        <w:t xml:space="preserve"> and wrote the book </w:t>
      </w:r>
      <w:r w:rsidR="00120BB5">
        <w:rPr>
          <w:rFonts w:ascii="Times New Roman" w:hAnsi="Times New Roman"/>
          <w:sz w:val="24"/>
          <w:szCs w:val="24"/>
        </w:rPr>
        <w:t>t</w:t>
      </w:r>
      <w:r w:rsidR="005A6301">
        <w:rPr>
          <w:rFonts w:ascii="Times New Roman" w:hAnsi="Times New Roman"/>
          <w:sz w:val="24"/>
          <w:szCs w:val="24"/>
        </w:rPr>
        <w:t xml:space="preserve">he Jewish War </w:t>
      </w:r>
      <w:r w:rsidR="00120BB5">
        <w:rPr>
          <w:rFonts w:ascii="Times New Roman" w:hAnsi="Times New Roman"/>
          <w:sz w:val="24"/>
          <w:szCs w:val="24"/>
        </w:rPr>
        <w:t>and</w:t>
      </w:r>
      <w:r w:rsidR="005A6301">
        <w:rPr>
          <w:rFonts w:ascii="Times New Roman" w:hAnsi="Times New Roman"/>
          <w:sz w:val="24"/>
          <w:szCs w:val="24"/>
        </w:rPr>
        <w:t xml:space="preserve"> the Jewish Antiqui</w:t>
      </w:r>
      <w:r w:rsidR="00595755">
        <w:rPr>
          <w:rFonts w:ascii="Times New Roman" w:hAnsi="Times New Roman"/>
          <w:sz w:val="24"/>
          <w:szCs w:val="24"/>
        </w:rPr>
        <w:t xml:space="preserve">ties amongst other writings. </w:t>
      </w:r>
      <w:r w:rsidR="00120BB5">
        <w:rPr>
          <w:rStyle w:val="FootnoteReference"/>
          <w:rFonts w:ascii="Times New Roman" w:hAnsi="Times New Roman"/>
          <w:sz w:val="24"/>
          <w:szCs w:val="24"/>
        </w:rPr>
        <w:footnoteReference w:id="10"/>
      </w:r>
      <w:r w:rsidR="00E7647E">
        <w:rPr>
          <w:rFonts w:ascii="Times New Roman" w:hAnsi="Times New Roman"/>
          <w:sz w:val="24"/>
          <w:szCs w:val="24"/>
        </w:rPr>
        <w:t>Josephus states</w:t>
      </w:r>
    </w:p>
    <w:p w14:paraId="233A66FF" w14:textId="795AF7BE" w:rsidR="00C01918" w:rsidRDefault="003315B8" w:rsidP="006C0066">
      <w:pPr>
        <w:spacing w:line="480" w:lineRule="auto"/>
        <w:ind w:left="720"/>
        <w:rPr>
          <w:rFonts w:ascii="Times New Roman" w:hAnsi="Times New Roman"/>
          <w:sz w:val="24"/>
          <w:szCs w:val="24"/>
        </w:rPr>
      </w:pPr>
      <w:r>
        <w:rPr>
          <w:rFonts w:ascii="Times New Roman" w:hAnsi="Times New Roman"/>
          <w:sz w:val="24"/>
          <w:szCs w:val="24"/>
        </w:rPr>
        <w:t>“The Pharisees have delivered to the people a great many observations by succession from their fathers, which are not written in the law of M</w:t>
      </w:r>
      <w:r w:rsidR="00782208">
        <w:rPr>
          <w:rFonts w:ascii="Times New Roman" w:hAnsi="Times New Roman"/>
          <w:sz w:val="24"/>
          <w:szCs w:val="24"/>
        </w:rPr>
        <w:t>osses: and for that reason it is that the Sadducees reject them, and say that we are t</w:t>
      </w:r>
      <w:r w:rsidR="00306645">
        <w:rPr>
          <w:rFonts w:ascii="Times New Roman" w:hAnsi="Times New Roman"/>
          <w:sz w:val="24"/>
          <w:szCs w:val="24"/>
        </w:rPr>
        <w:t xml:space="preserve">o esteem those </w:t>
      </w:r>
      <w:r w:rsidR="0062555C">
        <w:rPr>
          <w:rFonts w:ascii="Times New Roman" w:hAnsi="Times New Roman"/>
          <w:sz w:val="24"/>
          <w:szCs w:val="24"/>
        </w:rPr>
        <w:t>observances</w:t>
      </w:r>
      <w:r w:rsidR="00306645">
        <w:rPr>
          <w:rFonts w:ascii="Times New Roman" w:hAnsi="Times New Roman"/>
          <w:sz w:val="24"/>
          <w:szCs w:val="24"/>
        </w:rPr>
        <w:t xml:space="preserve"> to be obligat</w:t>
      </w:r>
      <w:r w:rsidR="002E0628">
        <w:rPr>
          <w:rFonts w:ascii="Times New Roman" w:hAnsi="Times New Roman"/>
          <w:sz w:val="24"/>
          <w:szCs w:val="24"/>
        </w:rPr>
        <w:t xml:space="preserve">ory which are in the written word, but are not to observe what are derived from the tradition of our </w:t>
      </w:r>
      <w:r w:rsidR="00F927E1">
        <w:rPr>
          <w:rFonts w:ascii="Times New Roman" w:hAnsi="Times New Roman"/>
          <w:sz w:val="24"/>
          <w:szCs w:val="24"/>
        </w:rPr>
        <w:t xml:space="preserve">fore fathers.” </w:t>
      </w:r>
      <w:r w:rsidR="007A7500">
        <w:rPr>
          <w:rFonts w:ascii="Times New Roman" w:hAnsi="Times New Roman"/>
          <w:sz w:val="24"/>
          <w:szCs w:val="24"/>
        </w:rPr>
        <w:t>(</w:t>
      </w:r>
      <w:r w:rsidR="007A7500" w:rsidRPr="00BE7D20">
        <w:rPr>
          <w:rFonts w:ascii="Times New Roman" w:hAnsi="Times New Roman"/>
          <w:i/>
          <w:sz w:val="24"/>
          <w:szCs w:val="24"/>
        </w:rPr>
        <w:t>Antiquities</w:t>
      </w:r>
      <w:r w:rsidR="007A7500">
        <w:rPr>
          <w:rFonts w:ascii="Times New Roman" w:hAnsi="Times New Roman"/>
          <w:sz w:val="24"/>
          <w:szCs w:val="24"/>
        </w:rPr>
        <w:t xml:space="preserve"> </w:t>
      </w:r>
      <w:r w:rsidR="005E3576">
        <w:rPr>
          <w:rFonts w:ascii="Times New Roman" w:hAnsi="Times New Roman"/>
          <w:sz w:val="24"/>
          <w:szCs w:val="24"/>
        </w:rPr>
        <w:t>X111.10.6(293)</w:t>
      </w:r>
      <w:r w:rsidR="00BE7D20">
        <w:rPr>
          <w:rFonts w:ascii="Times New Roman" w:hAnsi="Times New Roman"/>
          <w:sz w:val="24"/>
          <w:szCs w:val="24"/>
        </w:rPr>
        <w:t>.)</w:t>
      </w:r>
    </w:p>
    <w:p w14:paraId="1D7BF1AE" w14:textId="43975DE7" w:rsidR="00BE7D20" w:rsidRDefault="00BE7D20" w:rsidP="0095244B">
      <w:pPr>
        <w:spacing w:line="480" w:lineRule="auto"/>
        <w:rPr>
          <w:rFonts w:ascii="Times New Roman" w:hAnsi="Times New Roman"/>
          <w:sz w:val="24"/>
          <w:szCs w:val="24"/>
        </w:rPr>
      </w:pPr>
      <w:r>
        <w:rPr>
          <w:rFonts w:ascii="Times New Roman" w:hAnsi="Times New Roman"/>
          <w:sz w:val="24"/>
          <w:szCs w:val="24"/>
        </w:rPr>
        <w:t xml:space="preserve">The Sadducees only believed </w:t>
      </w:r>
      <w:r w:rsidR="00E12BBE">
        <w:rPr>
          <w:rFonts w:ascii="Times New Roman" w:hAnsi="Times New Roman"/>
          <w:sz w:val="24"/>
          <w:szCs w:val="24"/>
        </w:rPr>
        <w:t xml:space="preserve">in the Written Law the Torah, yet the Pharisees believed in not only the </w:t>
      </w:r>
      <w:r w:rsidR="005A0E40">
        <w:rPr>
          <w:rFonts w:ascii="Times New Roman" w:hAnsi="Times New Roman"/>
          <w:sz w:val="24"/>
          <w:szCs w:val="24"/>
        </w:rPr>
        <w:t>Torah but also the Oral Law.</w:t>
      </w:r>
      <w:r w:rsidR="00174FB2">
        <w:rPr>
          <w:rFonts w:ascii="Times New Roman" w:hAnsi="Times New Roman"/>
          <w:sz w:val="24"/>
          <w:szCs w:val="24"/>
        </w:rPr>
        <w:t xml:space="preserve"> That this Oral Law was told to Moses on Mount Sinai and was handed </w:t>
      </w:r>
      <w:r w:rsidR="00AB2459">
        <w:rPr>
          <w:rFonts w:ascii="Times New Roman" w:hAnsi="Times New Roman"/>
          <w:sz w:val="24"/>
          <w:szCs w:val="24"/>
        </w:rPr>
        <w:t>down to the people by their fathers. Another conflict between the Pharisee</w:t>
      </w:r>
      <w:r w:rsidR="002D64B2">
        <w:rPr>
          <w:rFonts w:ascii="Times New Roman" w:hAnsi="Times New Roman"/>
          <w:sz w:val="24"/>
          <w:szCs w:val="24"/>
        </w:rPr>
        <w:t xml:space="preserve"> and the </w:t>
      </w:r>
      <w:r w:rsidR="004E1295">
        <w:rPr>
          <w:rFonts w:ascii="Times New Roman" w:hAnsi="Times New Roman"/>
          <w:sz w:val="24"/>
          <w:szCs w:val="24"/>
        </w:rPr>
        <w:t>Sadducees</w:t>
      </w:r>
      <w:r w:rsidR="002D64B2">
        <w:rPr>
          <w:rFonts w:ascii="Times New Roman" w:hAnsi="Times New Roman"/>
          <w:sz w:val="24"/>
          <w:szCs w:val="24"/>
        </w:rPr>
        <w:t xml:space="preserve"> was that of leadership.</w:t>
      </w:r>
      <w:r w:rsidR="00EF3D2E">
        <w:rPr>
          <w:rFonts w:ascii="Times New Roman" w:hAnsi="Times New Roman"/>
          <w:sz w:val="24"/>
          <w:szCs w:val="24"/>
        </w:rPr>
        <w:t xml:space="preserve"> The Pharisees believed in the leadership of the laity, the ordinary people, </w:t>
      </w:r>
      <w:r w:rsidR="005F639A">
        <w:rPr>
          <w:rFonts w:ascii="Times New Roman" w:hAnsi="Times New Roman"/>
          <w:sz w:val="24"/>
          <w:szCs w:val="24"/>
        </w:rPr>
        <w:t>the Sadducees believed in the leadership of the priesthood. F</w:t>
      </w:r>
      <w:r w:rsidR="006F2982">
        <w:rPr>
          <w:rFonts w:ascii="Times New Roman" w:hAnsi="Times New Roman"/>
          <w:sz w:val="24"/>
          <w:szCs w:val="24"/>
        </w:rPr>
        <w:t xml:space="preserve">or the Pharisees the interpretation of scriptures was important, they </w:t>
      </w:r>
      <w:r w:rsidR="008F09AE">
        <w:rPr>
          <w:rFonts w:ascii="Times New Roman" w:hAnsi="Times New Roman"/>
          <w:sz w:val="24"/>
          <w:szCs w:val="24"/>
        </w:rPr>
        <w:t xml:space="preserve">developed a class of </w:t>
      </w:r>
      <w:r w:rsidR="004E1295">
        <w:rPr>
          <w:rFonts w:ascii="Times New Roman" w:hAnsi="Times New Roman"/>
          <w:sz w:val="24"/>
          <w:szCs w:val="24"/>
        </w:rPr>
        <w:t>scholar</w:t>
      </w:r>
      <w:r w:rsidR="008B79FD">
        <w:rPr>
          <w:rFonts w:ascii="Times New Roman" w:hAnsi="Times New Roman"/>
          <w:sz w:val="24"/>
          <w:szCs w:val="24"/>
        </w:rPr>
        <w:t>ly</w:t>
      </w:r>
      <w:r w:rsidR="008F09AE">
        <w:rPr>
          <w:rFonts w:ascii="Times New Roman" w:hAnsi="Times New Roman"/>
          <w:sz w:val="24"/>
          <w:szCs w:val="24"/>
        </w:rPr>
        <w:t xml:space="preserve"> interpreters known as scribes or sages</w:t>
      </w:r>
      <w:r w:rsidR="004E1295">
        <w:rPr>
          <w:rFonts w:ascii="Times New Roman" w:hAnsi="Times New Roman"/>
          <w:sz w:val="24"/>
          <w:szCs w:val="24"/>
        </w:rPr>
        <w:t>.</w:t>
      </w:r>
      <w:r w:rsidR="008B79FD">
        <w:rPr>
          <w:rStyle w:val="FootnoteReference"/>
          <w:rFonts w:ascii="Times New Roman" w:hAnsi="Times New Roman"/>
          <w:sz w:val="24"/>
          <w:szCs w:val="24"/>
        </w:rPr>
        <w:footnoteReference w:id="11"/>
      </w:r>
      <w:r w:rsidR="00AD1955">
        <w:rPr>
          <w:rFonts w:ascii="Times New Roman" w:hAnsi="Times New Roman"/>
          <w:sz w:val="24"/>
          <w:szCs w:val="24"/>
        </w:rPr>
        <w:t xml:space="preserve">This is significant </w:t>
      </w:r>
      <w:r w:rsidR="00075B13">
        <w:rPr>
          <w:rFonts w:ascii="Times New Roman" w:hAnsi="Times New Roman"/>
          <w:sz w:val="24"/>
          <w:szCs w:val="24"/>
        </w:rPr>
        <w:t xml:space="preserve">because after </w:t>
      </w:r>
      <w:r w:rsidR="000C24A4">
        <w:rPr>
          <w:rFonts w:ascii="Times New Roman" w:hAnsi="Times New Roman"/>
          <w:sz w:val="24"/>
          <w:szCs w:val="24"/>
        </w:rPr>
        <w:t xml:space="preserve">the destruction of the </w:t>
      </w:r>
      <w:r w:rsidR="000C24A4">
        <w:rPr>
          <w:rFonts w:ascii="Times New Roman" w:hAnsi="Times New Roman"/>
          <w:sz w:val="24"/>
          <w:szCs w:val="24"/>
        </w:rPr>
        <w:lastRenderedPageBreak/>
        <w:t>second temple</w:t>
      </w:r>
      <w:r w:rsidR="002A63F9">
        <w:rPr>
          <w:rFonts w:ascii="Times New Roman" w:hAnsi="Times New Roman"/>
          <w:sz w:val="24"/>
          <w:szCs w:val="24"/>
        </w:rPr>
        <w:t xml:space="preserve"> there was no longer the need </w:t>
      </w:r>
      <w:r w:rsidR="00957396">
        <w:rPr>
          <w:rFonts w:ascii="Times New Roman" w:hAnsi="Times New Roman"/>
          <w:sz w:val="24"/>
          <w:szCs w:val="24"/>
        </w:rPr>
        <w:t xml:space="preserve">for a priestly role and the Pharisees became the dominant sect. </w:t>
      </w:r>
      <w:r w:rsidR="003C6A39">
        <w:rPr>
          <w:rFonts w:ascii="Times New Roman" w:hAnsi="Times New Roman"/>
          <w:sz w:val="24"/>
          <w:szCs w:val="24"/>
        </w:rPr>
        <w:t xml:space="preserve">The Pharisaic style of Judaism is referred to as </w:t>
      </w:r>
      <w:r w:rsidR="00EA358B">
        <w:rPr>
          <w:rFonts w:ascii="Times New Roman" w:hAnsi="Times New Roman"/>
          <w:sz w:val="24"/>
          <w:szCs w:val="24"/>
        </w:rPr>
        <w:t>“</w:t>
      </w:r>
      <w:r w:rsidR="00E92C7E">
        <w:rPr>
          <w:rFonts w:ascii="Times New Roman" w:hAnsi="Times New Roman"/>
          <w:sz w:val="24"/>
          <w:szCs w:val="24"/>
        </w:rPr>
        <w:t>rabbinic</w:t>
      </w:r>
      <w:r w:rsidR="00EA358B">
        <w:rPr>
          <w:rFonts w:ascii="Times New Roman" w:hAnsi="Times New Roman"/>
          <w:sz w:val="24"/>
          <w:szCs w:val="24"/>
        </w:rPr>
        <w:t xml:space="preserve">” due to its leaders and its </w:t>
      </w:r>
      <w:r w:rsidR="00EF3988">
        <w:rPr>
          <w:rFonts w:ascii="Times New Roman" w:hAnsi="Times New Roman"/>
          <w:sz w:val="24"/>
          <w:szCs w:val="24"/>
        </w:rPr>
        <w:t>teachers having the title “Rabbi”.</w:t>
      </w:r>
      <w:r w:rsidR="00B52E05">
        <w:rPr>
          <w:rStyle w:val="FootnoteReference"/>
          <w:rFonts w:ascii="Times New Roman" w:hAnsi="Times New Roman"/>
          <w:sz w:val="24"/>
          <w:szCs w:val="24"/>
        </w:rPr>
        <w:footnoteReference w:id="12"/>
      </w:r>
    </w:p>
    <w:p w14:paraId="02E80DC7" w14:textId="397251EA" w:rsidR="00DB2BE7" w:rsidRDefault="00B02600" w:rsidP="0095244B">
      <w:pPr>
        <w:spacing w:line="480" w:lineRule="auto"/>
        <w:rPr>
          <w:rFonts w:ascii="Times New Roman" w:hAnsi="Times New Roman"/>
          <w:sz w:val="24"/>
          <w:szCs w:val="24"/>
        </w:rPr>
      </w:pPr>
      <w:r>
        <w:rPr>
          <w:rFonts w:ascii="Times New Roman" w:hAnsi="Times New Roman"/>
          <w:sz w:val="24"/>
          <w:szCs w:val="24"/>
        </w:rPr>
        <w:t>Between 200 CE – 220 CE, Judah</w:t>
      </w:r>
      <w:r w:rsidR="00C27CBF">
        <w:rPr>
          <w:rFonts w:ascii="Times New Roman" w:hAnsi="Times New Roman"/>
          <w:sz w:val="24"/>
          <w:szCs w:val="24"/>
        </w:rPr>
        <w:t xml:space="preserve">-Ha-Nasi wrote down the Oral Law. He was regarded by his </w:t>
      </w:r>
      <w:r w:rsidR="00645555">
        <w:rPr>
          <w:rFonts w:ascii="Times New Roman" w:hAnsi="Times New Roman"/>
          <w:sz w:val="24"/>
          <w:szCs w:val="24"/>
        </w:rPr>
        <w:t>contemporises</w:t>
      </w:r>
      <w:r w:rsidR="00C27CBF">
        <w:rPr>
          <w:rFonts w:ascii="Times New Roman" w:hAnsi="Times New Roman"/>
          <w:sz w:val="24"/>
          <w:szCs w:val="24"/>
        </w:rPr>
        <w:t xml:space="preserve"> and later generations as the saviour of Israel. He was the son</w:t>
      </w:r>
      <w:r w:rsidR="00560079">
        <w:rPr>
          <w:rFonts w:ascii="Times New Roman" w:hAnsi="Times New Roman"/>
          <w:sz w:val="24"/>
          <w:szCs w:val="24"/>
        </w:rPr>
        <w:t xml:space="preserve"> of</w:t>
      </w:r>
      <w:r w:rsidR="00C27CBF">
        <w:rPr>
          <w:rFonts w:ascii="Times New Roman" w:hAnsi="Times New Roman"/>
          <w:sz w:val="24"/>
          <w:szCs w:val="24"/>
        </w:rPr>
        <w:t xml:space="preserve"> Rabban </w:t>
      </w:r>
      <w:r w:rsidR="00F46618">
        <w:rPr>
          <w:rFonts w:ascii="Times New Roman" w:hAnsi="Times New Roman"/>
          <w:sz w:val="24"/>
          <w:szCs w:val="24"/>
        </w:rPr>
        <w:t>Simeon b. Gamaliel and the de</w:t>
      </w:r>
      <w:r w:rsidR="009769C7">
        <w:rPr>
          <w:rFonts w:ascii="Times New Roman" w:hAnsi="Times New Roman"/>
          <w:sz w:val="24"/>
          <w:szCs w:val="24"/>
        </w:rPr>
        <w:t>scendant</w:t>
      </w:r>
      <w:r w:rsidR="00F46618">
        <w:rPr>
          <w:rFonts w:ascii="Times New Roman" w:hAnsi="Times New Roman"/>
          <w:sz w:val="24"/>
          <w:szCs w:val="24"/>
        </w:rPr>
        <w:t xml:space="preserve"> from Hillel. Ste</w:t>
      </w:r>
      <w:r w:rsidR="00EB52C5">
        <w:rPr>
          <w:rFonts w:ascii="Times New Roman" w:hAnsi="Times New Roman"/>
          <w:sz w:val="24"/>
          <w:szCs w:val="24"/>
        </w:rPr>
        <w:t>phen</w:t>
      </w:r>
      <w:r w:rsidR="00F46618">
        <w:rPr>
          <w:rFonts w:ascii="Times New Roman" w:hAnsi="Times New Roman"/>
          <w:sz w:val="24"/>
          <w:szCs w:val="24"/>
        </w:rPr>
        <w:t xml:space="preserve"> G.</w:t>
      </w:r>
      <w:r w:rsidR="00480202">
        <w:rPr>
          <w:rFonts w:ascii="Times New Roman" w:hAnsi="Times New Roman"/>
          <w:sz w:val="24"/>
          <w:szCs w:val="24"/>
        </w:rPr>
        <w:t xml:space="preserve"> </w:t>
      </w:r>
      <w:r w:rsidR="00F46618">
        <w:rPr>
          <w:rFonts w:ascii="Times New Roman" w:hAnsi="Times New Roman"/>
          <w:sz w:val="24"/>
          <w:szCs w:val="24"/>
        </w:rPr>
        <w:t xml:space="preserve">Wald </w:t>
      </w:r>
      <w:r w:rsidR="00287D8E">
        <w:rPr>
          <w:rFonts w:ascii="Times New Roman" w:hAnsi="Times New Roman"/>
          <w:sz w:val="24"/>
          <w:szCs w:val="24"/>
        </w:rPr>
        <w:t xml:space="preserve">states that </w:t>
      </w:r>
    </w:p>
    <w:p w14:paraId="5A27B9CE" w14:textId="1D86173F" w:rsidR="00287D8E" w:rsidRDefault="00287D8E" w:rsidP="008D7B69">
      <w:pPr>
        <w:spacing w:line="480" w:lineRule="auto"/>
        <w:ind w:left="720"/>
        <w:rPr>
          <w:rFonts w:ascii="Times New Roman" w:hAnsi="Times New Roman"/>
          <w:sz w:val="24"/>
          <w:szCs w:val="24"/>
        </w:rPr>
      </w:pPr>
      <w:r>
        <w:rPr>
          <w:rFonts w:ascii="Times New Roman" w:hAnsi="Times New Roman"/>
          <w:sz w:val="24"/>
          <w:szCs w:val="24"/>
        </w:rPr>
        <w:tab/>
        <w:t>“His mastery of vast volume of tradition, his great application to his studies, his humility, coupled with self-</w:t>
      </w:r>
      <w:r w:rsidR="00480202">
        <w:rPr>
          <w:rFonts w:ascii="Times New Roman" w:hAnsi="Times New Roman"/>
          <w:sz w:val="24"/>
          <w:szCs w:val="24"/>
        </w:rPr>
        <w:t>confidence</w:t>
      </w:r>
      <w:r>
        <w:rPr>
          <w:rFonts w:ascii="Times New Roman" w:hAnsi="Times New Roman"/>
          <w:sz w:val="24"/>
          <w:szCs w:val="24"/>
        </w:rPr>
        <w:t xml:space="preserve">, sound </w:t>
      </w:r>
      <w:r w:rsidR="00645555">
        <w:rPr>
          <w:rFonts w:ascii="Times New Roman" w:hAnsi="Times New Roman"/>
          <w:sz w:val="24"/>
          <w:szCs w:val="24"/>
        </w:rPr>
        <w:t>judgement</w:t>
      </w:r>
      <w:r>
        <w:rPr>
          <w:rFonts w:ascii="Times New Roman" w:hAnsi="Times New Roman"/>
          <w:sz w:val="24"/>
          <w:szCs w:val="24"/>
        </w:rPr>
        <w:t xml:space="preserve">, and a rule that was based on strict discipline, combined to give </w:t>
      </w:r>
      <w:r w:rsidR="00480202">
        <w:rPr>
          <w:rFonts w:ascii="Times New Roman" w:hAnsi="Times New Roman"/>
          <w:sz w:val="24"/>
          <w:szCs w:val="24"/>
        </w:rPr>
        <w:t>authority</w:t>
      </w:r>
      <w:r>
        <w:rPr>
          <w:rFonts w:ascii="Times New Roman" w:hAnsi="Times New Roman"/>
          <w:sz w:val="24"/>
          <w:szCs w:val="24"/>
        </w:rPr>
        <w:t xml:space="preserve"> to his leadership and </w:t>
      </w:r>
      <w:r w:rsidR="00F62B36">
        <w:rPr>
          <w:rFonts w:ascii="Times New Roman" w:hAnsi="Times New Roman"/>
          <w:sz w:val="24"/>
          <w:szCs w:val="24"/>
        </w:rPr>
        <w:t xml:space="preserve">an undisputed status to the </w:t>
      </w:r>
      <w:r w:rsidR="00480202">
        <w:rPr>
          <w:rFonts w:ascii="Times New Roman" w:hAnsi="Times New Roman"/>
          <w:sz w:val="24"/>
          <w:szCs w:val="24"/>
        </w:rPr>
        <w:t>patriarchs</w:t>
      </w:r>
      <w:r w:rsidR="00F62B36">
        <w:rPr>
          <w:rFonts w:ascii="Times New Roman" w:hAnsi="Times New Roman"/>
          <w:sz w:val="24"/>
          <w:szCs w:val="24"/>
        </w:rPr>
        <w:t xml:space="preserve">.” </w:t>
      </w:r>
    </w:p>
    <w:p w14:paraId="670A9571" w14:textId="4B5CB8F2" w:rsidR="00423BC4" w:rsidRDefault="00F62B36" w:rsidP="0095244B">
      <w:pPr>
        <w:spacing w:line="480" w:lineRule="auto"/>
        <w:rPr>
          <w:rFonts w:ascii="Times New Roman" w:hAnsi="Times New Roman"/>
          <w:sz w:val="24"/>
          <w:szCs w:val="24"/>
        </w:rPr>
      </w:pPr>
      <w:r>
        <w:rPr>
          <w:rFonts w:ascii="Times New Roman" w:hAnsi="Times New Roman"/>
          <w:sz w:val="24"/>
          <w:szCs w:val="24"/>
        </w:rPr>
        <w:t>Ste</w:t>
      </w:r>
      <w:r w:rsidR="00995DD9">
        <w:rPr>
          <w:rFonts w:ascii="Times New Roman" w:hAnsi="Times New Roman"/>
          <w:sz w:val="24"/>
          <w:szCs w:val="24"/>
        </w:rPr>
        <w:t>phen</w:t>
      </w:r>
      <w:r>
        <w:rPr>
          <w:rFonts w:ascii="Times New Roman" w:hAnsi="Times New Roman"/>
          <w:sz w:val="24"/>
          <w:szCs w:val="24"/>
        </w:rPr>
        <w:t xml:space="preserve"> G.</w:t>
      </w:r>
      <w:r w:rsidR="00995DD9">
        <w:rPr>
          <w:rFonts w:ascii="Times New Roman" w:hAnsi="Times New Roman"/>
          <w:sz w:val="24"/>
          <w:szCs w:val="24"/>
        </w:rPr>
        <w:t xml:space="preserve"> </w:t>
      </w:r>
      <w:r>
        <w:rPr>
          <w:rFonts w:ascii="Times New Roman" w:hAnsi="Times New Roman"/>
          <w:sz w:val="24"/>
          <w:szCs w:val="24"/>
        </w:rPr>
        <w:t xml:space="preserve">Wald </w:t>
      </w:r>
      <w:r w:rsidR="00995DD9">
        <w:rPr>
          <w:rFonts w:ascii="Times New Roman" w:hAnsi="Times New Roman"/>
          <w:sz w:val="24"/>
          <w:szCs w:val="24"/>
        </w:rPr>
        <w:t>believed</w:t>
      </w:r>
      <w:r>
        <w:rPr>
          <w:rFonts w:ascii="Times New Roman" w:hAnsi="Times New Roman"/>
          <w:sz w:val="24"/>
          <w:szCs w:val="24"/>
        </w:rPr>
        <w:t xml:space="preserve"> that the Mis</w:t>
      </w:r>
      <w:r w:rsidR="00995DD9">
        <w:rPr>
          <w:rFonts w:ascii="Times New Roman" w:hAnsi="Times New Roman"/>
          <w:sz w:val="24"/>
          <w:szCs w:val="24"/>
        </w:rPr>
        <w:t>hnah</w:t>
      </w:r>
      <w:r>
        <w:rPr>
          <w:rFonts w:ascii="Times New Roman" w:hAnsi="Times New Roman"/>
          <w:sz w:val="24"/>
          <w:szCs w:val="24"/>
        </w:rPr>
        <w:t xml:space="preserve"> was not intended to serve as a collection of </w:t>
      </w:r>
      <w:r w:rsidR="006C5529">
        <w:rPr>
          <w:rFonts w:ascii="Times New Roman" w:hAnsi="Times New Roman"/>
          <w:sz w:val="24"/>
          <w:szCs w:val="24"/>
        </w:rPr>
        <w:t xml:space="preserve">legal judgments but rather a legal cannon. </w:t>
      </w:r>
      <w:r w:rsidR="00645555">
        <w:rPr>
          <w:rStyle w:val="FootnoteReference"/>
          <w:rFonts w:ascii="Times New Roman" w:hAnsi="Times New Roman"/>
          <w:sz w:val="24"/>
          <w:szCs w:val="24"/>
        </w:rPr>
        <w:footnoteReference w:id="13"/>
      </w:r>
      <w:r w:rsidR="00660DE7">
        <w:rPr>
          <w:rFonts w:ascii="Times New Roman" w:hAnsi="Times New Roman"/>
          <w:sz w:val="24"/>
          <w:szCs w:val="24"/>
        </w:rPr>
        <w:t xml:space="preserve"> The body of Oral Law had become too large, no one could remember all of it accurately</w:t>
      </w:r>
      <w:r w:rsidR="009C7D49">
        <w:rPr>
          <w:rFonts w:ascii="Times New Roman" w:hAnsi="Times New Roman"/>
          <w:sz w:val="24"/>
          <w:szCs w:val="24"/>
        </w:rPr>
        <w:t>, the Mishnah eliminated this problem</w:t>
      </w:r>
      <w:r w:rsidR="00431623">
        <w:rPr>
          <w:rFonts w:ascii="Times New Roman" w:hAnsi="Times New Roman"/>
          <w:sz w:val="24"/>
          <w:szCs w:val="24"/>
        </w:rPr>
        <w:t>.</w:t>
      </w:r>
      <w:r w:rsidR="009C7D49">
        <w:rPr>
          <w:rFonts w:ascii="Times New Roman" w:hAnsi="Times New Roman"/>
          <w:sz w:val="24"/>
          <w:szCs w:val="24"/>
        </w:rPr>
        <w:t xml:space="preserve"> </w:t>
      </w:r>
      <w:r w:rsidR="00431623">
        <w:rPr>
          <w:rFonts w:ascii="Times New Roman" w:hAnsi="Times New Roman"/>
          <w:sz w:val="24"/>
          <w:szCs w:val="24"/>
        </w:rPr>
        <w:t>F</w:t>
      </w:r>
      <w:r w:rsidR="009C7D49">
        <w:rPr>
          <w:rFonts w:ascii="Times New Roman" w:hAnsi="Times New Roman"/>
          <w:sz w:val="24"/>
          <w:szCs w:val="24"/>
        </w:rPr>
        <w:t>or G</w:t>
      </w:r>
      <w:r w:rsidR="00751CD2">
        <w:rPr>
          <w:rFonts w:ascii="Times New Roman" w:hAnsi="Times New Roman"/>
          <w:sz w:val="24"/>
          <w:szCs w:val="24"/>
        </w:rPr>
        <w:t xml:space="preserve">eorge Robinson the Mishnah sent a </w:t>
      </w:r>
      <w:r w:rsidR="00431623">
        <w:rPr>
          <w:rFonts w:ascii="Times New Roman" w:hAnsi="Times New Roman"/>
          <w:sz w:val="24"/>
          <w:szCs w:val="24"/>
        </w:rPr>
        <w:t>message to</w:t>
      </w:r>
      <w:r w:rsidR="00751CD2">
        <w:rPr>
          <w:rFonts w:ascii="Times New Roman" w:hAnsi="Times New Roman"/>
          <w:sz w:val="24"/>
          <w:szCs w:val="24"/>
        </w:rPr>
        <w:t xml:space="preserve"> the Jewish people in a time of darkness</w:t>
      </w:r>
      <w:r w:rsidR="00896E54">
        <w:rPr>
          <w:rFonts w:ascii="Times New Roman" w:hAnsi="Times New Roman"/>
          <w:sz w:val="24"/>
          <w:szCs w:val="24"/>
        </w:rPr>
        <w:t xml:space="preserve">, through the Mishnah </w:t>
      </w:r>
      <w:r w:rsidR="00431623">
        <w:rPr>
          <w:rFonts w:ascii="Times New Roman" w:hAnsi="Times New Roman"/>
          <w:sz w:val="24"/>
          <w:szCs w:val="24"/>
        </w:rPr>
        <w:t>Judaism</w:t>
      </w:r>
      <w:r w:rsidR="00896E54">
        <w:rPr>
          <w:rFonts w:ascii="Times New Roman" w:hAnsi="Times New Roman"/>
          <w:sz w:val="24"/>
          <w:szCs w:val="24"/>
        </w:rPr>
        <w:t xml:space="preserve"> was a faith and practice not fleeted by the passage of time.</w:t>
      </w:r>
      <w:r w:rsidR="004A5FEA">
        <w:rPr>
          <w:rStyle w:val="FootnoteReference"/>
          <w:rFonts w:ascii="Times New Roman" w:hAnsi="Times New Roman"/>
          <w:sz w:val="24"/>
          <w:szCs w:val="24"/>
        </w:rPr>
        <w:footnoteReference w:id="14"/>
      </w:r>
      <w:r w:rsidR="00896E54">
        <w:rPr>
          <w:rFonts w:ascii="Times New Roman" w:hAnsi="Times New Roman"/>
          <w:sz w:val="24"/>
          <w:szCs w:val="24"/>
        </w:rPr>
        <w:t xml:space="preserve"> </w:t>
      </w:r>
    </w:p>
    <w:p w14:paraId="3F2FFCCC" w14:textId="7390A007" w:rsidR="006049EA" w:rsidRDefault="00FD3931" w:rsidP="0095244B">
      <w:pPr>
        <w:spacing w:line="480" w:lineRule="auto"/>
        <w:rPr>
          <w:rFonts w:ascii="Times New Roman" w:hAnsi="Times New Roman"/>
          <w:sz w:val="24"/>
          <w:szCs w:val="24"/>
        </w:rPr>
      </w:pPr>
      <w:r>
        <w:rPr>
          <w:rFonts w:ascii="Times New Roman" w:hAnsi="Times New Roman"/>
          <w:sz w:val="24"/>
          <w:szCs w:val="24"/>
        </w:rPr>
        <w:t xml:space="preserve">The Mishnah may be defined as </w:t>
      </w:r>
      <w:r w:rsidR="00EF34AF">
        <w:rPr>
          <w:rFonts w:ascii="Times New Roman" w:hAnsi="Times New Roman"/>
          <w:sz w:val="24"/>
          <w:szCs w:val="24"/>
        </w:rPr>
        <w:t xml:space="preserve">4 </w:t>
      </w:r>
      <w:r w:rsidR="00EB742F">
        <w:rPr>
          <w:rFonts w:ascii="Times New Roman" w:hAnsi="Times New Roman"/>
          <w:sz w:val="24"/>
          <w:szCs w:val="24"/>
        </w:rPr>
        <w:t>centuries</w:t>
      </w:r>
      <w:r w:rsidR="00EF34AF">
        <w:rPr>
          <w:rFonts w:ascii="Times New Roman" w:hAnsi="Times New Roman"/>
          <w:sz w:val="24"/>
          <w:szCs w:val="24"/>
        </w:rPr>
        <w:t xml:space="preserve"> of Jewish religious and </w:t>
      </w:r>
      <w:r w:rsidR="00EB742F">
        <w:rPr>
          <w:rFonts w:ascii="Times New Roman" w:hAnsi="Times New Roman"/>
          <w:sz w:val="24"/>
          <w:szCs w:val="24"/>
        </w:rPr>
        <w:t>cultural</w:t>
      </w:r>
      <w:r w:rsidR="00EF34AF">
        <w:rPr>
          <w:rFonts w:ascii="Times New Roman" w:hAnsi="Times New Roman"/>
          <w:sz w:val="24"/>
          <w:szCs w:val="24"/>
        </w:rPr>
        <w:t xml:space="preserve"> activity in </w:t>
      </w:r>
      <w:r w:rsidR="00265EE9">
        <w:rPr>
          <w:rFonts w:ascii="Times New Roman" w:hAnsi="Times New Roman"/>
          <w:sz w:val="24"/>
          <w:szCs w:val="24"/>
        </w:rPr>
        <w:t>Palestine</w:t>
      </w:r>
      <w:r w:rsidR="00EF34AF">
        <w:rPr>
          <w:rFonts w:ascii="Times New Roman" w:hAnsi="Times New Roman"/>
          <w:sz w:val="24"/>
          <w:szCs w:val="24"/>
        </w:rPr>
        <w:t xml:space="preserve">. The Mishnah would preserve, cultivate and apply the Torah Laws, in a way the Jewish religious leaders had learnt to understand this Oral Law. The Mishnah was an important to the Jewish people as the New </w:t>
      </w:r>
      <w:r w:rsidR="00265EE9">
        <w:rPr>
          <w:rFonts w:ascii="Times New Roman" w:hAnsi="Times New Roman"/>
          <w:sz w:val="24"/>
          <w:szCs w:val="24"/>
        </w:rPr>
        <w:t>Testament</w:t>
      </w:r>
      <w:r w:rsidR="00EF34AF">
        <w:rPr>
          <w:rFonts w:ascii="Times New Roman" w:hAnsi="Times New Roman"/>
          <w:sz w:val="24"/>
          <w:szCs w:val="24"/>
        </w:rPr>
        <w:t xml:space="preserve"> was to </w:t>
      </w:r>
      <w:r w:rsidR="00265EE9">
        <w:rPr>
          <w:rFonts w:ascii="Times New Roman" w:hAnsi="Times New Roman"/>
          <w:sz w:val="24"/>
          <w:szCs w:val="24"/>
        </w:rPr>
        <w:t>Christianity</w:t>
      </w:r>
      <w:r w:rsidR="00EF34AF">
        <w:rPr>
          <w:rFonts w:ascii="Times New Roman" w:hAnsi="Times New Roman"/>
          <w:sz w:val="24"/>
          <w:szCs w:val="24"/>
        </w:rPr>
        <w:t xml:space="preserve">. It was considered as second only to the </w:t>
      </w:r>
      <w:r w:rsidR="0019005E">
        <w:rPr>
          <w:rFonts w:ascii="Times New Roman" w:hAnsi="Times New Roman"/>
          <w:sz w:val="24"/>
          <w:szCs w:val="24"/>
        </w:rPr>
        <w:t>Hebrew</w:t>
      </w:r>
      <w:r w:rsidR="00B96A5E">
        <w:rPr>
          <w:rFonts w:ascii="Times New Roman" w:hAnsi="Times New Roman"/>
          <w:sz w:val="24"/>
          <w:szCs w:val="24"/>
        </w:rPr>
        <w:t xml:space="preserve"> Scriptures it was a link between all Jewish people</w:t>
      </w:r>
      <w:r w:rsidR="007026AA">
        <w:rPr>
          <w:rFonts w:ascii="Times New Roman" w:hAnsi="Times New Roman"/>
          <w:sz w:val="24"/>
          <w:szCs w:val="24"/>
        </w:rPr>
        <w:t>,</w:t>
      </w:r>
      <w:r w:rsidR="00B96A5E">
        <w:rPr>
          <w:rFonts w:ascii="Times New Roman" w:hAnsi="Times New Roman"/>
          <w:sz w:val="24"/>
          <w:szCs w:val="24"/>
        </w:rPr>
        <w:t xml:space="preserve"> </w:t>
      </w:r>
      <w:r w:rsidR="00306DF2">
        <w:rPr>
          <w:rFonts w:ascii="Times New Roman" w:hAnsi="Times New Roman"/>
          <w:sz w:val="24"/>
          <w:szCs w:val="24"/>
        </w:rPr>
        <w:t xml:space="preserve">authoritative </w:t>
      </w:r>
      <w:r w:rsidR="000609A4">
        <w:rPr>
          <w:rFonts w:ascii="Times New Roman" w:hAnsi="Times New Roman"/>
          <w:sz w:val="24"/>
          <w:szCs w:val="24"/>
        </w:rPr>
        <w:lastRenderedPageBreak/>
        <w:t xml:space="preserve">enough to endure and bind them together regardless of where they lived at the time. Within a generation of the </w:t>
      </w:r>
      <w:r w:rsidR="00265EE9">
        <w:rPr>
          <w:rFonts w:ascii="Times New Roman" w:hAnsi="Times New Roman"/>
          <w:sz w:val="24"/>
          <w:szCs w:val="24"/>
        </w:rPr>
        <w:t>Mishnah’s</w:t>
      </w:r>
      <w:r w:rsidR="000609A4">
        <w:rPr>
          <w:rFonts w:ascii="Times New Roman" w:hAnsi="Times New Roman"/>
          <w:sz w:val="24"/>
          <w:szCs w:val="24"/>
        </w:rPr>
        <w:t xml:space="preserve"> completion it was described as the iron pillar of the Law,</w:t>
      </w:r>
      <w:r w:rsidR="0019005E">
        <w:rPr>
          <w:rFonts w:ascii="Times New Roman" w:hAnsi="Times New Roman"/>
          <w:sz w:val="24"/>
          <w:szCs w:val="24"/>
        </w:rPr>
        <w:t xml:space="preserve"> as praise worthy as offering sacrifice. </w:t>
      </w:r>
      <w:r w:rsidR="00D93AA3">
        <w:rPr>
          <w:rFonts w:ascii="Times New Roman" w:hAnsi="Times New Roman"/>
          <w:sz w:val="24"/>
          <w:szCs w:val="24"/>
        </w:rPr>
        <w:t xml:space="preserve">After Sinai, it is considered the greatest landmark in the history of </w:t>
      </w:r>
      <w:r w:rsidR="00265EE9">
        <w:rPr>
          <w:rFonts w:ascii="Times New Roman" w:hAnsi="Times New Roman"/>
          <w:sz w:val="24"/>
          <w:szCs w:val="24"/>
        </w:rPr>
        <w:t>Judaism.</w:t>
      </w:r>
      <w:r w:rsidR="007E63FF">
        <w:rPr>
          <w:rStyle w:val="FootnoteReference"/>
          <w:rFonts w:ascii="Times New Roman" w:hAnsi="Times New Roman"/>
          <w:sz w:val="24"/>
          <w:szCs w:val="24"/>
        </w:rPr>
        <w:footnoteReference w:id="15"/>
      </w:r>
      <w:r w:rsidR="000609A4">
        <w:rPr>
          <w:rFonts w:ascii="Times New Roman" w:hAnsi="Times New Roman"/>
          <w:sz w:val="24"/>
          <w:szCs w:val="24"/>
        </w:rPr>
        <w:t xml:space="preserve"> </w:t>
      </w:r>
    </w:p>
    <w:p w14:paraId="4D6B5E3B" w14:textId="2BE3101B" w:rsidR="003F42F7" w:rsidRDefault="003F42F7" w:rsidP="0095244B">
      <w:pPr>
        <w:spacing w:line="480" w:lineRule="auto"/>
        <w:rPr>
          <w:rFonts w:ascii="Times New Roman" w:hAnsi="Times New Roman"/>
          <w:sz w:val="24"/>
          <w:szCs w:val="24"/>
        </w:rPr>
      </w:pPr>
      <w:r>
        <w:rPr>
          <w:rFonts w:ascii="Times New Roman" w:hAnsi="Times New Roman"/>
          <w:sz w:val="24"/>
          <w:szCs w:val="24"/>
        </w:rPr>
        <w:t xml:space="preserve">Throughout the </w:t>
      </w:r>
      <w:r w:rsidR="00127610">
        <w:rPr>
          <w:rFonts w:ascii="Times New Roman" w:hAnsi="Times New Roman"/>
          <w:sz w:val="24"/>
          <w:szCs w:val="24"/>
        </w:rPr>
        <w:t xml:space="preserve">five books of </w:t>
      </w:r>
      <w:r w:rsidR="00797FE6">
        <w:rPr>
          <w:rFonts w:ascii="Times New Roman" w:hAnsi="Times New Roman"/>
          <w:sz w:val="24"/>
          <w:szCs w:val="24"/>
        </w:rPr>
        <w:t>Moses,</w:t>
      </w:r>
      <w:r w:rsidR="00127610">
        <w:rPr>
          <w:rFonts w:ascii="Times New Roman" w:hAnsi="Times New Roman"/>
          <w:sz w:val="24"/>
          <w:szCs w:val="24"/>
        </w:rPr>
        <w:t xml:space="preserve"> it tells us about the promise that God </w:t>
      </w:r>
      <w:r w:rsidR="005C6BAB">
        <w:rPr>
          <w:rFonts w:ascii="Times New Roman" w:hAnsi="Times New Roman"/>
          <w:sz w:val="24"/>
          <w:szCs w:val="24"/>
        </w:rPr>
        <w:t>made to Abraham, that the land of Canaan would be his inheritance and that of his descendants.</w:t>
      </w:r>
      <w:r w:rsidR="00913CEC">
        <w:rPr>
          <w:rFonts w:ascii="Times New Roman" w:hAnsi="Times New Roman"/>
          <w:sz w:val="24"/>
          <w:szCs w:val="24"/>
        </w:rPr>
        <w:t xml:space="preserve"> The land was fashioned by </w:t>
      </w:r>
      <w:r w:rsidR="00797FE6">
        <w:rPr>
          <w:rFonts w:ascii="Times New Roman" w:hAnsi="Times New Roman"/>
          <w:sz w:val="24"/>
          <w:szCs w:val="24"/>
        </w:rPr>
        <w:t>God but</w:t>
      </w:r>
      <w:r w:rsidR="004D2094">
        <w:rPr>
          <w:rFonts w:ascii="Times New Roman" w:hAnsi="Times New Roman"/>
          <w:sz w:val="24"/>
          <w:szCs w:val="24"/>
        </w:rPr>
        <w:t xml:space="preserve"> was inhabited by others who might claim ownership.</w:t>
      </w:r>
      <w:r w:rsidR="00FC1166">
        <w:rPr>
          <w:rFonts w:ascii="Times New Roman" w:hAnsi="Times New Roman"/>
          <w:sz w:val="24"/>
          <w:szCs w:val="24"/>
        </w:rPr>
        <w:t xml:space="preserve"> God dwells in the Holy </w:t>
      </w:r>
      <w:r w:rsidR="00797FE6">
        <w:rPr>
          <w:rFonts w:ascii="Times New Roman" w:hAnsi="Times New Roman"/>
          <w:sz w:val="24"/>
          <w:szCs w:val="24"/>
        </w:rPr>
        <w:t>Land,</w:t>
      </w:r>
      <w:r w:rsidR="00FC1166">
        <w:rPr>
          <w:rFonts w:ascii="Times New Roman" w:hAnsi="Times New Roman"/>
          <w:sz w:val="24"/>
          <w:szCs w:val="24"/>
        </w:rPr>
        <w:t xml:space="preserve"> but his presence is everywhere</w:t>
      </w:r>
      <w:r w:rsidR="00786BDE">
        <w:rPr>
          <w:rFonts w:ascii="Times New Roman" w:hAnsi="Times New Roman"/>
          <w:sz w:val="24"/>
          <w:szCs w:val="24"/>
        </w:rPr>
        <w:t>.</w:t>
      </w:r>
      <w:r w:rsidR="00000205">
        <w:rPr>
          <w:rFonts w:ascii="Times New Roman" w:hAnsi="Times New Roman"/>
          <w:sz w:val="24"/>
          <w:szCs w:val="24"/>
        </w:rPr>
        <w:t xml:space="preserve"> Josephus states</w:t>
      </w:r>
    </w:p>
    <w:p w14:paraId="40EDACE2" w14:textId="71EC9AE2" w:rsidR="00000205" w:rsidRDefault="00000205" w:rsidP="008D7B69">
      <w:pPr>
        <w:spacing w:line="480" w:lineRule="auto"/>
        <w:ind w:left="720"/>
        <w:rPr>
          <w:rFonts w:ascii="Times New Roman" w:hAnsi="Times New Roman"/>
          <w:sz w:val="24"/>
          <w:szCs w:val="24"/>
        </w:rPr>
      </w:pPr>
      <w:r>
        <w:rPr>
          <w:rFonts w:ascii="Times New Roman" w:hAnsi="Times New Roman"/>
          <w:sz w:val="24"/>
          <w:szCs w:val="24"/>
        </w:rPr>
        <w:tab/>
        <w:t>“And</w:t>
      </w:r>
      <w:r w:rsidR="006B0B14">
        <w:rPr>
          <w:rFonts w:ascii="Times New Roman" w:hAnsi="Times New Roman"/>
          <w:sz w:val="24"/>
          <w:szCs w:val="24"/>
        </w:rPr>
        <w:t xml:space="preserve"> this seems to me to have been the reason why God, out of his hatred</w:t>
      </w:r>
      <w:r w:rsidR="00E61DA3">
        <w:rPr>
          <w:rFonts w:ascii="Times New Roman" w:hAnsi="Times New Roman"/>
          <w:sz w:val="24"/>
          <w:szCs w:val="24"/>
        </w:rPr>
        <w:t xml:space="preserve"> to these men’s wickedness, rejected our city,</w:t>
      </w:r>
      <w:r w:rsidR="005162E0">
        <w:rPr>
          <w:rFonts w:ascii="Times New Roman" w:hAnsi="Times New Roman"/>
          <w:sz w:val="24"/>
          <w:szCs w:val="24"/>
        </w:rPr>
        <w:t xml:space="preserve"> and as for the temple, he no longer esteemed it sufficien</w:t>
      </w:r>
      <w:r w:rsidR="00C859EE">
        <w:rPr>
          <w:rFonts w:ascii="Times New Roman" w:hAnsi="Times New Roman"/>
          <w:sz w:val="24"/>
          <w:szCs w:val="24"/>
        </w:rPr>
        <w:t>tly pure for him to inhabit there in ,but brought the Romans upon us</w:t>
      </w:r>
      <w:r w:rsidR="00051536">
        <w:rPr>
          <w:rFonts w:ascii="Times New Roman" w:hAnsi="Times New Roman"/>
          <w:sz w:val="24"/>
          <w:szCs w:val="24"/>
        </w:rPr>
        <w:t>, and threw a fire upon us, our wives and children, slavery</w:t>
      </w:r>
      <w:r w:rsidR="00E1201C">
        <w:rPr>
          <w:rFonts w:ascii="Times New Roman" w:hAnsi="Times New Roman"/>
          <w:sz w:val="24"/>
          <w:szCs w:val="24"/>
        </w:rPr>
        <w:t xml:space="preserve"> as de</w:t>
      </w:r>
      <w:r w:rsidR="00BF189B">
        <w:rPr>
          <w:rFonts w:ascii="Times New Roman" w:hAnsi="Times New Roman"/>
          <w:sz w:val="24"/>
          <w:szCs w:val="24"/>
        </w:rPr>
        <w:t>sirous to make us wiser by our calamities</w:t>
      </w:r>
      <w:r w:rsidR="007F6501">
        <w:rPr>
          <w:rFonts w:ascii="Times New Roman" w:hAnsi="Times New Roman"/>
          <w:sz w:val="24"/>
          <w:szCs w:val="24"/>
        </w:rPr>
        <w:t>.”(</w:t>
      </w:r>
      <w:r w:rsidR="007F6501" w:rsidRPr="00A93D0A">
        <w:rPr>
          <w:rFonts w:ascii="Times New Roman" w:hAnsi="Times New Roman"/>
          <w:i/>
          <w:sz w:val="24"/>
          <w:szCs w:val="24"/>
        </w:rPr>
        <w:t>Antiquities</w:t>
      </w:r>
      <w:r w:rsidR="007F6501">
        <w:rPr>
          <w:rFonts w:ascii="Times New Roman" w:hAnsi="Times New Roman"/>
          <w:sz w:val="24"/>
          <w:szCs w:val="24"/>
        </w:rPr>
        <w:t xml:space="preserve"> 20.</w:t>
      </w:r>
      <w:r w:rsidR="00A93D0A">
        <w:rPr>
          <w:rFonts w:ascii="Times New Roman" w:hAnsi="Times New Roman"/>
          <w:sz w:val="24"/>
          <w:szCs w:val="24"/>
        </w:rPr>
        <w:t>8.5 164-166).</w:t>
      </w:r>
    </w:p>
    <w:p w14:paraId="1CFEBA5A" w14:textId="08AB8E8E" w:rsidR="00C21731" w:rsidRDefault="001A1233" w:rsidP="0095244B">
      <w:pPr>
        <w:spacing w:line="480" w:lineRule="auto"/>
        <w:rPr>
          <w:rFonts w:ascii="Times New Roman" w:hAnsi="Times New Roman"/>
          <w:sz w:val="24"/>
          <w:szCs w:val="24"/>
        </w:rPr>
      </w:pPr>
      <w:r>
        <w:rPr>
          <w:rFonts w:ascii="Times New Roman" w:hAnsi="Times New Roman"/>
          <w:sz w:val="24"/>
          <w:szCs w:val="24"/>
        </w:rPr>
        <w:t xml:space="preserve">Yet after the destruction of the second temple </w:t>
      </w:r>
      <w:r w:rsidR="00785E59">
        <w:rPr>
          <w:rFonts w:ascii="Times New Roman" w:hAnsi="Times New Roman"/>
          <w:sz w:val="24"/>
          <w:szCs w:val="24"/>
        </w:rPr>
        <w:t>and their second exile they no longer believed that it was just th</w:t>
      </w:r>
      <w:r w:rsidR="006E328E">
        <w:rPr>
          <w:rFonts w:ascii="Times New Roman" w:hAnsi="Times New Roman"/>
          <w:sz w:val="24"/>
          <w:szCs w:val="24"/>
        </w:rPr>
        <w:t>eir sins it was also the sins of others that defiled the Holy Land</w:t>
      </w:r>
      <w:r w:rsidR="00143105">
        <w:rPr>
          <w:rFonts w:ascii="Times New Roman" w:hAnsi="Times New Roman"/>
          <w:sz w:val="24"/>
          <w:szCs w:val="24"/>
        </w:rPr>
        <w:t xml:space="preserve">. </w:t>
      </w:r>
      <w:r w:rsidR="008C70DE">
        <w:rPr>
          <w:rFonts w:ascii="Times New Roman" w:hAnsi="Times New Roman"/>
          <w:sz w:val="24"/>
          <w:szCs w:val="24"/>
        </w:rPr>
        <w:t>T</w:t>
      </w:r>
      <w:r w:rsidR="00143105">
        <w:rPr>
          <w:rFonts w:ascii="Times New Roman" w:hAnsi="Times New Roman"/>
          <w:sz w:val="24"/>
          <w:szCs w:val="24"/>
        </w:rPr>
        <w:t xml:space="preserve">his is significant because </w:t>
      </w:r>
      <w:r w:rsidR="008C70DE">
        <w:rPr>
          <w:rFonts w:ascii="Times New Roman" w:hAnsi="Times New Roman"/>
          <w:sz w:val="24"/>
          <w:szCs w:val="24"/>
        </w:rPr>
        <w:t xml:space="preserve">the Jewish people believed </w:t>
      </w:r>
      <w:r w:rsidR="00DC087C">
        <w:rPr>
          <w:rFonts w:ascii="Times New Roman" w:hAnsi="Times New Roman"/>
          <w:sz w:val="24"/>
          <w:szCs w:val="24"/>
        </w:rPr>
        <w:t>the exile was a time of testing and the people had to remain faithful</w:t>
      </w:r>
      <w:r w:rsidR="00CE2020">
        <w:rPr>
          <w:rFonts w:ascii="Times New Roman" w:hAnsi="Times New Roman"/>
          <w:sz w:val="24"/>
          <w:szCs w:val="24"/>
        </w:rPr>
        <w:t xml:space="preserve"> and remember </w:t>
      </w:r>
      <w:r w:rsidR="00A00909">
        <w:rPr>
          <w:rFonts w:ascii="Times New Roman" w:hAnsi="Times New Roman"/>
          <w:sz w:val="24"/>
          <w:szCs w:val="24"/>
        </w:rPr>
        <w:t>Zion (</w:t>
      </w:r>
      <w:r w:rsidR="00CE2020">
        <w:rPr>
          <w:rFonts w:ascii="Times New Roman" w:hAnsi="Times New Roman"/>
          <w:sz w:val="24"/>
          <w:szCs w:val="24"/>
        </w:rPr>
        <w:t>Jerusalem).</w:t>
      </w:r>
      <w:r w:rsidR="00CE2020">
        <w:rPr>
          <w:rStyle w:val="FootnoteReference"/>
          <w:rFonts w:ascii="Times New Roman" w:hAnsi="Times New Roman"/>
          <w:sz w:val="24"/>
          <w:szCs w:val="24"/>
        </w:rPr>
        <w:footnoteReference w:id="16"/>
      </w:r>
      <w:r w:rsidR="00543A29">
        <w:rPr>
          <w:rFonts w:ascii="Times New Roman" w:hAnsi="Times New Roman"/>
          <w:sz w:val="24"/>
          <w:szCs w:val="24"/>
        </w:rPr>
        <w:t xml:space="preserve">The temple was </w:t>
      </w:r>
      <w:r w:rsidR="00DF307D">
        <w:rPr>
          <w:rFonts w:ascii="Times New Roman" w:hAnsi="Times New Roman"/>
          <w:sz w:val="24"/>
          <w:szCs w:val="24"/>
        </w:rPr>
        <w:t xml:space="preserve">the focal point of the Jewish religion, not only for the Jews </w:t>
      </w:r>
      <w:r w:rsidR="00F34E1A">
        <w:rPr>
          <w:rFonts w:ascii="Times New Roman" w:hAnsi="Times New Roman"/>
          <w:sz w:val="24"/>
          <w:szCs w:val="24"/>
        </w:rPr>
        <w:t xml:space="preserve">in Israel but also for the Jews of the diaspora. The ideology </w:t>
      </w:r>
      <w:r w:rsidR="0095220B">
        <w:rPr>
          <w:rFonts w:ascii="Times New Roman" w:hAnsi="Times New Roman"/>
          <w:sz w:val="24"/>
          <w:szCs w:val="24"/>
        </w:rPr>
        <w:t xml:space="preserve">of the temple represented monism and </w:t>
      </w:r>
      <w:r w:rsidR="0013191B">
        <w:rPr>
          <w:rFonts w:ascii="Times New Roman" w:hAnsi="Times New Roman"/>
          <w:sz w:val="24"/>
          <w:szCs w:val="24"/>
        </w:rPr>
        <w:t>God’s home on earth was the temple mount in Jerusalem.</w:t>
      </w:r>
      <w:r w:rsidR="0013191B">
        <w:rPr>
          <w:rStyle w:val="FootnoteReference"/>
          <w:rFonts w:ascii="Times New Roman" w:hAnsi="Times New Roman"/>
          <w:sz w:val="24"/>
          <w:szCs w:val="24"/>
        </w:rPr>
        <w:footnoteReference w:id="17"/>
      </w:r>
    </w:p>
    <w:p w14:paraId="1A24F5B6" w14:textId="77777777" w:rsidR="00D50F0D" w:rsidRDefault="00D50F0D" w:rsidP="0095244B">
      <w:pPr>
        <w:spacing w:line="480" w:lineRule="auto"/>
        <w:rPr>
          <w:rFonts w:ascii="Times New Roman" w:hAnsi="Times New Roman"/>
          <w:sz w:val="24"/>
          <w:szCs w:val="24"/>
        </w:rPr>
      </w:pPr>
    </w:p>
    <w:p w14:paraId="2B029993" w14:textId="24D23A78" w:rsidR="00EB2427" w:rsidRDefault="00EB2427" w:rsidP="0095244B">
      <w:pPr>
        <w:spacing w:line="480" w:lineRule="auto"/>
        <w:rPr>
          <w:rFonts w:ascii="Times New Roman" w:hAnsi="Times New Roman"/>
          <w:sz w:val="24"/>
          <w:szCs w:val="24"/>
        </w:rPr>
      </w:pPr>
      <w:r w:rsidRPr="00ED2608">
        <w:rPr>
          <w:rFonts w:ascii="Times New Roman" w:hAnsi="Times New Roman"/>
          <w:sz w:val="24"/>
          <w:szCs w:val="24"/>
        </w:rPr>
        <w:lastRenderedPageBreak/>
        <w:t>P</w:t>
      </w:r>
      <w:r w:rsidR="00ED2608">
        <w:rPr>
          <w:rFonts w:ascii="Times New Roman" w:hAnsi="Times New Roman"/>
          <w:sz w:val="24"/>
          <w:szCs w:val="24"/>
        </w:rPr>
        <w:t xml:space="preserve">urity and Sacrifice were important in the second temple period. The </w:t>
      </w:r>
      <w:r w:rsidR="00633250">
        <w:rPr>
          <w:rFonts w:ascii="Times New Roman" w:hAnsi="Times New Roman"/>
          <w:sz w:val="24"/>
          <w:szCs w:val="24"/>
        </w:rPr>
        <w:t>Laws of Leviticus which are found in the Hebrew Bible</w:t>
      </w:r>
      <w:r w:rsidR="00BC18BC">
        <w:rPr>
          <w:rFonts w:ascii="Times New Roman" w:hAnsi="Times New Roman"/>
          <w:sz w:val="24"/>
          <w:szCs w:val="24"/>
        </w:rPr>
        <w:t xml:space="preserve"> state that</w:t>
      </w:r>
      <w:r w:rsidR="00D01E92">
        <w:rPr>
          <w:rFonts w:ascii="Times New Roman" w:hAnsi="Times New Roman"/>
          <w:sz w:val="24"/>
          <w:szCs w:val="24"/>
        </w:rPr>
        <w:t xml:space="preserve"> </w:t>
      </w:r>
      <w:r w:rsidR="00F7404F">
        <w:rPr>
          <w:rFonts w:ascii="Times New Roman" w:hAnsi="Times New Roman"/>
          <w:sz w:val="24"/>
          <w:szCs w:val="24"/>
        </w:rPr>
        <w:t>when a woman</w:t>
      </w:r>
      <w:r w:rsidR="00E002D1">
        <w:rPr>
          <w:rFonts w:ascii="Times New Roman" w:hAnsi="Times New Roman"/>
          <w:sz w:val="24"/>
          <w:szCs w:val="24"/>
        </w:rPr>
        <w:t xml:space="preserve"> has a </w:t>
      </w:r>
      <w:r w:rsidR="006E63A6">
        <w:rPr>
          <w:rFonts w:ascii="Times New Roman" w:hAnsi="Times New Roman"/>
          <w:sz w:val="24"/>
          <w:szCs w:val="24"/>
        </w:rPr>
        <w:t>discharge of blood she will be impure for 7 days</w:t>
      </w:r>
      <w:r w:rsidR="00E002D1">
        <w:rPr>
          <w:rFonts w:ascii="Times New Roman" w:hAnsi="Times New Roman"/>
          <w:sz w:val="24"/>
          <w:szCs w:val="24"/>
        </w:rPr>
        <w:t>.</w:t>
      </w:r>
      <w:r w:rsidR="00E10237">
        <w:rPr>
          <w:rFonts w:ascii="Times New Roman" w:hAnsi="Times New Roman"/>
          <w:sz w:val="24"/>
          <w:szCs w:val="24"/>
        </w:rPr>
        <w:t xml:space="preserve"> (</w:t>
      </w:r>
      <w:r w:rsidR="00E10237" w:rsidRPr="007F76D3">
        <w:rPr>
          <w:rFonts w:ascii="Times New Roman" w:hAnsi="Times New Roman"/>
          <w:i/>
          <w:sz w:val="24"/>
          <w:szCs w:val="24"/>
        </w:rPr>
        <w:t>Lev</w:t>
      </w:r>
      <w:r w:rsidR="00E10237">
        <w:rPr>
          <w:rFonts w:ascii="Times New Roman" w:hAnsi="Times New Roman"/>
          <w:sz w:val="24"/>
          <w:szCs w:val="24"/>
        </w:rPr>
        <w:t xml:space="preserve"> </w:t>
      </w:r>
      <w:r w:rsidR="007F76D3">
        <w:rPr>
          <w:rFonts w:ascii="Times New Roman" w:hAnsi="Times New Roman"/>
          <w:sz w:val="24"/>
          <w:szCs w:val="24"/>
        </w:rPr>
        <w:t>15:19).</w:t>
      </w:r>
      <w:r w:rsidR="000B10A2">
        <w:rPr>
          <w:rFonts w:ascii="Times New Roman" w:hAnsi="Times New Roman"/>
          <w:sz w:val="24"/>
          <w:szCs w:val="24"/>
        </w:rPr>
        <w:t xml:space="preserve"> It</w:t>
      </w:r>
      <w:r w:rsidR="008D1E61">
        <w:rPr>
          <w:rFonts w:ascii="Times New Roman" w:hAnsi="Times New Roman"/>
          <w:sz w:val="24"/>
          <w:szCs w:val="24"/>
        </w:rPr>
        <w:t xml:space="preserve"> was not seen as sinful to be ritually unclean. Priests</w:t>
      </w:r>
      <w:r w:rsidR="00ED5EDF">
        <w:rPr>
          <w:rFonts w:ascii="Times New Roman" w:hAnsi="Times New Roman"/>
          <w:sz w:val="24"/>
          <w:szCs w:val="24"/>
        </w:rPr>
        <w:t xml:space="preserve"> were obligated to have sexual intercour</w:t>
      </w:r>
      <w:r w:rsidR="00187C4E">
        <w:rPr>
          <w:rFonts w:ascii="Times New Roman" w:hAnsi="Times New Roman"/>
          <w:sz w:val="24"/>
          <w:szCs w:val="24"/>
        </w:rPr>
        <w:t>s</w:t>
      </w:r>
      <w:r w:rsidR="00ED5EDF">
        <w:rPr>
          <w:rFonts w:ascii="Times New Roman" w:hAnsi="Times New Roman"/>
          <w:sz w:val="24"/>
          <w:szCs w:val="24"/>
        </w:rPr>
        <w:t>e with their wives</w:t>
      </w:r>
      <w:r w:rsidR="00322144">
        <w:rPr>
          <w:rFonts w:ascii="Times New Roman" w:hAnsi="Times New Roman"/>
          <w:sz w:val="24"/>
          <w:szCs w:val="24"/>
        </w:rPr>
        <w:t xml:space="preserve"> (</w:t>
      </w:r>
      <w:r w:rsidR="00322144" w:rsidRPr="00322144">
        <w:rPr>
          <w:rFonts w:ascii="Times New Roman" w:hAnsi="Times New Roman"/>
          <w:i/>
          <w:sz w:val="24"/>
          <w:szCs w:val="24"/>
        </w:rPr>
        <w:t>Ex</w:t>
      </w:r>
      <w:r w:rsidR="00322144">
        <w:rPr>
          <w:rFonts w:ascii="Times New Roman" w:hAnsi="Times New Roman"/>
          <w:sz w:val="24"/>
          <w:szCs w:val="24"/>
        </w:rPr>
        <w:t xml:space="preserve"> 21:10).</w:t>
      </w:r>
      <w:r w:rsidR="00AC7B8E">
        <w:rPr>
          <w:rFonts w:ascii="Times New Roman" w:hAnsi="Times New Roman"/>
          <w:sz w:val="24"/>
          <w:szCs w:val="24"/>
        </w:rPr>
        <w:t>, yet this was one</w:t>
      </w:r>
      <w:r w:rsidR="00C22E00">
        <w:rPr>
          <w:rFonts w:ascii="Times New Roman" w:hAnsi="Times New Roman"/>
          <w:sz w:val="24"/>
          <w:szCs w:val="24"/>
        </w:rPr>
        <w:t xml:space="preserve"> the causes of ritual impurity. It was only seen as sinful when a </w:t>
      </w:r>
      <w:r w:rsidR="00396648">
        <w:rPr>
          <w:rFonts w:ascii="Times New Roman" w:hAnsi="Times New Roman"/>
          <w:sz w:val="24"/>
          <w:szCs w:val="24"/>
        </w:rPr>
        <w:t>person deliberately entered the temple in</w:t>
      </w:r>
      <w:r w:rsidR="005F2110">
        <w:rPr>
          <w:rFonts w:ascii="Times New Roman" w:hAnsi="Times New Roman"/>
          <w:sz w:val="24"/>
          <w:szCs w:val="24"/>
        </w:rPr>
        <w:t xml:space="preserve"> a state of impurity. Bathing in a pool would remove </w:t>
      </w:r>
      <w:r w:rsidR="006D0EAA">
        <w:rPr>
          <w:rFonts w:ascii="Times New Roman" w:hAnsi="Times New Roman"/>
          <w:sz w:val="24"/>
          <w:szCs w:val="24"/>
        </w:rPr>
        <w:t xml:space="preserve">the impurity and when time had passed a person </w:t>
      </w:r>
      <w:r w:rsidR="00B55AF6">
        <w:rPr>
          <w:rFonts w:ascii="Times New Roman" w:hAnsi="Times New Roman"/>
          <w:sz w:val="24"/>
          <w:szCs w:val="24"/>
        </w:rPr>
        <w:t>could then enter the temple in a sin free and p</w:t>
      </w:r>
      <w:r w:rsidR="00D435BF">
        <w:rPr>
          <w:rFonts w:ascii="Times New Roman" w:hAnsi="Times New Roman"/>
          <w:sz w:val="24"/>
          <w:szCs w:val="24"/>
        </w:rPr>
        <w:t>urified state.</w:t>
      </w:r>
      <w:r w:rsidR="00D435BF">
        <w:rPr>
          <w:rStyle w:val="FootnoteReference"/>
          <w:rFonts w:ascii="Times New Roman" w:hAnsi="Times New Roman"/>
          <w:sz w:val="24"/>
          <w:szCs w:val="24"/>
        </w:rPr>
        <w:footnoteReference w:id="18"/>
      </w:r>
      <w:r w:rsidR="006C4B92">
        <w:rPr>
          <w:rFonts w:ascii="Times New Roman" w:hAnsi="Times New Roman"/>
          <w:sz w:val="24"/>
          <w:szCs w:val="24"/>
        </w:rPr>
        <w:t xml:space="preserve"> B</w:t>
      </w:r>
      <w:r w:rsidR="009F68F4">
        <w:rPr>
          <w:rFonts w:ascii="Times New Roman" w:hAnsi="Times New Roman"/>
          <w:sz w:val="24"/>
          <w:szCs w:val="24"/>
        </w:rPr>
        <w:t>een in a state of purity</w:t>
      </w:r>
      <w:r w:rsidR="00011D42">
        <w:rPr>
          <w:rFonts w:ascii="Times New Roman" w:hAnsi="Times New Roman"/>
          <w:sz w:val="24"/>
          <w:szCs w:val="24"/>
        </w:rPr>
        <w:t xml:space="preserve"> was not only for religious purposes, its also distinguished the Jews</w:t>
      </w:r>
      <w:r w:rsidR="00153C67">
        <w:rPr>
          <w:rFonts w:ascii="Times New Roman" w:hAnsi="Times New Roman"/>
          <w:sz w:val="24"/>
          <w:szCs w:val="24"/>
        </w:rPr>
        <w:t xml:space="preserve"> from the Gentiles. </w:t>
      </w:r>
      <w:r w:rsidR="00DB397D">
        <w:rPr>
          <w:rFonts w:ascii="Times New Roman" w:hAnsi="Times New Roman"/>
          <w:sz w:val="24"/>
          <w:szCs w:val="24"/>
        </w:rPr>
        <w:t xml:space="preserve">With the </w:t>
      </w:r>
      <w:r w:rsidR="001E37E7">
        <w:rPr>
          <w:rFonts w:ascii="Times New Roman" w:hAnsi="Times New Roman"/>
          <w:sz w:val="24"/>
          <w:szCs w:val="24"/>
        </w:rPr>
        <w:t>destruction</w:t>
      </w:r>
      <w:r w:rsidR="00DB397D">
        <w:rPr>
          <w:rFonts w:ascii="Times New Roman" w:hAnsi="Times New Roman"/>
          <w:sz w:val="24"/>
          <w:szCs w:val="24"/>
        </w:rPr>
        <w:t xml:space="preserve"> of the second temple, the rabbis abolished lots of the purity laws that were no longer needed. They then elaborated the laws applying to women and </w:t>
      </w:r>
      <w:r w:rsidR="00384B0B">
        <w:rPr>
          <w:rFonts w:ascii="Times New Roman" w:hAnsi="Times New Roman"/>
          <w:sz w:val="24"/>
          <w:szCs w:val="24"/>
        </w:rPr>
        <w:t xml:space="preserve">menstruation. The laws of niddah were reinterpreted and a new legal category </w:t>
      </w:r>
      <w:r w:rsidR="00991DCE">
        <w:rPr>
          <w:rFonts w:ascii="Times New Roman" w:hAnsi="Times New Roman"/>
          <w:sz w:val="24"/>
          <w:szCs w:val="24"/>
        </w:rPr>
        <w:t xml:space="preserve">“Family Purity” was introduced. This is significant because it became the </w:t>
      </w:r>
      <w:r w:rsidR="001E37E7">
        <w:rPr>
          <w:rFonts w:ascii="Times New Roman" w:hAnsi="Times New Roman"/>
          <w:sz w:val="24"/>
          <w:szCs w:val="24"/>
        </w:rPr>
        <w:t>women’s</w:t>
      </w:r>
      <w:r w:rsidR="00991DCE">
        <w:rPr>
          <w:rFonts w:ascii="Times New Roman" w:hAnsi="Times New Roman"/>
          <w:sz w:val="24"/>
          <w:szCs w:val="24"/>
        </w:rPr>
        <w:t xml:space="preserve"> role to provide moral and spiritual guidance and to also regulate sex and reproduction. </w:t>
      </w:r>
      <w:r w:rsidR="001A5F1A">
        <w:rPr>
          <w:rStyle w:val="FootnoteReference"/>
          <w:rFonts w:ascii="Times New Roman" w:hAnsi="Times New Roman"/>
          <w:sz w:val="24"/>
          <w:szCs w:val="24"/>
        </w:rPr>
        <w:footnoteReference w:id="19"/>
      </w:r>
    </w:p>
    <w:p w14:paraId="3019E303" w14:textId="6024DB85" w:rsidR="00E231E4" w:rsidRDefault="00EE2CBF" w:rsidP="0095244B">
      <w:pPr>
        <w:spacing w:line="480" w:lineRule="auto"/>
        <w:rPr>
          <w:rFonts w:ascii="Times New Roman" w:hAnsi="Times New Roman"/>
          <w:sz w:val="24"/>
          <w:szCs w:val="24"/>
        </w:rPr>
      </w:pPr>
      <w:r>
        <w:rPr>
          <w:rFonts w:ascii="Times New Roman" w:hAnsi="Times New Roman"/>
          <w:sz w:val="24"/>
          <w:szCs w:val="24"/>
        </w:rPr>
        <w:t>The sacrifice of animals was important for the Jewish people.</w:t>
      </w:r>
      <w:r w:rsidR="005649E5">
        <w:rPr>
          <w:rFonts w:ascii="Times New Roman" w:hAnsi="Times New Roman"/>
          <w:sz w:val="24"/>
          <w:szCs w:val="24"/>
        </w:rPr>
        <w:t xml:space="preserve"> They believed that by depriving themselves of these objects they were bringing oneself</w:t>
      </w:r>
      <w:r w:rsidR="00A0377B">
        <w:rPr>
          <w:rFonts w:ascii="Times New Roman" w:hAnsi="Times New Roman"/>
          <w:sz w:val="24"/>
          <w:szCs w:val="24"/>
        </w:rPr>
        <w:t xml:space="preserve"> closer to God. The offerings were intended to bring forgiveness</w:t>
      </w:r>
      <w:r w:rsidR="00D21D76">
        <w:rPr>
          <w:rFonts w:ascii="Times New Roman" w:hAnsi="Times New Roman"/>
          <w:sz w:val="24"/>
          <w:szCs w:val="24"/>
        </w:rPr>
        <w:t>, the animal is been substituted for the sinner.</w:t>
      </w:r>
      <w:r w:rsidR="00D21D76">
        <w:rPr>
          <w:rStyle w:val="FootnoteReference"/>
          <w:rFonts w:ascii="Times New Roman" w:hAnsi="Times New Roman"/>
          <w:sz w:val="24"/>
          <w:szCs w:val="24"/>
        </w:rPr>
        <w:footnoteReference w:id="20"/>
      </w:r>
      <w:r w:rsidR="001D0F00">
        <w:rPr>
          <w:rFonts w:ascii="Times New Roman" w:hAnsi="Times New Roman"/>
          <w:sz w:val="24"/>
          <w:szCs w:val="24"/>
        </w:rPr>
        <w:t xml:space="preserve">Only the priests were permitted to carry out essential parts of the </w:t>
      </w:r>
      <w:r w:rsidR="001A6DF4">
        <w:rPr>
          <w:rFonts w:ascii="Times New Roman" w:hAnsi="Times New Roman"/>
          <w:sz w:val="24"/>
          <w:szCs w:val="24"/>
        </w:rPr>
        <w:t xml:space="preserve">sacrificial service. The alters where the animals were </w:t>
      </w:r>
      <w:r w:rsidR="00B41BF7">
        <w:rPr>
          <w:rFonts w:ascii="Times New Roman" w:hAnsi="Times New Roman"/>
          <w:sz w:val="24"/>
          <w:szCs w:val="24"/>
        </w:rPr>
        <w:t>sacrificed</w:t>
      </w:r>
      <w:r w:rsidR="001A6DF4">
        <w:rPr>
          <w:rFonts w:ascii="Times New Roman" w:hAnsi="Times New Roman"/>
          <w:sz w:val="24"/>
          <w:szCs w:val="24"/>
        </w:rPr>
        <w:t xml:space="preserve"> </w:t>
      </w:r>
      <w:r w:rsidR="00393B98">
        <w:rPr>
          <w:rFonts w:ascii="Times New Roman" w:hAnsi="Times New Roman"/>
          <w:sz w:val="24"/>
          <w:szCs w:val="24"/>
        </w:rPr>
        <w:t>were in</w:t>
      </w:r>
      <w:r w:rsidR="001A6DF4">
        <w:rPr>
          <w:rFonts w:ascii="Times New Roman" w:hAnsi="Times New Roman"/>
          <w:sz w:val="24"/>
          <w:szCs w:val="24"/>
        </w:rPr>
        <w:t xml:space="preserve"> the inner parts of the temple where only the priests were permitted to go</w:t>
      </w:r>
      <w:r w:rsidR="003C4432">
        <w:rPr>
          <w:rFonts w:ascii="Times New Roman" w:hAnsi="Times New Roman"/>
          <w:sz w:val="24"/>
          <w:szCs w:val="24"/>
        </w:rPr>
        <w:t>. Eliezer Segal states that</w:t>
      </w:r>
    </w:p>
    <w:p w14:paraId="5FD2775F" w14:textId="32490202" w:rsidR="00714F22" w:rsidRDefault="00714F22" w:rsidP="00A470F0">
      <w:pPr>
        <w:spacing w:line="480" w:lineRule="auto"/>
        <w:ind w:left="720"/>
        <w:rPr>
          <w:rFonts w:ascii="Times New Roman" w:hAnsi="Times New Roman"/>
          <w:sz w:val="24"/>
          <w:szCs w:val="24"/>
        </w:rPr>
      </w:pPr>
      <w:r>
        <w:rPr>
          <w:rFonts w:ascii="Times New Roman" w:hAnsi="Times New Roman"/>
          <w:sz w:val="24"/>
          <w:szCs w:val="24"/>
        </w:rPr>
        <w:t xml:space="preserve">“In his guide of the perplexed, </w:t>
      </w:r>
      <w:r w:rsidR="00B41BF7">
        <w:rPr>
          <w:rFonts w:ascii="Times New Roman" w:hAnsi="Times New Roman"/>
          <w:sz w:val="24"/>
          <w:szCs w:val="24"/>
        </w:rPr>
        <w:t>Ma</w:t>
      </w:r>
      <w:r w:rsidR="009C687C">
        <w:rPr>
          <w:rFonts w:ascii="Times New Roman" w:hAnsi="Times New Roman"/>
          <w:sz w:val="24"/>
          <w:szCs w:val="24"/>
        </w:rPr>
        <w:t>imonide</w:t>
      </w:r>
      <w:r w:rsidR="00B41BF7">
        <w:rPr>
          <w:rFonts w:ascii="Times New Roman" w:hAnsi="Times New Roman"/>
          <w:sz w:val="24"/>
          <w:szCs w:val="24"/>
        </w:rPr>
        <w:t>s</w:t>
      </w:r>
      <w:r>
        <w:rPr>
          <w:rFonts w:ascii="Times New Roman" w:hAnsi="Times New Roman"/>
          <w:sz w:val="24"/>
          <w:szCs w:val="24"/>
        </w:rPr>
        <w:t xml:space="preserve"> suggested that God would have </w:t>
      </w:r>
      <w:r w:rsidR="001D2C89">
        <w:rPr>
          <w:rFonts w:ascii="Times New Roman" w:hAnsi="Times New Roman"/>
          <w:sz w:val="24"/>
          <w:szCs w:val="24"/>
        </w:rPr>
        <w:t xml:space="preserve">preferred to ordain verbal prayer in the Torah, but the Hebrews of that generation, freshly </w:t>
      </w:r>
      <w:r w:rsidR="001D2C89">
        <w:rPr>
          <w:rFonts w:ascii="Times New Roman" w:hAnsi="Times New Roman"/>
          <w:sz w:val="24"/>
          <w:szCs w:val="24"/>
        </w:rPr>
        <w:lastRenderedPageBreak/>
        <w:t>liberated from slavery in Egypt, were</w:t>
      </w:r>
      <w:r w:rsidR="000A4752">
        <w:rPr>
          <w:rFonts w:ascii="Times New Roman" w:hAnsi="Times New Roman"/>
          <w:sz w:val="24"/>
          <w:szCs w:val="24"/>
        </w:rPr>
        <w:t xml:space="preserve"> not sophisticated enough for it, and God knew that they would not accept</w:t>
      </w:r>
      <w:r w:rsidR="00C2048A">
        <w:rPr>
          <w:rFonts w:ascii="Times New Roman" w:hAnsi="Times New Roman"/>
          <w:sz w:val="24"/>
          <w:szCs w:val="24"/>
        </w:rPr>
        <w:t xml:space="preserve"> the </w:t>
      </w:r>
      <w:r w:rsidR="00B41BF7">
        <w:rPr>
          <w:rFonts w:ascii="Times New Roman" w:hAnsi="Times New Roman"/>
          <w:sz w:val="24"/>
          <w:szCs w:val="24"/>
        </w:rPr>
        <w:t>monotheistic</w:t>
      </w:r>
      <w:r w:rsidR="00C2048A">
        <w:rPr>
          <w:rFonts w:ascii="Times New Roman" w:hAnsi="Times New Roman"/>
          <w:sz w:val="24"/>
          <w:szCs w:val="24"/>
        </w:rPr>
        <w:t xml:space="preserve"> religion if it did not satisfy their inclination to offer </w:t>
      </w:r>
      <w:r w:rsidR="00393B98">
        <w:rPr>
          <w:rFonts w:ascii="Times New Roman" w:hAnsi="Times New Roman"/>
          <w:sz w:val="24"/>
          <w:szCs w:val="24"/>
        </w:rPr>
        <w:t>sacrifice’s</w:t>
      </w:r>
      <w:r w:rsidR="00527819">
        <w:rPr>
          <w:rFonts w:ascii="Times New Roman" w:hAnsi="Times New Roman"/>
          <w:sz w:val="24"/>
          <w:szCs w:val="24"/>
        </w:rPr>
        <w:t>.”</w:t>
      </w:r>
      <w:r w:rsidR="00527819">
        <w:rPr>
          <w:rStyle w:val="FootnoteReference"/>
          <w:rFonts w:ascii="Times New Roman" w:hAnsi="Times New Roman"/>
          <w:sz w:val="24"/>
          <w:szCs w:val="24"/>
        </w:rPr>
        <w:footnoteReference w:id="21"/>
      </w:r>
    </w:p>
    <w:p w14:paraId="35D86514" w14:textId="3D880AB7" w:rsidR="00AA4420" w:rsidRPr="00ED2608" w:rsidRDefault="00AA4420" w:rsidP="0095244B">
      <w:pPr>
        <w:spacing w:line="480" w:lineRule="auto"/>
        <w:rPr>
          <w:rFonts w:ascii="Times New Roman" w:hAnsi="Times New Roman"/>
          <w:sz w:val="24"/>
          <w:szCs w:val="24"/>
        </w:rPr>
      </w:pPr>
      <w:r>
        <w:rPr>
          <w:rFonts w:ascii="Times New Roman" w:hAnsi="Times New Roman"/>
          <w:sz w:val="24"/>
          <w:szCs w:val="24"/>
        </w:rPr>
        <w:t>In Rabbinic</w:t>
      </w:r>
      <w:r w:rsidR="00B47F20">
        <w:rPr>
          <w:rFonts w:ascii="Times New Roman" w:hAnsi="Times New Roman"/>
          <w:sz w:val="24"/>
          <w:szCs w:val="24"/>
        </w:rPr>
        <w:t xml:space="preserve"> Judaism, their belief, which arose from the Pharisees</w:t>
      </w:r>
      <w:r w:rsidR="00C06827">
        <w:rPr>
          <w:rFonts w:ascii="Times New Roman" w:hAnsi="Times New Roman"/>
          <w:sz w:val="24"/>
          <w:szCs w:val="24"/>
        </w:rPr>
        <w:t xml:space="preserve"> belief, that prayer always co-existed with sacrifice</w:t>
      </w:r>
      <w:r w:rsidR="00BF0DD3">
        <w:rPr>
          <w:rFonts w:ascii="Times New Roman" w:hAnsi="Times New Roman"/>
          <w:sz w:val="24"/>
          <w:szCs w:val="24"/>
        </w:rPr>
        <w:t xml:space="preserve">, they believed that prayer and acts of loving kindness are greater than </w:t>
      </w:r>
      <w:r w:rsidR="001228E0">
        <w:rPr>
          <w:rFonts w:ascii="Times New Roman" w:hAnsi="Times New Roman"/>
          <w:sz w:val="24"/>
          <w:szCs w:val="24"/>
        </w:rPr>
        <w:t>sacrifice. The destruction of the temple changed the nature of Jewish worship</w:t>
      </w:r>
      <w:r w:rsidR="002764D7">
        <w:rPr>
          <w:rFonts w:ascii="Times New Roman" w:hAnsi="Times New Roman"/>
          <w:sz w:val="24"/>
          <w:szCs w:val="24"/>
        </w:rPr>
        <w:t>,</w:t>
      </w:r>
      <w:r w:rsidR="00B9108D">
        <w:rPr>
          <w:rFonts w:ascii="Times New Roman" w:hAnsi="Times New Roman"/>
          <w:sz w:val="24"/>
          <w:szCs w:val="24"/>
        </w:rPr>
        <w:t xml:space="preserve"> it changed from the importance of sacrificial worship to the</w:t>
      </w:r>
      <w:r w:rsidR="002764D7">
        <w:rPr>
          <w:rFonts w:ascii="Times New Roman" w:hAnsi="Times New Roman"/>
          <w:sz w:val="24"/>
          <w:szCs w:val="24"/>
        </w:rPr>
        <w:t xml:space="preserve"> importance of prayer.</w:t>
      </w:r>
      <w:r w:rsidR="00CA27A2">
        <w:rPr>
          <w:rStyle w:val="FootnoteReference"/>
          <w:rFonts w:ascii="Times New Roman" w:hAnsi="Times New Roman"/>
          <w:sz w:val="24"/>
          <w:szCs w:val="24"/>
        </w:rPr>
        <w:footnoteReference w:id="22"/>
      </w:r>
    </w:p>
    <w:p w14:paraId="6E609421" w14:textId="0A1F9BE5" w:rsidR="00D823BE" w:rsidRDefault="00D823BE" w:rsidP="0095244B">
      <w:pPr>
        <w:spacing w:line="480" w:lineRule="auto"/>
        <w:rPr>
          <w:rFonts w:ascii="Times New Roman" w:hAnsi="Times New Roman"/>
          <w:sz w:val="24"/>
          <w:szCs w:val="24"/>
        </w:rPr>
      </w:pPr>
    </w:p>
    <w:p w14:paraId="313E0EFA" w14:textId="44797FB2" w:rsidR="00BD056E" w:rsidRDefault="00BD056E" w:rsidP="00BD056E">
      <w:pPr>
        <w:spacing w:line="480" w:lineRule="auto"/>
        <w:rPr>
          <w:rFonts w:ascii="Times New Roman" w:hAnsi="Times New Roman"/>
          <w:sz w:val="24"/>
          <w:szCs w:val="24"/>
        </w:rPr>
      </w:pPr>
      <w:r>
        <w:rPr>
          <w:rFonts w:ascii="Times New Roman" w:hAnsi="Times New Roman"/>
          <w:sz w:val="24"/>
          <w:szCs w:val="24"/>
        </w:rPr>
        <w:t>Tisha B’av – the 9</w:t>
      </w:r>
      <w:r w:rsidRPr="00BF50B3">
        <w:rPr>
          <w:rFonts w:ascii="Times New Roman" w:hAnsi="Times New Roman"/>
          <w:sz w:val="24"/>
          <w:szCs w:val="24"/>
          <w:vertAlign w:val="superscript"/>
        </w:rPr>
        <w:t>th</w:t>
      </w:r>
      <w:r>
        <w:rPr>
          <w:rFonts w:ascii="Times New Roman" w:hAnsi="Times New Roman"/>
          <w:sz w:val="24"/>
          <w:szCs w:val="24"/>
        </w:rPr>
        <w:t xml:space="preserve"> of Av is the saddest day in the Jewish </w:t>
      </w:r>
      <w:r w:rsidR="00D6159E">
        <w:rPr>
          <w:rFonts w:ascii="Times New Roman" w:hAnsi="Times New Roman"/>
          <w:sz w:val="24"/>
          <w:szCs w:val="24"/>
        </w:rPr>
        <w:t>calendar</w:t>
      </w:r>
      <w:r>
        <w:rPr>
          <w:rFonts w:ascii="Times New Roman" w:hAnsi="Times New Roman"/>
          <w:sz w:val="24"/>
          <w:szCs w:val="24"/>
        </w:rPr>
        <w:t>. Both the first and second temple are said to have been destroyed on this day.</w:t>
      </w:r>
      <w:r w:rsidR="0024085A">
        <w:rPr>
          <w:rFonts w:ascii="Times New Roman" w:hAnsi="Times New Roman"/>
          <w:sz w:val="24"/>
          <w:szCs w:val="24"/>
        </w:rPr>
        <w:t xml:space="preserve"> The second temple was destroyed on the 10</w:t>
      </w:r>
      <w:r w:rsidR="0024085A" w:rsidRPr="0024085A">
        <w:rPr>
          <w:rFonts w:ascii="Times New Roman" w:hAnsi="Times New Roman"/>
          <w:sz w:val="24"/>
          <w:szCs w:val="24"/>
          <w:vertAlign w:val="superscript"/>
        </w:rPr>
        <w:t>th</w:t>
      </w:r>
      <w:r w:rsidR="0024085A">
        <w:rPr>
          <w:rFonts w:ascii="Times New Roman" w:hAnsi="Times New Roman"/>
          <w:sz w:val="24"/>
          <w:szCs w:val="24"/>
        </w:rPr>
        <w:t xml:space="preserve"> </w:t>
      </w:r>
      <w:r w:rsidR="00D6159E">
        <w:rPr>
          <w:rFonts w:ascii="Times New Roman" w:hAnsi="Times New Roman"/>
          <w:sz w:val="24"/>
          <w:szCs w:val="24"/>
        </w:rPr>
        <w:t>of Av</w:t>
      </w:r>
      <w:r w:rsidR="003D7182">
        <w:rPr>
          <w:rFonts w:ascii="Times New Roman" w:hAnsi="Times New Roman"/>
          <w:sz w:val="24"/>
          <w:szCs w:val="24"/>
        </w:rPr>
        <w:t xml:space="preserve"> 70 CE by the romans</w:t>
      </w:r>
      <w:r w:rsidR="00BD61DE">
        <w:rPr>
          <w:rFonts w:ascii="Times New Roman" w:hAnsi="Times New Roman"/>
          <w:sz w:val="24"/>
          <w:szCs w:val="24"/>
        </w:rPr>
        <w:t>, but the destruction of the temple began on the 9</w:t>
      </w:r>
      <w:r w:rsidR="00BD61DE" w:rsidRPr="00BD61DE">
        <w:rPr>
          <w:rFonts w:ascii="Times New Roman" w:hAnsi="Times New Roman"/>
          <w:sz w:val="24"/>
          <w:szCs w:val="24"/>
          <w:vertAlign w:val="superscript"/>
        </w:rPr>
        <w:t>th</w:t>
      </w:r>
      <w:r w:rsidR="00BD61DE">
        <w:rPr>
          <w:rFonts w:ascii="Times New Roman" w:hAnsi="Times New Roman"/>
          <w:sz w:val="24"/>
          <w:szCs w:val="24"/>
        </w:rPr>
        <w:t xml:space="preserve"> of Av. The Jewish people take part in a fast on this day, </w:t>
      </w:r>
      <w:r w:rsidR="008C0C8F">
        <w:rPr>
          <w:rFonts w:ascii="Times New Roman" w:hAnsi="Times New Roman"/>
          <w:sz w:val="24"/>
          <w:szCs w:val="24"/>
        </w:rPr>
        <w:t xml:space="preserve">they are not allowed </w:t>
      </w:r>
      <w:r w:rsidR="003634D4">
        <w:rPr>
          <w:rFonts w:ascii="Times New Roman" w:hAnsi="Times New Roman"/>
          <w:sz w:val="24"/>
          <w:szCs w:val="24"/>
        </w:rPr>
        <w:t>to bathe, eat, drink or go to work. The seriousness of this day of mo</w:t>
      </w:r>
      <w:r w:rsidR="00930AF6">
        <w:rPr>
          <w:rFonts w:ascii="Times New Roman" w:hAnsi="Times New Roman"/>
          <w:sz w:val="24"/>
          <w:szCs w:val="24"/>
        </w:rPr>
        <w:t>u</w:t>
      </w:r>
      <w:r w:rsidR="003634D4">
        <w:rPr>
          <w:rFonts w:ascii="Times New Roman" w:hAnsi="Times New Roman"/>
          <w:sz w:val="24"/>
          <w:szCs w:val="24"/>
        </w:rPr>
        <w:t>rning is ev</w:t>
      </w:r>
      <w:r w:rsidR="00930AF6">
        <w:rPr>
          <w:rFonts w:ascii="Times New Roman" w:hAnsi="Times New Roman"/>
          <w:sz w:val="24"/>
          <w:szCs w:val="24"/>
        </w:rPr>
        <w:t>ident with the study of Torah been prohib</w:t>
      </w:r>
      <w:r w:rsidR="00D6159E">
        <w:rPr>
          <w:rFonts w:ascii="Times New Roman" w:hAnsi="Times New Roman"/>
          <w:sz w:val="24"/>
          <w:szCs w:val="24"/>
        </w:rPr>
        <w:t>ited.</w:t>
      </w:r>
      <w:r w:rsidR="00BB3C2B">
        <w:rPr>
          <w:rStyle w:val="FootnoteReference"/>
          <w:rFonts w:ascii="Times New Roman" w:hAnsi="Times New Roman"/>
          <w:sz w:val="24"/>
          <w:szCs w:val="24"/>
        </w:rPr>
        <w:footnoteReference w:id="23"/>
      </w:r>
      <w:r w:rsidR="002C7570">
        <w:rPr>
          <w:rFonts w:ascii="Times New Roman" w:hAnsi="Times New Roman"/>
          <w:sz w:val="24"/>
          <w:szCs w:val="24"/>
        </w:rPr>
        <w:t xml:space="preserve"> For Eugene Pogany the 9</w:t>
      </w:r>
      <w:r w:rsidR="002C7570" w:rsidRPr="002C7570">
        <w:rPr>
          <w:rFonts w:ascii="Times New Roman" w:hAnsi="Times New Roman"/>
          <w:sz w:val="24"/>
          <w:szCs w:val="24"/>
          <w:vertAlign w:val="superscript"/>
        </w:rPr>
        <w:t>th</w:t>
      </w:r>
      <w:r w:rsidR="002C7570">
        <w:rPr>
          <w:rFonts w:ascii="Times New Roman" w:hAnsi="Times New Roman"/>
          <w:sz w:val="24"/>
          <w:szCs w:val="24"/>
        </w:rPr>
        <w:t xml:space="preserve"> of Av is an occasion for moral and spiritual reflection. It is a time to recall events from their suffering and exile. Their religious observances and rituals are a reminder of their spiritual home in Jer</w:t>
      </w:r>
      <w:r w:rsidR="006546CC">
        <w:rPr>
          <w:rFonts w:ascii="Times New Roman" w:hAnsi="Times New Roman"/>
          <w:sz w:val="24"/>
          <w:szCs w:val="24"/>
        </w:rPr>
        <w:t>usalem. It is a day to reflect on the Jews longing for their holy temple and sanctuary. The sorrow over the temple</w:t>
      </w:r>
      <w:r w:rsidR="00DA4AF8">
        <w:rPr>
          <w:rFonts w:ascii="Times New Roman" w:hAnsi="Times New Roman"/>
          <w:sz w:val="24"/>
          <w:szCs w:val="24"/>
        </w:rPr>
        <w:t>’</w:t>
      </w:r>
      <w:r w:rsidR="006546CC">
        <w:rPr>
          <w:rFonts w:ascii="Times New Roman" w:hAnsi="Times New Roman"/>
          <w:sz w:val="24"/>
          <w:szCs w:val="24"/>
        </w:rPr>
        <w:t xml:space="preserve">s destruction helps bind every Jewish person together in memory of their suffering and remembrance of Jerusalem. </w:t>
      </w:r>
      <w:r w:rsidR="00DA4AF8">
        <w:rPr>
          <w:rStyle w:val="FootnoteReference"/>
          <w:rFonts w:ascii="Times New Roman" w:hAnsi="Times New Roman"/>
          <w:sz w:val="24"/>
          <w:szCs w:val="24"/>
        </w:rPr>
        <w:footnoteReference w:id="24"/>
      </w:r>
    </w:p>
    <w:p w14:paraId="79AC54DD" w14:textId="5C79E7DE" w:rsidR="00D823BE" w:rsidRDefault="006A2F7F" w:rsidP="00D823BE">
      <w:pPr>
        <w:spacing w:line="480" w:lineRule="auto"/>
        <w:rPr>
          <w:rFonts w:ascii="Times New Roman" w:hAnsi="Times New Roman"/>
          <w:sz w:val="24"/>
          <w:szCs w:val="24"/>
        </w:rPr>
      </w:pPr>
      <w:r>
        <w:rPr>
          <w:rFonts w:ascii="Times New Roman" w:hAnsi="Times New Roman"/>
          <w:sz w:val="24"/>
          <w:szCs w:val="24"/>
        </w:rPr>
        <w:lastRenderedPageBreak/>
        <w:t>The Synagogue is a place where Jewish people can study and pray. It is a meeting place for the community. A Synagogue must have two features an ark for housing the scrolls of the Torah and a desk to read them. The ark is a cupboard fixed in the east wall of the Synagogue and it is there that the Torah scrolls are kept.</w:t>
      </w:r>
      <w:r w:rsidR="00A832F9">
        <w:rPr>
          <w:rFonts w:ascii="Times New Roman" w:hAnsi="Times New Roman"/>
          <w:sz w:val="24"/>
          <w:szCs w:val="24"/>
        </w:rPr>
        <w:t xml:space="preserve"> It is the focal point of the Synagogue and in front of the ark is an elaborate embroidered curtain. A hazen is an employee, they are trained in Torah, Talmud and the prayer book, they lead the community in worship. Another employee of the Synagogue is the Rabbi, he needs to be an expert in all matters relating to the Torah. Synagogues were a part of Jewish life before the destruction of the second </w:t>
      </w:r>
      <w:r w:rsidR="001572CD">
        <w:rPr>
          <w:rFonts w:ascii="Times New Roman" w:hAnsi="Times New Roman"/>
          <w:sz w:val="24"/>
          <w:szCs w:val="24"/>
        </w:rPr>
        <w:t>temple,</w:t>
      </w:r>
      <w:r w:rsidR="00A832F9">
        <w:rPr>
          <w:rFonts w:ascii="Times New Roman" w:hAnsi="Times New Roman"/>
          <w:sz w:val="24"/>
          <w:szCs w:val="24"/>
        </w:rPr>
        <w:t xml:space="preserve"> but it was not until after the destruction of the second temple in 70 CE that the importance of the Synagogue became relevant</w:t>
      </w:r>
      <w:r w:rsidR="002D5299">
        <w:rPr>
          <w:rFonts w:ascii="Times New Roman" w:hAnsi="Times New Roman"/>
          <w:sz w:val="24"/>
          <w:szCs w:val="24"/>
        </w:rPr>
        <w:t>.</w:t>
      </w:r>
      <w:r w:rsidR="00A832F9">
        <w:rPr>
          <w:rFonts w:ascii="Times New Roman" w:hAnsi="Times New Roman"/>
          <w:sz w:val="24"/>
          <w:szCs w:val="24"/>
        </w:rPr>
        <w:t xml:space="preserve"> </w:t>
      </w:r>
      <w:r w:rsidR="00A832F9">
        <w:rPr>
          <w:rStyle w:val="FootnoteReference"/>
          <w:rFonts w:ascii="Times New Roman" w:hAnsi="Times New Roman"/>
          <w:sz w:val="24"/>
          <w:szCs w:val="24"/>
        </w:rPr>
        <w:footnoteReference w:id="25"/>
      </w:r>
      <w:r w:rsidR="00A832F9">
        <w:rPr>
          <w:rFonts w:ascii="Times New Roman" w:hAnsi="Times New Roman"/>
          <w:sz w:val="24"/>
          <w:szCs w:val="24"/>
        </w:rPr>
        <w:t xml:space="preserve"> </w:t>
      </w:r>
    </w:p>
    <w:p w14:paraId="30B91CED" w14:textId="7FD8DF9F" w:rsidR="009F632C" w:rsidRDefault="009F632C" w:rsidP="00D823BE">
      <w:pPr>
        <w:spacing w:line="480" w:lineRule="auto"/>
        <w:rPr>
          <w:rFonts w:ascii="Times New Roman" w:hAnsi="Times New Roman"/>
          <w:sz w:val="24"/>
          <w:szCs w:val="24"/>
        </w:rPr>
      </w:pPr>
      <w:r>
        <w:rPr>
          <w:rFonts w:ascii="Times New Roman" w:hAnsi="Times New Roman"/>
          <w:sz w:val="24"/>
          <w:szCs w:val="24"/>
        </w:rPr>
        <w:t xml:space="preserve">The Jewish people survived the destruction of both of their temples. With the destruction of the second temple and the expulsion of the Jews from Judah, religious life was never the same again. By securing Yavneh and its sages it insured that </w:t>
      </w:r>
      <w:r w:rsidR="001572CD">
        <w:rPr>
          <w:rFonts w:ascii="Times New Roman" w:hAnsi="Times New Roman"/>
          <w:sz w:val="24"/>
          <w:szCs w:val="24"/>
        </w:rPr>
        <w:t>the teachings</w:t>
      </w:r>
      <w:r>
        <w:rPr>
          <w:rFonts w:ascii="Times New Roman" w:hAnsi="Times New Roman"/>
          <w:sz w:val="24"/>
          <w:szCs w:val="24"/>
        </w:rPr>
        <w:t xml:space="preserve"> of the Torah would be transmitted to future generations the Mishnah was described as the iron pillar of the Law, after Sinai, it is considered the greatest landmark of the history of Judaism. Tisha B’av is the saddest day in the Jewish calendar. It is time for a spiritual reflection. A day to </w:t>
      </w:r>
      <w:r w:rsidR="001572CD">
        <w:rPr>
          <w:rFonts w:ascii="Times New Roman" w:hAnsi="Times New Roman"/>
          <w:sz w:val="24"/>
          <w:szCs w:val="24"/>
        </w:rPr>
        <w:t>reflect</w:t>
      </w:r>
      <w:r>
        <w:rPr>
          <w:rFonts w:ascii="Times New Roman" w:hAnsi="Times New Roman"/>
          <w:sz w:val="24"/>
          <w:szCs w:val="24"/>
        </w:rPr>
        <w:t xml:space="preserve"> on the longing for the holy temple and a time to bind every Jewish person together</w:t>
      </w:r>
      <w:r w:rsidR="001572CD">
        <w:rPr>
          <w:rFonts w:ascii="Times New Roman" w:hAnsi="Times New Roman"/>
          <w:sz w:val="24"/>
          <w:szCs w:val="24"/>
        </w:rPr>
        <w:t>.</w:t>
      </w:r>
    </w:p>
    <w:p w14:paraId="2BC1EE22" w14:textId="77777777" w:rsidR="009F632C" w:rsidRDefault="009F632C" w:rsidP="00D823BE">
      <w:pPr>
        <w:spacing w:line="480" w:lineRule="auto"/>
        <w:rPr>
          <w:rFonts w:ascii="Times New Roman" w:hAnsi="Times New Roman"/>
          <w:sz w:val="24"/>
          <w:szCs w:val="24"/>
        </w:rPr>
      </w:pPr>
    </w:p>
    <w:p w14:paraId="25DDF346" w14:textId="4ECA7E20" w:rsidR="00AF70B2" w:rsidRDefault="00AF70B2" w:rsidP="0095244B">
      <w:pPr>
        <w:spacing w:line="480" w:lineRule="auto"/>
        <w:rPr>
          <w:rFonts w:ascii="Times New Roman" w:hAnsi="Times New Roman"/>
          <w:sz w:val="24"/>
          <w:szCs w:val="24"/>
        </w:rPr>
      </w:pPr>
    </w:p>
    <w:p w14:paraId="49556638" w14:textId="57EEA074" w:rsidR="00D87ED0" w:rsidRDefault="00D87ED0" w:rsidP="0095244B">
      <w:pPr>
        <w:spacing w:line="480" w:lineRule="auto"/>
        <w:rPr>
          <w:rFonts w:ascii="Times New Roman" w:hAnsi="Times New Roman"/>
          <w:sz w:val="24"/>
          <w:szCs w:val="24"/>
        </w:rPr>
      </w:pPr>
    </w:p>
    <w:p w14:paraId="18D52D8C" w14:textId="77777777" w:rsidR="00D87ED0" w:rsidRPr="00D87ED0" w:rsidRDefault="00D87ED0" w:rsidP="00D87ED0">
      <w:pPr>
        <w:rPr>
          <w:rFonts w:ascii="Times New Roman" w:hAnsi="Times New Roman"/>
          <w:sz w:val="24"/>
          <w:szCs w:val="24"/>
        </w:rPr>
      </w:pPr>
    </w:p>
    <w:p w14:paraId="6A41E5BB" w14:textId="77777777" w:rsidR="00D87ED0" w:rsidRPr="00D87ED0" w:rsidRDefault="00D87ED0" w:rsidP="00D87ED0">
      <w:pPr>
        <w:rPr>
          <w:rFonts w:ascii="Times New Roman" w:hAnsi="Times New Roman"/>
          <w:sz w:val="24"/>
          <w:szCs w:val="24"/>
        </w:rPr>
      </w:pPr>
    </w:p>
    <w:p w14:paraId="7DA57727" w14:textId="77777777" w:rsidR="00D87ED0" w:rsidRPr="00D87ED0" w:rsidRDefault="00D87ED0" w:rsidP="00D87ED0">
      <w:pPr>
        <w:rPr>
          <w:rFonts w:ascii="Times New Roman" w:hAnsi="Times New Roman"/>
          <w:sz w:val="24"/>
          <w:szCs w:val="24"/>
        </w:rPr>
      </w:pPr>
    </w:p>
    <w:p w14:paraId="547004C7" w14:textId="531896A9" w:rsidR="00D87ED0" w:rsidRDefault="00C930D5" w:rsidP="00D87ED0">
      <w:pPr>
        <w:rPr>
          <w:rFonts w:ascii="Times New Roman" w:hAnsi="Times New Roman"/>
          <w:sz w:val="24"/>
          <w:szCs w:val="24"/>
        </w:rPr>
      </w:pPr>
      <w:r>
        <w:rPr>
          <w:rFonts w:ascii="Times New Roman" w:hAnsi="Times New Roman"/>
          <w:sz w:val="24"/>
          <w:szCs w:val="24"/>
        </w:rPr>
        <w:lastRenderedPageBreak/>
        <w:t>Bibliography</w:t>
      </w:r>
    </w:p>
    <w:p w14:paraId="7158C2FC" w14:textId="204B8AD8" w:rsidR="00C930D5" w:rsidRDefault="00DD608A" w:rsidP="00D87ED0">
      <w:pPr>
        <w:rPr>
          <w:rFonts w:ascii="Arial" w:hAnsi="Arial" w:cs="Arial"/>
          <w:color w:val="000000"/>
          <w:sz w:val="19"/>
          <w:szCs w:val="19"/>
        </w:rPr>
      </w:pPr>
      <w:r>
        <w:rPr>
          <w:rFonts w:ascii="Arial" w:hAnsi="Arial" w:cs="Arial"/>
          <w:color w:val="000000"/>
          <w:sz w:val="19"/>
          <w:szCs w:val="19"/>
        </w:rPr>
        <w:t xml:space="preserve"> Brawer</w:t>
      </w:r>
      <w:r w:rsidR="00573551">
        <w:rPr>
          <w:rFonts w:ascii="Arial" w:hAnsi="Arial" w:cs="Arial"/>
          <w:color w:val="000000"/>
          <w:sz w:val="19"/>
          <w:szCs w:val="19"/>
        </w:rPr>
        <w:t xml:space="preserve"> Naftali,</w:t>
      </w:r>
      <w:r>
        <w:rPr>
          <w:rFonts w:ascii="Arial" w:hAnsi="Arial" w:cs="Arial"/>
          <w:color w:val="000000"/>
          <w:sz w:val="19"/>
          <w:szCs w:val="19"/>
        </w:rPr>
        <w:t xml:space="preserve"> </w:t>
      </w:r>
      <w:r>
        <w:rPr>
          <w:rFonts w:ascii="Arial" w:hAnsi="Arial" w:cs="Arial"/>
          <w:i/>
          <w:iCs/>
          <w:color w:val="000000"/>
          <w:sz w:val="19"/>
          <w:szCs w:val="19"/>
        </w:rPr>
        <w:t>Judaism;</w:t>
      </w:r>
      <w:r>
        <w:rPr>
          <w:rFonts w:ascii="Arial" w:hAnsi="Arial" w:cs="Arial"/>
          <w:i/>
          <w:iCs/>
          <w:color w:val="000000"/>
          <w:sz w:val="19"/>
          <w:szCs w:val="19"/>
        </w:rPr>
        <w:t xml:space="preserve"> </w:t>
      </w:r>
      <w:r>
        <w:rPr>
          <w:rFonts w:ascii="Arial" w:hAnsi="Arial" w:cs="Arial"/>
          <w:i/>
          <w:iCs/>
          <w:color w:val="000000"/>
          <w:sz w:val="19"/>
          <w:szCs w:val="19"/>
        </w:rPr>
        <w:t>Theology,</w:t>
      </w:r>
      <w:r>
        <w:rPr>
          <w:rFonts w:ascii="Arial" w:hAnsi="Arial" w:cs="Arial"/>
          <w:i/>
          <w:iCs/>
          <w:color w:val="000000"/>
          <w:sz w:val="19"/>
          <w:szCs w:val="19"/>
        </w:rPr>
        <w:t xml:space="preserve"> </w:t>
      </w:r>
      <w:r>
        <w:rPr>
          <w:rFonts w:ascii="Arial" w:hAnsi="Arial" w:cs="Arial"/>
          <w:i/>
          <w:iCs/>
          <w:color w:val="000000"/>
          <w:sz w:val="19"/>
          <w:szCs w:val="19"/>
        </w:rPr>
        <w:t>History and Practice</w:t>
      </w:r>
      <w:r>
        <w:rPr>
          <w:rFonts w:ascii="Arial" w:hAnsi="Arial" w:cs="Arial"/>
          <w:color w:val="000000"/>
          <w:sz w:val="19"/>
          <w:szCs w:val="19"/>
        </w:rPr>
        <w:t xml:space="preserve"> (Philadelphia: PA:</w:t>
      </w:r>
      <w:r>
        <w:rPr>
          <w:rFonts w:ascii="Arial" w:hAnsi="Arial" w:cs="Arial"/>
          <w:color w:val="000000"/>
          <w:sz w:val="19"/>
          <w:szCs w:val="19"/>
        </w:rPr>
        <w:t xml:space="preserve"> </w:t>
      </w:r>
      <w:r>
        <w:rPr>
          <w:rFonts w:ascii="Arial" w:hAnsi="Arial" w:cs="Arial"/>
          <w:color w:val="000000"/>
          <w:sz w:val="19"/>
          <w:szCs w:val="19"/>
        </w:rPr>
        <w:t>Running Press, 2008).</w:t>
      </w:r>
    </w:p>
    <w:p w14:paraId="0D1A464E" w14:textId="4DA71797" w:rsidR="00573551" w:rsidRDefault="00573551" w:rsidP="00D87ED0">
      <w:pPr>
        <w:rPr>
          <w:rFonts w:ascii="Arial" w:hAnsi="Arial" w:cs="Arial"/>
          <w:color w:val="000000"/>
          <w:sz w:val="19"/>
          <w:szCs w:val="19"/>
        </w:rPr>
      </w:pPr>
      <w:r>
        <w:rPr>
          <w:rFonts w:ascii="Arial" w:hAnsi="Arial" w:cs="Arial"/>
          <w:color w:val="000000"/>
          <w:sz w:val="19"/>
          <w:szCs w:val="19"/>
        </w:rPr>
        <w:t xml:space="preserve"> Cohen</w:t>
      </w:r>
      <w:r>
        <w:rPr>
          <w:rFonts w:ascii="Arial" w:hAnsi="Arial" w:cs="Arial"/>
          <w:color w:val="000000"/>
          <w:sz w:val="19"/>
          <w:szCs w:val="19"/>
        </w:rPr>
        <w:t xml:space="preserve"> Shaye J.D,</w:t>
      </w:r>
      <w:r>
        <w:rPr>
          <w:rFonts w:ascii="Arial" w:hAnsi="Arial" w:cs="Arial"/>
          <w:color w:val="000000"/>
          <w:sz w:val="19"/>
          <w:szCs w:val="19"/>
        </w:rPr>
        <w:t xml:space="preserve"> </w:t>
      </w:r>
      <w:r>
        <w:rPr>
          <w:rFonts w:ascii="Arial" w:hAnsi="Arial" w:cs="Arial"/>
          <w:i/>
          <w:iCs/>
          <w:color w:val="000000"/>
          <w:sz w:val="19"/>
          <w:szCs w:val="19"/>
        </w:rPr>
        <w:t>From the Maccabees to the Mishnah</w:t>
      </w:r>
      <w:r>
        <w:rPr>
          <w:rFonts w:ascii="Arial" w:hAnsi="Arial" w:cs="Arial"/>
          <w:color w:val="000000"/>
          <w:sz w:val="19"/>
          <w:szCs w:val="19"/>
        </w:rPr>
        <w:t xml:space="preserve"> (Philadelphia: The Westminster Press, 1987).</w:t>
      </w:r>
    </w:p>
    <w:p w14:paraId="1E40E3C9" w14:textId="0744E8F8" w:rsidR="00573551" w:rsidRDefault="00573551" w:rsidP="00D87ED0">
      <w:pPr>
        <w:rPr>
          <w:rFonts w:ascii="Arial" w:hAnsi="Arial" w:cs="Arial"/>
          <w:color w:val="000000"/>
          <w:sz w:val="19"/>
          <w:szCs w:val="19"/>
        </w:rPr>
      </w:pPr>
      <w:r>
        <w:rPr>
          <w:rFonts w:ascii="Arial" w:hAnsi="Arial" w:cs="Arial"/>
          <w:color w:val="000000"/>
          <w:sz w:val="19"/>
          <w:szCs w:val="19"/>
        </w:rPr>
        <w:t xml:space="preserve"> Danby</w:t>
      </w:r>
      <w:r>
        <w:rPr>
          <w:rFonts w:ascii="Arial" w:hAnsi="Arial" w:cs="Arial"/>
          <w:color w:val="000000"/>
          <w:sz w:val="19"/>
          <w:szCs w:val="19"/>
        </w:rPr>
        <w:t xml:space="preserve"> Herbert,</w:t>
      </w:r>
      <w:r>
        <w:rPr>
          <w:rFonts w:ascii="Arial" w:hAnsi="Arial" w:cs="Arial"/>
          <w:color w:val="000000"/>
          <w:sz w:val="19"/>
          <w:szCs w:val="19"/>
        </w:rPr>
        <w:t xml:space="preserve"> </w:t>
      </w:r>
      <w:r>
        <w:rPr>
          <w:rFonts w:ascii="Arial" w:hAnsi="Arial" w:cs="Arial"/>
          <w:i/>
          <w:iCs/>
          <w:color w:val="000000"/>
          <w:sz w:val="19"/>
          <w:szCs w:val="19"/>
        </w:rPr>
        <w:t>The Mishnah</w:t>
      </w:r>
      <w:r>
        <w:rPr>
          <w:rFonts w:ascii="Arial" w:hAnsi="Arial" w:cs="Arial"/>
          <w:color w:val="000000"/>
          <w:sz w:val="19"/>
          <w:szCs w:val="19"/>
        </w:rPr>
        <w:t xml:space="preserve"> (London: Oxford University Press, 1933).</w:t>
      </w:r>
    </w:p>
    <w:p w14:paraId="79AA2544" w14:textId="7E97AEE5" w:rsidR="00573551" w:rsidRDefault="00573551" w:rsidP="00D87ED0">
      <w:pPr>
        <w:rPr>
          <w:rFonts w:ascii="Arial" w:hAnsi="Arial" w:cs="Arial"/>
          <w:color w:val="000000"/>
          <w:sz w:val="19"/>
          <w:szCs w:val="19"/>
        </w:rPr>
      </w:pPr>
      <w:r>
        <w:rPr>
          <w:rFonts w:ascii="Arial" w:hAnsi="Arial" w:cs="Arial"/>
          <w:color w:val="000000"/>
          <w:sz w:val="19"/>
          <w:szCs w:val="19"/>
        </w:rPr>
        <w:t xml:space="preserve"> Eisen</w:t>
      </w:r>
      <w:r>
        <w:rPr>
          <w:rFonts w:ascii="Arial" w:hAnsi="Arial" w:cs="Arial"/>
          <w:color w:val="000000"/>
          <w:sz w:val="19"/>
          <w:szCs w:val="19"/>
        </w:rPr>
        <w:t xml:space="preserve"> Yosef,</w:t>
      </w:r>
      <w:r>
        <w:rPr>
          <w:rFonts w:ascii="Arial" w:hAnsi="Arial" w:cs="Arial"/>
          <w:color w:val="000000"/>
          <w:sz w:val="19"/>
          <w:szCs w:val="19"/>
        </w:rPr>
        <w:t xml:space="preserve"> </w:t>
      </w:r>
      <w:r>
        <w:rPr>
          <w:rFonts w:ascii="Arial" w:hAnsi="Arial" w:cs="Arial"/>
          <w:i/>
          <w:iCs/>
          <w:color w:val="000000"/>
          <w:sz w:val="19"/>
          <w:szCs w:val="19"/>
        </w:rPr>
        <w:t xml:space="preserve">Hillel and </w:t>
      </w:r>
      <w:proofErr w:type="spellStart"/>
      <w:r>
        <w:rPr>
          <w:rFonts w:ascii="Arial" w:hAnsi="Arial" w:cs="Arial"/>
          <w:i/>
          <w:iCs/>
          <w:color w:val="000000"/>
          <w:sz w:val="19"/>
          <w:szCs w:val="19"/>
        </w:rPr>
        <w:t>Shammai</w:t>
      </w:r>
      <w:proofErr w:type="spellEnd"/>
      <w:r>
        <w:rPr>
          <w:rFonts w:ascii="Arial" w:hAnsi="Arial" w:cs="Arial"/>
          <w:color w:val="000000"/>
          <w:sz w:val="19"/>
          <w:szCs w:val="19"/>
        </w:rPr>
        <w:t xml:space="preserve"> (2018) &lt;https://www.chabad.org/library/article_cdo/aid/2832622/jewish/Hillel-and-Shammai.htm?gclid=EAIaIQobChMIo5Cvornh3QIVB7TtCh0IowFOEAAYASAAEgI-NfD_BwE#comment&gt; [accessed 2 October 2018].</w:t>
      </w:r>
    </w:p>
    <w:p w14:paraId="1C1D9615" w14:textId="325C2F4D" w:rsidR="00573551" w:rsidRDefault="00573551" w:rsidP="00D87ED0">
      <w:pPr>
        <w:rPr>
          <w:rFonts w:ascii="Arial" w:hAnsi="Arial" w:cs="Arial"/>
          <w:color w:val="000000"/>
          <w:sz w:val="19"/>
          <w:szCs w:val="19"/>
        </w:rPr>
      </w:pPr>
      <w:r>
        <w:rPr>
          <w:rFonts w:ascii="Arial" w:hAnsi="Arial" w:cs="Arial"/>
          <w:color w:val="000000"/>
          <w:sz w:val="19"/>
          <w:szCs w:val="19"/>
        </w:rPr>
        <w:t xml:space="preserve"> Hertzberg</w:t>
      </w:r>
      <w:r>
        <w:rPr>
          <w:rFonts w:ascii="Arial" w:hAnsi="Arial" w:cs="Arial"/>
          <w:color w:val="000000"/>
          <w:sz w:val="19"/>
          <w:szCs w:val="19"/>
        </w:rPr>
        <w:t xml:space="preserve"> Arthur,</w:t>
      </w:r>
      <w:r>
        <w:rPr>
          <w:rFonts w:ascii="Arial" w:hAnsi="Arial" w:cs="Arial"/>
          <w:color w:val="000000"/>
          <w:sz w:val="19"/>
          <w:szCs w:val="19"/>
        </w:rPr>
        <w:t xml:space="preserve"> </w:t>
      </w:r>
      <w:r>
        <w:rPr>
          <w:rFonts w:ascii="Arial" w:hAnsi="Arial" w:cs="Arial"/>
          <w:i/>
          <w:iCs/>
          <w:color w:val="000000"/>
          <w:sz w:val="19"/>
          <w:szCs w:val="19"/>
        </w:rPr>
        <w:t>Judaism;</w:t>
      </w:r>
      <w:r>
        <w:rPr>
          <w:rFonts w:ascii="Arial" w:hAnsi="Arial" w:cs="Arial"/>
          <w:i/>
          <w:iCs/>
          <w:color w:val="000000"/>
          <w:sz w:val="19"/>
          <w:szCs w:val="19"/>
        </w:rPr>
        <w:t xml:space="preserve"> </w:t>
      </w:r>
      <w:r>
        <w:rPr>
          <w:rFonts w:ascii="Arial" w:hAnsi="Arial" w:cs="Arial"/>
          <w:i/>
          <w:iCs/>
          <w:color w:val="000000"/>
          <w:sz w:val="19"/>
          <w:szCs w:val="19"/>
        </w:rPr>
        <w:t>The key spiritual writings of the Jewish tradition</w:t>
      </w:r>
      <w:r>
        <w:rPr>
          <w:rFonts w:ascii="Arial" w:hAnsi="Arial" w:cs="Arial"/>
          <w:color w:val="000000"/>
          <w:sz w:val="19"/>
          <w:szCs w:val="19"/>
        </w:rPr>
        <w:t>, Revised ed (New York: Simon &amp; Schuster, 1991).</w:t>
      </w:r>
    </w:p>
    <w:p w14:paraId="158F594B" w14:textId="05A5EAE4" w:rsidR="00573551" w:rsidRDefault="00573551" w:rsidP="00D87ED0">
      <w:pPr>
        <w:rPr>
          <w:rFonts w:ascii="Arial" w:hAnsi="Arial" w:cs="Arial"/>
          <w:color w:val="000000"/>
          <w:sz w:val="19"/>
          <w:szCs w:val="19"/>
        </w:rPr>
      </w:pPr>
      <w:r>
        <w:rPr>
          <w:rFonts w:ascii="Arial" w:hAnsi="Arial" w:cs="Arial"/>
          <w:color w:val="000000"/>
          <w:sz w:val="19"/>
          <w:szCs w:val="19"/>
        </w:rPr>
        <w:t xml:space="preserve">, </w:t>
      </w:r>
      <w:r>
        <w:rPr>
          <w:rFonts w:ascii="Arial" w:hAnsi="Arial" w:cs="Arial"/>
          <w:i/>
          <w:iCs/>
          <w:color w:val="000000"/>
          <w:sz w:val="19"/>
          <w:szCs w:val="19"/>
        </w:rPr>
        <w:t>Holy Bible; New Revised Standard Version</w:t>
      </w:r>
      <w:r>
        <w:rPr>
          <w:rFonts w:ascii="Arial" w:hAnsi="Arial" w:cs="Arial"/>
          <w:color w:val="000000"/>
          <w:sz w:val="19"/>
          <w:szCs w:val="19"/>
        </w:rPr>
        <w:t xml:space="preserve"> (London: HarperCollins Publishers, 2007).</w:t>
      </w:r>
    </w:p>
    <w:p w14:paraId="4930CEEC" w14:textId="3E5D0447" w:rsidR="00573551" w:rsidRDefault="00F83A32" w:rsidP="00D87ED0">
      <w:pPr>
        <w:rPr>
          <w:rFonts w:ascii="Arial" w:hAnsi="Arial" w:cs="Arial"/>
          <w:color w:val="000000"/>
          <w:sz w:val="19"/>
          <w:szCs w:val="19"/>
        </w:rPr>
      </w:pPr>
      <w:r>
        <w:rPr>
          <w:rFonts w:ascii="Arial" w:hAnsi="Arial" w:cs="Arial"/>
          <w:color w:val="000000"/>
          <w:sz w:val="19"/>
          <w:szCs w:val="19"/>
        </w:rPr>
        <w:t xml:space="preserve">Josephus, </w:t>
      </w:r>
      <w:r>
        <w:rPr>
          <w:rFonts w:ascii="Arial" w:hAnsi="Arial" w:cs="Arial"/>
          <w:i/>
          <w:iCs/>
          <w:color w:val="000000"/>
          <w:sz w:val="19"/>
          <w:szCs w:val="19"/>
        </w:rPr>
        <w:t>Jewish Antiquities</w:t>
      </w:r>
      <w:r>
        <w:rPr>
          <w:rFonts w:ascii="Arial" w:hAnsi="Arial" w:cs="Arial"/>
          <w:color w:val="000000"/>
          <w:sz w:val="19"/>
          <w:szCs w:val="19"/>
        </w:rPr>
        <w:t>, trans. by Louis H. Feldman (Cambridge, MA: Harvard University Press, 1965).</w:t>
      </w:r>
    </w:p>
    <w:p w14:paraId="1179DDDB" w14:textId="46634E12" w:rsidR="00F83A32" w:rsidRDefault="00F83A32" w:rsidP="00D87ED0">
      <w:pPr>
        <w:rPr>
          <w:rFonts w:ascii="Arial" w:hAnsi="Arial" w:cs="Arial"/>
          <w:color w:val="000000"/>
          <w:sz w:val="19"/>
          <w:szCs w:val="19"/>
        </w:rPr>
      </w:pPr>
      <w:proofErr w:type="spellStart"/>
      <w:r>
        <w:rPr>
          <w:rFonts w:ascii="Arial" w:hAnsi="Arial" w:cs="Arial"/>
          <w:color w:val="000000"/>
          <w:sz w:val="19"/>
          <w:szCs w:val="19"/>
        </w:rPr>
        <w:t>Kulp</w:t>
      </w:r>
      <w:proofErr w:type="spellEnd"/>
      <w:r>
        <w:rPr>
          <w:rFonts w:ascii="Arial" w:hAnsi="Arial" w:cs="Arial"/>
          <w:color w:val="000000"/>
          <w:sz w:val="19"/>
          <w:szCs w:val="19"/>
        </w:rPr>
        <w:t xml:space="preserve"> J,</w:t>
      </w:r>
      <w:r>
        <w:rPr>
          <w:rFonts w:ascii="Arial" w:hAnsi="Arial" w:cs="Arial"/>
          <w:color w:val="000000"/>
          <w:sz w:val="19"/>
          <w:szCs w:val="19"/>
        </w:rPr>
        <w:t xml:space="preserve"> 'Purity,</w:t>
      </w:r>
      <w:r>
        <w:rPr>
          <w:rFonts w:ascii="Arial" w:hAnsi="Arial" w:cs="Arial"/>
          <w:color w:val="000000"/>
          <w:sz w:val="19"/>
          <w:szCs w:val="19"/>
        </w:rPr>
        <w:t xml:space="preserve"> </w:t>
      </w:r>
      <w:r>
        <w:rPr>
          <w:rFonts w:ascii="Arial" w:hAnsi="Arial" w:cs="Arial"/>
          <w:color w:val="000000"/>
          <w:sz w:val="19"/>
          <w:szCs w:val="19"/>
        </w:rPr>
        <w:t>Sacrifice,</w:t>
      </w:r>
      <w:r>
        <w:rPr>
          <w:rFonts w:ascii="Arial" w:hAnsi="Arial" w:cs="Arial"/>
          <w:color w:val="000000"/>
          <w:sz w:val="19"/>
          <w:szCs w:val="19"/>
        </w:rPr>
        <w:t xml:space="preserve"> </w:t>
      </w:r>
      <w:r>
        <w:rPr>
          <w:rFonts w:ascii="Arial" w:hAnsi="Arial" w:cs="Arial"/>
          <w:color w:val="000000"/>
          <w:sz w:val="19"/>
          <w:szCs w:val="19"/>
        </w:rPr>
        <w:t>and the temple:</w:t>
      </w:r>
      <w:r>
        <w:rPr>
          <w:rFonts w:ascii="Arial" w:hAnsi="Arial" w:cs="Arial"/>
          <w:color w:val="000000"/>
          <w:sz w:val="19"/>
          <w:szCs w:val="19"/>
        </w:rPr>
        <w:t xml:space="preserve"> </w:t>
      </w:r>
      <w:r>
        <w:rPr>
          <w:rFonts w:ascii="Arial" w:hAnsi="Arial" w:cs="Arial"/>
          <w:color w:val="000000"/>
          <w:sz w:val="19"/>
          <w:szCs w:val="19"/>
        </w:rPr>
        <w:t xml:space="preserve">Symbolism and </w:t>
      </w:r>
      <w:proofErr w:type="spellStart"/>
      <w:r>
        <w:rPr>
          <w:rFonts w:ascii="Arial" w:hAnsi="Arial" w:cs="Arial"/>
          <w:color w:val="000000"/>
          <w:sz w:val="19"/>
          <w:szCs w:val="19"/>
        </w:rPr>
        <w:t>Supersessionism</w:t>
      </w:r>
      <w:proofErr w:type="spellEnd"/>
      <w:r>
        <w:rPr>
          <w:rFonts w:ascii="Arial" w:hAnsi="Arial" w:cs="Arial"/>
          <w:color w:val="000000"/>
          <w:sz w:val="19"/>
          <w:szCs w:val="19"/>
        </w:rPr>
        <w:t xml:space="preserve"> in the study of ancient Judaism', </w:t>
      </w:r>
      <w:r>
        <w:rPr>
          <w:rFonts w:ascii="Arial" w:hAnsi="Arial" w:cs="Arial"/>
          <w:i/>
          <w:iCs/>
          <w:color w:val="000000"/>
          <w:sz w:val="19"/>
          <w:szCs w:val="19"/>
        </w:rPr>
        <w:t>Hebrew Studies</w:t>
      </w:r>
      <w:r>
        <w:rPr>
          <w:rFonts w:ascii="Arial" w:hAnsi="Arial" w:cs="Arial"/>
          <w:color w:val="000000"/>
          <w:sz w:val="19"/>
          <w:szCs w:val="19"/>
        </w:rPr>
        <w:t>, 48, (2007), 367-370.</w:t>
      </w:r>
    </w:p>
    <w:p w14:paraId="6AB6E7FF" w14:textId="064508F9" w:rsidR="00F83A32" w:rsidRDefault="00F83A32" w:rsidP="00D87ED0">
      <w:pPr>
        <w:rPr>
          <w:rFonts w:ascii="Arial" w:hAnsi="Arial" w:cs="Arial"/>
          <w:color w:val="000000"/>
          <w:sz w:val="19"/>
          <w:szCs w:val="19"/>
        </w:rPr>
      </w:pPr>
      <w:r>
        <w:rPr>
          <w:rFonts w:ascii="Arial" w:hAnsi="Arial" w:cs="Arial"/>
          <w:color w:val="000000"/>
          <w:sz w:val="19"/>
          <w:szCs w:val="19"/>
        </w:rPr>
        <w:t xml:space="preserve"> Maccoby</w:t>
      </w:r>
      <w:r>
        <w:rPr>
          <w:rFonts w:ascii="Arial" w:hAnsi="Arial" w:cs="Arial"/>
          <w:color w:val="000000"/>
          <w:sz w:val="19"/>
          <w:szCs w:val="19"/>
        </w:rPr>
        <w:t xml:space="preserve"> </w:t>
      </w:r>
      <w:proofErr w:type="spellStart"/>
      <w:r>
        <w:rPr>
          <w:rFonts w:ascii="Arial" w:hAnsi="Arial" w:cs="Arial"/>
          <w:color w:val="000000"/>
          <w:sz w:val="19"/>
          <w:szCs w:val="19"/>
        </w:rPr>
        <w:t>Hyam</w:t>
      </w:r>
      <w:proofErr w:type="spellEnd"/>
      <w:r>
        <w:rPr>
          <w:rFonts w:ascii="Arial" w:hAnsi="Arial" w:cs="Arial"/>
          <w:color w:val="000000"/>
          <w:sz w:val="19"/>
          <w:szCs w:val="19"/>
        </w:rPr>
        <w:t>,</w:t>
      </w:r>
      <w:r>
        <w:rPr>
          <w:rFonts w:ascii="Arial" w:hAnsi="Arial" w:cs="Arial"/>
          <w:color w:val="000000"/>
          <w:sz w:val="19"/>
          <w:szCs w:val="19"/>
        </w:rPr>
        <w:t xml:space="preserve"> </w:t>
      </w:r>
      <w:r>
        <w:rPr>
          <w:rFonts w:ascii="Arial" w:hAnsi="Arial" w:cs="Arial"/>
          <w:i/>
          <w:iCs/>
          <w:color w:val="000000"/>
          <w:sz w:val="19"/>
          <w:szCs w:val="19"/>
        </w:rPr>
        <w:t>Judaism in the First Century</w:t>
      </w:r>
      <w:r>
        <w:rPr>
          <w:rFonts w:ascii="Arial" w:hAnsi="Arial" w:cs="Arial"/>
          <w:color w:val="000000"/>
          <w:sz w:val="19"/>
          <w:szCs w:val="19"/>
        </w:rPr>
        <w:t xml:space="preserve"> (London: Sheldon Press, 1989)</w:t>
      </w:r>
      <w:r>
        <w:rPr>
          <w:rFonts w:ascii="Arial" w:hAnsi="Arial" w:cs="Arial"/>
          <w:color w:val="000000"/>
          <w:sz w:val="19"/>
          <w:szCs w:val="19"/>
        </w:rPr>
        <w:t>.</w:t>
      </w:r>
    </w:p>
    <w:p w14:paraId="2175F2AE" w14:textId="464BB738" w:rsidR="00F83A32" w:rsidRDefault="00F83A32" w:rsidP="00D87ED0">
      <w:pPr>
        <w:rPr>
          <w:rFonts w:ascii="Arial" w:hAnsi="Arial" w:cs="Arial"/>
          <w:color w:val="000000"/>
          <w:sz w:val="19"/>
          <w:szCs w:val="19"/>
        </w:rPr>
      </w:pPr>
      <w:r>
        <w:rPr>
          <w:rFonts w:ascii="Arial" w:hAnsi="Arial" w:cs="Arial"/>
          <w:color w:val="000000"/>
          <w:sz w:val="19"/>
          <w:szCs w:val="19"/>
        </w:rPr>
        <w:t xml:space="preserve"> Pilkington</w:t>
      </w:r>
      <w:r>
        <w:rPr>
          <w:rFonts w:ascii="Arial" w:hAnsi="Arial" w:cs="Arial"/>
          <w:color w:val="000000"/>
          <w:sz w:val="19"/>
          <w:szCs w:val="19"/>
        </w:rPr>
        <w:t xml:space="preserve"> C.M,</w:t>
      </w:r>
      <w:r>
        <w:rPr>
          <w:rFonts w:ascii="Arial" w:hAnsi="Arial" w:cs="Arial"/>
          <w:color w:val="000000"/>
          <w:sz w:val="19"/>
          <w:szCs w:val="19"/>
        </w:rPr>
        <w:t xml:space="preserve"> </w:t>
      </w:r>
      <w:r>
        <w:rPr>
          <w:rFonts w:ascii="Arial" w:hAnsi="Arial" w:cs="Arial"/>
          <w:i/>
          <w:iCs/>
          <w:color w:val="000000"/>
          <w:sz w:val="19"/>
          <w:szCs w:val="19"/>
        </w:rPr>
        <w:t>Judaism;</w:t>
      </w:r>
      <w:r>
        <w:rPr>
          <w:rFonts w:ascii="Arial" w:hAnsi="Arial" w:cs="Arial"/>
          <w:i/>
          <w:iCs/>
          <w:color w:val="000000"/>
          <w:sz w:val="19"/>
          <w:szCs w:val="19"/>
        </w:rPr>
        <w:t xml:space="preserve"> </w:t>
      </w:r>
      <w:r>
        <w:rPr>
          <w:rFonts w:ascii="Arial" w:hAnsi="Arial" w:cs="Arial"/>
          <w:i/>
          <w:iCs/>
          <w:color w:val="000000"/>
          <w:sz w:val="19"/>
          <w:szCs w:val="19"/>
        </w:rPr>
        <w:t>world faiths</w:t>
      </w:r>
      <w:r>
        <w:rPr>
          <w:rFonts w:ascii="Arial" w:hAnsi="Arial" w:cs="Arial"/>
          <w:color w:val="000000"/>
          <w:sz w:val="19"/>
          <w:szCs w:val="19"/>
        </w:rPr>
        <w:t xml:space="preserve"> (London: Hodder Headline Plc, 1995)</w:t>
      </w:r>
      <w:r>
        <w:rPr>
          <w:rFonts w:ascii="Arial" w:hAnsi="Arial" w:cs="Arial"/>
          <w:color w:val="000000"/>
          <w:sz w:val="19"/>
          <w:szCs w:val="19"/>
        </w:rPr>
        <w:t>.</w:t>
      </w:r>
    </w:p>
    <w:p w14:paraId="0C79490B" w14:textId="37D203A7" w:rsidR="00F83A32" w:rsidRDefault="00F83A32" w:rsidP="00D87ED0">
      <w:pPr>
        <w:rPr>
          <w:rFonts w:ascii="Arial" w:hAnsi="Arial" w:cs="Arial"/>
          <w:color w:val="000000"/>
          <w:sz w:val="19"/>
          <w:szCs w:val="19"/>
        </w:rPr>
      </w:pPr>
      <w:proofErr w:type="spellStart"/>
      <w:r>
        <w:rPr>
          <w:rFonts w:ascii="Arial" w:hAnsi="Arial" w:cs="Arial"/>
          <w:color w:val="000000"/>
          <w:sz w:val="19"/>
          <w:szCs w:val="19"/>
        </w:rPr>
        <w:t>Pogany</w:t>
      </w:r>
      <w:proofErr w:type="spellEnd"/>
      <w:r>
        <w:rPr>
          <w:rFonts w:ascii="Arial" w:hAnsi="Arial" w:cs="Arial"/>
          <w:color w:val="000000"/>
          <w:sz w:val="19"/>
          <w:szCs w:val="19"/>
        </w:rPr>
        <w:t xml:space="preserve"> Eugene L,</w:t>
      </w:r>
      <w:r>
        <w:rPr>
          <w:rFonts w:ascii="Arial" w:hAnsi="Arial" w:cs="Arial"/>
          <w:color w:val="000000"/>
          <w:sz w:val="19"/>
          <w:szCs w:val="19"/>
        </w:rPr>
        <w:t xml:space="preserve"> 'Exile and memory:</w:t>
      </w:r>
      <w:r>
        <w:rPr>
          <w:rFonts w:ascii="Arial" w:hAnsi="Arial" w:cs="Arial"/>
          <w:color w:val="000000"/>
          <w:sz w:val="19"/>
          <w:szCs w:val="19"/>
        </w:rPr>
        <w:t xml:space="preserve"> </w:t>
      </w:r>
      <w:r>
        <w:rPr>
          <w:rFonts w:ascii="Arial" w:hAnsi="Arial" w:cs="Arial"/>
          <w:color w:val="000000"/>
          <w:sz w:val="19"/>
          <w:szCs w:val="19"/>
        </w:rPr>
        <w:t xml:space="preserve">Reflections on Tisha </w:t>
      </w:r>
      <w:proofErr w:type="spellStart"/>
      <w:r>
        <w:rPr>
          <w:rFonts w:ascii="Arial" w:hAnsi="Arial" w:cs="Arial"/>
          <w:color w:val="000000"/>
          <w:sz w:val="19"/>
          <w:szCs w:val="19"/>
        </w:rPr>
        <w:t>B'av</w:t>
      </w:r>
      <w:proofErr w:type="spellEnd"/>
      <w:r>
        <w:rPr>
          <w:rFonts w:ascii="Arial" w:hAnsi="Arial" w:cs="Arial"/>
          <w:color w:val="000000"/>
          <w:sz w:val="19"/>
          <w:szCs w:val="19"/>
        </w:rPr>
        <w:t xml:space="preserve">', </w:t>
      </w:r>
      <w:r>
        <w:rPr>
          <w:rFonts w:ascii="Arial" w:hAnsi="Arial" w:cs="Arial"/>
          <w:i/>
          <w:iCs/>
          <w:color w:val="000000"/>
          <w:sz w:val="19"/>
          <w:szCs w:val="19"/>
        </w:rPr>
        <w:t>Cross Currents;</w:t>
      </w:r>
      <w:r>
        <w:rPr>
          <w:rFonts w:ascii="Arial" w:hAnsi="Arial" w:cs="Arial"/>
          <w:i/>
          <w:iCs/>
          <w:color w:val="000000"/>
          <w:sz w:val="19"/>
          <w:szCs w:val="19"/>
        </w:rPr>
        <w:t xml:space="preserve"> </w:t>
      </w:r>
      <w:r>
        <w:rPr>
          <w:rFonts w:ascii="Arial" w:hAnsi="Arial" w:cs="Arial"/>
          <w:i/>
          <w:iCs/>
          <w:color w:val="000000"/>
          <w:sz w:val="19"/>
          <w:szCs w:val="19"/>
        </w:rPr>
        <w:t>New York</w:t>
      </w:r>
      <w:r>
        <w:rPr>
          <w:rFonts w:ascii="Arial" w:hAnsi="Arial" w:cs="Arial"/>
          <w:color w:val="000000"/>
          <w:sz w:val="19"/>
          <w:szCs w:val="19"/>
        </w:rPr>
        <w:t xml:space="preserve">, 45.4, (Winter1995/1996), 531. </w:t>
      </w:r>
    </w:p>
    <w:p w14:paraId="1F3F8C5B" w14:textId="59F9C351" w:rsidR="00F83A32" w:rsidRDefault="00F83A32" w:rsidP="00D87ED0">
      <w:pPr>
        <w:rPr>
          <w:rFonts w:ascii="Arial" w:hAnsi="Arial" w:cs="Arial"/>
          <w:color w:val="000000"/>
          <w:sz w:val="19"/>
          <w:szCs w:val="19"/>
        </w:rPr>
      </w:pPr>
      <w:r>
        <w:rPr>
          <w:rFonts w:ascii="Arial" w:hAnsi="Arial" w:cs="Arial"/>
          <w:color w:val="000000"/>
          <w:sz w:val="19"/>
          <w:szCs w:val="19"/>
        </w:rPr>
        <w:t xml:space="preserve"> Robinson</w:t>
      </w:r>
      <w:r>
        <w:rPr>
          <w:rFonts w:ascii="Arial" w:hAnsi="Arial" w:cs="Arial"/>
          <w:color w:val="000000"/>
          <w:sz w:val="19"/>
          <w:szCs w:val="19"/>
        </w:rPr>
        <w:t xml:space="preserve"> George,</w:t>
      </w:r>
      <w:r>
        <w:rPr>
          <w:rFonts w:ascii="Arial" w:hAnsi="Arial" w:cs="Arial"/>
          <w:color w:val="000000"/>
          <w:sz w:val="19"/>
          <w:szCs w:val="19"/>
        </w:rPr>
        <w:t xml:space="preserve"> </w:t>
      </w:r>
      <w:r>
        <w:rPr>
          <w:rFonts w:ascii="Arial" w:hAnsi="Arial" w:cs="Arial"/>
          <w:i/>
          <w:iCs/>
          <w:color w:val="000000"/>
          <w:sz w:val="19"/>
          <w:szCs w:val="19"/>
        </w:rPr>
        <w:t>Essential Judaism;</w:t>
      </w:r>
      <w:r>
        <w:rPr>
          <w:rFonts w:ascii="Arial" w:hAnsi="Arial" w:cs="Arial"/>
          <w:i/>
          <w:iCs/>
          <w:color w:val="000000"/>
          <w:sz w:val="19"/>
          <w:szCs w:val="19"/>
        </w:rPr>
        <w:t xml:space="preserve"> </w:t>
      </w:r>
      <w:r>
        <w:rPr>
          <w:rFonts w:ascii="Arial" w:hAnsi="Arial" w:cs="Arial"/>
          <w:i/>
          <w:iCs/>
          <w:color w:val="000000"/>
          <w:sz w:val="19"/>
          <w:szCs w:val="19"/>
        </w:rPr>
        <w:t>A Complete Guide to Beliefs,</w:t>
      </w:r>
      <w:r>
        <w:rPr>
          <w:rFonts w:ascii="Arial" w:hAnsi="Arial" w:cs="Arial"/>
          <w:i/>
          <w:iCs/>
          <w:color w:val="000000"/>
          <w:sz w:val="19"/>
          <w:szCs w:val="19"/>
        </w:rPr>
        <w:t xml:space="preserve"> </w:t>
      </w:r>
      <w:r>
        <w:rPr>
          <w:rFonts w:ascii="Arial" w:hAnsi="Arial" w:cs="Arial"/>
          <w:i/>
          <w:iCs/>
          <w:color w:val="000000"/>
          <w:sz w:val="19"/>
          <w:szCs w:val="19"/>
        </w:rPr>
        <w:t>Customs,</w:t>
      </w:r>
      <w:r>
        <w:rPr>
          <w:rFonts w:ascii="Arial" w:hAnsi="Arial" w:cs="Arial"/>
          <w:i/>
          <w:iCs/>
          <w:color w:val="000000"/>
          <w:sz w:val="19"/>
          <w:szCs w:val="19"/>
        </w:rPr>
        <w:t xml:space="preserve"> </w:t>
      </w:r>
      <w:r>
        <w:rPr>
          <w:rFonts w:ascii="Arial" w:hAnsi="Arial" w:cs="Arial"/>
          <w:i/>
          <w:iCs/>
          <w:color w:val="000000"/>
          <w:sz w:val="19"/>
          <w:szCs w:val="19"/>
        </w:rPr>
        <w:t>and Rituals</w:t>
      </w:r>
      <w:r>
        <w:rPr>
          <w:rFonts w:ascii="Arial" w:hAnsi="Arial" w:cs="Arial"/>
          <w:color w:val="000000"/>
          <w:sz w:val="19"/>
          <w:szCs w:val="19"/>
        </w:rPr>
        <w:t>, 1st Atria Paperback ed (New York: NY:</w:t>
      </w:r>
      <w:r>
        <w:rPr>
          <w:rFonts w:ascii="Arial" w:hAnsi="Arial" w:cs="Arial"/>
          <w:color w:val="000000"/>
          <w:sz w:val="19"/>
          <w:szCs w:val="19"/>
        </w:rPr>
        <w:t xml:space="preserve">  </w:t>
      </w:r>
      <w:r>
        <w:rPr>
          <w:rFonts w:ascii="Arial" w:hAnsi="Arial" w:cs="Arial"/>
          <w:color w:val="000000"/>
          <w:sz w:val="19"/>
          <w:szCs w:val="19"/>
        </w:rPr>
        <w:t>Atria Paperback, 2001).</w:t>
      </w:r>
    </w:p>
    <w:p w14:paraId="5DC6E51F" w14:textId="6E13E4CC" w:rsidR="00F83A32" w:rsidRDefault="00F83A32" w:rsidP="00D87ED0">
      <w:pPr>
        <w:rPr>
          <w:rFonts w:ascii="Arial" w:hAnsi="Arial" w:cs="Arial"/>
          <w:color w:val="000000"/>
          <w:sz w:val="19"/>
          <w:szCs w:val="19"/>
        </w:rPr>
      </w:pPr>
      <w:r>
        <w:rPr>
          <w:rFonts w:ascii="Arial" w:hAnsi="Arial" w:cs="Arial"/>
          <w:color w:val="000000"/>
          <w:sz w:val="19"/>
          <w:szCs w:val="19"/>
        </w:rPr>
        <w:t xml:space="preserve"> Sanders</w:t>
      </w:r>
      <w:r w:rsidR="00CB69AB">
        <w:rPr>
          <w:rFonts w:ascii="Arial" w:hAnsi="Arial" w:cs="Arial"/>
          <w:color w:val="000000"/>
          <w:sz w:val="19"/>
          <w:szCs w:val="19"/>
        </w:rPr>
        <w:t xml:space="preserve"> E.P,</w:t>
      </w:r>
      <w:r>
        <w:rPr>
          <w:rFonts w:ascii="Arial" w:hAnsi="Arial" w:cs="Arial"/>
          <w:color w:val="000000"/>
          <w:sz w:val="19"/>
          <w:szCs w:val="19"/>
        </w:rPr>
        <w:t xml:space="preserve"> </w:t>
      </w:r>
      <w:r>
        <w:rPr>
          <w:rFonts w:ascii="Arial" w:hAnsi="Arial" w:cs="Arial"/>
          <w:i/>
          <w:iCs/>
          <w:color w:val="000000"/>
          <w:sz w:val="19"/>
          <w:szCs w:val="19"/>
        </w:rPr>
        <w:t>Judaism;</w:t>
      </w:r>
      <w:r w:rsidR="00CB69AB">
        <w:rPr>
          <w:rFonts w:ascii="Arial" w:hAnsi="Arial" w:cs="Arial"/>
          <w:i/>
          <w:iCs/>
          <w:color w:val="000000"/>
          <w:sz w:val="19"/>
          <w:szCs w:val="19"/>
        </w:rPr>
        <w:t xml:space="preserve"> </w:t>
      </w:r>
      <w:r>
        <w:rPr>
          <w:rFonts w:ascii="Arial" w:hAnsi="Arial" w:cs="Arial"/>
          <w:i/>
          <w:iCs/>
          <w:color w:val="000000"/>
          <w:sz w:val="19"/>
          <w:szCs w:val="19"/>
        </w:rPr>
        <w:t>Practice &amp; Belief 63BCE-66CE</w:t>
      </w:r>
      <w:r>
        <w:rPr>
          <w:rFonts w:ascii="Arial" w:hAnsi="Arial" w:cs="Arial"/>
          <w:color w:val="000000"/>
          <w:sz w:val="19"/>
          <w:szCs w:val="19"/>
        </w:rPr>
        <w:t xml:space="preserve"> (London: SCM Press Ltd, 1992)</w:t>
      </w:r>
      <w:r w:rsidR="00CB69AB">
        <w:rPr>
          <w:rFonts w:ascii="Arial" w:hAnsi="Arial" w:cs="Arial"/>
          <w:color w:val="000000"/>
          <w:sz w:val="19"/>
          <w:szCs w:val="19"/>
        </w:rPr>
        <w:t>.</w:t>
      </w:r>
    </w:p>
    <w:p w14:paraId="0C3D6A83" w14:textId="5DBD8542" w:rsidR="00CB69AB" w:rsidRDefault="00CB69AB" w:rsidP="00D87ED0">
      <w:pPr>
        <w:rPr>
          <w:rFonts w:ascii="Arial" w:hAnsi="Arial" w:cs="Arial"/>
          <w:color w:val="000000"/>
          <w:sz w:val="19"/>
          <w:szCs w:val="19"/>
        </w:rPr>
      </w:pPr>
      <w:r>
        <w:rPr>
          <w:rFonts w:ascii="Arial" w:hAnsi="Arial" w:cs="Arial"/>
          <w:color w:val="000000"/>
          <w:sz w:val="19"/>
          <w:szCs w:val="19"/>
        </w:rPr>
        <w:t xml:space="preserve"> Segal</w:t>
      </w:r>
      <w:r>
        <w:rPr>
          <w:rFonts w:ascii="Arial" w:hAnsi="Arial" w:cs="Arial"/>
          <w:color w:val="000000"/>
          <w:sz w:val="19"/>
          <w:szCs w:val="19"/>
        </w:rPr>
        <w:t xml:space="preserve"> Eliezer,</w:t>
      </w:r>
      <w:r>
        <w:rPr>
          <w:rFonts w:ascii="Arial" w:hAnsi="Arial" w:cs="Arial"/>
          <w:color w:val="000000"/>
          <w:sz w:val="19"/>
          <w:szCs w:val="19"/>
        </w:rPr>
        <w:t xml:space="preserve"> </w:t>
      </w:r>
      <w:r>
        <w:rPr>
          <w:rFonts w:ascii="Arial" w:hAnsi="Arial" w:cs="Arial"/>
          <w:i/>
          <w:iCs/>
          <w:color w:val="000000"/>
          <w:sz w:val="19"/>
          <w:szCs w:val="19"/>
        </w:rPr>
        <w:t>Introducing Judaism</w:t>
      </w:r>
      <w:r>
        <w:rPr>
          <w:rFonts w:ascii="Arial" w:hAnsi="Arial" w:cs="Arial"/>
          <w:color w:val="000000"/>
          <w:sz w:val="19"/>
          <w:szCs w:val="19"/>
        </w:rPr>
        <w:t xml:space="preserve"> (New York: Routledge, 2009)</w:t>
      </w:r>
      <w:r>
        <w:rPr>
          <w:rFonts w:ascii="Arial" w:hAnsi="Arial" w:cs="Arial"/>
          <w:color w:val="000000"/>
          <w:sz w:val="19"/>
          <w:szCs w:val="19"/>
        </w:rPr>
        <w:t>.</w:t>
      </w:r>
    </w:p>
    <w:p w14:paraId="4AAE2C7D" w14:textId="3437FD5B" w:rsidR="00CB69AB" w:rsidRDefault="00CB69AB" w:rsidP="00D87ED0">
      <w:pPr>
        <w:rPr>
          <w:rFonts w:ascii="Arial" w:hAnsi="Arial" w:cs="Arial"/>
          <w:color w:val="000000"/>
          <w:sz w:val="19"/>
          <w:szCs w:val="19"/>
        </w:rPr>
      </w:pPr>
      <w:r>
        <w:rPr>
          <w:rFonts w:ascii="Arial" w:hAnsi="Arial" w:cs="Arial"/>
          <w:color w:val="000000"/>
          <w:sz w:val="19"/>
          <w:szCs w:val="19"/>
        </w:rPr>
        <w:t xml:space="preserve"> Wald</w:t>
      </w:r>
      <w:r>
        <w:rPr>
          <w:rFonts w:ascii="Arial" w:hAnsi="Arial" w:cs="Arial"/>
          <w:color w:val="000000"/>
          <w:sz w:val="19"/>
          <w:szCs w:val="19"/>
        </w:rPr>
        <w:t xml:space="preserve"> Stephen G,</w:t>
      </w:r>
      <w:r>
        <w:rPr>
          <w:rFonts w:ascii="Arial" w:hAnsi="Arial" w:cs="Arial"/>
          <w:color w:val="000000"/>
          <w:sz w:val="19"/>
          <w:szCs w:val="19"/>
        </w:rPr>
        <w:t xml:space="preserve"> 'Judah Ha Nasi', </w:t>
      </w:r>
      <w:r>
        <w:rPr>
          <w:rFonts w:ascii="Arial" w:hAnsi="Arial" w:cs="Arial"/>
          <w:i/>
          <w:iCs/>
          <w:color w:val="000000"/>
          <w:sz w:val="19"/>
          <w:szCs w:val="19"/>
        </w:rPr>
        <w:t>Encyclopaedia Judaica</w:t>
      </w:r>
      <w:r>
        <w:rPr>
          <w:rFonts w:ascii="Arial" w:hAnsi="Arial" w:cs="Arial"/>
          <w:color w:val="000000"/>
          <w:sz w:val="19"/>
          <w:szCs w:val="19"/>
        </w:rPr>
        <w:t>, 11.2nd edition, (2007), 501-505.</w:t>
      </w:r>
    </w:p>
    <w:p w14:paraId="62FF5496" w14:textId="1E30DEA1" w:rsidR="00CB69AB" w:rsidRPr="00F83A32" w:rsidRDefault="00CB69AB" w:rsidP="00D87ED0">
      <w:pPr>
        <w:rPr>
          <w:rFonts w:ascii="Arial" w:hAnsi="Arial" w:cs="Arial"/>
          <w:color w:val="000000"/>
          <w:sz w:val="19"/>
          <w:szCs w:val="19"/>
        </w:rPr>
      </w:pPr>
      <w:r>
        <w:rPr>
          <w:rFonts w:ascii="Arial" w:hAnsi="Arial" w:cs="Arial"/>
          <w:color w:val="000000"/>
          <w:sz w:val="19"/>
          <w:szCs w:val="19"/>
        </w:rPr>
        <w:t xml:space="preserve"> Wenger</w:t>
      </w:r>
      <w:r>
        <w:rPr>
          <w:rFonts w:ascii="Arial" w:hAnsi="Arial" w:cs="Arial"/>
          <w:color w:val="000000"/>
          <w:sz w:val="19"/>
          <w:szCs w:val="19"/>
        </w:rPr>
        <w:t xml:space="preserve"> Beth S,</w:t>
      </w:r>
      <w:bookmarkStart w:id="0" w:name="_GoBack"/>
      <w:bookmarkEnd w:id="0"/>
      <w:r>
        <w:rPr>
          <w:rFonts w:ascii="Arial" w:hAnsi="Arial" w:cs="Arial"/>
          <w:color w:val="000000"/>
          <w:sz w:val="19"/>
          <w:szCs w:val="19"/>
        </w:rPr>
        <w:t xml:space="preserve"> 'Mitzvah and Medicine:</w:t>
      </w:r>
      <w:r>
        <w:rPr>
          <w:rFonts w:ascii="Arial" w:hAnsi="Arial" w:cs="Arial"/>
          <w:color w:val="000000"/>
          <w:sz w:val="19"/>
          <w:szCs w:val="19"/>
        </w:rPr>
        <w:t xml:space="preserve"> </w:t>
      </w:r>
      <w:r>
        <w:rPr>
          <w:rFonts w:ascii="Arial" w:hAnsi="Arial" w:cs="Arial"/>
          <w:color w:val="000000"/>
          <w:sz w:val="19"/>
          <w:szCs w:val="19"/>
        </w:rPr>
        <w:t xml:space="preserve">Gender, Assimilation, and the Scientific </w:t>
      </w:r>
      <w:proofErr w:type="spellStart"/>
      <w:r>
        <w:rPr>
          <w:rFonts w:ascii="Arial" w:hAnsi="Arial" w:cs="Arial"/>
          <w:color w:val="000000"/>
          <w:sz w:val="19"/>
          <w:szCs w:val="19"/>
        </w:rPr>
        <w:t>Defense</w:t>
      </w:r>
      <w:proofErr w:type="spellEnd"/>
      <w:r>
        <w:rPr>
          <w:rFonts w:ascii="Arial" w:hAnsi="Arial" w:cs="Arial"/>
          <w:color w:val="000000"/>
          <w:sz w:val="19"/>
          <w:szCs w:val="19"/>
        </w:rPr>
        <w:t xml:space="preserve"> of "Family Purity"', </w:t>
      </w:r>
      <w:r>
        <w:rPr>
          <w:rFonts w:ascii="Arial" w:hAnsi="Arial" w:cs="Arial"/>
          <w:i/>
          <w:iCs/>
          <w:color w:val="000000"/>
          <w:sz w:val="19"/>
          <w:szCs w:val="19"/>
        </w:rPr>
        <w:t>Jewish Social Studies</w:t>
      </w:r>
      <w:r>
        <w:rPr>
          <w:rFonts w:ascii="Arial" w:hAnsi="Arial" w:cs="Arial"/>
          <w:color w:val="000000"/>
          <w:sz w:val="19"/>
          <w:szCs w:val="19"/>
        </w:rPr>
        <w:t>, 5.1/2, (Fall 98/ Winter 99), 177-202 (p. 178-179).</w:t>
      </w:r>
    </w:p>
    <w:p w14:paraId="788E5DA0" w14:textId="68742274" w:rsidR="00D87ED0" w:rsidRDefault="00D87ED0" w:rsidP="00D87ED0">
      <w:pPr>
        <w:rPr>
          <w:rFonts w:ascii="Times New Roman" w:hAnsi="Times New Roman"/>
          <w:sz w:val="24"/>
          <w:szCs w:val="24"/>
        </w:rPr>
      </w:pPr>
    </w:p>
    <w:p w14:paraId="4A5AA604" w14:textId="77777777" w:rsidR="00AF70B2" w:rsidRPr="00D87ED0" w:rsidRDefault="00AF70B2" w:rsidP="00D87ED0">
      <w:pPr>
        <w:jc w:val="right"/>
        <w:rPr>
          <w:rFonts w:ascii="Times New Roman" w:hAnsi="Times New Roman"/>
          <w:sz w:val="24"/>
          <w:szCs w:val="24"/>
        </w:rPr>
      </w:pPr>
    </w:p>
    <w:sectPr w:rsidR="00AF70B2" w:rsidRPr="00D87E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8B8770" w14:textId="77777777" w:rsidR="0022685B" w:rsidRDefault="0022685B" w:rsidP="00864FF8">
      <w:pPr>
        <w:spacing w:after="0" w:line="240" w:lineRule="auto"/>
      </w:pPr>
      <w:r>
        <w:separator/>
      </w:r>
    </w:p>
  </w:endnote>
  <w:endnote w:type="continuationSeparator" w:id="0">
    <w:p w14:paraId="5555B339" w14:textId="77777777" w:rsidR="0022685B" w:rsidRDefault="0022685B" w:rsidP="00864FF8">
      <w:pPr>
        <w:spacing w:after="0" w:line="240" w:lineRule="auto"/>
      </w:pPr>
      <w:r>
        <w:continuationSeparator/>
      </w:r>
    </w:p>
  </w:endnote>
  <w:endnote w:type="continuationNotice" w:id="1">
    <w:p w14:paraId="49404B25" w14:textId="77777777" w:rsidR="00C458C0" w:rsidRDefault="00C458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6FDEF5" w14:textId="77777777" w:rsidR="0022685B" w:rsidRDefault="0022685B" w:rsidP="00864FF8">
      <w:pPr>
        <w:spacing w:after="0" w:line="240" w:lineRule="auto"/>
      </w:pPr>
      <w:r>
        <w:separator/>
      </w:r>
    </w:p>
  </w:footnote>
  <w:footnote w:type="continuationSeparator" w:id="0">
    <w:p w14:paraId="6DB3FDD8" w14:textId="77777777" w:rsidR="0022685B" w:rsidRDefault="0022685B" w:rsidP="00864FF8">
      <w:pPr>
        <w:spacing w:after="0" w:line="240" w:lineRule="auto"/>
      </w:pPr>
      <w:r>
        <w:continuationSeparator/>
      </w:r>
    </w:p>
  </w:footnote>
  <w:footnote w:type="continuationNotice" w:id="1">
    <w:p w14:paraId="5F6407B1" w14:textId="77777777" w:rsidR="00C458C0" w:rsidRDefault="00C458C0">
      <w:pPr>
        <w:spacing w:after="0" w:line="240" w:lineRule="auto"/>
      </w:pPr>
    </w:p>
  </w:footnote>
  <w:footnote w:id="2">
    <w:p w14:paraId="4A18828F" w14:textId="6E744A4C" w:rsidR="00864FF8" w:rsidRDefault="00864FF8">
      <w:pPr>
        <w:pStyle w:val="FootnoteText"/>
      </w:pPr>
      <w:r>
        <w:rPr>
          <w:rStyle w:val="FootnoteReference"/>
        </w:rPr>
        <w:footnoteRef/>
      </w:r>
      <w:r>
        <w:t xml:space="preserve"> </w:t>
      </w:r>
      <w:r w:rsidR="00287725">
        <w:t>Eli</w:t>
      </w:r>
      <w:r w:rsidR="000C0199">
        <w:t xml:space="preserve">ezer Segal, </w:t>
      </w:r>
      <w:r w:rsidR="000C0199" w:rsidRPr="00651480">
        <w:rPr>
          <w:i/>
        </w:rPr>
        <w:t>Introducing Judaism</w:t>
      </w:r>
      <w:r w:rsidR="00F12E07">
        <w:rPr>
          <w:i/>
        </w:rPr>
        <w:t xml:space="preserve"> </w:t>
      </w:r>
      <w:r w:rsidR="00F12E07" w:rsidRPr="00FF6A4E">
        <w:t>(New York:</w:t>
      </w:r>
      <w:r w:rsidR="001D1283" w:rsidRPr="00FF6A4E">
        <w:t xml:space="preserve"> </w:t>
      </w:r>
      <w:r w:rsidR="00F12E07" w:rsidRPr="00FF6A4E">
        <w:t>Rout</w:t>
      </w:r>
      <w:r w:rsidR="00230D22" w:rsidRPr="00FF6A4E">
        <w:t>ledge,2009).</w:t>
      </w:r>
      <w:r w:rsidR="00FF6A4E" w:rsidRPr="00FF6A4E">
        <w:t xml:space="preserve"> </w:t>
      </w:r>
      <w:r w:rsidR="001D1283" w:rsidRPr="00FF6A4E">
        <w:t>p.18</w:t>
      </w:r>
    </w:p>
  </w:footnote>
  <w:footnote w:id="3">
    <w:p w14:paraId="3AB35053" w14:textId="1B798307" w:rsidR="00BD237B" w:rsidRPr="0016620F" w:rsidRDefault="00BD237B">
      <w:pPr>
        <w:pStyle w:val="FootnoteText"/>
        <w:rPr>
          <w:rFonts w:cstheme="minorHAnsi"/>
        </w:rPr>
      </w:pPr>
      <w:r w:rsidRPr="0016620F">
        <w:rPr>
          <w:rStyle w:val="FootnoteReference"/>
          <w:rFonts w:cstheme="minorHAnsi"/>
        </w:rPr>
        <w:footnoteRef/>
      </w:r>
      <w:r w:rsidR="007B7FB3" w:rsidRPr="0016620F">
        <w:rPr>
          <w:rFonts w:cstheme="minorHAnsi"/>
          <w:color w:val="000000"/>
          <w:sz w:val="19"/>
          <w:szCs w:val="19"/>
        </w:rPr>
        <w:t xml:space="preserve">George Robinson, </w:t>
      </w:r>
      <w:r w:rsidR="007B7FB3" w:rsidRPr="0016620F">
        <w:rPr>
          <w:rFonts w:cstheme="minorHAnsi"/>
          <w:i/>
          <w:iCs/>
          <w:color w:val="000000"/>
          <w:sz w:val="19"/>
          <w:szCs w:val="19"/>
        </w:rPr>
        <w:t>Essential Judaism;</w:t>
      </w:r>
      <w:r w:rsidR="00C30768" w:rsidRPr="0016620F">
        <w:rPr>
          <w:rFonts w:cstheme="minorHAnsi"/>
          <w:i/>
          <w:iCs/>
          <w:color w:val="000000"/>
          <w:sz w:val="19"/>
          <w:szCs w:val="19"/>
        </w:rPr>
        <w:t xml:space="preserve"> </w:t>
      </w:r>
      <w:r w:rsidR="007B7FB3" w:rsidRPr="0016620F">
        <w:rPr>
          <w:rFonts w:cstheme="minorHAnsi"/>
          <w:i/>
          <w:iCs/>
          <w:color w:val="000000"/>
          <w:sz w:val="19"/>
          <w:szCs w:val="19"/>
        </w:rPr>
        <w:t>A Complete Guide to Beliefs,</w:t>
      </w:r>
      <w:r w:rsidR="00C30768" w:rsidRPr="0016620F">
        <w:rPr>
          <w:rFonts w:cstheme="minorHAnsi"/>
          <w:i/>
          <w:iCs/>
          <w:color w:val="000000"/>
          <w:sz w:val="19"/>
          <w:szCs w:val="19"/>
        </w:rPr>
        <w:t xml:space="preserve"> </w:t>
      </w:r>
      <w:r w:rsidR="007B7FB3" w:rsidRPr="0016620F">
        <w:rPr>
          <w:rFonts w:cstheme="minorHAnsi"/>
          <w:i/>
          <w:iCs/>
          <w:color w:val="000000"/>
          <w:sz w:val="19"/>
          <w:szCs w:val="19"/>
        </w:rPr>
        <w:t>Customs,</w:t>
      </w:r>
      <w:r w:rsidR="00C30768" w:rsidRPr="0016620F">
        <w:rPr>
          <w:rFonts w:cstheme="minorHAnsi"/>
          <w:i/>
          <w:iCs/>
          <w:color w:val="000000"/>
          <w:sz w:val="19"/>
          <w:szCs w:val="19"/>
        </w:rPr>
        <w:t xml:space="preserve"> </w:t>
      </w:r>
      <w:r w:rsidR="007B7FB3" w:rsidRPr="0016620F">
        <w:rPr>
          <w:rFonts w:cstheme="minorHAnsi"/>
          <w:i/>
          <w:iCs/>
          <w:color w:val="000000"/>
          <w:sz w:val="19"/>
          <w:szCs w:val="19"/>
        </w:rPr>
        <w:t>and Rituals</w:t>
      </w:r>
      <w:r w:rsidR="007B7FB3" w:rsidRPr="0016620F">
        <w:rPr>
          <w:rFonts w:cstheme="minorHAnsi"/>
          <w:color w:val="000000"/>
          <w:sz w:val="19"/>
          <w:szCs w:val="19"/>
        </w:rPr>
        <w:t>, 1st Atria Paperback ed (New York: NY:</w:t>
      </w:r>
      <w:r w:rsidR="0016620F" w:rsidRPr="0016620F">
        <w:rPr>
          <w:rFonts w:cstheme="minorHAnsi"/>
          <w:color w:val="000000"/>
          <w:sz w:val="19"/>
          <w:szCs w:val="19"/>
        </w:rPr>
        <w:t xml:space="preserve"> </w:t>
      </w:r>
      <w:r w:rsidR="007B7FB3" w:rsidRPr="0016620F">
        <w:rPr>
          <w:rFonts w:cstheme="minorHAnsi"/>
          <w:color w:val="000000"/>
          <w:sz w:val="19"/>
          <w:szCs w:val="19"/>
        </w:rPr>
        <w:t>Atria Paperback, 2001)</w:t>
      </w:r>
      <w:r w:rsidR="00FA2B05">
        <w:rPr>
          <w:rFonts w:cstheme="minorHAnsi"/>
          <w:color w:val="000000"/>
          <w:sz w:val="19"/>
          <w:szCs w:val="19"/>
        </w:rPr>
        <w:t xml:space="preserve">. </w:t>
      </w:r>
      <w:r w:rsidR="00F13C5D">
        <w:rPr>
          <w:rFonts w:cstheme="minorHAnsi"/>
          <w:color w:val="000000"/>
          <w:sz w:val="19"/>
          <w:szCs w:val="19"/>
        </w:rPr>
        <w:t>p</w:t>
      </w:r>
      <w:r w:rsidR="00FA2B05">
        <w:rPr>
          <w:rFonts w:cstheme="minorHAnsi"/>
          <w:color w:val="000000"/>
          <w:sz w:val="19"/>
          <w:szCs w:val="19"/>
        </w:rPr>
        <w:t>.</w:t>
      </w:r>
      <w:r w:rsidR="00F13C5D">
        <w:rPr>
          <w:rFonts w:cstheme="minorHAnsi"/>
          <w:color w:val="000000"/>
          <w:sz w:val="19"/>
          <w:szCs w:val="19"/>
        </w:rPr>
        <w:t>312</w:t>
      </w:r>
    </w:p>
  </w:footnote>
  <w:footnote w:id="4">
    <w:p w14:paraId="316DBFDF" w14:textId="5EF343F4" w:rsidR="008C625B" w:rsidRPr="00AB2126" w:rsidRDefault="008C625B">
      <w:pPr>
        <w:pStyle w:val="FootnoteText"/>
        <w:rPr>
          <w:rFonts w:cstheme="minorHAnsi"/>
        </w:rPr>
      </w:pPr>
      <w:r w:rsidRPr="00AB2126">
        <w:rPr>
          <w:rStyle w:val="FootnoteReference"/>
          <w:rFonts w:cstheme="minorHAnsi"/>
        </w:rPr>
        <w:footnoteRef/>
      </w:r>
      <w:r w:rsidRPr="00AB2126">
        <w:rPr>
          <w:rFonts w:cstheme="minorHAnsi"/>
        </w:rPr>
        <w:t xml:space="preserve"> </w:t>
      </w:r>
      <w:r w:rsidR="00812C56" w:rsidRPr="00AB2126">
        <w:rPr>
          <w:rFonts w:cstheme="minorHAnsi"/>
          <w:color w:val="000000"/>
          <w:sz w:val="19"/>
          <w:szCs w:val="19"/>
        </w:rPr>
        <w:t xml:space="preserve">George Robinson, </w:t>
      </w:r>
      <w:r w:rsidR="00812C56" w:rsidRPr="00AB2126">
        <w:rPr>
          <w:rFonts w:cstheme="minorHAnsi"/>
          <w:i/>
          <w:iCs/>
          <w:color w:val="000000"/>
          <w:sz w:val="19"/>
          <w:szCs w:val="19"/>
        </w:rPr>
        <w:t>Essential Judaism;</w:t>
      </w:r>
      <w:r w:rsidR="00BB170B" w:rsidRPr="00AB2126">
        <w:rPr>
          <w:rFonts w:cstheme="minorHAnsi"/>
          <w:i/>
          <w:iCs/>
          <w:color w:val="000000"/>
          <w:sz w:val="19"/>
          <w:szCs w:val="19"/>
        </w:rPr>
        <w:t xml:space="preserve"> </w:t>
      </w:r>
      <w:r w:rsidR="00812C56" w:rsidRPr="00AB2126">
        <w:rPr>
          <w:rFonts w:cstheme="minorHAnsi"/>
          <w:i/>
          <w:iCs/>
          <w:color w:val="000000"/>
          <w:sz w:val="19"/>
          <w:szCs w:val="19"/>
        </w:rPr>
        <w:t>A Complete Guide to Beliefs,</w:t>
      </w:r>
      <w:r w:rsidR="00BB170B" w:rsidRPr="00AB2126">
        <w:rPr>
          <w:rFonts w:cstheme="minorHAnsi"/>
          <w:i/>
          <w:iCs/>
          <w:color w:val="000000"/>
          <w:sz w:val="19"/>
          <w:szCs w:val="19"/>
        </w:rPr>
        <w:t xml:space="preserve"> </w:t>
      </w:r>
      <w:r w:rsidR="00812C56" w:rsidRPr="00AB2126">
        <w:rPr>
          <w:rFonts w:cstheme="minorHAnsi"/>
          <w:i/>
          <w:iCs/>
          <w:color w:val="000000"/>
          <w:sz w:val="19"/>
          <w:szCs w:val="19"/>
        </w:rPr>
        <w:t>Customs,</w:t>
      </w:r>
      <w:r w:rsidR="00AB2126" w:rsidRPr="00AB2126">
        <w:rPr>
          <w:rFonts w:cstheme="minorHAnsi"/>
          <w:i/>
          <w:iCs/>
          <w:color w:val="000000"/>
          <w:sz w:val="19"/>
          <w:szCs w:val="19"/>
        </w:rPr>
        <w:t xml:space="preserve"> </w:t>
      </w:r>
      <w:r w:rsidR="00812C56" w:rsidRPr="00AB2126">
        <w:rPr>
          <w:rFonts w:cstheme="minorHAnsi"/>
          <w:i/>
          <w:iCs/>
          <w:color w:val="000000"/>
          <w:sz w:val="19"/>
          <w:szCs w:val="19"/>
        </w:rPr>
        <w:t>and Rituals</w:t>
      </w:r>
      <w:r w:rsidR="00812C56" w:rsidRPr="00AB2126">
        <w:rPr>
          <w:rFonts w:cstheme="minorHAnsi"/>
          <w:color w:val="000000"/>
          <w:sz w:val="19"/>
          <w:szCs w:val="19"/>
        </w:rPr>
        <w:t>, 1st Atria Paperback ed (New York:</w:t>
      </w:r>
      <w:r w:rsidR="00AB2126" w:rsidRPr="00AB2126">
        <w:rPr>
          <w:rFonts w:cstheme="minorHAnsi"/>
          <w:color w:val="000000"/>
          <w:sz w:val="19"/>
          <w:szCs w:val="19"/>
        </w:rPr>
        <w:t xml:space="preserve"> </w:t>
      </w:r>
      <w:r w:rsidR="00812C56" w:rsidRPr="00AB2126">
        <w:rPr>
          <w:rFonts w:cstheme="minorHAnsi"/>
          <w:color w:val="000000"/>
          <w:sz w:val="19"/>
          <w:szCs w:val="19"/>
        </w:rPr>
        <w:t>NY:</w:t>
      </w:r>
      <w:r w:rsidR="00BB170B" w:rsidRPr="00AB2126">
        <w:rPr>
          <w:rFonts w:cstheme="minorHAnsi"/>
          <w:color w:val="000000"/>
          <w:sz w:val="19"/>
          <w:szCs w:val="19"/>
        </w:rPr>
        <w:t xml:space="preserve"> </w:t>
      </w:r>
      <w:r w:rsidR="00812C56" w:rsidRPr="00AB2126">
        <w:rPr>
          <w:rFonts w:cstheme="minorHAnsi"/>
          <w:color w:val="000000"/>
          <w:sz w:val="19"/>
          <w:szCs w:val="19"/>
        </w:rPr>
        <w:t>Atria Paperback, 2001).</w:t>
      </w:r>
      <w:r w:rsidR="00A14B36" w:rsidRPr="00AB2126">
        <w:rPr>
          <w:rFonts w:cstheme="minorHAnsi"/>
          <w:color w:val="000000"/>
          <w:sz w:val="19"/>
          <w:szCs w:val="19"/>
        </w:rPr>
        <w:t xml:space="preserve"> P.314</w:t>
      </w:r>
    </w:p>
  </w:footnote>
  <w:footnote w:id="5">
    <w:p w14:paraId="6E162999" w14:textId="143D1802" w:rsidR="00680DC5" w:rsidRPr="00553452" w:rsidRDefault="00680DC5">
      <w:pPr>
        <w:pStyle w:val="FootnoteText"/>
        <w:rPr>
          <w:rFonts w:cstheme="minorHAnsi"/>
        </w:rPr>
      </w:pPr>
      <w:r w:rsidRPr="00553452">
        <w:rPr>
          <w:rStyle w:val="FootnoteReference"/>
          <w:rFonts w:cstheme="minorHAnsi"/>
        </w:rPr>
        <w:footnoteRef/>
      </w:r>
      <w:r w:rsidRPr="00553452">
        <w:rPr>
          <w:rFonts w:cstheme="minorHAnsi"/>
        </w:rPr>
        <w:t xml:space="preserve"> </w:t>
      </w:r>
      <w:r w:rsidR="004C593F" w:rsidRPr="00553452">
        <w:rPr>
          <w:rFonts w:cstheme="minorHAnsi"/>
          <w:color w:val="000000"/>
          <w:sz w:val="19"/>
          <w:szCs w:val="19"/>
        </w:rPr>
        <w:t xml:space="preserve">Yosef Eisen, </w:t>
      </w:r>
      <w:r w:rsidR="004C593F" w:rsidRPr="00553452">
        <w:rPr>
          <w:rFonts w:cstheme="minorHAnsi"/>
          <w:i/>
          <w:iCs/>
          <w:color w:val="000000"/>
          <w:sz w:val="19"/>
          <w:szCs w:val="19"/>
        </w:rPr>
        <w:t>Hillel and Shammai</w:t>
      </w:r>
      <w:r w:rsidR="004C593F" w:rsidRPr="00553452">
        <w:rPr>
          <w:rFonts w:cstheme="minorHAnsi"/>
          <w:color w:val="000000"/>
          <w:sz w:val="19"/>
          <w:szCs w:val="19"/>
        </w:rPr>
        <w:t xml:space="preserve"> (2018) &lt;https://www.chabad.org/library/article_cdo/aid/2832622/jewish/Hillel-and-Shammai.htm?gclid=EAIaIQobChMIo5Cvornh3QIVB7TtCh0IowFOEAAYASAAEgI-NfD_BwE#comment&gt; [accessed 2 October 2018].</w:t>
      </w:r>
    </w:p>
  </w:footnote>
  <w:footnote w:id="6">
    <w:p w14:paraId="594CFD02" w14:textId="2F3E76B0" w:rsidR="002E71F7" w:rsidRPr="003E5AB7" w:rsidRDefault="002E71F7">
      <w:pPr>
        <w:pStyle w:val="FootnoteText"/>
        <w:rPr>
          <w:rFonts w:cstheme="minorHAnsi"/>
        </w:rPr>
      </w:pPr>
      <w:r>
        <w:rPr>
          <w:rStyle w:val="FootnoteReference"/>
        </w:rPr>
        <w:footnoteRef/>
      </w:r>
      <w:r>
        <w:t xml:space="preserve"> </w:t>
      </w:r>
      <w:r w:rsidR="000D43EB" w:rsidRPr="003E5AB7">
        <w:rPr>
          <w:rFonts w:cstheme="minorHAnsi"/>
          <w:color w:val="000000"/>
          <w:sz w:val="19"/>
          <w:szCs w:val="19"/>
        </w:rPr>
        <w:t xml:space="preserve">Naftali Brawer, </w:t>
      </w:r>
      <w:r w:rsidR="000D43EB" w:rsidRPr="003E5AB7">
        <w:rPr>
          <w:rFonts w:cstheme="minorHAnsi"/>
          <w:i/>
          <w:iCs/>
          <w:color w:val="000000"/>
          <w:sz w:val="19"/>
          <w:szCs w:val="19"/>
        </w:rPr>
        <w:t>Judaism;</w:t>
      </w:r>
      <w:r w:rsidR="006353DB" w:rsidRPr="003E5AB7">
        <w:rPr>
          <w:rFonts w:cstheme="minorHAnsi"/>
          <w:i/>
          <w:iCs/>
          <w:color w:val="000000"/>
          <w:sz w:val="19"/>
          <w:szCs w:val="19"/>
        </w:rPr>
        <w:t xml:space="preserve"> </w:t>
      </w:r>
      <w:r w:rsidR="000D43EB" w:rsidRPr="003E5AB7">
        <w:rPr>
          <w:rFonts w:cstheme="minorHAnsi"/>
          <w:i/>
          <w:iCs/>
          <w:color w:val="000000"/>
          <w:sz w:val="19"/>
          <w:szCs w:val="19"/>
        </w:rPr>
        <w:t>Theology,</w:t>
      </w:r>
      <w:r w:rsidR="006353DB" w:rsidRPr="003E5AB7">
        <w:rPr>
          <w:rFonts w:cstheme="minorHAnsi"/>
          <w:i/>
          <w:iCs/>
          <w:color w:val="000000"/>
          <w:sz w:val="19"/>
          <w:szCs w:val="19"/>
        </w:rPr>
        <w:t xml:space="preserve"> </w:t>
      </w:r>
      <w:r w:rsidR="000D43EB" w:rsidRPr="003E5AB7">
        <w:rPr>
          <w:rFonts w:cstheme="minorHAnsi"/>
          <w:i/>
          <w:iCs/>
          <w:color w:val="000000"/>
          <w:sz w:val="19"/>
          <w:szCs w:val="19"/>
        </w:rPr>
        <w:t>History and Practice</w:t>
      </w:r>
      <w:r w:rsidR="000D43EB" w:rsidRPr="003E5AB7">
        <w:rPr>
          <w:rFonts w:cstheme="minorHAnsi"/>
          <w:color w:val="000000"/>
          <w:sz w:val="19"/>
          <w:szCs w:val="19"/>
        </w:rPr>
        <w:t xml:space="preserve"> (Philadelphia: PA:</w:t>
      </w:r>
      <w:r w:rsidR="006353DB" w:rsidRPr="003E5AB7">
        <w:rPr>
          <w:rFonts w:cstheme="minorHAnsi"/>
          <w:color w:val="000000"/>
          <w:sz w:val="19"/>
          <w:szCs w:val="19"/>
        </w:rPr>
        <w:t xml:space="preserve"> </w:t>
      </w:r>
      <w:r w:rsidR="000D43EB" w:rsidRPr="003E5AB7">
        <w:rPr>
          <w:rFonts w:cstheme="minorHAnsi"/>
          <w:color w:val="000000"/>
          <w:sz w:val="19"/>
          <w:szCs w:val="19"/>
        </w:rPr>
        <w:t>Running Press, 2008).</w:t>
      </w:r>
      <w:r w:rsidR="003E5AB7" w:rsidRPr="003E5AB7">
        <w:rPr>
          <w:rFonts w:cstheme="minorHAnsi"/>
          <w:color w:val="000000"/>
          <w:sz w:val="19"/>
          <w:szCs w:val="19"/>
        </w:rPr>
        <w:t xml:space="preserve"> p.113</w:t>
      </w:r>
    </w:p>
  </w:footnote>
  <w:footnote w:id="7">
    <w:p w14:paraId="5920231E" w14:textId="3940405A" w:rsidR="00A30523" w:rsidRPr="003528C5" w:rsidRDefault="00555D95">
      <w:pPr>
        <w:pStyle w:val="FootnoteText"/>
        <w:rPr>
          <w:rFonts w:cstheme="minorHAnsi"/>
        </w:rPr>
      </w:pPr>
      <w:r w:rsidRPr="003528C5">
        <w:rPr>
          <w:rStyle w:val="FootnoteReference"/>
          <w:rFonts w:cstheme="minorHAnsi"/>
        </w:rPr>
        <w:footnoteRef/>
      </w:r>
      <w:r w:rsidR="00013F06" w:rsidRPr="003528C5">
        <w:rPr>
          <w:rFonts w:cstheme="minorHAnsi"/>
          <w:color w:val="000000"/>
          <w:sz w:val="19"/>
          <w:szCs w:val="19"/>
        </w:rPr>
        <w:t xml:space="preserve">George Robinson, </w:t>
      </w:r>
      <w:r w:rsidR="00013F06" w:rsidRPr="003528C5">
        <w:rPr>
          <w:rFonts w:cstheme="minorHAnsi"/>
          <w:i/>
          <w:iCs/>
          <w:color w:val="000000"/>
          <w:sz w:val="19"/>
          <w:szCs w:val="19"/>
        </w:rPr>
        <w:t>Essential Judaism; A Complete Guide to Beliefs, Customs, and Rituals</w:t>
      </w:r>
      <w:r w:rsidR="00013F06" w:rsidRPr="003528C5">
        <w:rPr>
          <w:rFonts w:cstheme="minorHAnsi"/>
          <w:color w:val="000000"/>
          <w:sz w:val="19"/>
          <w:szCs w:val="19"/>
        </w:rPr>
        <w:t>, 1st Atria Paperback ed (New York:</w:t>
      </w:r>
      <w:r w:rsidR="003528C5">
        <w:rPr>
          <w:rFonts w:cstheme="minorHAnsi"/>
          <w:color w:val="000000"/>
          <w:sz w:val="19"/>
          <w:szCs w:val="19"/>
        </w:rPr>
        <w:t xml:space="preserve"> </w:t>
      </w:r>
      <w:r w:rsidR="00013F06" w:rsidRPr="003528C5">
        <w:rPr>
          <w:rFonts w:cstheme="minorHAnsi"/>
          <w:color w:val="000000"/>
          <w:sz w:val="19"/>
          <w:szCs w:val="19"/>
        </w:rPr>
        <w:t>NY: Atria Paperback, 2001).</w:t>
      </w:r>
    </w:p>
  </w:footnote>
  <w:footnote w:id="8">
    <w:p w14:paraId="2EEA64AB" w14:textId="211EE2B3" w:rsidR="007F48AE" w:rsidRPr="00E958DA" w:rsidRDefault="007F48AE">
      <w:pPr>
        <w:pStyle w:val="FootnoteText"/>
        <w:rPr>
          <w:rFonts w:cstheme="minorHAnsi"/>
        </w:rPr>
      </w:pPr>
      <w:r w:rsidRPr="00E958DA">
        <w:rPr>
          <w:rStyle w:val="FootnoteReference"/>
          <w:rFonts w:cstheme="minorHAnsi"/>
        </w:rPr>
        <w:footnoteRef/>
      </w:r>
      <w:r w:rsidRPr="00E958DA">
        <w:rPr>
          <w:rFonts w:cstheme="minorHAnsi"/>
        </w:rPr>
        <w:t xml:space="preserve"> </w:t>
      </w:r>
      <w:r w:rsidR="008B15AB" w:rsidRPr="00E958DA">
        <w:rPr>
          <w:rFonts w:cstheme="minorHAnsi"/>
          <w:color w:val="000000"/>
          <w:sz w:val="19"/>
          <w:szCs w:val="19"/>
        </w:rPr>
        <w:t xml:space="preserve">Eliezer Segal, </w:t>
      </w:r>
      <w:r w:rsidR="008B15AB" w:rsidRPr="00E958DA">
        <w:rPr>
          <w:rFonts w:cstheme="minorHAnsi"/>
          <w:i/>
          <w:iCs/>
          <w:color w:val="000000"/>
          <w:sz w:val="19"/>
          <w:szCs w:val="19"/>
        </w:rPr>
        <w:t>Introducing Judaism</w:t>
      </w:r>
      <w:r w:rsidR="008B15AB" w:rsidRPr="00E958DA">
        <w:rPr>
          <w:rFonts w:cstheme="minorHAnsi"/>
          <w:color w:val="000000"/>
          <w:sz w:val="19"/>
          <w:szCs w:val="19"/>
        </w:rPr>
        <w:t xml:space="preserve"> (New York: Routledge, 2009), p.</w:t>
      </w:r>
      <w:r w:rsidR="00E958DA" w:rsidRPr="00E958DA">
        <w:rPr>
          <w:rFonts w:cstheme="minorHAnsi"/>
          <w:color w:val="000000"/>
          <w:sz w:val="19"/>
          <w:szCs w:val="19"/>
        </w:rPr>
        <w:t>44</w:t>
      </w:r>
    </w:p>
  </w:footnote>
  <w:footnote w:id="9">
    <w:p w14:paraId="0F04FC43" w14:textId="28A7BC6B" w:rsidR="00E45F4C" w:rsidRPr="00DB2362" w:rsidRDefault="00E45F4C">
      <w:pPr>
        <w:pStyle w:val="FootnoteText"/>
        <w:rPr>
          <w:rFonts w:cstheme="minorHAnsi"/>
        </w:rPr>
      </w:pPr>
      <w:r w:rsidRPr="00DB2362">
        <w:rPr>
          <w:rStyle w:val="FootnoteReference"/>
          <w:rFonts w:cstheme="minorHAnsi"/>
        </w:rPr>
        <w:footnoteRef/>
      </w:r>
      <w:r w:rsidRPr="00DB2362">
        <w:rPr>
          <w:rFonts w:cstheme="minorHAnsi"/>
        </w:rPr>
        <w:t xml:space="preserve"> </w:t>
      </w:r>
      <w:r w:rsidR="00DA2962" w:rsidRPr="00DB2362">
        <w:rPr>
          <w:rFonts w:cstheme="minorHAnsi"/>
          <w:color w:val="000000"/>
          <w:sz w:val="19"/>
          <w:szCs w:val="19"/>
        </w:rPr>
        <w:t xml:space="preserve">Eliezer Segal, </w:t>
      </w:r>
      <w:r w:rsidR="00DA2962" w:rsidRPr="00DB2362">
        <w:rPr>
          <w:rFonts w:cstheme="minorHAnsi"/>
          <w:i/>
          <w:iCs/>
          <w:color w:val="000000"/>
          <w:sz w:val="19"/>
          <w:szCs w:val="19"/>
        </w:rPr>
        <w:t>Introducing Judaism</w:t>
      </w:r>
      <w:r w:rsidR="00DA2962" w:rsidRPr="00DB2362">
        <w:rPr>
          <w:rFonts w:cstheme="minorHAnsi"/>
          <w:color w:val="000000"/>
          <w:sz w:val="19"/>
          <w:szCs w:val="19"/>
        </w:rPr>
        <w:t xml:space="preserve"> (New York: Routledge, 2009), p.45</w:t>
      </w:r>
    </w:p>
  </w:footnote>
  <w:footnote w:id="10">
    <w:p w14:paraId="1639A2EB" w14:textId="7963FB7B" w:rsidR="00120BB5" w:rsidRPr="001122BE" w:rsidRDefault="00120BB5">
      <w:pPr>
        <w:pStyle w:val="FootnoteText"/>
        <w:rPr>
          <w:rFonts w:cstheme="minorHAnsi"/>
        </w:rPr>
      </w:pPr>
      <w:r w:rsidRPr="001122BE">
        <w:rPr>
          <w:rStyle w:val="FootnoteReference"/>
          <w:rFonts w:cstheme="minorHAnsi"/>
        </w:rPr>
        <w:footnoteRef/>
      </w:r>
      <w:r w:rsidRPr="001122BE">
        <w:rPr>
          <w:rFonts w:cstheme="minorHAnsi"/>
        </w:rPr>
        <w:t xml:space="preserve"> </w:t>
      </w:r>
      <w:r w:rsidR="00F80980" w:rsidRPr="001122BE">
        <w:rPr>
          <w:rFonts w:cstheme="minorHAnsi"/>
          <w:color w:val="000000"/>
          <w:sz w:val="19"/>
          <w:szCs w:val="19"/>
        </w:rPr>
        <w:t xml:space="preserve">E.P. Sanders, </w:t>
      </w:r>
      <w:r w:rsidR="00F80980" w:rsidRPr="001122BE">
        <w:rPr>
          <w:rFonts w:cstheme="minorHAnsi"/>
          <w:i/>
          <w:iCs/>
          <w:color w:val="000000"/>
          <w:sz w:val="19"/>
          <w:szCs w:val="19"/>
        </w:rPr>
        <w:t>Judaism; Practice &amp; Belief 63BCE-66CE</w:t>
      </w:r>
      <w:r w:rsidR="00F80980" w:rsidRPr="001122BE">
        <w:rPr>
          <w:rFonts w:cstheme="minorHAnsi"/>
          <w:color w:val="000000"/>
          <w:sz w:val="19"/>
          <w:szCs w:val="19"/>
        </w:rPr>
        <w:t xml:space="preserve"> (London: SCM Press Ltd, 1992), p. 5</w:t>
      </w:r>
    </w:p>
  </w:footnote>
  <w:footnote w:id="11">
    <w:p w14:paraId="142C2930" w14:textId="7B0600F9" w:rsidR="008B79FD" w:rsidRPr="005755F4" w:rsidRDefault="008B79FD">
      <w:pPr>
        <w:pStyle w:val="FootnoteText"/>
        <w:rPr>
          <w:rFonts w:cstheme="minorHAnsi"/>
        </w:rPr>
      </w:pPr>
      <w:r w:rsidRPr="005755F4">
        <w:rPr>
          <w:rStyle w:val="FootnoteReference"/>
          <w:rFonts w:cstheme="minorHAnsi"/>
        </w:rPr>
        <w:footnoteRef/>
      </w:r>
      <w:r w:rsidRPr="005755F4">
        <w:rPr>
          <w:rFonts w:cstheme="minorHAnsi"/>
        </w:rPr>
        <w:t xml:space="preserve"> </w:t>
      </w:r>
      <w:r w:rsidR="005755F4" w:rsidRPr="005755F4">
        <w:rPr>
          <w:rFonts w:cstheme="minorHAnsi"/>
          <w:color w:val="000000"/>
          <w:sz w:val="19"/>
          <w:szCs w:val="19"/>
        </w:rPr>
        <w:t xml:space="preserve">Hyam Maccoby, </w:t>
      </w:r>
      <w:r w:rsidR="005755F4" w:rsidRPr="005755F4">
        <w:rPr>
          <w:rFonts w:cstheme="minorHAnsi"/>
          <w:i/>
          <w:iCs/>
          <w:color w:val="000000"/>
          <w:sz w:val="19"/>
          <w:szCs w:val="19"/>
        </w:rPr>
        <w:t>Judaism in the First Century</w:t>
      </w:r>
      <w:r w:rsidR="005755F4" w:rsidRPr="005755F4">
        <w:rPr>
          <w:rFonts w:cstheme="minorHAnsi"/>
          <w:color w:val="000000"/>
          <w:sz w:val="19"/>
          <w:szCs w:val="19"/>
        </w:rPr>
        <w:t xml:space="preserve"> (London: Sheldon Press, 1989), p6</w:t>
      </w:r>
    </w:p>
  </w:footnote>
  <w:footnote w:id="12">
    <w:p w14:paraId="20FA2E40" w14:textId="3C2B33D6" w:rsidR="00B52E05" w:rsidRPr="00D43B79" w:rsidRDefault="00B52E05">
      <w:pPr>
        <w:pStyle w:val="FootnoteText"/>
        <w:rPr>
          <w:rFonts w:cstheme="minorHAnsi"/>
        </w:rPr>
      </w:pPr>
      <w:r w:rsidRPr="00D43B79">
        <w:rPr>
          <w:rStyle w:val="FootnoteReference"/>
          <w:rFonts w:cstheme="minorHAnsi"/>
        </w:rPr>
        <w:footnoteRef/>
      </w:r>
      <w:r w:rsidRPr="00D43B79">
        <w:rPr>
          <w:rFonts w:cstheme="minorHAnsi"/>
        </w:rPr>
        <w:t xml:space="preserve"> </w:t>
      </w:r>
      <w:r w:rsidR="000B7A2D" w:rsidRPr="00D43B79">
        <w:rPr>
          <w:rFonts w:cstheme="minorHAnsi"/>
          <w:color w:val="000000"/>
          <w:sz w:val="19"/>
          <w:szCs w:val="19"/>
        </w:rPr>
        <w:t xml:space="preserve">Eliezer Segal, </w:t>
      </w:r>
      <w:r w:rsidR="000B7A2D" w:rsidRPr="00D43B79">
        <w:rPr>
          <w:rFonts w:cstheme="minorHAnsi"/>
          <w:i/>
          <w:iCs/>
          <w:color w:val="000000"/>
          <w:sz w:val="19"/>
          <w:szCs w:val="19"/>
        </w:rPr>
        <w:t>Introducing Judaism</w:t>
      </w:r>
      <w:r w:rsidR="000B7A2D" w:rsidRPr="00D43B79">
        <w:rPr>
          <w:rFonts w:cstheme="minorHAnsi"/>
          <w:color w:val="000000"/>
          <w:sz w:val="19"/>
          <w:szCs w:val="19"/>
        </w:rPr>
        <w:t xml:space="preserve"> (New York: Routledge, 2009), p</w:t>
      </w:r>
      <w:r w:rsidR="00D43B79" w:rsidRPr="00D43B79">
        <w:rPr>
          <w:rFonts w:cstheme="minorHAnsi"/>
          <w:color w:val="000000"/>
          <w:sz w:val="19"/>
          <w:szCs w:val="19"/>
        </w:rPr>
        <w:t>.40</w:t>
      </w:r>
    </w:p>
  </w:footnote>
  <w:footnote w:id="13">
    <w:p w14:paraId="0E1F4981" w14:textId="77777777" w:rsidR="00CA5ED0" w:rsidRPr="00CA5ED0" w:rsidRDefault="00645555" w:rsidP="00CA5ED0">
      <w:pPr>
        <w:rPr>
          <w:rFonts w:ascii="Arial" w:eastAsia="Times New Roman" w:hAnsi="Arial" w:cs="Arial"/>
          <w:color w:val="000000"/>
          <w:sz w:val="19"/>
          <w:szCs w:val="19"/>
          <w:lang w:eastAsia="en-GB"/>
        </w:rPr>
      </w:pPr>
      <w:r w:rsidRPr="003E1DA7">
        <w:rPr>
          <w:rStyle w:val="FootnoteReference"/>
          <w:rFonts w:cstheme="minorHAnsi"/>
        </w:rPr>
        <w:footnoteRef/>
      </w:r>
      <w:r w:rsidRPr="003E1DA7">
        <w:rPr>
          <w:rFonts w:cstheme="minorHAnsi"/>
        </w:rPr>
        <w:t xml:space="preserve"> </w:t>
      </w:r>
      <w:r w:rsidR="00CA5ED0" w:rsidRPr="003E1DA7">
        <w:rPr>
          <w:rFonts w:eastAsia="Times New Roman" w:cstheme="minorHAnsi"/>
          <w:color w:val="000000"/>
          <w:sz w:val="19"/>
          <w:szCs w:val="19"/>
          <w:lang w:eastAsia="en-GB"/>
        </w:rPr>
        <w:t xml:space="preserve">Stephen G Wald, 'Judah Ha Nasi', </w:t>
      </w:r>
      <w:r w:rsidR="00CA5ED0" w:rsidRPr="003E1DA7">
        <w:rPr>
          <w:rFonts w:eastAsia="Times New Roman" w:cstheme="minorHAnsi"/>
          <w:i/>
          <w:iCs/>
          <w:color w:val="000000"/>
          <w:sz w:val="19"/>
          <w:szCs w:val="19"/>
          <w:lang w:eastAsia="en-GB"/>
        </w:rPr>
        <w:t>Encyclopaedia Judaica</w:t>
      </w:r>
      <w:r w:rsidR="00CA5ED0" w:rsidRPr="003E1DA7">
        <w:rPr>
          <w:rFonts w:eastAsia="Times New Roman" w:cstheme="minorHAnsi"/>
          <w:color w:val="000000"/>
          <w:sz w:val="19"/>
          <w:szCs w:val="19"/>
          <w:lang w:eastAsia="en-GB"/>
        </w:rPr>
        <w:t>, 11.2nd edition, (2007), 501-505</w:t>
      </w:r>
      <w:r w:rsidR="00CA5ED0" w:rsidRPr="00CA5ED0">
        <w:rPr>
          <w:rFonts w:ascii="Arial" w:eastAsia="Times New Roman" w:hAnsi="Arial" w:cs="Arial"/>
          <w:color w:val="000000"/>
          <w:sz w:val="19"/>
          <w:szCs w:val="19"/>
          <w:lang w:eastAsia="en-GB"/>
        </w:rPr>
        <w:t xml:space="preserve">. </w:t>
      </w:r>
    </w:p>
    <w:p w14:paraId="134D929D" w14:textId="33889C66" w:rsidR="00645555" w:rsidRDefault="00645555">
      <w:pPr>
        <w:pStyle w:val="FootnoteText"/>
      </w:pPr>
    </w:p>
  </w:footnote>
  <w:footnote w:id="14">
    <w:p w14:paraId="50529C33" w14:textId="70EB2608" w:rsidR="004A5FEA" w:rsidRPr="006049EA" w:rsidRDefault="004A5FEA">
      <w:pPr>
        <w:pStyle w:val="FootnoteText"/>
        <w:rPr>
          <w:rFonts w:cstheme="minorHAnsi"/>
        </w:rPr>
      </w:pPr>
      <w:r w:rsidRPr="006049EA">
        <w:rPr>
          <w:rStyle w:val="FootnoteReference"/>
          <w:rFonts w:cstheme="minorHAnsi"/>
        </w:rPr>
        <w:footnoteRef/>
      </w:r>
      <w:r w:rsidRPr="006049EA">
        <w:rPr>
          <w:rFonts w:cstheme="minorHAnsi"/>
        </w:rPr>
        <w:t xml:space="preserve"> </w:t>
      </w:r>
      <w:r w:rsidR="0089146F" w:rsidRPr="006049EA">
        <w:rPr>
          <w:rFonts w:cstheme="minorHAnsi"/>
          <w:color w:val="000000"/>
          <w:sz w:val="19"/>
          <w:szCs w:val="19"/>
        </w:rPr>
        <w:t xml:space="preserve">George Robinson, </w:t>
      </w:r>
      <w:r w:rsidR="0089146F" w:rsidRPr="006049EA">
        <w:rPr>
          <w:rFonts w:cstheme="minorHAnsi"/>
          <w:i/>
          <w:iCs/>
          <w:color w:val="000000"/>
          <w:sz w:val="19"/>
          <w:szCs w:val="19"/>
        </w:rPr>
        <w:t>Essential Judaism; A Complete Guide to Beliefs, Customs,</w:t>
      </w:r>
      <w:r w:rsidR="009D5C36" w:rsidRPr="006049EA">
        <w:rPr>
          <w:rFonts w:cstheme="minorHAnsi"/>
          <w:i/>
          <w:iCs/>
          <w:color w:val="000000"/>
          <w:sz w:val="19"/>
          <w:szCs w:val="19"/>
        </w:rPr>
        <w:t xml:space="preserve"> </w:t>
      </w:r>
      <w:r w:rsidR="0089146F" w:rsidRPr="006049EA">
        <w:rPr>
          <w:rFonts w:cstheme="minorHAnsi"/>
          <w:i/>
          <w:iCs/>
          <w:color w:val="000000"/>
          <w:sz w:val="19"/>
          <w:szCs w:val="19"/>
        </w:rPr>
        <w:t>and Rituals</w:t>
      </w:r>
      <w:r w:rsidR="0089146F" w:rsidRPr="006049EA">
        <w:rPr>
          <w:rFonts w:cstheme="minorHAnsi"/>
          <w:color w:val="000000"/>
          <w:sz w:val="19"/>
          <w:szCs w:val="19"/>
        </w:rPr>
        <w:t>, 1st Atria Paperback ed (New York:</w:t>
      </w:r>
      <w:r w:rsidR="009D5C36" w:rsidRPr="006049EA">
        <w:rPr>
          <w:rFonts w:cstheme="minorHAnsi"/>
          <w:color w:val="000000"/>
          <w:sz w:val="19"/>
          <w:szCs w:val="19"/>
        </w:rPr>
        <w:t xml:space="preserve"> </w:t>
      </w:r>
      <w:r w:rsidR="0089146F" w:rsidRPr="006049EA">
        <w:rPr>
          <w:rFonts w:cstheme="minorHAnsi"/>
          <w:color w:val="000000"/>
          <w:sz w:val="19"/>
          <w:szCs w:val="19"/>
        </w:rPr>
        <w:t>NY:</w:t>
      </w:r>
      <w:r w:rsidR="009D5C36" w:rsidRPr="006049EA">
        <w:rPr>
          <w:rFonts w:cstheme="minorHAnsi"/>
          <w:color w:val="000000"/>
          <w:sz w:val="19"/>
          <w:szCs w:val="19"/>
        </w:rPr>
        <w:t xml:space="preserve"> </w:t>
      </w:r>
      <w:r w:rsidR="0089146F" w:rsidRPr="006049EA">
        <w:rPr>
          <w:rFonts w:cstheme="minorHAnsi"/>
          <w:color w:val="000000"/>
          <w:sz w:val="19"/>
          <w:szCs w:val="19"/>
        </w:rPr>
        <w:t>Atria Paperback, 2001).</w:t>
      </w:r>
      <w:r w:rsidR="009D2064" w:rsidRPr="006049EA">
        <w:rPr>
          <w:rFonts w:cstheme="minorHAnsi"/>
          <w:color w:val="000000"/>
          <w:sz w:val="19"/>
          <w:szCs w:val="19"/>
        </w:rPr>
        <w:t xml:space="preserve"> p.324</w:t>
      </w:r>
    </w:p>
  </w:footnote>
  <w:footnote w:id="15">
    <w:p w14:paraId="37266176" w14:textId="10785CD1" w:rsidR="007E63FF" w:rsidRPr="009B06C5" w:rsidRDefault="007E63FF">
      <w:pPr>
        <w:pStyle w:val="FootnoteText"/>
        <w:rPr>
          <w:rFonts w:cstheme="minorHAnsi"/>
        </w:rPr>
      </w:pPr>
      <w:r w:rsidRPr="009B06C5">
        <w:rPr>
          <w:rStyle w:val="FootnoteReference"/>
          <w:rFonts w:cstheme="minorHAnsi"/>
        </w:rPr>
        <w:footnoteRef/>
      </w:r>
      <w:r w:rsidRPr="009B06C5">
        <w:rPr>
          <w:rFonts w:cstheme="minorHAnsi"/>
        </w:rPr>
        <w:t xml:space="preserve"> </w:t>
      </w:r>
      <w:r w:rsidR="00B229D7" w:rsidRPr="009B06C5">
        <w:rPr>
          <w:rFonts w:cstheme="minorHAnsi"/>
          <w:color w:val="000000"/>
          <w:sz w:val="19"/>
          <w:szCs w:val="19"/>
        </w:rPr>
        <w:t xml:space="preserve">Herbert Danby, </w:t>
      </w:r>
      <w:r w:rsidR="00B229D7" w:rsidRPr="009B06C5">
        <w:rPr>
          <w:rFonts w:cstheme="minorHAnsi"/>
          <w:i/>
          <w:iCs/>
          <w:color w:val="000000"/>
          <w:sz w:val="19"/>
          <w:szCs w:val="19"/>
        </w:rPr>
        <w:t>The Mishnah</w:t>
      </w:r>
      <w:r w:rsidR="00B229D7" w:rsidRPr="009B06C5">
        <w:rPr>
          <w:rFonts w:cstheme="minorHAnsi"/>
          <w:color w:val="000000"/>
          <w:sz w:val="19"/>
          <w:szCs w:val="19"/>
        </w:rPr>
        <w:t xml:space="preserve"> (London: Oxford University Press, 1933).</w:t>
      </w:r>
      <w:r w:rsidR="00892758" w:rsidRPr="009B06C5">
        <w:rPr>
          <w:rFonts w:cstheme="minorHAnsi"/>
          <w:color w:val="000000"/>
          <w:sz w:val="19"/>
          <w:szCs w:val="19"/>
        </w:rPr>
        <w:t xml:space="preserve"> </w:t>
      </w:r>
      <w:r w:rsidR="009B06C5" w:rsidRPr="009B06C5">
        <w:rPr>
          <w:rFonts w:cstheme="minorHAnsi"/>
          <w:color w:val="000000"/>
          <w:sz w:val="19"/>
          <w:szCs w:val="19"/>
        </w:rPr>
        <w:t>p.1-23.</w:t>
      </w:r>
    </w:p>
  </w:footnote>
  <w:footnote w:id="16">
    <w:p w14:paraId="148991B4" w14:textId="02C30573" w:rsidR="00CE2020" w:rsidRPr="00A00909" w:rsidRDefault="00CE2020">
      <w:pPr>
        <w:pStyle w:val="FootnoteText"/>
        <w:rPr>
          <w:rFonts w:cstheme="minorHAnsi"/>
        </w:rPr>
      </w:pPr>
      <w:r w:rsidRPr="00A00909">
        <w:rPr>
          <w:rStyle w:val="FootnoteReference"/>
          <w:rFonts w:cstheme="minorHAnsi"/>
        </w:rPr>
        <w:footnoteRef/>
      </w:r>
      <w:r w:rsidRPr="00A00909">
        <w:rPr>
          <w:rFonts w:cstheme="minorHAnsi"/>
        </w:rPr>
        <w:t xml:space="preserve"> </w:t>
      </w:r>
      <w:r w:rsidR="00A00909" w:rsidRPr="00A00909">
        <w:rPr>
          <w:rFonts w:cstheme="minorHAnsi"/>
          <w:color w:val="000000"/>
          <w:sz w:val="19"/>
          <w:szCs w:val="19"/>
        </w:rPr>
        <w:t xml:space="preserve">Arthur Hertzberg, </w:t>
      </w:r>
      <w:r w:rsidR="00A00909" w:rsidRPr="00A00909">
        <w:rPr>
          <w:rFonts w:cstheme="minorHAnsi"/>
          <w:i/>
          <w:iCs/>
          <w:color w:val="000000"/>
          <w:sz w:val="19"/>
          <w:szCs w:val="19"/>
        </w:rPr>
        <w:t>Judaism; The key spiritual writings of the Jewish tradition</w:t>
      </w:r>
      <w:r w:rsidR="00A00909" w:rsidRPr="00A00909">
        <w:rPr>
          <w:rFonts w:cstheme="minorHAnsi"/>
          <w:color w:val="000000"/>
          <w:sz w:val="19"/>
          <w:szCs w:val="19"/>
        </w:rPr>
        <w:t>, Revised ed (New York: Simon &amp; Schuster, 1991).</w:t>
      </w:r>
    </w:p>
  </w:footnote>
  <w:footnote w:id="17">
    <w:p w14:paraId="60B801DA" w14:textId="7F50DED4" w:rsidR="0013191B" w:rsidRPr="00DA0AB1" w:rsidRDefault="0013191B">
      <w:pPr>
        <w:pStyle w:val="FootnoteText"/>
        <w:rPr>
          <w:rFonts w:cstheme="minorHAnsi"/>
        </w:rPr>
      </w:pPr>
      <w:r w:rsidRPr="00DA0AB1">
        <w:rPr>
          <w:rStyle w:val="FootnoteReference"/>
          <w:rFonts w:cstheme="minorHAnsi"/>
        </w:rPr>
        <w:footnoteRef/>
      </w:r>
      <w:r w:rsidRPr="00DA0AB1">
        <w:rPr>
          <w:rFonts w:cstheme="minorHAnsi"/>
        </w:rPr>
        <w:t xml:space="preserve"> </w:t>
      </w:r>
      <w:r w:rsidR="00F54B8A" w:rsidRPr="00DA0AB1">
        <w:rPr>
          <w:rFonts w:cstheme="minorHAnsi"/>
          <w:color w:val="000000"/>
          <w:sz w:val="19"/>
          <w:szCs w:val="19"/>
        </w:rPr>
        <w:t xml:space="preserve">Shaye J.D. Cohen, </w:t>
      </w:r>
      <w:r w:rsidR="00F54B8A" w:rsidRPr="00DA0AB1">
        <w:rPr>
          <w:rFonts w:cstheme="minorHAnsi"/>
          <w:i/>
          <w:iCs/>
          <w:color w:val="000000"/>
          <w:sz w:val="19"/>
          <w:szCs w:val="19"/>
        </w:rPr>
        <w:t>From the Maccabees to the Mishnah</w:t>
      </w:r>
      <w:r w:rsidR="00F54B8A" w:rsidRPr="00DA0AB1">
        <w:rPr>
          <w:rFonts w:cstheme="minorHAnsi"/>
          <w:color w:val="000000"/>
          <w:sz w:val="19"/>
          <w:szCs w:val="19"/>
        </w:rPr>
        <w:t xml:space="preserve"> (Philadelphia: The Westminster Press, 1987).</w:t>
      </w:r>
      <w:r w:rsidR="00DA0AB1" w:rsidRPr="00DA0AB1">
        <w:rPr>
          <w:rFonts w:cstheme="minorHAnsi"/>
          <w:color w:val="000000"/>
          <w:sz w:val="19"/>
          <w:szCs w:val="19"/>
        </w:rPr>
        <w:t xml:space="preserve"> p.106</w:t>
      </w:r>
    </w:p>
  </w:footnote>
  <w:footnote w:id="18">
    <w:p w14:paraId="0722BB43" w14:textId="3954ACAB" w:rsidR="00D435BF" w:rsidRDefault="00D435BF">
      <w:pPr>
        <w:pStyle w:val="FootnoteText"/>
      </w:pPr>
      <w:r>
        <w:rPr>
          <w:rStyle w:val="FootnoteReference"/>
        </w:rPr>
        <w:footnoteRef/>
      </w:r>
      <w:r>
        <w:t xml:space="preserve"> </w:t>
      </w:r>
      <w:r w:rsidR="00595755" w:rsidRPr="00175621">
        <w:rPr>
          <w:rFonts w:cstheme="minorHAnsi"/>
          <w:color w:val="000000"/>
          <w:sz w:val="19"/>
          <w:szCs w:val="19"/>
        </w:rPr>
        <w:t>Hiam</w:t>
      </w:r>
      <w:r w:rsidR="00137F8D" w:rsidRPr="00175621">
        <w:rPr>
          <w:rFonts w:cstheme="minorHAnsi"/>
          <w:color w:val="000000"/>
          <w:sz w:val="19"/>
          <w:szCs w:val="19"/>
        </w:rPr>
        <w:t xml:space="preserve"> Maccoby, </w:t>
      </w:r>
      <w:r w:rsidR="00137F8D" w:rsidRPr="00175621">
        <w:rPr>
          <w:rFonts w:cstheme="minorHAnsi"/>
          <w:i/>
          <w:iCs/>
          <w:color w:val="000000"/>
          <w:sz w:val="19"/>
          <w:szCs w:val="19"/>
        </w:rPr>
        <w:t>Judaism in the First Century</w:t>
      </w:r>
      <w:r w:rsidR="00137F8D" w:rsidRPr="00175621">
        <w:rPr>
          <w:rFonts w:cstheme="minorHAnsi"/>
          <w:color w:val="000000"/>
          <w:sz w:val="19"/>
          <w:szCs w:val="19"/>
        </w:rPr>
        <w:t xml:space="preserve"> (London: Sheldon Press, 1989), p. 95-97.</w:t>
      </w:r>
    </w:p>
  </w:footnote>
  <w:footnote w:id="19">
    <w:p w14:paraId="2B8D9E56" w14:textId="2FAC437D" w:rsidR="001A5F1A" w:rsidRDefault="001A5F1A">
      <w:pPr>
        <w:pStyle w:val="FootnoteText"/>
      </w:pPr>
      <w:r>
        <w:rPr>
          <w:rStyle w:val="FootnoteReference"/>
        </w:rPr>
        <w:footnoteRef/>
      </w:r>
      <w:r>
        <w:t xml:space="preserve"> </w:t>
      </w:r>
      <w:r w:rsidR="00744AF1" w:rsidRPr="004B0ABF">
        <w:rPr>
          <w:rFonts w:cstheme="minorHAnsi"/>
          <w:color w:val="000000"/>
          <w:sz w:val="19"/>
          <w:szCs w:val="19"/>
        </w:rPr>
        <w:t>Beth S. Wenger, 'Mitzvah and Medicine:</w:t>
      </w:r>
      <w:r w:rsidR="0087633C" w:rsidRPr="004B0ABF">
        <w:rPr>
          <w:rFonts w:cstheme="minorHAnsi"/>
          <w:color w:val="000000"/>
          <w:sz w:val="19"/>
          <w:szCs w:val="19"/>
        </w:rPr>
        <w:t xml:space="preserve"> </w:t>
      </w:r>
      <w:r w:rsidR="00744AF1" w:rsidRPr="004B0ABF">
        <w:rPr>
          <w:rFonts w:cstheme="minorHAnsi"/>
          <w:color w:val="000000"/>
          <w:sz w:val="19"/>
          <w:szCs w:val="19"/>
        </w:rPr>
        <w:t xml:space="preserve">Gender, Assimilation, and the Scientific Defense of "Family Purity"', </w:t>
      </w:r>
      <w:r w:rsidR="00744AF1" w:rsidRPr="004B0ABF">
        <w:rPr>
          <w:rFonts w:cstheme="minorHAnsi"/>
          <w:i/>
          <w:iCs/>
          <w:color w:val="000000"/>
          <w:sz w:val="19"/>
          <w:szCs w:val="19"/>
        </w:rPr>
        <w:t>Jewish Social Studies</w:t>
      </w:r>
      <w:r w:rsidR="00744AF1" w:rsidRPr="004B0ABF">
        <w:rPr>
          <w:rFonts w:cstheme="minorHAnsi"/>
          <w:color w:val="000000"/>
          <w:sz w:val="19"/>
          <w:szCs w:val="19"/>
        </w:rPr>
        <w:t>, 5.1/2, (Fall 98/ Winter 99), 177-202 (p. 178-179).</w:t>
      </w:r>
    </w:p>
  </w:footnote>
  <w:footnote w:id="20">
    <w:p w14:paraId="2C2A605F" w14:textId="3DB55518" w:rsidR="00D21D76" w:rsidRPr="006A7C18" w:rsidRDefault="00D21D76">
      <w:pPr>
        <w:pStyle w:val="FootnoteText"/>
        <w:rPr>
          <w:rFonts w:cstheme="minorHAnsi"/>
        </w:rPr>
      </w:pPr>
      <w:r w:rsidRPr="006A7C18">
        <w:rPr>
          <w:rStyle w:val="FootnoteReference"/>
          <w:rFonts w:cstheme="minorHAnsi"/>
        </w:rPr>
        <w:footnoteRef/>
      </w:r>
      <w:r w:rsidRPr="006A7C18">
        <w:rPr>
          <w:rFonts w:cstheme="minorHAnsi"/>
        </w:rPr>
        <w:t xml:space="preserve"> </w:t>
      </w:r>
      <w:r w:rsidR="006A7C18" w:rsidRPr="006A7C18">
        <w:rPr>
          <w:rFonts w:cstheme="minorHAnsi"/>
          <w:color w:val="000000"/>
          <w:sz w:val="19"/>
          <w:szCs w:val="19"/>
        </w:rPr>
        <w:t xml:space="preserve">Eliezer Segal, </w:t>
      </w:r>
      <w:r w:rsidR="006A7C18" w:rsidRPr="006A7C18">
        <w:rPr>
          <w:rFonts w:cstheme="minorHAnsi"/>
          <w:i/>
          <w:iCs/>
          <w:color w:val="000000"/>
          <w:sz w:val="19"/>
          <w:szCs w:val="19"/>
        </w:rPr>
        <w:t>Introducing Judaism</w:t>
      </w:r>
      <w:r w:rsidR="006A7C18" w:rsidRPr="006A7C18">
        <w:rPr>
          <w:rFonts w:cstheme="minorHAnsi"/>
          <w:color w:val="000000"/>
          <w:sz w:val="19"/>
          <w:szCs w:val="19"/>
        </w:rPr>
        <w:t xml:space="preserve"> (New York: Routledge, 2009), p.246-247</w:t>
      </w:r>
    </w:p>
  </w:footnote>
  <w:footnote w:id="21">
    <w:p w14:paraId="5A3A2D28" w14:textId="7163031A" w:rsidR="00527819" w:rsidRPr="00B41BF7" w:rsidRDefault="00527819">
      <w:pPr>
        <w:pStyle w:val="FootnoteText"/>
        <w:rPr>
          <w:rFonts w:cstheme="minorHAnsi"/>
        </w:rPr>
      </w:pPr>
      <w:r w:rsidRPr="00B41BF7">
        <w:rPr>
          <w:rStyle w:val="FootnoteReference"/>
          <w:rFonts w:cstheme="minorHAnsi"/>
        </w:rPr>
        <w:footnoteRef/>
      </w:r>
      <w:r w:rsidRPr="00B41BF7">
        <w:rPr>
          <w:rFonts w:cstheme="minorHAnsi"/>
        </w:rPr>
        <w:t xml:space="preserve"> </w:t>
      </w:r>
      <w:r w:rsidR="00B41BF7" w:rsidRPr="00B41BF7">
        <w:rPr>
          <w:rFonts w:cstheme="minorHAnsi"/>
          <w:color w:val="000000"/>
          <w:sz w:val="19"/>
          <w:szCs w:val="19"/>
        </w:rPr>
        <w:t xml:space="preserve">Eliezer Segal, </w:t>
      </w:r>
      <w:r w:rsidR="00B41BF7" w:rsidRPr="00B41BF7">
        <w:rPr>
          <w:rFonts w:cstheme="minorHAnsi"/>
          <w:i/>
          <w:iCs/>
          <w:color w:val="000000"/>
          <w:sz w:val="19"/>
          <w:szCs w:val="19"/>
        </w:rPr>
        <w:t>Introducing Judaism</w:t>
      </w:r>
      <w:r w:rsidR="00B41BF7" w:rsidRPr="00B41BF7">
        <w:rPr>
          <w:rFonts w:cstheme="minorHAnsi"/>
          <w:color w:val="000000"/>
          <w:sz w:val="19"/>
          <w:szCs w:val="19"/>
        </w:rPr>
        <w:t xml:space="preserve"> (New York: Routledge, 2009), p.246</w:t>
      </w:r>
    </w:p>
  </w:footnote>
  <w:footnote w:id="22">
    <w:p w14:paraId="270FE001" w14:textId="01EEC2CC" w:rsidR="00CA27A2" w:rsidRPr="00A177C6" w:rsidRDefault="00CA27A2">
      <w:pPr>
        <w:pStyle w:val="FootnoteText"/>
        <w:rPr>
          <w:rFonts w:cstheme="minorHAnsi"/>
        </w:rPr>
      </w:pPr>
      <w:r w:rsidRPr="00A177C6">
        <w:rPr>
          <w:rStyle w:val="FootnoteReference"/>
          <w:rFonts w:cstheme="minorHAnsi"/>
        </w:rPr>
        <w:footnoteRef/>
      </w:r>
      <w:r w:rsidRPr="00A177C6">
        <w:rPr>
          <w:rFonts w:cstheme="minorHAnsi"/>
        </w:rPr>
        <w:t xml:space="preserve"> </w:t>
      </w:r>
      <w:r w:rsidRPr="00A177C6">
        <w:rPr>
          <w:rFonts w:cstheme="minorHAnsi"/>
          <w:color w:val="000000"/>
          <w:sz w:val="19"/>
          <w:szCs w:val="19"/>
        </w:rPr>
        <w:t>J,</w:t>
      </w:r>
      <w:r w:rsidR="004416F1" w:rsidRPr="00A177C6">
        <w:rPr>
          <w:rFonts w:cstheme="minorHAnsi"/>
          <w:color w:val="000000"/>
          <w:sz w:val="19"/>
          <w:szCs w:val="19"/>
        </w:rPr>
        <w:t xml:space="preserve"> </w:t>
      </w:r>
      <w:r w:rsidRPr="00A177C6">
        <w:rPr>
          <w:rFonts w:cstheme="minorHAnsi"/>
          <w:color w:val="000000"/>
          <w:sz w:val="19"/>
          <w:szCs w:val="19"/>
        </w:rPr>
        <w:t>Kulp, 'Purity,</w:t>
      </w:r>
      <w:r w:rsidR="004416F1" w:rsidRPr="00A177C6">
        <w:rPr>
          <w:rFonts w:cstheme="minorHAnsi"/>
          <w:color w:val="000000"/>
          <w:sz w:val="19"/>
          <w:szCs w:val="19"/>
        </w:rPr>
        <w:t xml:space="preserve"> </w:t>
      </w:r>
      <w:r w:rsidRPr="00A177C6">
        <w:rPr>
          <w:rFonts w:cstheme="minorHAnsi"/>
          <w:color w:val="000000"/>
          <w:sz w:val="19"/>
          <w:szCs w:val="19"/>
        </w:rPr>
        <w:t>Sacrifice,</w:t>
      </w:r>
      <w:r w:rsidR="004416F1" w:rsidRPr="00A177C6">
        <w:rPr>
          <w:rFonts w:cstheme="minorHAnsi"/>
          <w:color w:val="000000"/>
          <w:sz w:val="19"/>
          <w:szCs w:val="19"/>
        </w:rPr>
        <w:t xml:space="preserve"> </w:t>
      </w:r>
      <w:r w:rsidRPr="00A177C6">
        <w:rPr>
          <w:rFonts w:cstheme="minorHAnsi"/>
          <w:color w:val="000000"/>
          <w:sz w:val="19"/>
          <w:szCs w:val="19"/>
        </w:rPr>
        <w:t>and the temple:</w:t>
      </w:r>
      <w:r w:rsidR="004416F1" w:rsidRPr="00A177C6">
        <w:rPr>
          <w:rFonts w:cstheme="minorHAnsi"/>
          <w:color w:val="000000"/>
          <w:sz w:val="19"/>
          <w:szCs w:val="19"/>
        </w:rPr>
        <w:t xml:space="preserve"> </w:t>
      </w:r>
      <w:r w:rsidRPr="00A177C6">
        <w:rPr>
          <w:rFonts w:cstheme="minorHAnsi"/>
          <w:color w:val="000000"/>
          <w:sz w:val="19"/>
          <w:szCs w:val="19"/>
        </w:rPr>
        <w:t xml:space="preserve">Symbolism and Supersessionism in the study of ancient Judaism', </w:t>
      </w:r>
      <w:r w:rsidRPr="00A177C6">
        <w:rPr>
          <w:rFonts w:cstheme="minorHAnsi"/>
          <w:i/>
          <w:iCs/>
          <w:color w:val="000000"/>
          <w:sz w:val="19"/>
          <w:szCs w:val="19"/>
        </w:rPr>
        <w:t>Hebrew Studies</w:t>
      </w:r>
      <w:r w:rsidRPr="00A177C6">
        <w:rPr>
          <w:rFonts w:cstheme="minorHAnsi"/>
          <w:color w:val="000000"/>
          <w:sz w:val="19"/>
          <w:szCs w:val="19"/>
        </w:rPr>
        <w:t>, 48, (2007), 367-370.</w:t>
      </w:r>
    </w:p>
  </w:footnote>
  <w:footnote w:id="23">
    <w:p w14:paraId="4C83EAA5" w14:textId="2AE9F6BA" w:rsidR="00BB3C2B" w:rsidRPr="00BB3C2B" w:rsidRDefault="00BB3C2B">
      <w:pPr>
        <w:pStyle w:val="FootnoteText"/>
        <w:rPr>
          <w:rFonts w:cstheme="minorHAnsi"/>
        </w:rPr>
      </w:pPr>
      <w:r w:rsidRPr="00BB3C2B">
        <w:rPr>
          <w:rStyle w:val="FootnoteReference"/>
          <w:rFonts w:cstheme="minorHAnsi"/>
        </w:rPr>
        <w:footnoteRef/>
      </w:r>
      <w:r w:rsidRPr="00BB3C2B">
        <w:rPr>
          <w:rFonts w:cstheme="minorHAnsi"/>
        </w:rPr>
        <w:t xml:space="preserve"> </w:t>
      </w:r>
      <w:r w:rsidRPr="00BB3C2B">
        <w:rPr>
          <w:rFonts w:cstheme="minorHAnsi"/>
          <w:color w:val="000000"/>
          <w:sz w:val="19"/>
          <w:szCs w:val="19"/>
        </w:rPr>
        <w:t xml:space="preserve">George Robinson, </w:t>
      </w:r>
      <w:r w:rsidRPr="00BB3C2B">
        <w:rPr>
          <w:rFonts w:cstheme="minorHAnsi"/>
          <w:i/>
          <w:iCs/>
          <w:color w:val="000000"/>
          <w:sz w:val="19"/>
          <w:szCs w:val="19"/>
        </w:rPr>
        <w:t>Essential Judaism; A Complete Guide to Belief</w:t>
      </w:r>
      <w:r>
        <w:rPr>
          <w:rFonts w:cstheme="minorHAnsi"/>
          <w:i/>
          <w:iCs/>
          <w:color w:val="000000"/>
          <w:sz w:val="19"/>
          <w:szCs w:val="19"/>
        </w:rPr>
        <w:t>s</w:t>
      </w:r>
      <w:r w:rsidRPr="00BB3C2B">
        <w:rPr>
          <w:rFonts w:cstheme="minorHAnsi"/>
          <w:i/>
          <w:iCs/>
          <w:color w:val="000000"/>
          <w:sz w:val="19"/>
          <w:szCs w:val="19"/>
        </w:rPr>
        <w:t>,</w:t>
      </w:r>
      <w:r>
        <w:rPr>
          <w:rFonts w:cstheme="minorHAnsi"/>
          <w:i/>
          <w:iCs/>
          <w:color w:val="000000"/>
          <w:sz w:val="19"/>
          <w:szCs w:val="19"/>
        </w:rPr>
        <w:t xml:space="preserve"> </w:t>
      </w:r>
      <w:r w:rsidRPr="00BB3C2B">
        <w:rPr>
          <w:rFonts w:cstheme="minorHAnsi"/>
          <w:i/>
          <w:iCs/>
          <w:color w:val="000000"/>
          <w:sz w:val="19"/>
          <w:szCs w:val="19"/>
        </w:rPr>
        <w:t>Customs, and Rituals</w:t>
      </w:r>
      <w:r w:rsidRPr="00BB3C2B">
        <w:rPr>
          <w:rFonts w:cstheme="minorHAnsi"/>
          <w:color w:val="000000"/>
          <w:sz w:val="19"/>
          <w:szCs w:val="19"/>
        </w:rPr>
        <w:t>, 1st Atria Paperback ed (New York NY: Atria Paperback, 2001).</w:t>
      </w:r>
      <w:r w:rsidR="00DA4AF8">
        <w:rPr>
          <w:rFonts w:cstheme="minorHAnsi"/>
          <w:color w:val="000000"/>
          <w:sz w:val="19"/>
          <w:szCs w:val="19"/>
        </w:rPr>
        <w:t xml:space="preserve"> p</w:t>
      </w:r>
      <w:r>
        <w:rPr>
          <w:rFonts w:cstheme="minorHAnsi"/>
          <w:color w:val="000000"/>
          <w:sz w:val="19"/>
          <w:szCs w:val="19"/>
        </w:rPr>
        <w:t>.131-132</w:t>
      </w:r>
    </w:p>
  </w:footnote>
  <w:footnote w:id="24">
    <w:p w14:paraId="68AF3A03" w14:textId="0F3CFEB7" w:rsidR="00DA4AF8" w:rsidRPr="00DA4AF8" w:rsidRDefault="00DA4AF8" w:rsidP="00DA4AF8">
      <w:pPr>
        <w:rPr>
          <w:rFonts w:eastAsia="Times New Roman" w:cstheme="minorHAnsi"/>
          <w:color w:val="000000"/>
          <w:sz w:val="19"/>
          <w:szCs w:val="19"/>
          <w:lang w:eastAsia="en-GB"/>
        </w:rPr>
      </w:pPr>
      <w:r w:rsidRPr="00DA4AF8">
        <w:rPr>
          <w:rStyle w:val="FootnoteReference"/>
          <w:rFonts w:cstheme="minorHAnsi"/>
        </w:rPr>
        <w:footnoteRef/>
      </w:r>
      <w:r w:rsidRPr="00DA4AF8">
        <w:rPr>
          <w:rFonts w:cstheme="minorHAnsi"/>
        </w:rPr>
        <w:t xml:space="preserve"> </w:t>
      </w:r>
      <w:r w:rsidRPr="00DA4AF8">
        <w:rPr>
          <w:rFonts w:eastAsia="Times New Roman" w:cstheme="minorHAnsi"/>
          <w:color w:val="000000"/>
          <w:sz w:val="19"/>
          <w:szCs w:val="19"/>
          <w:lang w:eastAsia="en-GB"/>
        </w:rPr>
        <w:t xml:space="preserve">Eugene L. Pogany, 'Exile and memory: Reflections on Tisha B'av', </w:t>
      </w:r>
      <w:r w:rsidRPr="00DA4AF8">
        <w:rPr>
          <w:rFonts w:eastAsia="Times New Roman" w:cstheme="minorHAnsi"/>
          <w:i/>
          <w:iCs/>
          <w:color w:val="000000"/>
          <w:sz w:val="19"/>
          <w:szCs w:val="19"/>
          <w:lang w:eastAsia="en-GB"/>
        </w:rPr>
        <w:t>Cross Currents; New York,</w:t>
      </w:r>
      <w:r w:rsidRPr="00DA4AF8">
        <w:rPr>
          <w:rFonts w:eastAsia="Times New Roman" w:cstheme="minorHAnsi"/>
          <w:color w:val="000000"/>
          <w:sz w:val="19"/>
          <w:szCs w:val="19"/>
          <w:lang w:eastAsia="en-GB"/>
        </w:rPr>
        <w:t xml:space="preserve"> 45.4, (Winter1995/1996), 531. </w:t>
      </w:r>
    </w:p>
    <w:p w14:paraId="25516D8B" w14:textId="285B0B9C" w:rsidR="00DA4AF8" w:rsidRPr="00DA4AF8" w:rsidRDefault="00DA4AF8" w:rsidP="00DA4AF8">
      <w:pPr>
        <w:spacing w:after="0" w:line="240" w:lineRule="auto"/>
        <w:rPr>
          <w:rFonts w:ascii="Arial" w:eastAsia="Times New Roman" w:hAnsi="Arial" w:cs="Arial"/>
          <w:color w:val="000000"/>
          <w:sz w:val="19"/>
          <w:szCs w:val="19"/>
          <w:lang w:eastAsia="en-GB"/>
        </w:rPr>
      </w:pPr>
    </w:p>
    <w:p w14:paraId="1D03EE5B" w14:textId="21DA208D" w:rsidR="00DA4AF8" w:rsidRDefault="00DA4AF8">
      <w:pPr>
        <w:pStyle w:val="FootnoteText"/>
      </w:pPr>
    </w:p>
  </w:footnote>
  <w:footnote w:id="25">
    <w:p w14:paraId="7B1AC7E3" w14:textId="468C11B6" w:rsidR="00A832F9" w:rsidRDefault="00A832F9" w:rsidP="00F77724">
      <w:pPr>
        <w:pStyle w:val="FootnoteText"/>
      </w:pPr>
      <w:r>
        <w:rPr>
          <w:rStyle w:val="FootnoteReference"/>
        </w:rPr>
        <w:footnoteRef/>
      </w:r>
      <w:r>
        <w:t xml:space="preserve"> </w:t>
      </w:r>
      <w:r w:rsidR="00F77724" w:rsidRPr="00F77724">
        <w:rPr>
          <w:rFonts w:cstheme="minorHAnsi"/>
          <w:color w:val="000000"/>
          <w:sz w:val="19"/>
          <w:szCs w:val="19"/>
        </w:rPr>
        <w:t xml:space="preserve">C.M. Pilkington, </w:t>
      </w:r>
      <w:r w:rsidR="00F77724" w:rsidRPr="00F77724">
        <w:rPr>
          <w:rFonts w:cstheme="minorHAnsi"/>
          <w:i/>
          <w:iCs/>
          <w:color w:val="000000"/>
          <w:sz w:val="19"/>
          <w:szCs w:val="19"/>
        </w:rPr>
        <w:t>Judaism; world faiths</w:t>
      </w:r>
      <w:r w:rsidR="00F77724" w:rsidRPr="00F77724">
        <w:rPr>
          <w:rFonts w:cstheme="minorHAnsi"/>
          <w:color w:val="000000"/>
          <w:sz w:val="19"/>
          <w:szCs w:val="19"/>
        </w:rPr>
        <w:t xml:space="preserve"> (London: Hodder Headline Plc, 1995), p. 135-146.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44B"/>
    <w:rsid w:val="00000205"/>
    <w:rsid w:val="00011D42"/>
    <w:rsid w:val="000127A8"/>
    <w:rsid w:val="00013F06"/>
    <w:rsid w:val="00030724"/>
    <w:rsid w:val="0003330D"/>
    <w:rsid w:val="00050B6B"/>
    <w:rsid w:val="000514E0"/>
    <w:rsid w:val="00051536"/>
    <w:rsid w:val="000609A4"/>
    <w:rsid w:val="00060D18"/>
    <w:rsid w:val="00067563"/>
    <w:rsid w:val="00075B13"/>
    <w:rsid w:val="00094D1D"/>
    <w:rsid w:val="000A4752"/>
    <w:rsid w:val="000B10A2"/>
    <w:rsid w:val="000B7A2D"/>
    <w:rsid w:val="000C0199"/>
    <w:rsid w:val="000C24A4"/>
    <w:rsid w:val="000C309F"/>
    <w:rsid w:val="000C6D09"/>
    <w:rsid w:val="000D3DE0"/>
    <w:rsid w:val="000D43EB"/>
    <w:rsid w:val="00105DD6"/>
    <w:rsid w:val="001122BE"/>
    <w:rsid w:val="001130DC"/>
    <w:rsid w:val="00120BB5"/>
    <w:rsid w:val="001228E0"/>
    <w:rsid w:val="00123798"/>
    <w:rsid w:val="00127610"/>
    <w:rsid w:val="0013191B"/>
    <w:rsid w:val="001369D7"/>
    <w:rsid w:val="00137F8D"/>
    <w:rsid w:val="00143105"/>
    <w:rsid w:val="00153C67"/>
    <w:rsid w:val="001572CD"/>
    <w:rsid w:val="0016620F"/>
    <w:rsid w:val="00174FB2"/>
    <w:rsid w:val="00175621"/>
    <w:rsid w:val="00180D49"/>
    <w:rsid w:val="00187BCD"/>
    <w:rsid w:val="00187C4E"/>
    <w:rsid w:val="0019005E"/>
    <w:rsid w:val="001A1233"/>
    <w:rsid w:val="001A5F1A"/>
    <w:rsid w:val="001A6DF4"/>
    <w:rsid w:val="001A6FF3"/>
    <w:rsid w:val="001B78CC"/>
    <w:rsid w:val="001D04E5"/>
    <w:rsid w:val="001D0F00"/>
    <w:rsid w:val="001D1283"/>
    <w:rsid w:val="001D2C89"/>
    <w:rsid w:val="001D4CBE"/>
    <w:rsid w:val="001E37E7"/>
    <w:rsid w:val="001F0E95"/>
    <w:rsid w:val="001F4C31"/>
    <w:rsid w:val="00206D84"/>
    <w:rsid w:val="00213758"/>
    <w:rsid w:val="0022685B"/>
    <w:rsid w:val="00227996"/>
    <w:rsid w:val="00230D22"/>
    <w:rsid w:val="00235935"/>
    <w:rsid w:val="0024085A"/>
    <w:rsid w:val="00240EB8"/>
    <w:rsid w:val="0025533F"/>
    <w:rsid w:val="00265EE9"/>
    <w:rsid w:val="002764D7"/>
    <w:rsid w:val="00287725"/>
    <w:rsid w:val="00287D8E"/>
    <w:rsid w:val="00287E6D"/>
    <w:rsid w:val="0029312A"/>
    <w:rsid w:val="002A63F9"/>
    <w:rsid w:val="002C283A"/>
    <w:rsid w:val="002C33F1"/>
    <w:rsid w:val="002C7570"/>
    <w:rsid w:val="002D5299"/>
    <w:rsid w:val="002D64B2"/>
    <w:rsid w:val="002E0628"/>
    <w:rsid w:val="002E71F7"/>
    <w:rsid w:val="00302F01"/>
    <w:rsid w:val="00306645"/>
    <w:rsid w:val="00306DF2"/>
    <w:rsid w:val="00315E67"/>
    <w:rsid w:val="00322144"/>
    <w:rsid w:val="00323A63"/>
    <w:rsid w:val="00324C9E"/>
    <w:rsid w:val="003315B8"/>
    <w:rsid w:val="00336328"/>
    <w:rsid w:val="003528C5"/>
    <w:rsid w:val="003634D4"/>
    <w:rsid w:val="00366D1A"/>
    <w:rsid w:val="00374169"/>
    <w:rsid w:val="00384B0B"/>
    <w:rsid w:val="00393B98"/>
    <w:rsid w:val="00396648"/>
    <w:rsid w:val="003A5E0E"/>
    <w:rsid w:val="003A6966"/>
    <w:rsid w:val="003B6086"/>
    <w:rsid w:val="003C4432"/>
    <w:rsid w:val="003C6A39"/>
    <w:rsid w:val="003D7182"/>
    <w:rsid w:val="003E18C0"/>
    <w:rsid w:val="003E1DA7"/>
    <w:rsid w:val="003E303A"/>
    <w:rsid w:val="003E5AB7"/>
    <w:rsid w:val="003F42F7"/>
    <w:rsid w:val="00403BC7"/>
    <w:rsid w:val="00422A18"/>
    <w:rsid w:val="00423BC4"/>
    <w:rsid w:val="00426210"/>
    <w:rsid w:val="0043120F"/>
    <w:rsid w:val="00431623"/>
    <w:rsid w:val="004416F1"/>
    <w:rsid w:val="00445389"/>
    <w:rsid w:val="00447300"/>
    <w:rsid w:val="00480202"/>
    <w:rsid w:val="004A5FEA"/>
    <w:rsid w:val="004B0ABF"/>
    <w:rsid w:val="004C593F"/>
    <w:rsid w:val="004D2094"/>
    <w:rsid w:val="004E1295"/>
    <w:rsid w:val="004E38EA"/>
    <w:rsid w:val="005162E0"/>
    <w:rsid w:val="00527819"/>
    <w:rsid w:val="005359BE"/>
    <w:rsid w:val="00543A29"/>
    <w:rsid w:val="00546C90"/>
    <w:rsid w:val="00553452"/>
    <w:rsid w:val="00553DBC"/>
    <w:rsid w:val="00555D95"/>
    <w:rsid w:val="00560079"/>
    <w:rsid w:val="005649E5"/>
    <w:rsid w:val="00573551"/>
    <w:rsid w:val="005755F4"/>
    <w:rsid w:val="00576F25"/>
    <w:rsid w:val="00583AE1"/>
    <w:rsid w:val="00586729"/>
    <w:rsid w:val="00595755"/>
    <w:rsid w:val="005A0E40"/>
    <w:rsid w:val="005A6301"/>
    <w:rsid w:val="005C6BAB"/>
    <w:rsid w:val="005E00A5"/>
    <w:rsid w:val="005E3576"/>
    <w:rsid w:val="005F2110"/>
    <w:rsid w:val="005F639A"/>
    <w:rsid w:val="006049EA"/>
    <w:rsid w:val="00607068"/>
    <w:rsid w:val="0062555C"/>
    <w:rsid w:val="00633250"/>
    <w:rsid w:val="006353DB"/>
    <w:rsid w:val="00645555"/>
    <w:rsid w:val="00647B1C"/>
    <w:rsid w:val="00651480"/>
    <w:rsid w:val="006546CC"/>
    <w:rsid w:val="00656FAF"/>
    <w:rsid w:val="00660DE7"/>
    <w:rsid w:val="00661F0F"/>
    <w:rsid w:val="00664928"/>
    <w:rsid w:val="006718ED"/>
    <w:rsid w:val="00673EA0"/>
    <w:rsid w:val="006806C4"/>
    <w:rsid w:val="00680DC5"/>
    <w:rsid w:val="00696BF7"/>
    <w:rsid w:val="006A2F7F"/>
    <w:rsid w:val="006A7C18"/>
    <w:rsid w:val="006B0B14"/>
    <w:rsid w:val="006B4B6D"/>
    <w:rsid w:val="006C0066"/>
    <w:rsid w:val="006C4B92"/>
    <w:rsid w:val="006C5529"/>
    <w:rsid w:val="006D0EAA"/>
    <w:rsid w:val="006E328E"/>
    <w:rsid w:val="006E594E"/>
    <w:rsid w:val="006E63A6"/>
    <w:rsid w:val="006F2982"/>
    <w:rsid w:val="00700086"/>
    <w:rsid w:val="007026AA"/>
    <w:rsid w:val="00707A61"/>
    <w:rsid w:val="00714F22"/>
    <w:rsid w:val="00721A39"/>
    <w:rsid w:val="00732643"/>
    <w:rsid w:val="0074142C"/>
    <w:rsid w:val="00744AF1"/>
    <w:rsid w:val="00751CD2"/>
    <w:rsid w:val="00761EBC"/>
    <w:rsid w:val="00770AFB"/>
    <w:rsid w:val="00773531"/>
    <w:rsid w:val="0077571F"/>
    <w:rsid w:val="00782208"/>
    <w:rsid w:val="00785E59"/>
    <w:rsid w:val="00786BDE"/>
    <w:rsid w:val="00797FE6"/>
    <w:rsid w:val="007A7500"/>
    <w:rsid w:val="007B7FB3"/>
    <w:rsid w:val="007C7979"/>
    <w:rsid w:val="007D195B"/>
    <w:rsid w:val="007D380C"/>
    <w:rsid w:val="007E63FF"/>
    <w:rsid w:val="007F0EFC"/>
    <w:rsid w:val="007F48AE"/>
    <w:rsid w:val="007F6501"/>
    <w:rsid w:val="007F675B"/>
    <w:rsid w:val="007F76D3"/>
    <w:rsid w:val="008070CD"/>
    <w:rsid w:val="00812C56"/>
    <w:rsid w:val="008161E9"/>
    <w:rsid w:val="00841621"/>
    <w:rsid w:val="00864FF8"/>
    <w:rsid w:val="00874909"/>
    <w:rsid w:val="0087633C"/>
    <w:rsid w:val="008778C8"/>
    <w:rsid w:val="0089146F"/>
    <w:rsid w:val="00892758"/>
    <w:rsid w:val="00896E54"/>
    <w:rsid w:val="008B15AB"/>
    <w:rsid w:val="008B79FD"/>
    <w:rsid w:val="008C0C8F"/>
    <w:rsid w:val="008C625B"/>
    <w:rsid w:val="008C70DE"/>
    <w:rsid w:val="008D1E61"/>
    <w:rsid w:val="008D7B69"/>
    <w:rsid w:val="008F09AE"/>
    <w:rsid w:val="00913CEC"/>
    <w:rsid w:val="00915E23"/>
    <w:rsid w:val="00926202"/>
    <w:rsid w:val="00930AF6"/>
    <w:rsid w:val="00940775"/>
    <w:rsid w:val="0095220B"/>
    <w:rsid w:val="0095244B"/>
    <w:rsid w:val="00957396"/>
    <w:rsid w:val="00965234"/>
    <w:rsid w:val="00966405"/>
    <w:rsid w:val="009769C7"/>
    <w:rsid w:val="00985D02"/>
    <w:rsid w:val="00991DCE"/>
    <w:rsid w:val="00995DD9"/>
    <w:rsid w:val="009B06C5"/>
    <w:rsid w:val="009C574B"/>
    <w:rsid w:val="009C687C"/>
    <w:rsid w:val="009C7D49"/>
    <w:rsid w:val="009D2064"/>
    <w:rsid w:val="009D5C36"/>
    <w:rsid w:val="009F632C"/>
    <w:rsid w:val="009F68F4"/>
    <w:rsid w:val="00A00909"/>
    <w:rsid w:val="00A0377B"/>
    <w:rsid w:val="00A04C90"/>
    <w:rsid w:val="00A05016"/>
    <w:rsid w:val="00A11ACE"/>
    <w:rsid w:val="00A14B36"/>
    <w:rsid w:val="00A177C6"/>
    <w:rsid w:val="00A30523"/>
    <w:rsid w:val="00A470F0"/>
    <w:rsid w:val="00A832F9"/>
    <w:rsid w:val="00A93D0A"/>
    <w:rsid w:val="00AA4420"/>
    <w:rsid w:val="00AB0CF1"/>
    <w:rsid w:val="00AB2126"/>
    <w:rsid w:val="00AB2459"/>
    <w:rsid w:val="00AB71C1"/>
    <w:rsid w:val="00AC7B8E"/>
    <w:rsid w:val="00AD1955"/>
    <w:rsid w:val="00AD742A"/>
    <w:rsid w:val="00AE1815"/>
    <w:rsid w:val="00AE562C"/>
    <w:rsid w:val="00AF70B2"/>
    <w:rsid w:val="00B02600"/>
    <w:rsid w:val="00B229D7"/>
    <w:rsid w:val="00B236B0"/>
    <w:rsid w:val="00B240D6"/>
    <w:rsid w:val="00B300CB"/>
    <w:rsid w:val="00B32396"/>
    <w:rsid w:val="00B37B32"/>
    <w:rsid w:val="00B41BF7"/>
    <w:rsid w:val="00B47F20"/>
    <w:rsid w:val="00B52810"/>
    <w:rsid w:val="00B52E05"/>
    <w:rsid w:val="00B55AF6"/>
    <w:rsid w:val="00B6074C"/>
    <w:rsid w:val="00B64E59"/>
    <w:rsid w:val="00B9108D"/>
    <w:rsid w:val="00B96A5E"/>
    <w:rsid w:val="00BB170B"/>
    <w:rsid w:val="00BB3C2B"/>
    <w:rsid w:val="00BC18BC"/>
    <w:rsid w:val="00BD056E"/>
    <w:rsid w:val="00BD2258"/>
    <w:rsid w:val="00BD237B"/>
    <w:rsid w:val="00BD33B4"/>
    <w:rsid w:val="00BD61DE"/>
    <w:rsid w:val="00BE7D20"/>
    <w:rsid w:val="00BF0DD3"/>
    <w:rsid w:val="00BF189B"/>
    <w:rsid w:val="00BF1FC5"/>
    <w:rsid w:val="00BF50B3"/>
    <w:rsid w:val="00C01918"/>
    <w:rsid w:val="00C06827"/>
    <w:rsid w:val="00C2048A"/>
    <w:rsid w:val="00C21731"/>
    <w:rsid w:val="00C22E00"/>
    <w:rsid w:val="00C27CBF"/>
    <w:rsid w:val="00C30768"/>
    <w:rsid w:val="00C458C0"/>
    <w:rsid w:val="00C70EBC"/>
    <w:rsid w:val="00C859EE"/>
    <w:rsid w:val="00C930D5"/>
    <w:rsid w:val="00CA27A2"/>
    <w:rsid w:val="00CA5ED0"/>
    <w:rsid w:val="00CB69AB"/>
    <w:rsid w:val="00CE2020"/>
    <w:rsid w:val="00D01E92"/>
    <w:rsid w:val="00D13A44"/>
    <w:rsid w:val="00D21D76"/>
    <w:rsid w:val="00D435BF"/>
    <w:rsid w:val="00D43B79"/>
    <w:rsid w:val="00D50F0D"/>
    <w:rsid w:val="00D6159E"/>
    <w:rsid w:val="00D705EB"/>
    <w:rsid w:val="00D7158C"/>
    <w:rsid w:val="00D823BE"/>
    <w:rsid w:val="00D87ED0"/>
    <w:rsid w:val="00D93AA3"/>
    <w:rsid w:val="00D979D9"/>
    <w:rsid w:val="00DA0AB1"/>
    <w:rsid w:val="00DA1E28"/>
    <w:rsid w:val="00DA2962"/>
    <w:rsid w:val="00DA4AF8"/>
    <w:rsid w:val="00DB2362"/>
    <w:rsid w:val="00DB2BE7"/>
    <w:rsid w:val="00DB397D"/>
    <w:rsid w:val="00DC087C"/>
    <w:rsid w:val="00DC2A2E"/>
    <w:rsid w:val="00DD608A"/>
    <w:rsid w:val="00DF307D"/>
    <w:rsid w:val="00E002D1"/>
    <w:rsid w:val="00E10237"/>
    <w:rsid w:val="00E1201C"/>
    <w:rsid w:val="00E12B3D"/>
    <w:rsid w:val="00E12BBE"/>
    <w:rsid w:val="00E231E4"/>
    <w:rsid w:val="00E24A4C"/>
    <w:rsid w:val="00E35E13"/>
    <w:rsid w:val="00E45F4C"/>
    <w:rsid w:val="00E47FB7"/>
    <w:rsid w:val="00E61DA3"/>
    <w:rsid w:val="00E62A2B"/>
    <w:rsid w:val="00E7647E"/>
    <w:rsid w:val="00E9276B"/>
    <w:rsid w:val="00E92C7E"/>
    <w:rsid w:val="00E94747"/>
    <w:rsid w:val="00E958DA"/>
    <w:rsid w:val="00EA358B"/>
    <w:rsid w:val="00EA7F1E"/>
    <w:rsid w:val="00EB2427"/>
    <w:rsid w:val="00EB4F45"/>
    <w:rsid w:val="00EB4FC2"/>
    <w:rsid w:val="00EB52C5"/>
    <w:rsid w:val="00EB742F"/>
    <w:rsid w:val="00EC0A96"/>
    <w:rsid w:val="00ED2608"/>
    <w:rsid w:val="00ED5EDF"/>
    <w:rsid w:val="00EE2CBF"/>
    <w:rsid w:val="00EF34AF"/>
    <w:rsid w:val="00EF3988"/>
    <w:rsid w:val="00EF3D2E"/>
    <w:rsid w:val="00F12E07"/>
    <w:rsid w:val="00F13C5D"/>
    <w:rsid w:val="00F24699"/>
    <w:rsid w:val="00F34E1A"/>
    <w:rsid w:val="00F4278B"/>
    <w:rsid w:val="00F46618"/>
    <w:rsid w:val="00F54B8A"/>
    <w:rsid w:val="00F62B36"/>
    <w:rsid w:val="00F66F36"/>
    <w:rsid w:val="00F7404F"/>
    <w:rsid w:val="00F76512"/>
    <w:rsid w:val="00F77724"/>
    <w:rsid w:val="00F80980"/>
    <w:rsid w:val="00F83A32"/>
    <w:rsid w:val="00F84DAF"/>
    <w:rsid w:val="00F927E1"/>
    <w:rsid w:val="00F93C67"/>
    <w:rsid w:val="00FA2B05"/>
    <w:rsid w:val="00FC1166"/>
    <w:rsid w:val="00FC2A10"/>
    <w:rsid w:val="00FD3931"/>
    <w:rsid w:val="00FF6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3448BC"/>
  <w15:chartTrackingRefBased/>
  <w15:docId w15:val="{D6799CD9-C894-41F8-B0F9-1FB8C5429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05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64F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4FF8"/>
    <w:rPr>
      <w:sz w:val="20"/>
      <w:szCs w:val="20"/>
    </w:rPr>
  </w:style>
  <w:style w:type="character" w:styleId="FootnoteReference">
    <w:name w:val="footnote reference"/>
    <w:basedOn w:val="DefaultParagraphFont"/>
    <w:uiPriority w:val="99"/>
    <w:semiHidden/>
    <w:unhideWhenUsed/>
    <w:rsid w:val="00864FF8"/>
    <w:rPr>
      <w:vertAlign w:val="superscript"/>
    </w:rPr>
  </w:style>
  <w:style w:type="paragraph" w:styleId="Header">
    <w:name w:val="header"/>
    <w:basedOn w:val="Normal"/>
    <w:link w:val="HeaderChar"/>
    <w:uiPriority w:val="99"/>
    <w:semiHidden/>
    <w:unhideWhenUsed/>
    <w:rsid w:val="00C458C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458C0"/>
  </w:style>
  <w:style w:type="paragraph" w:styleId="Footer">
    <w:name w:val="footer"/>
    <w:basedOn w:val="Normal"/>
    <w:link w:val="FooterChar"/>
    <w:uiPriority w:val="99"/>
    <w:semiHidden/>
    <w:unhideWhenUsed/>
    <w:rsid w:val="00C458C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458C0"/>
  </w:style>
  <w:style w:type="character" w:customStyle="1" w:styleId="ui-button-text">
    <w:name w:val="ui-button-text"/>
    <w:basedOn w:val="DefaultParagraphFont"/>
    <w:rsid w:val="00DA4A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8416012">
      <w:bodyDiv w:val="1"/>
      <w:marLeft w:val="0"/>
      <w:marRight w:val="0"/>
      <w:marTop w:val="0"/>
      <w:marBottom w:val="0"/>
      <w:divBdr>
        <w:top w:val="none" w:sz="0" w:space="0" w:color="auto"/>
        <w:left w:val="none" w:sz="0" w:space="0" w:color="auto"/>
        <w:bottom w:val="none" w:sz="0" w:space="0" w:color="auto"/>
        <w:right w:val="none" w:sz="0" w:space="0" w:color="auto"/>
      </w:divBdr>
    </w:div>
    <w:div w:id="213910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3BF51-346C-4527-AC8F-DFD58FA3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2770</Words>
  <Characters>13704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illingworth</dc:creator>
  <cp:keywords/>
  <dc:description/>
  <cp:lastModifiedBy>vicky illingworth</cp:lastModifiedBy>
  <cp:revision>2</cp:revision>
  <dcterms:created xsi:type="dcterms:W3CDTF">2018-10-03T20:24:00Z</dcterms:created>
  <dcterms:modified xsi:type="dcterms:W3CDTF">2018-10-03T20:24:00Z</dcterms:modified>
</cp:coreProperties>
</file>