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8E4F326" w:rsidP="532DF7D3" w:rsidRDefault="68E4F326" w14:paraId="091796FB" w14:textId="7FB4B1CC">
      <w:pPr>
        <w:spacing w:after="120" w:line="259" w:lineRule="auto"/>
        <w:jc w:val="center"/>
        <w:rPr>
          <w:rFonts w:ascii="Calibri" w:hAnsi="Calibri" w:eastAsia="Calibri" w:cs="Calibri"/>
          <w:noProof w:val="0"/>
          <w:sz w:val="22"/>
          <w:szCs w:val="22"/>
          <w:lang w:val="en-GB"/>
        </w:rPr>
      </w:pPr>
      <w:r w:rsidRPr="532DF7D3" w:rsidR="68E4F326">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An analysis of Therapies staff experience of workplace incivility within Hywel Dda University Health Board</w:t>
      </w:r>
    </w:p>
    <w:p w:rsidR="532DF7D3" w:rsidP="532DF7D3" w:rsidRDefault="532DF7D3" w14:paraId="7FAA44B9" w14:textId="04E403F9">
      <w:pPr>
        <w:pStyle w:val="Normal"/>
        <w:rPr>
          <w:rFonts w:ascii="Calibri" w:hAnsi="Calibri" w:eastAsia="Calibri" w:cs="Calibri"/>
          <w:b w:val="0"/>
          <w:bCs w:val="0"/>
          <w:i w:val="0"/>
          <w:iCs w:val="0"/>
          <w:noProof w:val="0"/>
          <w:color w:val="000000" w:themeColor="text1" w:themeTint="FF" w:themeShade="FF"/>
          <w:sz w:val="22"/>
          <w:szCs w:val="22"/>
          <w:lang w:val="en-GB"/>
        </w:rPr>
      </w:pPr>
    </w:p>
    <w:p w:rsidR="65B16286" w:rsidP="532DF7D3" w:rsidRDefault="65B16286" w14:paraId="4C9AA5E7" w14:textId="6DA22BF2">
      <w:pPr>
        <w:pStyle w:val="Normal"/>
        <w:rPr>
          <w:rFonts w:ascii="Calibri" w:hAnsi="Calibri" w:eastAsia="Calibri" w:cs="Calibri"/>
          <w:b w:val="1"/>
          <w:bCs w:val="1"/>
          <w:i w:val="0"/>
          <w:iCs w:val="0"/>
          <w:noProof w:val="0"/>
          <w:color w:val="0E0E0E"/>
          <w:sz w:val="22"/>
          <w:szCs w:val="22"/>
          <w:lang w:val="en-GB"/>
        </w:rPr>
      </w:pPr>
      <w:r w:rsidRPr="633007A7" w:rsidR="65B16286">
        <w:rPr>
          <w:rFonts w:ascii="Calibri" w:hAnsi="Calibri" w:eastAsia="Calibri" w:cs="Calibri"/>
          <w:b w:val="1"/>
          <w:bCs w:val="1"/>
          <w:i w:val="0"/>
          <w:iCs w:val="0"/>
          <w:noProof w:val="0"/>
          <w:color w:val="0E0E0E"/>
          <w:sz w:val="22"/>
          <w:szCs w:val="22"/>
          <w:lang w:val="en-GB"/>
        </w:rPr>
        <w:t>Introduction</w:t>
      </w:r>
    </w:p>
    <w:p w:rsidR="532DF7D3" w:rsidP="633007A7" w:rsidRDefault="532DF7D3" w14:paraId="6C63A449" w14:textId="20FF5D0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33007A7" w:rsidR="61EA4403">
        <w:rPr>
          <w:rFonts w:ascii="Arial" w:hAnsi="Arial" w:eastAsia="Arial" w:cs="Arial"/>
          <w:b w:val="0"/>
          <w:bCs w:val="0"/>
          <w:i w:val="0"/>
          <w:iCs w:val="0"/>
          <w:caps w:val="0"/>
          <w:smallCaps w:val="0"/>
          <w:noProof w:val="0"/>
          <w:color w:val="000000" w:themeColor="text1" w:themeTint="FF" w:themeShade="FF"/>
          <w:sz w:val="22"/>
          <w:szCs w:val="22"/>
          <w:lang w:val="en-GB"/>
        </w:rPr>
        <w:t xml:space="preserve">Hywel Dda University Health Board (HDdUHB) faces staff retention challenges (HDdUHB, 2023a) and the organisation has highlighted that civility is a key component to the positive workplace culture it wishes to foster (HDdUHB, 2022). </w:t>
      </w:r>
    </w:p>
    <w:p w:rsidR="532DF7D3" w:rsidP="532DF7D3" w:rsidRDefault="532DF7D3" w14:paraId="24765F6A" w14:textId="20BB20B1">
      <w:pPr>
        <w:pStyle w:val="Normal"/>
      </w:pPr>
      <w:r w:rsidRPr="633007A7" w:rsidR="61EA4403">
        <w:rPr>
          <w:rFonts w:ascii="Arial" w:hAnsi="Arial" w:eastAsia="Arial" w:cs="Arial"/>
          <w:b w:val="0"/>
          <w:bCs w:val="0"/>
          <w:i w:val="0"/>
          <w:iCs w:val="0"/>
          <w:caps w:val="0"/>
          <w:smallCaps w:val="0"/>
          <w:noProof w:val="0"/>
          <w:color w:val="000000" w:themeColor="text1" w:themeTint="FF" w:themeShade="FF"/>
          <w:sz w:val="22"/>
          <w:szCs w:val="22"/>
          <w:lang w:val="en-GB"/>
        </w:rPr>
        <w:t>The research focused on the Therapies Directorate as turnover rate in this group is higher than in other staff groups (</w:t>
      </w:r>
      <w:r w:rsidRPr="633007A7" w:rsidR="61EA4403">
        <w:rPr>
          <w:rFonts w:ascii="Arial" w:hAnsi="Arial" w:eastAsia="Arial" w:cs="Arial"/>
          <w:b w:val="0"/>
          <w:bCs w:val="0"/>
          <w:i w:val="0"/>
          <w:iCs w:val="0"/>
          <w:caps w:val="0"/>
          <w:smallCaps w:val="0"/>
          <w:noProof w:val="0"/>
          <w:color w:val="000000" w:themeColor="text1" w:themeTint="FF" w:themeShade="FF"/>
          <w:sz w:val="22"/>
          <w:szCs w:val="22"/>
          <w:lang w:val="en-GB"/>
        </w:rPr>
        <w:t>HDdUHB</w:t>
      </w:r>
      <w:r w:rsidRPr="633007A7" w:rsidR="61EA4403">
        <w:rPr>
          <w:rFonts w:ascii="Arial" w:hAnsi="Arial" w:eastAsia="Arial" w:cs="Arial"/>
          <w:b w:val="0"/>
          <w:bCs w:val="0"/>
          <w:i w:val="0"/>
          <w:iCs w:val="0"/>
          <w:caps w:val="0"/>
          <w:smallCaps w:val="0"/>
          <w:noProof w:val="0"/>
          <w:color w:val="000000" w:themeColor="text1" w:themeTint="FF" w:themeShade="FF"/>
          <w:sz w:val="22"/>
          <w:szCs w:val="22"/>
          <w:lang w:val="en-GB"/>
        </w:rPr>
        <w:t>, 2023) and incivility has been shown to increase turnover (</w:t>
      </w:r>
      <w:r w:rsidRPr="633007A7" w:rsidR="61EA4403">
        <w:rPr>
          <w:rFonts w:ascii="Arial" w:hAnsi="Arial" w:eastAsia="Arial" w:cs="Arial"/>
          <w:b w:val="0"/>
          <w:bCs w:val="0"/>
          <w:i w:val="0"/>
          <w:iCs w:val="0"/>
          <w:caps w:val="0"/>
          <w:smallCaps w:val="0"/>
          <w:noProof w:val="0"/>
          <w:color w:val="000000" w:themeColor="text1" w:themeTint="FF" w:themeShade="FF"/>
          <w:sz w:val="22"/>
          <w:szCs w:val="22"/>
          <w:lang w:val="en-GB"/>
        </w:rPr>
        <w:t>Kavaklı</w:t>
      </w:r>
      <w:r w:rsidRPr="633007A7" w:rsidR="61EA4403">
        <w:rPr>
          <w:rFonts w:ascii="Arial" w:hAnsi="Arial" w:eastAsia="Arial" w:cs="Arial"/>
          <w:b w:val="0"/>
          <w:bCs w:val="0"/>
          <w:i w:val="0"/>
          <w:iCs w:val="0"/>
          <w:caps w:val="0"/>
          <w:smallCaps w:val="0"/>
          <w:noProof w:val="0"/>
          <w:color w:val="000000" w:themeColor="text1" w:themeTint="FF" w:themeShade="FF"/>
          <w:sz w:val="22"/>
          <w:szCs w:val="22"/>
          <w:lang w:val="en-GB"/>
        </w:rPr>
        <w:t xml:space="preserve"> and Yildirim, 2022).</w:t>
      </w:r>
    </w:p>
    <w:p w:rsidR="633007A7" w:rsidP="633007A7" w:rsidRDefault="633007A7" w14:paraId="4CEF874D" w14:textId="6B84D9F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65B16286" w:rsidP="57FD7662" w:rsidRDefault="65B16286" w14:paraId="4E4D3341" w14:textId="7D226C9A">
      <w:pPr>
        <w:pStyle w:val="Normal"/>
        <w:rPr>
          <w:rFonts w:ascii="Calibri" w:hAnsi="Calibri" w:eastAsia="Calibri" w:cs="Calibri"/>
          <w:b w:val="1"/>
          <w:bCs w:val="1"/>
          <w:i w:val="0"/>
          <w:iCs w:val="0"/>
          <w:noProof w:val="0"/>
          <w:color w:val="0E0E0E"/>
          <w:sz w:val="22"/>
          <w:szCs w:val="22"/>
          <w:lang w:val="en-GB"/>
        </w:rPr>
      </w:pPr>
      <w:r w:rsidRPr="633007A7" w:rsidR="65B16286">
        <w:rPr>
          <w:rFonts w:ascii="Calibri" w:hAnsi="Calibri" w:eastAsia="Calibri" w:cs="Calibri"/>
          <w:b w:val="1"/>
          <w:bCs w:val="1"/>
          <w:i w:val="0"/>
          <w:iCs w:val="0"/>
          <w:noProof w:val="0"/>
          <w:color w:val="0E0E0E"/>
          <w:sz w:val="22"/>
          <w:szCs w:val="22"/>
          <w:lang w:val="en-GB"/>
        </w:rPr>
        <w:t>Literature</w:t>
      </w:r>
    </w:p>
    <w:p w:rsidR="532DF7D3" w:rsidP="633007A7" w:rsidRDefault="532DF7D3" w14:paraId="57E1CF5D" w14:textId="3A63D02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33007A7" w:rsidR="4E784A4D">
        <w:rPr>
          <w:rFonts w:ascii="Arial" w:hAnsi="Arial" w:eastAsia="Arial" w:cs="Arial"/>
          <w:b w:val="0"/>
          <w:bCs w:val="0"/>
          <w:i w:val="0"/>
          <w:iCs w:val="0"/>
          <w:caps w:val="0"/>
          <w:smallCaps w:val="0"/>
          <w:noProof w:val="0"/>
          <w:color w:val="000000" w:themeColor="text1" w:themeTint="FF" w:themeShade="FF"/>
          <w:sz w:val="22"/>
          <w:szCs w:val="22"/>
          <w:lang w:val="en-GB"/>
        </w:rPr>
        <w:t xml:space="preserve">Workplace incivility is mild interpersonal mistreatment (Han et al, 2022) which has a range of negative consequences for the individual, organisation (Barends et al, 2022) and patients (Turner, 2019). </w:t>
      </w:r>
    </w:p>
    <w:p w:rsidR="532DF7D3" w:rsidP="532DF7D3" w:rsidRDefault="532DF7D3" w14:paraId="3BBBC019" w14:textId="76D56614">
      <w:pPr>
        <w:pStyle w:val="Normal"/>
      </w:pPr>
      <w:r w:rsidRPr="633007A7" w:rsidR="4E784A4D">
        <w:rPr>
          <w:rFonts w:ascii="Arial" w:hAnsi="Arial" w:eastAsia="Arial" w:cs="Arial"/>
          <w:b w:val="0"/>
          <w:bCs w:val="0"/>
          <w:i w:val="0"/>
          <w:iCs w:val="0"/>
          <w:caps w:val="0"/>
          <w:smallCaps w:val="0"/>
          <w:noProof w:val="0"/>
          <w:color w:val="000000" w:themeColor="text1" w:themeTint="FF" w:themeShade="FF"/>
          <w:sz w:val="22"/>
          <w:szCs w:val="22"/>
          <w:lang w:val="en-GB"/>
        </w:rPr>
        <w:t>Individuals are predisposed to respond negatively to incivility (Porath, 2016) but individual differences in traits have been highlighted as a mediating factor in perception of incivility (Welbourne, Miranda, and Gangadharan, 2020). These factors are complex (LaGuardia and Oelke, 2021) and the strength of individual factors in isolation have been questioned (Di Fabio and Duradoni, 2019). An organisation could seek to improve the culture (Porath, 2016) by enabling active bystanders (Ng, Niven and Notelaers, 2022), psychological safety (McKinsey, 2018) and inclusive environments (He et al, 2021).</w:t>
      </w:r>
    </w:p>
    <w:p w:rsidR="532DF7D3" w:rsidP="633007A7" w:rsidRDefault="532DF7D3" w14:paraId="07DBD6FD" w14:textId="42BCF8F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65B16286" w:rsidP="57FD7662" w:rsidRDefault="65B16286" w14:paraId="14EBBC12" w14:textId="2758505F">
      <w:pPr>
        <w:pStyle w:val="Normal"/>
        <w:rPr>
          <w:rFonts w:ascii="Calibri" w:hAnsi="Calibri" w:eastAsia="Calibri" w:cs="Calibri"/>
          <w:b w:val="1"/>
          <w:bCs w:val="1"/>
          <w:i w:val="0"/>
          <w:iCs w:val="0"/>
          <w:noProof w:val="0"/>
          <w:color w:val="0E0E0E"/>
          <w:sz w:val="22"/>
          <w:szCs w:val="22"/>
          <w:lang w:val="en-GB"/>
        </w:rPr>
      </w:pPr>
      <w:r w:rsidRPr="633007A7" w:rsidR="65B16286">
        <w:rPr>
          <w:rFonts w:ascii="Calibri" w:hAnsi="Calibri" w:eastAsia="Calibri" w:cs="Calibri"/>
          <w:b w:val="1"/>
          <w:bCs w:val="1"/>
          <w:i w:val="0"/>
          <w:iCs w:val="0"/>
          <w:noProof w:val="0"/>
          <w:color w:val="0E0E0E"/>
          <w:sz w:val="22"/>
          <w:szCs w:val="22"/>
          <w:lang w:val="en-GB"/>
        </w:rPr>
        <w:t>Methodology</w:t>
      </w:r>
    </w:p>
    <w:p w:rsidR="083C138E" w:rsidP="633007A7" w:rsidRDefault="083C138E" w14:paraId="4897B400" w14:textId="45E8C2A3">
      <w:pPr>
        <w:pStyle w:val="Normal"/>
        <w:rPr>
          <w:rFonts w:ascii="Calibri" w:hAnsi="Calibri" w:eastAsia="Calibri" w:cs="Calibri"/>
          <w:b w:val="0"/>
          <w:bCs w:val="0"/>
          <w:i w:val="0"/>
          <w:iCs w:val="0"/>
          <w:noProof w:val="0"/>
          <w:color w:val="0E0E0E"/>
          <w:sz w:val="22"/>
          <w:szCs w:val="22"/>
          <w:lang w:val="en-GB"/>
        </w:rPr>
      </w:pPr>
      <w:r w:rsidRPr="633007A7" w:rsidR="083C138E">
        <w:rPr>
          <w:rFonts w:ascii="Calibri" w:hAnsi="Calibri" w:eastAsia="Calibri" w:cs="Calibri"/>
          <w:b w:val="0"/>
          <w:bCs w:val="0"/>
          <w:i w:val="0"/>
          <w:iCs w:val="0"/>
          <w:noProof w:val="0"/>
          <w:color w:val="0E0E0E"/>
          <w:sz w:val="22"/>
          <w:szCs w:val="22"/>
          <w:lang w:val="en-GB"/>
        </w:rPr>
        <w:t>A self-administered web-based questionnaire was circulated to Therapies staff which focused on their experience of incivility and gained predominantly quantitative data. The questionnaire used Microsoft Forms which staff are already familiar with. Effort was made to mitigate risks including researcher bias, misinterpretation and social desirability (O’Gorman and MacIntosh, 2015).</w:t>
      </w:r>
    </w:p>
    <w:p w:rsidR="532DF7D3" w:rsidP="532DF7D3" w:rsidRDefault="532DF7D3" w14:paraId="28EE9CE6" w14:textId="632E167F">
      <w:pPr>
        <w:pStyle w:val="Normal"/>
        <w:rPr>
          <w:rFonts w:ascii="Calibri" w:hAnsi="Calibri" w:eastAsia="Calibri" w:cs="Calibri"/>
          <w:b w:val="0"/>
          <w:bCs w:val="0"/>
          <w:i w:val="0"/>
          <w:iCs w:val="0"/>
          <w:noProof w:val="0"/>
          <w:color w:val="0E0E0E"/>
          <w:sz w:val="22"/>
          <w:szCs w:val="22"/>
          <w:lang w:val="en-GB"/>
        </w:rPr>
      </w:pPr>
    </w:p>
    <w:p w:rsidR="65B16286" w:rsidP="57FD7662" w:rsidRDefault="65B16286" w14:paraId="6CC34A26" w14:textId="22D572D6">
      <w:pPr>
        <w:pStyle w:val="Normal"/>
        <w:rPr>
          <w:rFonts w:ascii="Calibri" w:hAnsi="Calibri" w:eastAsia="Calibri" w:cs="Calibri"/>
          <w:b w:val="1"/>
          <w:bCs w:val="1"/>
          <w:i w:val="0"/>
          <w:iCs w:val="0"/>
          <w:noProof w:val="0"/>
          <w:color w:val="0E0E0E"/>
          <w:sz w:val="22"/>
          <w:szCs w:val="22"/>
          <w:lang w:val="en-GB"/>
        </w:rPr>
      </w:pPr>
      <w:r w:rsidRPr="633007A7" w:rsidR="65B16286">
        <w:rPr>
          <w:rFonts w:ascii="Calibri" w:hAnsi="Calibri" w:eastAsia="Calibri" w:cs="Calibri"/>
          <w:b w:val="1"/>
          <w:bCs w:val="1"/>
          <w:i w:val="0"/>
          <w:iCs w:val="0"/>
          <w:noProof w:val="0"/>
          <w:color w:val="0E0E0E"/>
          <w:sz w:val="22"/>
          <w:szCs w:val="22"/>
          <w:lang w:val="en-GB"/>
        </w:rPr>
        <w:t>Findings</w:t>
      </w:r>
    </w:p>
    <w:p w:rsidR="790C3CBF" w:rsidP="633007A7" w:rsidRDefault="790C3CBF" w14:paraId="0D013953" w14:textId="75A553AD">
      <w:pPr>
        <w:pStyle w:val="Normal"/>
        <w:spacing w:after="160" w:line="259" w:lineRule="auto"/>
      </w:pPr>
      <w:r w:rsidRPr="633007A7" w:rsidR="790C3CBF">
        <w:rPr>
          <w:rFonts w:ascii="Calibri" w:hAnsi="Calibri" w:eastAsia="Calibri" w:cs="Calibri"/>
          <w:b w:val="0"/>
          <w:bCs w:val="0"/>
          <w:i w:val="0"/>
          <w:iCs w:val="0"/>
          <w:noProof w:val="0"/>
          <w:color w:val="0E0E0E"/>
          <w:sz w:val="22"/>
          <w:szCs w:val="22"/>
          <w:lang w:val="en-GB"/>
        </w:rPr>
        <w:t xml:space="preserve">A response rate of 24% was achieved which is within normal range for </w:t>
      </w:r>
      <w:r w:rsidRPr="633007A7" w:rsidR="790C3CBF">
        <w:rPr>
          <w:rFonts w:ascii="Calibri" w:hAnsi="Calibri" w:eastAsia="Calibri" w:cs="Calibri"/>
          <w:b w:val="0"/>
          <w:bCs w:val="0"/>
          <w:i w:val="0"/>
          <w:iCs w:val="0"/>
          <w:noProof w:val="0"/>
          <w:color w:val="0E0E0E"/>
          <w:sz w:val="22"/>
          <w:szCs w:val="22"/>
          <w:lang w:val="en-GB"/>
        </w:rPr>
        <w:t>HDdUHB</w:t>
      </w:r>
      <w:r w:rsidRPr="633007A7" w:rsidR="790C3CBF">
        <w:rPr>
          <w:rFonts w:ascii="Calibri" w:hAnsi="Calibri" w:eastAsia="Calibri" w:cs="Calibri"/>
          <w:b w:val="0"/>
          <w:bCs w:val="0"/>
          <w:i w:val="0"/>
          <w:iCs w:val="0"/>
          <w:noProof w:val="0"/>
          <w:color w:val="0E0E0E"/>
          <w:sz w:val="22"/>
          <w:szCs w:val="22"/>
          <w:lang w:val="en-GB"/>
        </w:rPr>
        <w:t xml:space="preserve">. </w:t>
      </w:r>
      <w:r w:rsidRPr="633007A7" w:rsidR="790C3CBF">
        <w:rPr>
          <w:rFonts w:ascii="Calibri" w:hAnsi="Calibri" w:eastAsia="Calibri" w:cs="Calibri"/>
          <w:b w:val="0"/>
          <w:bCs w:val="0"/>
          <w:i w:val="0"/>
          <w:iCs w:val="0"/>
          <w:noProof w:val="0"/>
          <w:color w:val="0E0E0E"/>
          <w:sz w:val="22"/>
          <w:szCs w:val="22"/>
          <w:lang w:val="en-GB"/>
        </w:rPr>
        <w:t>The majority of</w:t>
      </w:r>
      <w:r w:rsidRPr="633007A7" w:rsidR="790C3CBF">
        <w:rPr>
          <w:rFonts w:ascii="Calibri" w:hAnsi="Calibri" w:eastAsia="Calibri" w:cs="Calibri"/>
          <w:b w:val="0"/>
          <w:bCs w:val="0"/>
          <w:i w:val="0"/>
          <w:iCs w:val="0"/>
          <w:noProof w:val="0"/>
          <w:color w:val="0E0E0E"/>
          <w:sz w:val="22"/>
          <w:szCs w:val="22"/>
          <w:lang w:val="en-GB"/>
        </w:rPr>
        <w:t xml:space="preserve"> respondents were from Physiotherapy which reflects the spread of the workforce. The least </w:t>
      </w:r>
      <w:r w:rsidRPr="633007A7" w:rsidR="790C3CBF">
        <w:rPr>
          <w:rFonts w:ascii="Calibri" w:hAnsi="Calibri" w:eastAsia="Calibri" w:cs="Calibri"/>
          <w:b w:val="0"/>
          <w:bCs w:val="0"/>
          <w:i w:val="0"/>
          <w:iCs w:val="0"/>
          <w:noProof w:val="0"/>
          <w:color w:val="0E0E0E"/>
          <w:sz w:val="22"/>
          <w:szCs w:val="22"/>
          <w:lang w:val="en-GB"/>
        </w:rPr>
        <w:t>amount</w:t>
      </w:r>
      <w:r w:rsidRPr="633007A7" w:rsidR="790C3CBF">
        <w:rPr>
          <w:rFonts w:ascii="Calibri" w:hAnsi="Calibri" w:eastAsia="Calibri" w:cs="Calibri"/>
          <w:b w:val="0"/>
          <w:bCs w:val="0"/>
          <w:i w:val="0"/>
          <w:iCs w:val="0"/>
          <w:noProof w:val="0"/>
          <w:color w:val="0E0E0E"/>
          <w:sz w:val="22"/>
          <w:szCs w:val="22"/>
          <w:lang w:val="en-GB"/>
        </w:rPr>
        <w:t xml:space="preserve"> of responses were received from Neuro and stroke rehabilitation and therapies and health science which may be attributable to the lower numbers of staff in these specialities.</w:t>
      </w:r>
    </w:p>
    <w:p w:rsidR="790C3CBF" w:rsidP="633007A7" w:rsidRDefault="790C3CBF" w14:paraId="12F90748" w14:textId="0AB7F7C9">
      <w:pPr>
        <w:pStyle w:val="Normal"/>
        <w:spacing w:after="160" w:line="259" w:lineRule="auto"/>
        <w:rPr>
          <w:rFonts w:ascii="Calibri" w:hAnsi="Calibri" w:eastAsia="Calibri" w:cs="Calibri"/>
          <w:noProof w:val="0"/>
          <w:sz w:val="22"/>
          <w:szCs w:val="22"/>
          <w:lang w:val="en-GB"/>
        </w:rPr>
      </w:pPr>
      <w:r w:rsidRPr="633007A7" w:rsidR="790C3CBF">
        <w:rPr>
          <w:rFonts w:ascii="Calibri" w:hAnsi="Calibri" w:eastAsia="Calibri" w:cs="Calibri"/>
          <w:b w:val="0"/>
          <w:bCs w:val="0"/>
          <w:i w:val="0"/>
          <w:iCs w:val="0"/>
          <w:noProof w:val="0"/>
          <w:color w:val="0E0E0E"/>
          <w:sz w:val="22"/>
          <w:szCs w:val="22"/>
          <w:lang w:val="en-GB"/>
        </w:rPr>
        <w:t>In</w:t>
      </w:r>
      <w:r w:rsidRPr="633007A7" w:rsidR="790C3CBF">
        <w:rPr>
          <w:rFonts w:ascii="Calibri" w:hAnsi="Calibri" w:eastAsia="Calibri" w:cs="Calibri"/>
          <w:b w:val="0"/>
          <w:bCs w:val="0"/>
          <w:i w:val="0"/>
          <w:iCs w:val="0"/>
          <w:noProof w:val="0"/>
          <w:color w:val="0E0E0E"/>
          <w:sz w:val="22"/>
          <w:szCs w:val="22"/>
          <w:lang w:val="en-GB"/>
        </w:rPr>
        <w:t xml:space="preserve"> line with the literature, </w:t>
      </w:r>
      <w:r w:rsidRPr="633007A7" w:rsidR="790C3CBF">
        <w:rPr>
          <w:rFonts w:ascii="Calibri" w:hAnsi="Calibri" w:eastAsia="Calibri" w:cs="Calibri"/>
          <w:b w:val="0"/>
          <w:bCs w:val="0"/>
          <w:i w:val="0"/>
          <w:iCs w:val="0"/>
          <w:noProof w:val="0"/>
          <w:color w:val="0E0E0E"/>
          <w:sz w:val="22"/>
          <w:szCs w:val="22"/>
          <w:lang w:val="en-GB"/>
        </w:rPr>
        <w:t>the majority of</w:t>
      </w:r>
      <w:r w:rsidRPr="633007A7" w:rsidR="790C3CBF">
        <w:rPr>
          <w:rFonts w:ascii="Calibri" w:hAnsi="Calibri" w:eastAsia="Calibri" w:cs="Calibri"/>
          <w:b w:val="0"/>
          <w:bCs w:val="0"/>
          <w:i w:val="0"/>
          <w:iCs w:val="0"/>
          <w:noProof w:val="0"/>
          <w:color w:val="0E0E0E"/>
          <w:sz w:val="22"/>
          <w:szCs w:val="22"/>
          <w:lang w:val="en-GB"/>
        </w:rPr>
        <w:t xml:space="preserve"> staff reported encountering incivility during the last 6 months in their current role (Porath, 2016). Incivility made staff feel a range of negative emotions.</w:t>
      </w:r>
    </w:p>
    <w:p w:rsidR="790C3CBF" w:rsidP="633007A7" w:rsidRDefault="790C3CBF" w14:paraId="6CFCF2B3" w14:textId="18D260DC">
      <w:pPr>
        <w:pStyle w:val="Normal"/>
        <w:spacing w:after="160" w:line="259" w:lineRule="auto"/>
        <w:rPr>
          <w:rFonts w:ascii="Calibri" w:hAnsi="Calibri" w:eastAsia="Calibri" w:cs="Calibri"/>
          <w:b w:val="0"/>
          <w:bCs w:val="0"/>
          <w:i w:val="0"/>
          <w:iCs w:val="0"/>
          <w:noProof w:val="0"/>
          <w:color w:val="0E0E0E"/>
          <w:sz w:val="22"/>
          <w:szCs w:val="22"/>
          <w:lang w:val="en-GB"/>
        </w:rPr>
      </w:pPr>
      <w:r w:rsidRPr="633007A7" w:rsidR="790C3CBF">
        <w:rPr>
          <w:rFonts w:ascii="Calibri" w:hAnsi="Calibri" w:eastAsia="Calibri" w:cs="Calibri"/>
          <w:b w:val="0"/>
          <w:bCs w:val="0"/>
          <w:i w:val="0"/>
          <w:iCs w:val="0"/>
          <w:noProof w:val="0"/>
          <w:color w:val="0E0E0E"/>
          <w:sz w:val="22"/>
          <w:szCs w:val="22"/>
          <w:lang w:val="en-GB"/>
        </w:rPr>
        <w:t>Concerningly, most staff did not feel able to challenge incivility or gain support from their manager or the organisation which raises questions about the current culture enabling active bystanders (NG et al, 2022). Across the hierarchy common themes about worries were found which compliments and expands on the findings of Timm (2014).</w:t>
      </w:r>
    </w:p>
    <w:p w:rsidR="790C3CBF" w:rsidP="633007A7" w:rsidRDefault="790C3CBF" w14:paraId="586F2A44" w14:textId="2C5C3B6F">
      <w:pPr>
        <w:pStyle w:val="Normal"/>
        <w:spacing w:after="160" w:line="259" w:lineRule="auto"/>
        <w:rPr>
          <w:rFonts w:ascii="Calibri" w:hAnsi="Calibri" w:eastAsia="Calibri" w:cs="Calibri"/>
          <w:b w:val="0"/>
          <w:bCs w:val="0"/>
          <w:i w:val="0"/>
          <w:iCs w:val="0"/>
          <w:noProof w:val="0"/>
          <w:color w:val="0E0E0E"/>
          <w:sz w:val="22"/>
          <w:szCs w:val="22"/>
          <w:lang w:val="en-GB"/>
        </w:rPr>
      </w:pPr>
      <w:r w:rsidRPr="633007A7" w:rsidR="790C3CBF">
        <w:rPr>
          <w:rFonts w:ascii="Calibri" w:hAnsi="Calibri" w:eastAsia="Calibri" w:cs="Calibri"/>
          <w:b w:val="0"/>
          <w:bCs w:val="0"/>
          <w:i w:val="0"/>
          <w:iCs w:val="0"/>
          <w:noProof w:val="0"/>
          <w:color w:val="0E0E0E"/>
          <w:sz w:val="22"/>
          <w:szCs w:val="22"/>
          <w:lang w:val="en-GB"/>
        </w:rPr>
        <w:t>Differences were found in experiences across the hierarchy, but no correlation was found between incivility and emotional intelligence which may be due to the complexity of the interaction (LaGuaradia and Oleke, 2021).</w:t>
      </w:r>
    </w:p>
    <w:p w:rsidR="633007A7" w:rsidP="633007A7" w:rsidRDefault="633007A7" w14:paraId="48D268B6" w14:textId="44021814">
      <w:pPr>
        <w:pStyle w:val="Normal"/>
        <w:spacing w:after="160" w:line="259" w:lineRule="auto"/>
        <w:rPr>
          <w:rFonts w:ascii="Calibri" w:hAnsi="Calibri" w:eastAsia="Calibri" w:cs="Calibri"/>
          <w:b w:val="0"/>
          <w:bCs w:val="0"/>
          <w:i w:val="0"/>
          <w:iCs w:val="0"/>
          <w:noProof w:val="0"/>
          <w:color w:val="0E0E0E"/>
          <w:sz w:val="22"/>
          <w:szCs w:val="22"/>
          <w:lang w:val="en-GB"/>
        </w:rPr>
      </w:pPr>
    </w:p>
    <w:p w:rsidR="65B16286" w:rsidP="57FD7662" w:rsidRDefault="65B16286" w14:paraId="460AB6CB" w14:textId="13B54329">
      <w:pPr>
        <w:pStyle w:val="Normal"/>
        <w:rPr>
          <w:rFonts w:ascii="Calibri" w:hAnsi="Calibri" w:eastAsia="Calibri" w:cs="Calibri"/>
          <w:b w:val="1"/>
          <w:bCs w:val="1"/>
          <w:i w:val="0"/>
          <w:iCs w:val="0"/>
          <w:noProof w:val="0"/>
          <w:color w:val="0E0E0E"/>
          <w:sz w:val="22"/>
          <w:szCs w:val="22"/>
          <w:lang w:val="en-GB"/>
        </w:rPr>
      </w:pPr>
      <w:r w:rsidRPr="633007A7" w:rsidR="65B16286">
        <w:rPr>
          <w:rFonts w:ascii="Calibri" w:hAnsi="Calibri" w:eastAsia="Calibri" w:cs="Calibri"/>
          <w:b w:val="1"/>
          <w:bCs w:val="1"/>
          <w:i w:val="0"/>
          <w:iCs w:val="0"/>
          <w:noProof w:val="0"/>
          <w:color w:val="0E0E0E"/>
          <w:sz w:val="22"/>
          <w:szCs w:val="22"/>
          <w:lang w:val="en-GB"/>
        </w:rPr>
        <w:t>Conclusion</w:t>
      </w:r>
    </w:p>
    <w:p w:rsidR="57FD7662" w:rsidP="633007A7" w:rsidRDefault="57FD7662" w14:paraId="5B6654B0" w14:textId="2FBFD78B">
      <w:pPr>
        <w:pStyle w:val="ListParagraph"/>
        <w:numPr>
          <w:ilvl w:val="0"/>
          <w:numId w:val="2"/>
        </w:numP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33007A7" w:rsidR="1E7A28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 line with the wider literature, this research found that most staff reported recently being exposed to incivility (Porath, 2016). </w:t>
      </w:r>
    </w:p>
    <w:p w:rsidR="57FD7662" w:rsidP="633007A7" w:rsidRDefault="57FD7662" w14:paraId="7A14825E" w14:textId="04619FB0">
      <w:pPr>
        <w:pStyle w:val="ListParagraph"/>
        <w:numPr>
          <w:ilvl w:val="0"/>
          <w:numId w:val="2"/>
        </w:numPr>
        <w:rPr/>
      </w:pPr>
      <w:r w:rsidR="1E7A28C2">
        <w:rPr/>
        <w:t xml:space="preserve">No correlation was found between incivility and emotional intelligence which may be due to the complexity of the interaction (LaGuaradia and Oleke, 2021). </w:t>
      </w:r>
    </w:p>
    <w:p w:rsidR="57FD7662" w:rsidP="633007A7" w:rsidRDefault="57FD7662" w14:paraId="668F1655" w14:textId="0829B99A">
      <w:pPr>
        <w:pStyle w:val="ListParagraph"/>
        <w:numPr>
          <w:ilvl w:val="0"/>
          <w:numId w:val="2"/>
        </w:numPr>
        <w:rPr/>
      </w:pPr>
      <w:r w:rsidR="1E7A28C2">
        <w:rPr/>
        <w:t xml:space="preserve">Whilst this is not robust enough to provide detailed conclusions, concerningly, most staff did not feel able to challenge incivility, gain support from their manager or the Health Board. </w:t>
      </w:r>
    </w:p>
    <w:p w:rsidR="57FD7662" w:rsidP="633007A7" w:rsidRDefault="57FD7662" w14:paraId="40D4475C" w14:textId="01E38898">
      <w:pPr>
        <w:pStyle w:val="ListParagraph"/>
        <w:numPr>
          <w:ilvl w:val="0"/>
          <w:numId w:val="2"/>
        </w:numPr>
        <w:rPr/>
      </w:pPr>
      <w:r w:rsidR="1E7A28C2">
        <w:rPr/>
        <w:t>Recommendations will follow this research.</w:t>
      </w:r>
    </w:p>
    <w:p w:rsidR="57FD7662" w:rsidP="633007A7" w:rsidRDefault="57FD7662" w14:paraId="0A9621F8" w14:textId="0996E367">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65B16286" w:rsidP="57FD7662" w:rsidRDefault="65B16286" w14:paraId="26CB13D6" w14:textId="07EFC28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3007A7" w:rsidR="65B16286">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Acknowledgements</w:t>
      </w:r>
    </w:p>
    <w:p w:rsidR="37846BC4" w:rsidP="633007A7" w:rsidRDefault="37846BC4" w14:paraId="155D1BE2" w14:textId="1A65C7BA">
      <w:pPr>
        <w:pStyle w:val="Normal"/>
        <w:spacing w:after="160" w:line="259" w:lineRule="auto"/>
        <w:rPr>
          <w:rFonts w:ascii="Arial" w:hAnsi="Arial" w:eastAsia="Arial" w:cs="Arial"/>
          <w:noProof w:val="0"/>
          <w:sz w:val="22"/>
          <w:szCs w:val="22"/>
          <w:lang w:val="en-GB"/>
        </w:rPr>
      </w:pPr>
      <w:r w:rsidRPr="633007A7" w:rsidR="37846BC4">
        <w:rPr>
          <w:rFonts w:ascii="Arial" w:hAnsi="Arial" w:eastAsia="Arial" w:cs="Arial"/>
          <w:b w:val="0"/>
          <w:bCs w:val="0"/>
          <w:i w:val="0"/>
          <w:iCs w:val="0"/>
          <w:noProof w:val="0"/>
          <w:color w:val="0E0E0E"/>
          <w:sz w:val="22"/>
          <w:szCs w:val="22"/>
          <w:lang w:val="en-GB"/>
        </w:rPr>
        <w:t>The author is indebted to HDdUHB for hosting the research report, colleagues and academic staff at UWTSD for their support and particularly to staff within the Therapies Directorate for taking the time to participate in the survey.</w:t>
      </w:r>
    </w:p>
    <w:p w:rsidR="57FD7662" w:rsidP="57FD7662" w:rsidRDefault="57FD7662" w14:paraId="7F09CFCE" w14:textId="7F0BB1D3">
      <w:pPr>
        <w:pStyle w:val="Normal"/>
        <w:rPr>
          <w:rFonts w:ascii="Calibri" w:hAnsi="Calibri" w:eastAsia="Calibri" w:cs="Calibri"/>
          <w:b w:val="1"/>
          <w:bCs w:val="1"/>
          <w:i w:val="0"/>
          <w:iCs w:val="0"/>
          <w:noProof w:val="0"/>
          <w:color w:val="0E0E0E"/>
          <w:sz w:val="22"/>
          <w:szCs w:val="22"/>
          <w:lang w:val="en-GB"/>
        </w:rPr>
      </w:pPr>
    </w:p>
    <w:p w:rsidR="65B16286" w:rsidP="57FD7662" w:rsidRDefault="65B16286" w14:paraId="346484C5" w14:textId="3BF02D5C">
      <w:pPr>
        <w:pStyle w:val="Normal"/>
        <w:rPr>
          <w:rFonts w:ascii="Calibri" w:hAnsi="Calibri" w:eastAsia="Calibri" w:cs="Calibri"/>
          <w:b w:val="1"/>
          <w:bCs w:val="1"/>
          <w:i w:val="0"/>
          <w:iCs w:val="0"/>
          <w:noProof w:val="0"/>
          <w:color w:val="0E0E0E"/>
          <w:sz w:val="22"/>
          <w:szCs w:val="22"/>
          <w:lang w:val="en-GB"/>
        </w:rPr>
      </w:pPr>
      <w:r w:rsidRPr="532DF7D3" w:rsidR="65B16286">
        <w:rPr>
          <w:rFonts w:ascii="Calibri" w:hAnsi="Calibri" w:eastAsia="Calibri" w:cs="Calibri"/>
          <w:b w:val="1"/>
          <w:bCs w:val="1"/>
          <w:i w:val="0"/>
          <w:iCs w:val="0"/>
          <w:noProof w:val="0"/>
          <w:color w:val="0E0E0E"/>
          <w:sz w:val="22"/>
          <w:szCs w:val="22"/>
          <w:lang w:val="en-GB"/>
        </w:rPr>
        <w:t>References</w:t>
      </w:r>
    </w:p>
    <w:p w:rsidR="57FD7662" w:rsidP="532DF7D3" w:rsidRDefault="57FD7662" w14:paraId="7C09DAEF" w14:textId="3A00EE03">
      <w:pPr>
        <w:spacing w:after="160" w:line="259" w:lineRule="auto"/>
        <w:ind w:firstLine="720"/>
      </w:pP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Barends, E., Capezio, A., Rousseau, D. and </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Wietrak</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E. (2022) </w:t>
      </w:r>
      <w:r w:rsidRPr="532DF7D3" w:rsidR="5A32553C">
        <w:rPr>
          <w:rFonts w:ascii="Arial" w:hAnsi="Arial" w:eastAsia="Arial" w:cs="Arial"/>
          <w:b w:val="0"/>
          <w:bCs w:val="0"/>
          <w:i w:val="1"/>
          <w:iCs w:val="1"/>
          <w:caps w:val="0"/>
          <w:smallCaps w:val="0"/>
          <w:noProof w:val="0"/>
          <w:color w:val="000000" w:themeColor="text1" w:themeTint="FF" w:themeShade="FF"/>
          <w:sz w:val="22"/>
          <w:szCs w:val="22"/>
          <w:lang w:val="en-GB"/>
        </w:rPr>
        <w:t xml:space="preserve">Bullying and incivility at work: an evidence review. </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Scientific summary. London: Chartered Institute of Personnel and Development.</w:t>
      </w:r>
      <w:r w:rsidRPr="532DF7D3" w:rsidR="5A32553C">
        <w:rPr>
          <w:rFonts w:ascii="Arial" w:hAnsi="Arial" w:eastAsia="Arial" w:cs="Arial"/>
          <w:noProof w:val="0"/>
          <w:sz w:val="22"/>
          <w:szCs w:val="22"/>
          <w:lang w:val="en-GB"/>
        </w:rPr>
        <w:t xml:space="preserve"> </w:t>
      </w:r>
    </w:p>
    <w:p w:rsidR="57FD7662" w:rsidP="633007A7" w:rsidRDefault="57FD7662" w14:paraId="0A1C7629" w14:textId="5583F5EC">
      <w:pPr>
        <w:spacing w:after="160" w:line="259" w:lineRule="auto"/>
        <w:ind w:firstLine="720"/>
        <w:rPr>
          <w:rFonts w:ascii="Arial" w:hAnsi="Arial" w:eastAsia="Arial" w:cs="Arial"/>
          <w:noProof w:val="0"/>
          <w:sz w:val="22"/>
          <w:szCs w:val="22"/>
          <w:lang w:val="en-GB"/>
        </w:rPr>
      </w:pPr>
      <w:r w:rsidRPr="633007A7"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Di Fabio, A, and </w:t>
      </w:r>
      <w:r w:rsidRPr="633007A7" w:rsidR="5A32553C">
        <w:rPr>
          <w:rFonts w:ascii="Arial" w:hAnsi="Arial" w:eastAsia="Arial" w:cs="Arial"/>
          <w:b w:val="0"/>
          <w:bCs w:val="0"/>
          <w:i w:val="0"/>
          <w:iCs w:val="0"/>
          <w:caps w:val="0"/>
          <w:smallCaps w:val="0"/>
          <w:noProof w:val="0"/>
          <w:color w:val="000000" w:themeColor="text1" w:themeTint="FF" w:themeShade="FF"/>
          <w:sz w:val="22"/>
          <w:szCs w:val="22"/>
          <w:lang w:val="en-GB"/>
        </w:rPr>
        <w:t>Duradoni</w:t>
      </w:r>
      <w:r w:rsidRPr="633007A7"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M. (2019) ‘Fighting Incivility in the Workplace for Women and for All Workers: The Challenge of Primary Prevention’, </w:t>
      </w:r>
      <w:r w:rsidRPr="633007A7" w:rsidR="5A32553C">
        <w:rPr>
          <w:rFonts w:ascii="Arial" w:hAnsi="Arial" w:eastAsia="Arial" w:cs="Arial"/>
          <w:b w:val="0"/>
          <w:bCs w:val="0"/>
          <w:i w:val="1"/>
          <w:iCs w:val="1"/>
          <w:caps w:val="0"/>
          <w:smallCaps w:val="0"/>
          <w:noProof w:val="0"/>
          <w:color w:val="000000" w:themeColor="text1" w:themeTint="FF" w:themeShade="FF"/>
          <w:sz w:val="22"/>
          <w:szCs w:val="22"/>
          <w:lang w:val="en-GB"/>
        </w:rPr>
        <w:t>Frontiers in Psychology</w:t>
      </w:r>
      <w:r w:rsidRPr="633007A7"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10. Available at: </w:t>
      </w:r>
      <w:hyperlink r:id="R0365e130f4824575">
        <w:r w:rsidRPr="633007A7" w:rsidR="5A32553C">
          <w:rPr>
            <w:rStyle w:val="Hyperlink"/>
            <w:rFonts w:ascii="Arial" w:hAnsi="Arial" w:eastAsia="Arial" w:cs="Arial"/>
            <w:b w:val="0"/>
            <w:bCs w:val="0"/>
            <w:i w:val="0"/>
            <w:iCs w:val="0"/>
            <w:caps w:val="0"/>
            <w:smallCaps w:val="0"/>
            <w:strike w:val="0"/>
            <w:dstrike w:val="0"/>
            <w:noProof w:val="0"/>
            <w:sz w:val="22"/>
            <w:szCs w:val="22"/>
            <w:lang w:val="en-GB"/>
          </w:rPr>
          <w:t>https://doi.org/10.3389/fpsyg.2019.01805</w:t>
        </w:r>
      </w:hyperlink>
      <w:r w:rsidRPr="633007A7" w:rsidR="5A32553C">
        <w:rPr>
          <w:rFonts w:ascii="Arial" w:hAnsi="Arial" w:eastAsia="Arial" w:cs="Arial"/>
          <w:b w:val="0"/>
          <w:bCs w:val="0"/>
          <w:i w:val="0"/>
          <w:iCs w:val="0"/>
          <w:caps w:val="0"/>
          <w:smallCaps w:val="0"/>
          <w:noProof w:val="0"/>
          <w:color w:val="000000" w:themeColor="text1" w:themeTint="FF" w:themeShade="FF"/>
          <w:sz w:val="22"/>
          <w:szCs w:val="22"/>
          <w:lang w:val="en-GB"/>
        </w:rPr>
        <w:t>. (Accessed: 17</w:t>
      </w:r>
      <w:r w:rsidRPr="633007A7" w:rsidR="5A32553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633007A7"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2023).</w:t>
      </w:r>
    </w:p>
    <w:p w:rsidR="57FD7662" w:rsidP="532DF7D3" w:rsidRDefault="57FD7662" w14:paraId="70A21084" w14:textId="74B1F4ED">
      <w:pPr>
        <w:spacing w:after="160" w:line="259" w:lineRule="auto"/>
        <w:ind w:firstLine="720"/>
      </w:pP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Han, S., Harold, C. M., Oh, I, Kim, J. K., and Agolli, A. (2022) ‘A meta</w:t>
      </w:r>
      <w:r w:rsidRPr="532DF7D3" w:rsidR="5A32553C">
        <w:rPr>
          <w:rFonts w:ascii="Cambria Math" w:hAnsi="Cambria Math" w:eastAsia="Cambria Math" w:cs="Cambria Math"/>
          <w:b w:val="0"/>
          <w:bCs w:val="0"/>
          <w:i w:val="0"/>
          <w:iCs w:val="0"/>
          <w:caps w:val="0"/>
          <w:smallCaps w:val="0"/>
          <w:noProof w:val="0"/>
          <w:color w:val="000000" w:themeColor="text1" w:themeTint="FF" w:themeShade="FF"/>
          <w:sz w:val="22"/>
          <w:szCs w:val="22"/>
          <w:lang w:val="en-GB"/>
        </w:rPr>
        <w:t>‐</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analysis integrating 20 years of workplace incivility research: Antecedents, consequences, and boundary conditions’, </w:t>
      </w:r>
      <w:r w:rsidRPr="532DF7D3" w:rsidR="5A32553C">
        <w:rPr>
          <w:rFonts w:ascii="Arial" w:hAnsi="Arial" w:eastAsia="Arial" w:cs="Arial"/>
          <w:b w:val="0"/>
          <w:bCs w:val="0"/>
          <w:i w:val="1"/>
          <w:iCs w:val="1"/>
          <w:caps w:val="0"/>
          <w:smallCaps w:val="0"/>
          <w:noProof w:val="0"/>
          <w:color w:val="000000" w:themeColor="text1" w:themeTint="FF" w:themeShade="FF"/>
          <w:sz w:val="22"/>
          <w:szCs w:val="22"/>
          <w:lang w:val="en-GB"/>
        </w:rPr>
        <w:t xml:space="preserve">Journal of Organizational </w:t>
      </w:r>
      <w:r w:rsidRPr="532DF7D3" w:rsidR="5A32553C">
        <w:rPr>
          <w:rFonts w:ascii="Arial" w:hAnsi="Arial" w:eastAsia="Arial" w:cs="Arial"/>
          <w:b w:val="0"/>
          <w:bCs w:val="0"/>
          <w:i w:val="1"/>
          <w:iCs w:val="1"/>
          <w:caps w:val="0"/>
          <w:smallCaps w:val="0"/>
          <w:noProof w:val="0"/>
          <w:color w:val="000000" w:themeColor="text1" w:themeTint="FF" w:themeShade="FF"/>
          <w:sz w:val="22"/>
          <w:szCs w:val="22"/>
          <w:lang w:val="en-GB"/>
        </w:rPr>
        <w:t>Behavior</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43(3), pp. 497–523. Available at: </w:t>
      </w:r>
      <w:hyperlink r:id="Rb0b14a7366ef428e">
        <w:r w:rsidRPr="532DF7D3" w:rsidR="5A32553C">
          <w:rPr>
            <w:rStyle w:val="Hyperlink"/>
            <w:rFonts w:ascii="Arial" w:hAnsi="Arial" w:eastAsia="Arial" w:cs="Arial"/>
            <w:b w:val="0"/>
            <w:bCs w:val="0"/>
            <w:i w:val="0"/>
            <w:iCs w:val="0"/>
            <w:caps w:val="0"/>
            <w:smallCaps w:val="0"/>
            <w:strike w:val="0"/>
            <w:dstrike w:val="0"/>
            <w:noProof w:val="0"/>
            <w:sz w:val="22"/>
            <w:szCs w:val="22"/>
            <w:lang w:val="en-GB"/>
          </w:rPr>
          <w:t>https://doi.org/10.1002/job.2568</w:t>
        </w:r>
      </w:hyperlink>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w:t>
      </w:r>
      <w:r w:rsidRPr="532DF7D3" w:rsidR="5A32553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2023).</w:t>
      </w:r>
      <w:r w:rsidRPr="532DF7D3" w:rsidR="5A32553C">
        <w:rPr>
          <w:rFonts w:ascii="Arial" w:hAnsi="Arial" w:eastAsia="Arial" w:cs="Arial"/>
          <w:noProof w:val="0"/>
          <w:sz w:val="22"/>
          <w:szCs w:val="22"/>
          <w:lang w:val="en-GB"/>
        </w:rPr>
        <w:t xml:space="preserve"> </w:t>
      </w:r>
    </w:p>
    <w:p w:rsidR="57FD7662" w:rsidP="532DF7D3" w:rsidRDefault="57FD7662" w14:paraId="71571894" w14:textId="6A96DFF6">
      <w:pPr>
        <w:spacing w:after="160" w:line="259" w:lineRule="auto"/>
        <w:ind w:firstLine="720"/>
        <w:rPr>
          <w:rFonts w:ascii="Arial" w:hAnsi="Arial" w:eastAsia="Arial" w:cs="Arial"/>
          <w:noProof w:val="0"/>
          <w:sz w:val="22"/>
          <w:szCs w:val="22"/>
          <w:lang w:val="en-GB"/>
        </w:rPr>
      </w:pP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He, Y, Walker, J, Payne, S, and Miner, K. (2021) ‘Explaining the negative impact of workplace incivility on work and non‐work outcomes: The roles of negative rumination and organizational support’, </w:t>
      </w:r>
      <w:r w:rsidRPr="532DF7D3" w:rsidR="5A32553C">
        <w:rPr>
          <w:rFonts w:ascii="Arial" w:hAnsi="Arial" w:eastAsia="Arial" w:cs="Arial"/>
          <w:b w:val="0"/>
          <w:bCs w:val="0"/>
          <w:i w:val="1"/>
          <w:iCs w:val="1"/>
          <w:caps w:val="0"/>
          <w:smallCaps w:val="0"/>
          <w:noProof w:val="0"/>
          <w:color w:val="000000" w:themeColor="text1" w:themeTint="FF" w:themeShade="FF"/>
          <w:sz w:val="22"/>
          <w:szCs w:val="22"/>
          <w:lang w:val="en-GB"/>
        </w:rPr>
        <w:t>Stress and Health</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37(2), pp. 297–309. Available at: </w:t>
      </w:r>
      <w:hyperlink r:id="Rdc7b65c592744d51">
        <w:r w:rsidRPr="532DF7D3" w:rsidR="5A32553C">
          <w:rPr>
            <w:rStyle w:val="Hyperlink"/>
            <w:rFonts w:ascii="Arial" w:hAnsi="Arial" w:eastAsia="Arial" w:cs="Arial"/>
            <w:b w:val="0"/>
            <w:bCs w:val="0"/>
            <w:i w:val="0"/>
            <w:iCs w:val="0"/>
            <w:caps w:val="0"/>
            <w:smallCaps w:val="0"/>
            <w:strike w:val="0"/>
            <w:dstrike w:val="0"/>
            <w:noProof w:val="0"/>
            <w:sz w:val="22"/>
            <w:szCs w:val="22"/>
            <w:lang w:val="en-GB"/>
          </w:rPr>
          <w:t>https://doi.org/10.1002/smi.2988.</w:t>
        </w:r>
      </w:hyperlink>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3</w:t>
      </w:r>
      <w:r w:rsidRPr="532DF7D3" w:rsidR="5A32553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rd</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April 2023)</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32DF7D3" w:rsidR="5A32553C">
        <w:rPr>
          <w:rFonts w:ascii="Arial" w:hAnsi="Arial" w:eastAsia="Arial" w:cs="Arial"/>
          <w:noProof w:val="0"/>
          <w:sz w:val="22"/>
          <w:szCs w:val="22"/>
          <w:lang w:val="en-GB"/>
        </w:rPr>
        <w:t xml:space="preserve"> </w:t>
      </w:r>
    </w:p>
    <w:p w:rsidR="57FD7662" w:rsidP="532DF7D3" w:rsidRDefault="57FD7662" w14:paraId="5B0B3654" w14:textId="36D65AF3">
      <w:pPr>
        <w:spacing w:after="160" w:line="259" w:lineRule="auto"/>
        <w:ind w:firstLine="720"/>
        <w:rPr>
          <w:rFonts w:ascii="Calibri" w:hAnsi="Calibri" w:eastAsia="Calibri" w:cs="Calibri"/>
          <w:noProof w:val="0"/>
          <w:sz w:val="22"/>
          <w:szCs w:val="22"/>
          <w:lang w:val="en-GB"/>
        </w:rPr>
      </w:pP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Hywel Dda University Health Board. (2022). People culture plan. Hywel Dda University Health Board. Unpublished.</w:t>
      </w:r>
    </w:p>
    <w:p w:rsidR="57FD7662" w:rsidP="532DF7D3" w:rsidRDefault="57FD7662" w14:paraId="1A0E251D" w14:textId="5B504CED">
      <w:pPr>
        <w:spacing w:after="160" w:line="259" w:lineRule="auto"/>
        <w:ind w:firstLine="720"/>
        <w:rPr>
          <w:rFonts w:ascii="Arial" w:hAnsi="Arial" w:eastAsia="Arial" w:cs="Arial"/>
          <w:noProof w:val="0"/>
          <w:sz w:val="22"/>
          <w:szCs w:val="22"/>
          <w:lang w:val="en-GB"/>
        </w:rPr>
      </w:pP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Hywel Dda University Health Board. (2023) </w:t>
      </w:r>
      <w:r w:rsidRPr="532DF7D3" w:rsidR="5A32553C">
        <w:rPr>
          <w:rFonts w:ascii="Arial" w:hAnsi="Arial" w:eastAsia="Arial" w:cs="Arial"/>
          <w:b w:val="0"/>
          <w:bCs w:val="0"/>
          <w:i w:val="1"/>
          <w:iCs w:val="1"/>
          <w:caps w:val="0"/>
          <w:smallCaps w:val="0"/>
          <w:noProof w:val="0"/>
          <w:color w:val="000000" w:themeColor="text1" w:themeTint="FF" w:themeShade="FF"/>
          <w:sz w:val="22"/>
          <w:szCs w:val="22"/>
          <w:lang w:val="en-GB"/>
        </w:rPr>
        <w:t>‘Our Performance Dashboard’.</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Hywel Dda University Health Board. Unpublished.</w:t>
      </w:r>
    </w:p>
    <w:p w:rsidR="57FD7662" w:rsidP="532DF7D3" w:rsidRDefault="57FD7662" w14:paraId="69D7D3BF" w14:textId="105409CC">
      <w:pPr>
        <w:spacing w:after="160" w:line="259" w:lineRule="auto"/>
        <w:ind w:firstLine="720"/>
        <w:rPr>
          <w:rFonts w:ascii="Arial" w:hAnsi="Arial" w:eastAsia="Arial" w:cs="Arial"/>
          <w:noProof w:val="0"/>
          <w:sz w:val="22"/>
          <w:szCs w:val="22"/>
          <w:lang w:val="en-GB"/>
        </w:rPr>
      </w:pP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Kavaklı</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B.D. and Yildirim, N. (2022) ‘The relationship between workplace incivility and turnover intention in nurses: A cross</w:t>
      </w:r>
      <w:r w:rsidRPr="532DF7D3" w:rsidR="5A32553C">
        <w:rPr>
          <w:rFonts w:ascii="Cambria Math" w:hAnsi="Cambria Math" w:eastAsia="Cambria Math" w:cs="Cambria Math"/>
          <w:b w:val="0"/>
          <w:bCs w:val="0"/>
          <w:i w:val="0"/>
          <w:iCs w:val="0"/>
          <w:caps w:val="0"/>
          <w:smallCaps w:val="0"/>
          <w:noProof w:val="0"/>
          <w:color w:val="000000" w:themeColor="text1" w:themeTint="FF" w:themeShade="FF"/>
          <w:sz w:val="22"/>
          <w:szCs w:val="22"/>
          <w:lang w:val="en-GB"/>
        </w:rPr>
        <w:t>‐</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sectional study’, </w:t>
      </w:r>
      <w:r w:rsidRPr="532DF7D3" w:rsidR="5A32553C">
        <w:rPr>
          <w:rFonts w:ascii="Arial" w:hAnsi="Arial" w:eastAsia="Arial" w:cs="Arial"/>
          <w:b w:val="0"/>
          <w:bCs w:val="0"/>
          <w:i w:val="1"/>
          <w:iCs w:val="1"/>
          <w:caps w:val="0"/>
          <w:smallCaps w:val="0"/>
          <w:noProof w:val="0"/>
          <w:color w:val="000000" w:themeColor="text1" w:themeTint="FF" w:themeShade="FF"/>
          <w:sz w:val="22"/>
          <w:szCs w:val="22"/>
          <w:lang w:val="en-GB"/>
        </w:rPr>
        <w:t>Journal of Nursing Management</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30(5), pp. 1235–1242. Available at: </w:t>
      </w:r>
      <w:hyperlink r:id="Rad3e4baf0a604b55">
        <w:r w:rsidRPr="532DF7D3" w:rsidR="5A32553C">
          <w:rPr>
            <w:rStyle w:val="Hyperlink"/>
            <w:rFonts w:ascii="Arial" w:hAnsi="Arial" w:eastAsia="Arial" w:cs="Arial"/>
            <w:b w:val="0"/>
            <w:bCs w:val="0"/>
            <w:i w:val="0"/>
            <w:iCs w:val="0"/>
            <w:caps w:val="0"/>
            <w:smallCaps w:val="0"/>
            <w:strike w:val="0"/>
            <w:dstrike w:val="0"/>
            <w:noProof w:val="0"/>
            <w:sz w:val="22"/>
            <w:szCs w:val="22"/>
            <w:lang w:val="en-GB"/>
          </w:rPr>
          <w:t>https://doi.org/10.1111/jonm.13594</w:t>
        </w:r>
      </w:hyperlink>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(Accessed: 17</w:t>
      </w:r>
      <w:r w:rsidRPr="532DF7D3" w:rsidR="5A32553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2023).</w:t>
      </w:r>
    </w:p>
    <w:p w:rsidR="57FD7662" w:rsidP="532DF7D3" w:rsidRDefault="57FD7662" w14:paraId="3D32CB99" w14:textId="6E3FF66F">
      <w:pPr>
        <w:spacing w:after="160" w:line="259" w:lineRule="auto"/>
        <w:ind w:firstLine="720"/>
      </w:pP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LaGuardia, M. and Oelke, N.D. (2021) ‘The impacts of organizational culture and neoliberal ideology on the continued existence of incivility and bullying in healthcare institutions: A discussion paper’, </w:t>
      </w:r>
      <w:r w:rsidRPr="532DF7D3" w:rsidR="5A32553C">
        <w:rPr>
          <w:rFonts w:ascii="Arial" w:hAnsi="Arial" w:eastAsia="Arial" w:cs="Arial"/>
          <w:b w:val="0"/>
          <w:bCs w:val="0"/>
          <w:i w:val="1"/>
          <w:iCs w:val="1"/>
          <w:caps w:val="0"/>
          <w:smallCaps w:val="0"/>
          <w:noProof w:val="0"/>
          <w:color w:val="000000" w:themeColor="text1" w:themeTint="FF" w:themeShade="FF"/>
          <w:sz w:val="22"/>
          <w:szCs w:val="22"/>
          <w:lang w:val="en-GB"/>
        </w:rPr>
        <w:t>International Journal of Nursing Sciences</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8(3), pp. 361–366. Available at: </w:t>
      </w:r>
      <w:hyperlink r:id="R5b948722f0f342a0">
        <w:r w:rsidRPr="532DF7D3" w:rsidR="5A32553C">
          <w:rPr>
            <w:rStyle w:val="Hyperlink"/>
            <w:rFonts w:ascii="Arial" w:hAnsi="Arial" w:eastAsia="Arial" w:cs="Arial"/>
            <w:b w:val="0"/>
            <w:bCs w:val="0"/>
            <w:i w:val="0"/>
            <w:iCs w:val="0"/>
            <w:caps w:val="0"/>
            <w:smallCaps w:val="0"/>
            <w:strike w:val="0"/>
            <w:dstrike w:val="0"/>
            <w:noProof w:val="0"/>
            <w:sz w:val="22"/>
            <w:szCs w:val="22"/>
            <w:lang w:val="en-GB"/>
          </w:rPr>
          <w:t>https://doi.org/10.1016/j.ijnss.2021.06.002</w:t>
        </w:r>
      </w:hyperlink>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(Accessed: 14</w:t>
      </w:r>
      <w:r w:rsidRPr="532DF7D3" w:rsidR="5A32553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May 2023). </w:t>
      </w:r>
      <w:r w:rsidRPr="532DF7D3" w:rsidR="5A32553C">
        <w:rPr>
          <w:rFonts w:ascii="Arial" w:hAnsi="Arial" w:eastAsia="Arial" w:cs="Arial"/>
          <w:noProof w:val="0"/>
          <w:sz w:val="22"/>
          <w:szCs w:val="22"/>
          <w:lang w:val="en-GB"/>
        </w:rPr>
        <w:t xml:space="preserve"> </w:t>
      </w:r>
    </w:p>
    <w:p w:rsidR="57FD7662" w:rsidP="532DF7D3" w:rsidRDefault="57FD7662" w14:paraId="310F1DC3" w14:textId="130BD34E">
      <w:pPr>
        <w:spacing w:after="160" w:line="259" w:lineRule="auto"/>
        <w:ind w:firstLine="720"/>
      </w:pP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Ng, K., Niven, K. and </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Notelaers</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G. (2022) ‘Does bystander </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behavior</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make a difference? How passive and active bystanders in the group moderate the effects of bullying exposure</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32DF7D3" w:rsidR="5A32553C">
        <w:rPr>
          <w:rFonts w:ascii="Arial" w:hAnsi="Arial" w:eastAsia="Arial" w:cs="Arial"/>
          <w:b w:val="0"/>
          <w:bCs w:val="0"/>
          <w:i w:val="1"/>
          <w:iCs w:val="1"/>
          <w:caps w:val="0"/>
          <w:smallCaps w:val="0"/>
          <w:noProof w:val="0"/>
          <w:color w:val="000000" w:themeColor="text1" w:themeTint="FF" w:themeShade="FF"/>
          <w:sz w:val="22"/>
          <w:szCs w:val="22"/>
          <w:lang w:val="en-GB"/>
        </w:rPr>
        <w:t>Journal of Occupational Health Psychology</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27(1), pp. 119–135. Available at: </w:t>
      </w:r>
      <w:hyperlink r:id="R207986b0310849bf">
        <w:r w:rsidRPr="532DF7D3" w:rsidR="5A32553C">
          <w:rPr>
            <w:rStyle w:val="Hyperlink"/>
            <w:rFonts w:ascii="Arial" w:hAnsi="Arial" w:eastAsia="Arial" w:cs="Arial"/>
            <w:b w:val="0"/>
            <w:bCs w:val="0"/>
            <w:i w:val="0"/>
            <w:iCs w:val="0"/>
            <w:caps w:val="0"/>
            <w:smallCaps w:val="0"/>
            <w:strike w:val="0"/>
            <w:dstrike w:val="0"/>
            <w:noProof w:val="0"/>
            <w:sz w:val="22"/>
            <w:szCs w:val="22"/>
            <w:lang w:val="en-GB"/>
          </w:rPr>
          <w:t>https://doi.org/10.1037/ocp0000296</w:t>
        </w:r>
      </w:hyperlink>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(Accessed: 23</w:t>
      </w:r>
      <w:r w:rsidRPr="532DF7D3" w:rsidR="5A32553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rd</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2023)</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32DF7D3" w:rsidR="5A32553C">
        <w:rPr>
          <w:rFonts w:ascii="Arial" w:hAnsi="Arial" w:eastAsia="Arial" w:cs="Arial"/>
          <w:noProof w:val="0"/>
          <w:sz w:val="22"/>
          <w:szCs w:val="22"/>
          <w:lang w:val="en-GB"/>
        </w:rPr>
        <w:t xml:space="preserve"> </w:t>
      </w:r>
    </w:p>
    <w:p w:rsidR="57FD7662" w:rsidP="532DF7D3" w:rsidRDefault="57FD7662" w14:paraId="35EEC7D7" w14:textId="153125EA">
      <w:pPr>
        <w:spacing w:after="160" w:line="259" w:lineRule="auto"/>
        <w:ind w:firstLine="720"/>
        <w:rPr>
          <w:rFonts w:ascii="Arial" w:hAnsi="Arial" w:eastAsia="Arial" w:cs="Arial"/>
          <w:noProof w:val="0"/>
          <w:sz w:val="22"/>
          <w:szCs w:val="22"/>
          <w:lang w:val="en-GB"/>
        </w:rPr>
      </w:pP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O’Gorman, K. and MacIntosh, R. (2015) </w:t>
      </w:r>
      <w:r w:rsidRPr="532DF7D3" w:rsidR="5A32553C">
        <w:rPr>
          <w:rFonts w:ascii="Arial" w:hAnsi="Arial" w:eastAsia="Arial" w:cs="Arial"/>
          <w:b w:val="0"/>
          <w:bCs w:val="0"/>
          <w:i w:val="1"/>
          <w:iCs w:val="1"/>
          <w:caps w:val="0"/>
          <w:smallCaps w:val="0"/>
          <w:noProof w:val="0"/>
          <w:color w:val="000000" w:themeColor="text1" w:themeTint="FF" w:themeShade="FF"/>
          <w:sz w:val="22"/>
          <w:szCs w:val="22"/>
          <w:lang w:val="en-GB"/>
        </w:rPr>
        <w:t xml:space="preserve">Research methods for business &amp; management: a guide to </w:t>
      </w:r>
      <w:r w:rsidRPr="532DF7D3" w:rsidR="5A32553C">
        <w:rPr>
          <w:rFonts w:ascii="Arial" w:hAnsi="Arial" w:eastAsia="Arial" w:cs="Arial"/>
          <w:b w:val="0"/>
          <w:bCs w:val="0"/>
          <w:i w:val="1"/>
          <w:iCs w:val="1"/>
          <w:caps w:val="0"/>
          <w:smallCaps w:val="0"/>
          <w:noProof w:val="0"/>
          <w:color w:val="000000" w:themeColor="text1" w:themeTint="FF" w:themeShade="FF"/>
          <w:sz w:val="22"/>
          <w:szCs w:val="22"/>
          <w:lang w:val="en-GB"/>
        </w:rPr>
        <w:t>writing</w:t>
      </w:r>
      <w:r w:rsidRPr="532DF7D3" w:rsidR="5A32553C">
        <w:rPr>
          <w:rFonts w:ascii="Arial" w:hAnsi="Arial" w:eastAsia="Arial" w:cs="Arial"/>
          <w:b w:val="0"/>
          <w:bCs w:val="0"/>
          <w:i w:val="1"/>
          <w:iCs w:val="1"/>
          <w:caps w:val="0"/>
          <w:smallCaps w:val="0"/>
          <w:noProof w:val="0"/>
          <w:color w:val="000000" w:themeColor="text1" w:themeTint="FF" w:themeShade="FF"/>
          <w:sz w:val="22"/>
          <w:szCs w:val="22"/>
          <w:lang w:val="en-GB"/>
        </w:rPr>
        <w:t xml:space="preserve"> your dissertation</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Second edition. Oxford, England: Goodfellow Publishers Ltd</w:t>
      </w:r>
      <w:r w:rsidRPr="532DF7D3" w:rsidR="162104D1">
        <w:rPr>
          <w:rFonts w:ascii="Arial" w:hAnsi="Arial" w:eastAsia="Arial" w:cs="Arial"/>
          <w:b w:val="0"/>
          <w:bCs w:val="0"/>
          <w:i w:val="0"/>
          <w:iCs w:val="0"/>
          <w:caps w:val="0"/>
          <w:smallCaps w:val="0"/>
          <w:noProof w:val="0"/>
          <w:color w:val="000000" w:themeColor="text1" w:themeTint="FF" w:themeShade="FF"/>
          <w:sz w:val="22"/>
          <w:szCs w:val="22"/>
          <w:lang w:val="en-GB"/>
        </w:rPr>
        <w:t>.</w:t>
      </w:r>
    </w:p>
    <w:p w:rsidR="57FD7662" w:rsidP="532DF7D3" w:rsidRDefault="57FD7662" w14:paraId="7045C2AC" w14:textId="4ADB3C13">
      <w:pPr>
        <w:pStyle w:val="Normal"/>
        <w:spacing w:after="160" w:line="259" w:lineRule="auto"/>
        <w:ind w:firstLine="720"/>
      </w:pP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Porath, C. (2016) </w:t>
      </w:r>
      <w:r w:rsidRPr="532DF7D3" w:rsidR="5A32553C">
        <w:rPr>
          <w:rFonts w:ascii="Arial" w:hAnsi="Arial" w:eastAsia="Arial" w:cs="Arial"/>
          <w:b w:val="0"/>
          <w:bCs w:val="0"/>
          <w:i w:val="1"/>
          <w:iCs w:val="1"/>
          <w:caps w:val="0"/>
          <w:smallCaps w:val="0"/>
          <w:noProof w:val="0"/>
          <w:color w:val="000000" w:themeColor="text1" w:themeTint="FF" w:themeShade="FF"/>
          <w:sz w:val="22"/>
          <w:szCs w:val="22"/>
          <w:lang w:val="en-GB"/>
        </w:rPr>
        <w:t>An antidote to incivility.</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Harvard Business Review. Available at: </w:t>
      </w:r>
      <w:hyperlink r:id="Re8dd374cd5b444a1">
        <w:r w:rsidRPr="532DF7D3" w:rsidR="5A32553C">
          <w:rPr>
            <w:rStyle w:val="Hyperlink"/>
            <w:rFonts w:ascii="Arial" w:hAnsi="Arial" w:eastAsia="Arial" w:cs="Arial"/>
            <w:b w:val="0"/>
            <w:bCs w:val="0"/>
            <w:i w:val="0"/>
            <w:iCs w:val="0"/>
            <w:caps w:val="0"/>
            <w:smallCaps w:val="0"/>
            <w:strike w:val="0"/>
            <w:dstrike w:val="0"/>
            <w:noProof w:val="0"/>
            <w:sz w:val="22"/>
            <w:szCs w:val="22"/>
            <w:lang w:val="en-GB"/>
          </w:rPr>
          <w:t>https://hbr.org/2016/04/an-antidote-to-incivility</w:t>
        </w:r>
      </w:hyperlink>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w:t>
      </w:r>
      <w:r w:rsidRPr="532DF7D3" w:rsidR="5A32553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2023)</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32DF7D3" w:rsidR="5A32553C">
        <w:rPr>
          <w:rFonts w:ascii="Arial" w:hAnsi="Arial" w:eastAsia="Arial" w:cs="Arial"/>
          <w:noProof w:val="0"/>
          <w:sz w:val="22"/>
          <w:szCs w:val="22"/>
          <w:lang w:val="en-GB"/>
        </w:rPr>
        <w:t xml:space="preserve"> </w:t>
      </w:r>
    </w:p>
    <w:p w:rsidR="57FD7662" w:rsidP="532DF7D3" w:rsidRDefault="57FD7662" w14:paraId="6BAA65AF" w14:textId="2B70F920">
      <w:pPr>
        <w:spacing w:after="160" w:line="259" w:lineRule="auto"/>
        <w:ind w:firstLine="720"/>
        <w:rPr>
          <w:rFonts w:ascii="Arial" w:hAnsi="Arial" w:eastAsia="Arial" w:cs="Arial"/>
          <w:noProof w:val="0"/>
          <w:sz w:val="22"/>
          <w:szCs w:val="22"/>
          <w:lang w:val="en-GB"/>
        </w:rPr>
      </w:pPr>
      <w:r w:rsidRPr="532DF7D3" w:rsidR="723D71A9">
        <w:rPr>
          <w:rFonts w:ascii="Arial" w:hAnsi="Arial" w:eastAsia="Arial" w:cs="Arial"/>
          <w:b w:val="0"/>
          <w:bCs w:val="0"/>
          <w:i w:val="0"/>
          <w:iCs w:val="0"/>
          <w:caps w:val="0"/>
          <w:smallCaps w:val="0"/>
          <w:noProof w:val="0"/>
          <w:color w:val="000000" w:themeColor="text1" w:themeTint="FF" w:themeShade="FF"/>
          <w:sz w:val="22"/>
          <w:szCs w:val="22"/>
          <w:lang w:val="en-GB"/>
        </w:rPr>
        <w:t xml:space="preserve">Timm, A. (2014) ‘It would not be tolerated in any other profession except medicine: survey reporting on undergraduates’ exposure to bullying and harassment in their first placement year’, </w:t>
      </w:r>
      <w:r w:rsidRPr="532DF7D3" w:rsidR="723D71A9">
        <w:rPr>
          <w:rFonts w:ascii="Arial" w:hAnsi="Arial" w:eastAsia="Arial" w:cs="Arial"/>
          <w:b w:val="0"/>
          <w:bCs w:val="0"/>
          <w:i w:val="1"/>
          <w:iCs w:val="1"/>
          <w:caps w:val="0"/>
          <w:smallCaps w:val="0"/>
          <w:noProof w:val="0"/>
          <w:color w:val="000000" w:themeColor="text1" w:themeTint="FF" w:themeShade="FF"/>
          <w:sz w:val="22"/>
          <w:szCs w:val="22"/>
          <w:lang w:val="en-GB"/>
        </w:rPr>
        <w:t>BMJ Open</w:t>
      </w:r>
      <w:r w:rsidRPr="532DF7D3" w:rsidR="723D71A9">
        <w:rPr>
          <w:rFonts w:ascii="Arial" w:hAnsi="Arial" w:eastAsia="Arial" w:cs="Arial"/>
          <w:b w:val="0"/>
          <w:bCs w:val="0"/>
          <w:i w:val="0"/>
          <w:iCs w:val="0"/>
          <w:caps w:val="0"/>
          <w:smallCaps w:val="0"/>
          <w:noProof w:val="0"/>
          <w:color w:val="000000" w:themeColor="text1" w:themeTint="FF" w:themeShade="FF"/>
          <w:sz w:val="22"/>
          <w:szCs w:val="22"/>
          <w:lang w:val="en-GB"/>
        </w:rPr>
        <w:t xml:space="preserve">, 4(7), pp. e005140–e005140. Available at: </w:t>
      </w:r>
      <w:hyperlink r:id="R573a4bca46284814">
        <w:r w:rsidRPr="532DF7D3" w:rsidR="723D71A9">
          <w:rPr>
            <w:rStyle w:val="Hyperlink"/>
            <w:rFonts w:ascii="Arial" w:hAnsi="Arial" w:eastAsia="Arial" w:cs="Arial"/>
            <w:b w:val="0"/>
            <w:bCs w:val="0"/>
            <w:i w:val="0"/>
            <w:iCs w:val="0"/>
            <w:caps w:val="0"/>
            <w:smallCaps w:val="0"/>
            <w:strike w:val="0"/>
            <w:dstrike w:val="0"/>
            <w:noProof w:val="0"/>
            <w:sz w:val="22"/>
            <w:szCs w:val="22"/>
            <w:lang w:val="en-GB"/>
          </w:rPr>
          <w:t>https://doi.org/10.1136/bmjopen-2014-005140</w:t>
        </w:r>
      </w:hyperlink>
      <w:r w:rsidRPr="532DF7D3" w:rsidR="723D71A9">
        <w:rPr>
          <w:rFonts w:ascii="Arial" w:hAnsi="Arial" w:eastAsia="Arial" w:cs="Arial"/>
          <w:b w:val="0"/>
          <w:bCs w:val="0"/>
          <w:i w:val="0"/>
          <w:iCs w:val="0"/>
          <w:caps w:val="0"/>
          <w:smallCaps w:val="0"/>
          <w:noProof w:val="0"/>
          <w:color w:val="000000" w:themeColor="text1" w:themeTint="FF" w:themeShade="FF"/>
          <w:sz w:val="22"/>
          <w:szCs w:val="22"/>
          <w:lang w:val="en-GB"/>
        </w:rPr>
        <w:t>. (Accessed: 29</w:t>
      </w:r>
      <w:r w:rsidRPr="532DF7D3" w:rsidR="723D71A9">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32DF7D3" w:rsidR="723D71A9">
        <w:rPr>
          <w:rFonts w:ascii="Arial" w:hAnsi="Arial" w:eastAsia="Arial" w:cs="Arial"/>
          <w:b w:val="0"/>
          <w:bCs w:val="0"/>
          <w:i w:val="0"/>
          <w:iCs w:val="0"/>
          <w:caps w:val="0"/>
          <w:smallCaps w:val="0"/>
          <w:noProof w:val="0"/>
          <w:color w:val="000000" w:themeColor="text1" w:themeTint="FF" w:themeShade="FF"/>
          <w:sz w:val="22"/>
          <w:szCs w:val="22"/>
          <w:lang w:val="en-GB"/>
        </w:rPr>
        <w:t xml:space="preserve"> September 2023)</w:t>
      </w:r>
      <w:r w:rsidRPr="532DF7D3" w:rsidR="723D71A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32DF7D3" w:rsidR="723D71A9">
        <w:rPr>
          <w:rFonts w:ascii="Arial" w:hAnsi="Arial" w:eastAsia="Arial" w:cs="Arial"/>
          <w:noProof w:val="0"/>
          <w:sz w:val="22"/>
          <w:szCs w:val="22"/>
          <w:lang w:val="en-GB"/>
        </w:rPr>
        <w:t xml:space="preserve"> </w:t>
      </w:r>
    </w:p>
    <w:p w:rsidR="57FD7662" w:rsidP="532DF7D3" w:rsidRDefault="57FD7662" w14:paraId="0910D3DA" w14:textId="645176CD">
      <w:pPr>
        <w:spacing w:after="160" w:line="259" w:lineRule="auto"/>
        <w:ind w:firstLine="720"/>
        <w:rPr>
          <w:rFonts w:ascii="Arial" w:hAnsi="Arial" w:eastAsia="Arial" w:cs="Arial"/>
          <w:noProof w:val="0"/>
          <w:sz w:val="22"/>
          <w:szCs w:val="22"/>
          <w:lang w:val="en-GB"/>
        </w:rPr>
      </w:pP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Turner, C. (2019) </w:t>
      </w:r>
      <w:r w:rsidRPr="532DF7D3" w:rsidR="5A32553C">
        <w:rPr>
          <w:rFonts w:ascii="Arial" w:hAnsi="Arial" w:eastAsia="Arial" w:cs="Arial"/>
          <w:b w:val="0"/>
          <w:bCs w:val="0"/>
          <w:i w:val="1"/>
          <w:iCs w:val="1"/>
          <w:caps w:val="0"/>
          <w:smallCaps w:val="0"/>
          <w:noProof w:val="0"/>
          <w:color w:val="000000" w:themeColor="text1" w:themeTint="FF" w:themeShade="FF"/>
          <w:sz w:val="22"/>
          <w:szCs w:val="22"/>
          <w:lang w:val="en-GB"/>
        </w:rPr>
        <w:t>When rudeness in teams turns deadly</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Ted Talks. Available at: </w:t>
      </w:r>
      <w:hyperlink r:id="R51c073b5a88f4fe4">
        <w:r w:rsidRPr="532DF7D3" w:rsidR="5A32553C">
          <w:rPr>
            <w:rStyle w:val="Hyperlink"/>
            <w:rFonts w:ascii="Arial" w:hAnsi="Arial" w:eastAsia="Arial" w:cs="Arial"/>
            <w:b w:val="0"/>
            <w:bCs w:val="0"/>
            <w:i w:val="0"/>
            <w:iCs w:val="0"/>
            <w:caps w:val="0"/>
            <w:smallCaps w:val="0"/>
            <w:strike w:val="0"/>
            <w:dstrike w:val="0"/>
            <w:noProof w:val="0"/>
            <w:sz w:val="22"/>
            <w:szCs w:val="22"/>
            <w:lang w:val="en-GB"/>
          </w:rPr>
          <w:t>https://www.youtube.com/watch?time_continue=916&amp;v=4RUIhjwCDO0&amp;embeds_referring_euri=https%3A%2F%2Fwww.civilitysaveslives.com%2F&amp;embeds_referring_origin=https%3A%2F%2Fwww.civilitysaveslives.com&amp;source_ve_path=MTM5MTE3LDEzOTExNywxMzkxMTcsMzY4NDIsMjM4NTE&amp;feature=emb_title</w:t>
        </w:r>
      </w:hyperlink>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29</w:t>
      </w:r>
      <w:r w:rsidRPr="532DF7D3" w:rsidR="5A32553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June 2023).</w:t>
      </w:r>
    </w:p>
    <w:p w:rsidR="57FD7662" w:rsidP="532DF7D3" w:rsidRDefault="57FD7662" w14:paraId="2AF508CC" w14:textId="1189B279">
      <w:pPr>
        <w:spacing w:after="160" w:line="259" w:lineRule="auto"/>
        <w:ind w:firstLine="720"/>
      </w:pP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Welbourne, J.L., Miranda, G. and Gangadharan, A. (2020) ‘Effects of Employee Personality on the Relationships Between Experienced Incivility, Emotional Exhaustion, and Perpetrated Incivility’, </w:t>
      </w:r>
      <w:r w:rsidRPr="532DF7D3" w:rsidR="5A32553C">
        <w:rPr>
          <w:rFonts w:ascii="Arial" w:hAnsi="Arial" w:eastAsia="Arial" w:cs="Arial"/>
          <w:b w:val="0"/>
          <w:bCs w:val="0"/>
          <w:i w:val="1"/>
          <w:iCs w:val="1"/>
          <w:caps w:val="0"/>
          <w:smallCaps w:val="0"/>
          <w:noProof w:val="0"/>
          <w:color w:val="000000" w:themeColor="text1" w:themeTint="FF" w:themeShade="FF"/>
          <w:sz w:val="22"/>
          <w:szCs w:val="22"/>
          <w:lang w:val="en-GB"/>
        </w:rPr>
        <w:t>International Journal of Stress Management</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27(4), pp. 335–345. Available at: </w:t>
      </w:r>
      <w:hyperlink r:id="R56ef34d33a5a4232">
        <w:r w:rsidRPr="532DF7D3" w:rsidR="5A32553C">
          <w:rPr>
            <w:rStyle w:val="Hyperlink"/>
            <w:rFonts w:ascii="Arial" w:hAnsi="Arial" w:eastAsia="Arial" w:cs="Arial"/>
            <w:b w:val="0"/>
            <w:bCs w:val="0"/>
            <w:i w:val="0"/>
            <w:iCs w:val="0"/>
            <w:caps w:val="0"/>
            <w:smallCaps w:val="0"/>
            <w:strike w:val="0"/>
            <w:dstrike w:val="0"/>
            <w:noProof w:val="0"/>
            <w:sz w:val="22"/>
            <w:szCs w:val="22"/>
            <w:lang w:val="en-GB"/>
          </w:rPr>
          <w:t>https://doi.org/10.1037/str0000160</w:t>
        </w:r>
      </w:hyperlink>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(Accessed: 23</w:t>
      </w:r>
      <w:r w:rsidRPr="532DF7D3" w:rsidR="5A32553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rd</w:t>
      </w:r>
      <w:r w:rsidRPr="532DF7D3" w:rsidR="5A32553C">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2023). </w:t>
      </w:r>
      <w:r w:rsidRPr="532DF7D3" w:rsidR="5A32553C">
        <w:rPr>
          <w:rFonts w:ascii="Arial" w:hAnsi="Arial" w:eastAsia="Arial" w:cs="Arial"/>
          <w:noProof w:val="0"/>
          <w:sz w:val="22"/>
          <w:szCs w:val="22"/>
          <w:lang w:val="en-GB"/>
        </w:rPr>
        <w:t xml:space="preserve"> </w:t>
      </w:r>
    </w:p>
    <w:p w:rsidR="57FD7662" w:rsidP="532DF7D3" w:rsidRDefault="57FD7662" w14:paraId="79C6B7DA" w14:textId="34B2469D">
      <w:pPr>
        <w:pStyle w:val="Normal"/>
        <w:spacing w:after="160" w:line="259" w:lineRule="auto"/>
        <w:ind w:firstLine="720"/>
        <w:rPr>
          <w:rFonts w:ascii="Arial" w:hAnsi="Arial" w:eastAsia="Arial" w:cs="Arial"/>
          <w:b w:val="0"/>
          <w:bCs w:val="0"/>
          <w:i w:val="0"/>
          <w:iCs w:val="0"/>
          <w:caps w:val="0"/>
          <w:smallCaps w:val="0"/>
          <w:noProof w:val="0"/>
          <w:color w:val="000000" w:themeColor="text1" w:themeTint="FF" w:themeShade="FF"/>
          <w:sz w:val="22"/>
          <w:szCs w:val="22"/>
          <w:lang w:val="en-GB"/>
        </w:rPr>
      </w:pPr>
    </w:p>
    <w:p w:rsidR="57FD7662" w:rsidP="532DF7D3" w:rsidRDefault="57FD7662" w14:paraId="3368BE6D" w14:textId="5471648C">
      <w:pPr>
        <w:pStyle w:val="Normal"/>
        <w:spacing w:after="160" w:line="259" w:lineRule="auto"/>
        <w:ind w:firstLine="720"/>
        <w:rPr>
          <w:rFonts w:ascii="Arial" w:hAnsi="Arial" w:eastAsia="Arial" w:cs="Arial"/>
          <w:b w:val="0"/>
          <w:bCs w:val="0"/>
          <w:i w:val="0"/>
          <w:iCs w:val="0"/>
          <w:caps w:val="0"/>
          <w:smallCaps w:val="0"/>
          <w:noProof w:val="0"/>
          <w:color w:val="000000" w:themeColor="text1" w:themeTint="FF" w:themeShade="FF"/>
          <w:sz w:val="22"/>
          <w:szCs w:val="22"/>
          <w:lang w:val="en-GB"/>
        </w:rPr>
      </w:pPr>
    </w:p>
    <w:p w:rsidR="57FD7662" w:rsidP="532DF7D3" w:rsidRDefault="57FD7662" w14:paraId="21C787D0" w14:textId="3E925615">
      <w:pPr>
        <w:pStyle w:val="Normal"/>
        <w:spacing w:after="160" w:line="259" w:lineRule="auto"/>
        <w:ind w:firstLine="720"/>
        <w:rPr>
          <w:rFonts w:ascii="Arial" w:hAnsi="Arial" w:eastAsia="Arial" w:cs="Arial"/>
          <w:b w:val="0"/>
          <w:bCs w:val="0"/>
          <w:i w:val="0"/>
          <w:iCs w:val="0"/>
          <w:caps w:val="0"/>
          <w:smallCaps w:val="0"/>
          <w:noProof w:val="0"/>
          <w:color w:val="000000" w:themeColor="text1" w:themeTint="FF" w:themeShade="FF"/>
          <w:sz w:val="22"/>
          <w:szCs w:val="22"/>
          <w:lang w:val="en-GB"/>
        </w:rPr>
      </w:pPr>
    </w:p>
    <w:p w:rsidR="57FD7662" w:rsidP="532DF7D3" w:rsidRDefault="57FD7662" w14:paraId="325FD295" w14:textId="3CE716A4">
      <w:pPr>
        <w:pStyle w:val="Normal"/>
        <w:spacing w:after="160" w:line="259" w:lineRule="auto"/>
        <w:ind w:firstLine="720"/>
        <w:rPr>
          <w:rFonts w:ascii="Arial" w:hAnsi="Arial" w:eastAsia="Arial" w:cs="Arial"/>
          <w:b w:val="0"/>
          <w:bCs w:val="0"/>
          <w:i w:val="0"/>
          <w:iCs w:val="0"/>
          <w:caps w:val="0"/>
          <w:smallCaps w:val="0"/>
          <w:noProof w:val="0"/>
          <w:color w:val="000000" w:themeColor="text1" w:themeTint="FF" w:themeShade="FF"/>
          <w:sz w:val="22"/>
          <w:szCs w:val="22"/>
          <w:lang w:val="en-GB"/>
        </w:rPr>
      </w:pPr>
    </w:p>
    <w:p w:rsidR="57FD7662" w:rsidP="532DF7D3" w:rsidRDefault="57FD7662" w14:paraId="772630D2" w14:textId="6D9E2020">
      <w:pPr>
        <w:pStyle w:val="Normal"/>
        <w:rPr>
          <w:rFonts w:ascii="Calibri" w:hAnsi="Calibri" w:eastAsia="Calibri" w:cs="Calibri"/>
          <w:b w:val="1"/>
          <w:bCs w:val="1"/>
          <w:i w:val="0"/>
          <w:iCs w:val="0"/>
          <w:noProof w:val="0"/>
          <w:color w:val="0E0E0E"/>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34f521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32e62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8f0f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1172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4D262C"/>
    <w:rsid w:val="00039662"/>
    <w:rsid w:val="00067D8F"/>
    <w:rsid w:val="004F59A5"/>
    <w:rsid w:val="008150C7"/>
    <w:rsid w:val="012055D2"/>
    <w:rsid w:val="0153FDD7"/>
    <w:rsid w:val="01E97923"/>
    <w:rsid w:val="01FA4E58"/>
    <w:rsid w:val="023B2F6F"/>
    <w:rsid w:val="0316A597"/>
    <w:rsid w:val="033682FC"/>
    <w:rsid w:val="0363E525"/>
    <w:rsid w:val="03B98CB1"/>
    <w:rsid w:val="03F2DE5C"/>
    <w:rsid w:val="03FACBE2"/>
    <w:rsid w:val="04D08CA3"/>
    <w:rsid w:val="055DBEA7"/>
    <w:rsid w:val="064E4659"/>
    <w:rsid w:val="07326CA4"/>
    <w:rsid w:val="083C138E"/>
    <w:rsid w:val="0841E944"/>
    <w:rsid w:val="08CE3D05"/>
    <w:rsid w:val="096C25A6"/>
    <w:rsid w:val="098F72D0"/>
    <w:rsid w:val="0A25C98C"/>
    <w:rsid w:val="0B21B77C"/>
    <w:rsid w:val="0B5B67E1"/>
    <w:rsid w:val="0B657F7B"/>
    <w:rsid w:val="0BA1309E"/>
    <w:rsid w:val="0BC26FD7"/>
    <w:rsid w:val="0CC28A10"/>
    <w:rsid w:val="0E9308A3"/>
    <w:rsid w:val="0EE2866B"/>
    <w:rsid w:val="0F359103"/>
    <w:rsid w:val="0FBC23C5"/>
    <w:rsid w:val="10D3B8D7"/>
    <w:rsid w:val="10D94EEA"/>
    <w:rsid w:val="1157F426"/>
    <w:rsid w:val="11B8FC42"/>
    <w:rsid w:val="12751F4B"/>
    <w:rsid w:val="12DA3783"/>
    <w:rsid w:val="12EEC5C5"/>
    <w:rsid w:val="12F65C1E"/>
    <w:rsid w:val="13DB8192"/>
    <w:rsid w:val="14730781"/>
    <w:rsid w:val="14B3EC66"/>
    <w:rsid w:val="14E068A7"/>
    <w:rsid w:val="14E52AE7"/>
    <w:rsid w:val="1534159E"/>
    <w:rsid w:val="1544E11E"/>
    <w:rsid w:val="15ACC00D"/>
    <w:rsid w:val="15F8AFE8"/>
    <w:rsid w:val="162104D1"/>
    <w:rsid w:val="171E2978"/>
    <w:rsid w:val="172CEC6E"/>
    <w:rsid w:val="17E150AB"/>
    <w:rsid w:val="188E82F2"/>
    <w:rsid w:val="18E6F085"/>
    <w:rsid w:val="192B4564"/>
    <w:rsid w:val="19497907"/>
    <w:rsid w:val="19CD9718"/>
    <w:rsid w:val="1A23718D"/>
    <w:rsid w:val="1B0F46FA"/>
    <w:rsid w:val="1B5ACBC6"/>
    <w:rsid w:val="1B6935C4"/>
    <w:rsid w:val="1B8D085A"/>
    <w:rsid w:val="1BBF41EE"/>
    <w:rsid w:val="1C62E626"/>
    <w:rsid w:val="1C8119C9"/>
    <w:rsid w:val="1CC5AB16"/>
    <w:rsid w:val="1D28D8BB"/>
    <w:rsid w:val="1D835A58"/>
    <w:rsid w:val="1E7A28C2"/>
    <w:rsid w:val="202CF1A7"/>
    <w:rsid w:val="2060797D"/>
    <w:rsid w:val="20AF88FD"/>
    <w:rsid w:val="20B123C9"/>
    <w:rsid w:val="21A78746"/>
    <w:rsid w:val="22090459"/>
    <w:rsid w:val="22D33A60"/>
    <w:rsid w:val="23381366"/>
    <w:rsid w:val="238C2775"/>
    <w:rsid w:val="24D08053"/>
    <w:rsid w:val="26C7A623"/>
    <w:rsid w:val="270296A5"/>
    <w:rsid w:val="28408365"/>
    <w:rsid w:val="29B98EEC"/>
    <w:rsid w:val="29CDBA82"/>
    <w:rsid w:val="2A859792"/>
    <w:rsid w:val="2CEC186E"/>
    <w:rsid w:val="2DB7D1D0"/>
    <w:rsid w:val="2E4C9AF8"/>
    <w:rsid w:val="301F4458"/>
    <w:rsid w:val="308C7CB8"/>
    <w:rsid w:val="3105967E"/>
    <w:rsid w:val="31FFB04D"/>
    <w:rsid w:val="32B24CEC"/>
    <w:rsid w:val="3325F6ED"/>
    <w:rsid w:val="3378C161"/>
    <w:rsid w:val="33C30BBC"/>
    <w:rsid w:val="3662ADB3"/>
    <w:rsid w:val="36849C67"/>
    <w:rsid w:val="37846BC4"/>
    <w:rsid w:val="37C07961"/>
    <w:rsid w:val="3800F96F"/>
    <w:rsid w:val="388D331F"/>
    <w:rsid w:val="3896572D"/>
    <w:rsid w:val="3AFBB090"/>
    <w:rsid w:val="3BCF18ED"/>
    <w:rsid w:val="3C691FF6"/>
    <w:rsid w:val="3CA2CFA8"/>
    <w:rsid w:val="3CD06970"/>
    <w:rsid w:val="3F1E749B"/>
    <w:rsid w:val="3F8500C0"/>
    <w:rsid w:val="3FECE42B"/>
    <w:rsid w:val="40960317"/>
    <w:rsid w:val="4120D121"/>
    <w:rsid w:val="4296575F"/>
    <w:rsid w:val="42AF8E51"/>
    <w:rsid w:val="431ABBA3"/>
    <w:rsid w:val="4392253F"/>
    <w:rsid w:val="46089036"/>
    <w:rsid w:val="46616369"/>
    <w:rsid w:val="46EB0A78"/>
    <w:rsid w:val="483C7592"/>
    <w:rsid w:val="4935CD54"/>
    <w:rsid w:val="496EF2D8"/>
    <w:rsid w:val="4978AE7F"/>
    <w:rsid w:val="49815207"/>
    <w:rsid w:val="4987158D"/>
    <w:rsid w:val="49F04253"/>
    <w:rsid w:val="4A554424"/>
    <w:rsid w:val="4AC74074"/>
    <w:rsid w:val="4CBEB64F"/>
    <w:rsid w:val="4CBFEDBF"/>
    <w:rsid w:val="4D1091F7"/>
    <w:rsid w:val="4D56E119"/>
    <w:rsid w:val="4DA7ABD6"/>
    <w:rsid w:val="4E50D7DF"/>
    <w:rsid w:val="4E5162A2"/>
    <w:rsid w:val="4E784A4D"/>
    <w:rsid w:val="4EF2B17A"/>
    <w:rsid w:val="50148AB4"/>
    <w:rsid w:val="5033ABAE"/>
    <w:rsid w:val="50AA1B75"/>
    <w:rsid w:val="514B42DD"/>
    <w:rsid w:val="524D262C"/>
    <w:rsid w:val="52714D11"/>
    <w:rsid w:val="532DF7D3"/>
    <w:rsid w:val="53F3EA68"/>
    <w:rsid w:val="552810C3"/>
    <w:rsid w:val="55CB9ED0"/>
    <w:rsid w:val="56907B57"/>
    <w:rsid w:val="57A9498A"/>
    <w:rsid w:val="57AA8BEE"/>
    <w:rsid w:val="57FD7662"/>
    <w:rsid w:val="59166960"/>
    <w:rsid w:val="595654C2"/>
    <w:rsid w:val="59AA3223"/>
    <w:rsid w:val="59BB1E7E"/>
    <w:rsid w:val="5A32553C"/>
    <w:rsid w:val="5AA35A11"/>
    <w:rsid w:val="5B5FF42F"/>
    <w:rsid w:val="5C7CBAAD"/>
    <w:rsid w:val="5DE73556"/>
    <w:rsid w:val="5E188B0E"/>
    <w:rsid w:val="5E31B36B"/>
    <w:rsid w:val="5F5608FA"/>
    <w:rsid w:val="5FEE0373"/>
    <w:rsid w:val="60A421B5"/>
    <w:rsid w:val="61638E98"/>
    <w:rsid w:val="61E00BE3"/>
    <w:rsid w:val="61EA4403"/>
    <w:rsid w:val="633007A7"/>
    <w:rsid w:val="63689FB4"/>
    <w:rsid w:val="63A6E188"/>
    <w:rsid w:val="641FEDA3"/>
    <w:rsid w:val="6444354C"/>
    <w:rsid w:val="647CAD46"/>
    <w:rsid w:val="6496271F"/>
    <w:rsid w:val="649B5A6C"/>
    <w:rsid w:val="6584810F"/>
    <w:rsid w:val="658CCA5C"/>
    <w:rsid w:val="65B16286"/>
    <w:rsid w:val="65C17466"/>
    <w:rsid w:val="6623CDAC"/>
    <w:rsid w:val="6688B52B"/>
    <w:rsid w:val="6778A9D1"/>
    <w:rsid w:val="67CDC7E1"/>
    <w:rsid w:val="68E4F326"/>
    <w:rsid w:val="68E8CE03"/>
    <w:rsid w:val="69C055ED"/>
    <w:rsid w:val="6AB376D0"/>
    <w:rsid w:val="6B639471"/>
    <w:rsid w:val="6BD68317"/>
    <w:rsid w:val="6C92DE77"/>
    <w:rsid w:val="6C95671D"/>
    <w:rsid w:val="6CBDC190"/>
    <w:rsid w:val="6D86A16A"/>
    <w:rsid w:val="6DC85612"/>
    <w:rsid w:val="6E1513F6"/>
    <w:rsid w:val="6E2EAED8"/>
    <w:rsid w:val="6F878A03"/>
    <w:rsid w:val="6FCA7F39"/>
    <w:rsid w:val="701143B0"/>
    <w:rsid w:val="7051F174"/>
    <w:rsid w:val="70873CB8"/>
    <w:rsid w:val="70A9F43A"/>
    <w:rsid w:val="712B4F42"/>
    <w:rsid w:val="715B81CA"/>
    <w:rsid w:val="723D71A9"/>
    <w:rsid w:val="72F89446"/>
    <w:rsid w:val="73021FFB"/>
    <w:rsid w:val="7347E66E"/>
    <w:rsid w:val="7361E1E4"/>
    <w:rsid w:val="7418817C"/>
    <w:rsid w:val="7441D2C9"/>
    <w:rsid w:val="7447F2A5"/>
    <w:rsid w:val="7481ADE0"/>
    <w:rsid w:val="7746DBCB"/>
    <w:rsid w:val="776C5381"/>
    <w:rsid w:val="7779738B"/>
    <w:rsid w:val="77936536"/>
    <w:rsid w:val="77BC997A"/>
    <w:rsid w:val="77D25F58"/>
    <w:rsid w:val="77D9C52C"/>
    <w:rsid w:val="7805B5CE"/>
    <w:rsid w:val="7833C189"/>
    <w:rsid w:val="78F4372A"/>
    <w:rsid w:val="790823E2"/>
    <w:rsid w:val="790C3CBF"/>
    <w:rsid w:val="79651BFF"/>
    <w:rsid w:val="7A4BFC15"/>
    <w:rsid w:val="7A73FE1E"/>
    <w:rsid w:val="7A972B27"/>
    <w:rsid w:val="7AD8BDBC"/>
    <w:rsid w:val="7ADEE580"/>
    <w:rsid w:val="7B0D31E0"/>
    <w:rsid w:val="7C2D6D5F"/>
    <w:rsid w:val="7C954BC7"/>
    <w:rsid w:val="7CD99BDF"/>
    <w:rsid w:val="7E0B704C"/>
    <w:rsid w:val="7E44D2A2"/>
    <w:rsid w:val="7E47ED7C"/>
    <w:rsid w:val="7FE0A303"/>
    <w:rsid w:val="7FFC3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D262C"/>
  <w15:chartTrackingRefBased/>
  <w15:docId w15:val="{F9F32616-80F4-4276-9630-9B0AFF4DDF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abc86d8c1a74805" /><Relationship Type="http://schemas.openxmlformats.org/officeDocument/2006/relationships/hyperlink" Target="https://doi.org/10.1002/job.2568" TargetMode="External" Id="Rb0b14a7366ef428e" /><Relationship Type="http://schemas.openxmlformats.org/officeDocument/2006/relationships/hyperlink" Target="https://doi.org/10.1002/smi.2988.(Accessed" TargetMode="External" Id="Rdc7b65c592744d51" /><Relationship Type="http://schemas.openxmlformats.org/officeDocument/2006/relationships/hyperlink" Target="https://doi.org/10.1111/jonm.13594" TargetMode="External" Id="Rad3e4baf0a604b55" /><Relationship Type="http://schemas.openxmlformats.org/officeDocument/2006/relationships/hyperlink" Target="https://doi.org/10.1016/j.ijnss.2021.06.002" TargetMode="External" Id="R5b948722f0f342a0" /><Relationship Type="http://schemas.openxmlformats.org/officeDocument/2006/relationships/hyperlink" Target="https://doi.org/10.1037/ocp0000296" TargetMode="External" Id="R207986b0310849bf" /><Relationship Type="http://schemas.openxmlformats.org/officeDocument/2006/relationships/hyperlink" Target="https://hbr.org/2016/04/an-antidote-to-incivility" TargetMode="External" Id="Re8dd374cd5b444a1" /><Relationship Type="http://schemas.openxmlformats.org/officeDocument/2006/relationships/hyperlink" Target="https://doi.org/10.1136/bmjopen-2014-005140" TargetMode="External" Id="R573a4bca46284814" /><Relationship Type="http://schemas.openxmlformats.org/officeDocument/2006/relationships/hyperlink" Target="https://www.youtube.com/watch?time_continue=916&amp;v=4RUIhjwCDO0&amp;embeds_referring_euri=https%3A%2F%2Fwww.civilitysaveslives.com%2F&amp;embeds_referring_origin=https%3A%2F%2Fwww.civilitysaveslives.com&amp;source_ve_path=MTM5MTE3LDEzOTExNywxMzkxMTcsMzY4NDIsMjM4NTE&amp;feature=emb_title" TargetMode="External" Id="R51c073b5a88f4fe4" /><Relationship Type="http://schemas.openxmlformats.org/officeDocument/2006/relationships/hyperlink" Target="https://doi.org/10.1037/str0000160" TargetMode="External" Id="R56ef34d33a5a4232" /><Relationship Type="http://schemas.openxmlformats.org/officeDocument/2006/relationships/hyperlink" Target="https://doi.org/10.3389/fpsyg.2019.01805" TargetMode="External" Id="R0365e130f482457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Charlotte Lawrence (Hywel Dda UHB - Engagement and Recognition Officer)</dc:creator>
  <keywords/>
  <dc:description/>
  <lastModifiedBy>Charlotte Lawrence (Hywel Dda UHB - Engagement and Recognition Officer)</lastModifiedBy>
  <revision>5</revision>
  <dcterms:created xsi:type="dcterms:W3CDTF">2023-10-03T08:15:16.3671133Z</dcterms:created>
  <dcterms:modified xsi:type="dcterms:W3CDTF">2023-10-19T07:35:31.4680805Z</dcterms:modified>
</coreProperties>
</file>