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F81FEC" w14:textId="77777777" w:rsidR="00E35A80" w:rsidRDefault="00E35A80">
      <w:pPr>
        <w:ind w:left="426"/>
        <w:rPr>
          <w:rFonts w:ascii="Arial" w:eastAsia="Arial" w:hAnsi="Arial" w:cs="Arial"/>
        </w:rPr>
      </w:pPr>
    </w:p>
    <w:p w14:paraId="05ED9AB9" w14:textId="77777777" w:rsidR="00E35A80" w:rsidRDefault="006447E7">
      <w:pPr>
        <w:spacing w:line="360" w:lineRule="auto"/>
        <w:ind w:left="426"/>
        <w:rPr>
          <w:rFonts w:ascii="Arial" w:eastAsia="Arial" w:hAnsi="Arial" w:cs="Arial"/>
        </w:rPr>
      </w:pPr>
      <w:r>
        <w:rPr>
          <w:noProof/>
        </w:rPr>
        <w:drawing>
          <wp:anchor distT="0" distB="0" distL="114300" distR="114300" simplePos="0" relativeHeight="251658240" behindDoc="0" locked="0" layoutInCell="1" hidden="0" allowOverlap="1" wp14:anchorId="05C42BBF" wp14:editId="51CEF60F">
            <wp:simplePos x="0" y="0"/>
            <wp:positionH relativeFrom="column">
              <wp:posOffset>-634</wp:posOffset>
            </wp:positionH>
            <wp:positionV relativeFrom="paragraph">
              <wp:posOffset>289560</wp:posOffset>
            </wp:positionV>
            <wp:extent cx="2600325" cy="914400"/>
            <wp:effectExtent l="0" t="0" r="0" b="0"/>
            <wp:wrapSquare wrapText="bothSides" distT="0" distB="0" distL="114300" distR="114300"/>
            <wp:docPr id="13"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1.png" descr="Discover University of Wales Trinity Saint David"/>
                    <pic:cNvPicPr preferRelativeResize="0"/>
                  </pic:nvPicPr>
                  <pic:blipFill>
                    <a:blip r:embed="rId11"/>
                    <a:srcRect/>
                    <a:stretch>
                      <a:fillRect/>
                    </a:stretch>
                  </pic:blipFill>
                  <pic:spPr>
                    <a:xfrm>
                      <a:off x="0" y="0"/>
                      <a:ext cx="2600325" cy="914400"/>
                    </a:xfrm>
                    <a:prstGeom prst="rect">
                      <a:avLst/>
                    </a:prstGeom>
                    <a:ln/>
                  </pic:spPr>
                </pic:pic>
              </a:graphicData>
            </a:graphic>
          </wp:anchor>
        </w:drawing>
      </w:r>
    </w:p>
    <w:p w14:paraId="07555399" w14:textId="77777777" w:rsidR="00E35A80" w:rsidRDefault="00E35A80">
      <w:pPr>
        <w:spacing w:line="360" w:lineRule="auto"/>
        <w:ind w:left="426"/>
        <w:rPr>
          <w:rFonts w:ascii="Arial" w:eastAsia="Arial" w:hAnsi="Arial" w:cs="Arial"/>
        </w:rPr>
      </w:pPr>
    </w:p>
    <w:p w14:paraId="6F74C462" w14:textId="77777777" w:rsidR="00E35A80" w:rsidRDefault="00E35A80">
      <w:pPr>
        <w:spacing w:line="360" w:lineRule="auto"/>
        <w:ind w:left="426"/>
        <w:rPr>
          <w:rFonts w:ascii="Arial" w:eastAsia="Arial" w:hAnsi="Arial" w:cs="Arial"/>
        </w:rPr>
      </w:pPr>
    </w:p>
    <w:p w14:paraId="6D9EDF75" w14:textId="77777777" w:rsidR="00E35A80" w:rsidRDefault="00E35A80">
      <w:pPr>
        <w:spacing w:line="360" w:lineRule="auto"/>
        <w:ind w:left="426"/>
        <w:rPr>
          <w:rFonts w:ascii="Arial" w:eastAsia="Arial" w:hAnsi="Arial" w:cs="Arial"/>
        </w:rPr>
      </w:pPr>
    </w:p>
    <w:p w14:paraId="02EF6F16" w14:textId="77777777" w:rsidR="00E35A80" w:rsidRDefault="00E35A80">
      <w:pPr>
        <w:tabs>
          <w:tab w:val="left" w:pos="6540"/>
        </w:tabs>
        <w:spacing w:line="360" w:lineRule="auto"/>
        <w:ind w:left="426"/>
        <w:rPr>
          <w:rFonts w:ascii="Arial" w:eastAsia="Arial" w:hAnsi="Arial" w:cs="Arial"/>
          <w:sz w:val="28"/>
          <w:szCs w:val="28"/>
        </w:rPr>
      </w:pPr>
    </w:p>
    <w:p w14:paraId="368561E7" w14:textId="77777777" w:rsidR="00E35A80" w:rsidRDefault="006447E7">
      <w:pPr>
        <w:tabs>
          <w:tab w:val="left" w:pos="6540"/>
        </w:tabs>
        <w:spacing w:line="360" w:lineRule="auto"/>
        <w:ind w:left="426"/>
        <w:rPr>
          <w:rFonts w:ascii="Arial" w:eastAsia="Arial" w:hAnsi="Arial" w:cs="Arial"/>
          <w:sz w:val="28"/>
          <w:szCs w:val="28"/>
        </w:rPr>
      </w:pPr>
      <w:r>
        <w:rPr>
          <w:rFonts w:ascii="Arial" w:eastAsia="Arial" w:hAnsi="Arial" w:cs="Arial"/>
          <w:b/>
          <w:sz w:val="28"/>
          <w:szCs w:val="28"/>
        </w:rPr>
        <w:t>Student name</w:t>
      </w:r>
      <w:r>
        <w:rPr>
          <w:rFonts w:ascii="Arial" w:eastAsia="Arial" w:hAnsi="Arial" w:cs="Arial"/>
          <w:sz w:val="28"/>
          <w:szCs w:val="28"/>
        </w:rPr>
        <w:t>: Daisy Prossy Nangoonzi</w:t>
      </w:r>
    </w:p>
    <w:p w14:paraId="3609BCA1" w14:textId="77777777" w:rsidR="00E35A80" w:rsidRDefault="006447E7">
      <w:pPr>
        <w:tabs>
          <w:tab w:val="left" w:pos="6540"/>
        </w:tabs>
        <w:spacing w:line="360" w:lineRule="auto"/>
        <w:ind w:left="426"/>
        <w:rPr>
          <w:rFonts w:ascii="Arial" w:eastAsia="Arial" w:hAnsi="Arial" w:cs="Arial"/>
          <w:sz w:val="28"/>
          <w:szCs w:val="28"/>
        </w:rPr>
      </w:pPr>
      <w:r>
        <w:rPr>
          <w:rFonts w:ascii="Arial" w:eastAsia="Arial" w:hAnsi="Arial" w:cs="Arial"/>
          <w:b/>
          <w:sz w:val="28"/>
          <w:szCs w:val="28"/>
        </w:rPr>
        <w:t>Student ID</w:t>
      </w:r>
      <w:r>
        <w:rPr>
          <w:rFonts w:ascii="Arial" w:eastAsia="Arial" w:hAnsi="Arial" w:cs="Arial"/>
          <w:sz w:val="28"/>
          <w:szCs w:val="28"/>
        </w:rPr>
        <w:t>: 2433877</w:t>
      </w:r>
    </w:p>
    <w:p w14:paraId="2E963193" w14:textId="77777777" w:rsidR="00E35A80" w:rsidRDefault="00E35A80">
      <w:pPr>
        <w:tabs>
          <w:tab w:val="left" w:pos="6540"/>
        </w:tabs>
        <w:spacing w:line="360" w:lineRule="auto"/>
        <w:ind w:left="426"/>
        <w:rPr>
          <w:rFonts w:ascii="Arial" w:eastAsia="Arial" w:hAnsi="Arial" w:cs="Arial"/>
          <w:sz w:val="28"/>
          <w:szCs w:val="28"/>
        </w:rPr>
      </w:pPr>
    </w:p>
    <w:p w14:paraId="52F89A03" w14:textId="77777777" w:rsidR="00E35A80" w:rsidRDefault="006447E7">
      <w:pPr>
        <w:tabs>
          <w:tab w:val="left" w:pos="6540"/>
        </w:tabs>
        <w:spacing w:line="360" w:lineRule="auto"/>
        <w:ind w:left="426"/>
        <w:rPr>
          <w:rFonts w:ascii="Arial" w:eastAsia="Arial" w:hAnsi="Arial" w:cs="Arial"/>
          <w:sz w:val="28"/>
          <w:szCs w:val="28"/>
        </w:rPr>
      </w:pPr>
      <w:bookmarkStart w:id="0" w:name="_heading=h.7hycbgr0glp5" w:colFirst="0" w:colLast="0"/>
      <w:bookmarkEnd w:id="0"/>
      <w:r>
        <w:rPr>
          <w:rFonts w:ascii="Arial" w:eastAsia="Arial" w:hAnsi="Arial" w:cs="Arial"/>
          <w:b/>
          <w:sz w:val="28"/>
          <w:szCs w:val="28"/>
        </w:rPr>
        <w:t>Module name</w:t>
      </w:r>
      <w:r>
        <w:rPr>
          <w:rFonts w:ascii="Arial" w:eastAsia="Arial" w:hAnsi="Arial" w:cs="Arial"/>
          <w:sz w:val="28"/>
          <w:szCs w:val="28"/>
        </w:rPr>
        <w:t>: Introduction to Health and Social Care</w:t>
      </w:r>
    </w:p>
    <w:p w14:paraId="2639351D" w14:textId="77777777" w:rsidR="00E35A80" w:rsidRDefault="006447E7">
      <w:pPr>
        <w:tabs>
          <w:tab w:val="left" w:pos="6540"/>
        </w:tabs>
        <w:spacing w:line="360" w:lineRule="auto"/>
        <w:ind w:left="426"/>
        <w:rPr>
          <w:rFonts w:ascii="Arial" w:eastAsia="Arial" w:hAnsi="Arial" w:cs="Arial"/>
          <w:sz w:val="28"/>
          <w:szCs w:val="28"/>
        </w:rPr>
      </w:pPr>
      <w:r>
        <w:rPr>
          <w:rFonts w:ascii="Arial" w:eastAsia="Arial" w:hAnsi="Arial" w:cs="Arial"/>
          <w:b/>
          <w:sz w:val="28"/>
          <w:szCs w:val="28"/>
        </w:rPr>
        <w:t>Module code</w:t>
      </w:r>
      <w:r>
        <w:rPr>
          <w:rFonts w:ascii="Arial" w:eastAsia="Arial" w:hAnsi="Arial" w:cs="Arial"/>
          <w:sz w:val="28"/>
          <w:szCs w:val="28"/>
        </w:rPr>
        <w:t>: LCH4003</w:t>
      </w:r>
    </w:p>
    <w:p w14:paraId="7BB77312" w14:textId="77777777" w:rsidR="00E35A80" w:rsidRDefault="006447E7">
      <w:pPr>
        <w:tabs>
          <w:tab w:val="left" w:pos="6540"/>
        </w:tabs>
        <w:spacing w:line="360" w:lineRule="auto"/>
        <w:ind w:left="426"/>
        <w:rPr>
          <w:rFonts w:ascii="Arial" w:eastAsia="Arial" w:hAnsi="Arial" w:cs="Arial"/>
          <w:sz w:val="28"/>
          <w:szCs w:val="28"/>
        </w:rPr>
      </w:pPr>
      <w:r>
        <w:rPr>
          <w:rFonts w:ascii="Arial" w:eastAsia="Arial" w:hAnsi="Arial" w:cs="Arial"/>
          <w:b/>
          <w:sz w:val="28"/>
          <w:szCs w:val="28"/>
        </w:rPr>
        <w:t>Supervisor’s name</w:t>
      </w:r>
      <w:r>
        <w:rPr>
          <w:rFonts w:ascii="Arial" w:eastAsia="Arial" w:hAnsi="Arial" w:cs="Arial"/>
          <w:sz w:val="28"/>
          <w:szCs w:val="28"/>
        </w:rPr>
        <w:t>: Jolly Nwankwo</w:t>
      </w:r>
    </w:p>
    <w:p w14:paraId="47C67C10" w14:textId="77777777" w:rsidR="00E35A80" w:rsidRDefault="00E35A80">
      <w:pPr>
        <w:rPr>
          <w:rFonts w:ascii="Arial" w:eastAsia="Arial" w:hAnsi="Arial" w:cs="Arial"/>
        </w:rPr>
      </w:pPr>
    </w:p>
    <w:p w14:paraId="24925BD7" w14:textId="77777777" w:rsidR="00E35A80" w:rsidRDefault="006447E7">
      <w:r>
        <w:br w:type="page"/>
      </w:r>
    </w:p>
    <w:tbl>
      <w:tblPr>
        <w:tblStyle w:val="a"/>
        <w:tblW w:w="14390"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4530"/>
        <w:gridCol w:w="416"/>
        <w:gridCol w:w="4497"/>
        <w:gridCol w:w="360"/>
        <w:gridCol w:w="4587"/>
      </w:tblGrid>
      <w:tr w:rsidR="00E35A80" w14:paraId="5197DC28" w14:textId="77777777">
        <w:trPr>
          <w:trHeight w:val="9636"/>
          <w:jc w:val="center"/>
        </w:trPr>
        <w:tc>
          <w:tcPr>
            <w:tcW w:w="4530" w:type="dxa"/>
          </w:tcPr>
          <w:p w14:paraId="1DD9FB68" w14:textId="77777777" w:rsidR="00E35A80" w:rsidRDefault="00E35A80">
            <w:pPr>
              <w:rPr>
                <w:rFonts w:ascii="Arial" w:eastAsia="Arial" w:hAnsi="Arial" w:cs="Arial"/>
              </w:rPr>
            </w:pPr>
          </w:p>
          <w:p w14:paraId="4E8E9661" w14:textId="77777777" w:rsidR="00E35A80" w:rsidRDefault="00E35A80">
            <w:pPr>
              <w:rPr>
                <w:rFonts w:ascii="Arial" w:eastAsia="Arial" w:hAnsi="Arial" w:cs="Arial"/>
              </w:rPr>
            </w:pPr>
          </w:p>
          <w:p w14:paraId="4F2BD9A9" w14:textId="77777777" w:rsidR="00E35A80" w:rsidRDefault="006447E7">
            <w:pPr>
              <w:rPr>
                <w:rFonts w:ascii="Arial" w:eastAsia="Arial" w:hAnsi="Arial" w:cs="Arial"/>
              </w:rPr>
            </w:pPr>
            <w:r>
              <w:rPr>
                <w:rFonts w:ascii="Arial" w:eastAsia="Arial" w:hAnsi="Arial" w:cs="Arial"/>
                <w:noProof/>
              </w:rPr>
              <w:drawing>
                <wp:inline distT="0" distB="0" distL="0" distR="0" wp14:anchorId="0BC275B8" wp14:editId="3E2AC645">
                  <wp:extent cx="2730500" cy="4914900"/>
                  <wp:effectExtent l="0" t="0" r="0" b="0"/>
                  <wp:docPr id="1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2730500" cy="4914900"/>
                          </a:xfrm>
                          <a:prstGeom prst="rect">
                            <a:avLst/>
                          </a:prstGeom>
                          <a:ln/>
                        </pic:spPr>
                      </pic:pic>
                    </a:graphicData>
                  </a:graphic>
                </wp:inline>
              </w:drawing>
            </w:r>
          </w:p>
        </w:tc>
        <w:tc>
          <w:tcPr>
            <w:tcW w:w="416" w:type="dxa"/>
            <w:vMerge w:val="restart"/>
          </w:tcPr>
          <w:p w14:paraId="6049FABD" w14:textId="77777777" w:rsidR="00E35A80" w:rsidRDefault="00E35A80">
            <w:pPr>
              <w:rPr>
                <w:rFonts w:ascii="Arial" w:eastAsia="Arial" w:hAnsi="Arial" w:cs="Arial"/>
              </w:rPr>
            </w:pPr>
          </w:p>
        </w:tc>
        <w:tc>
          <w:tcPr>
            <w:tcW w:w="4497" w:type="dxa"/>
            <w:vMerge w:val="restart"/>
          </w:tcPr>
          <w:p w14:paraId="11251668" w14:textId="77777777" w:rsidR="00E35A80" w:rsidRDefault="00E35A80">
            <w:pPr>
              <w:pStyle w:val="Heading1"/>
              <w:jc w:val="center"/>
              <w:rPr>
                <w:rFonts w:ascii="Arial" w:eastAsia="Arial" w:hAnsi="Arial" w:cs="Arial"/>
                <w:color w:val="0070C0"/>
                <w:sz w:val="24"/>
                <w:szCs w:val="24"/>
              </w:rPr>
            </w:pPr>
          </w:p>
          <w:p w14:paraId="56D93CEA" w14:textId="77777777" w:rsidR="00E35A80" w:rsidRDefault="006447E7">
            <w:pPr>
              <w:pStyle w:val="Heading1"/>
              <w:jc w:val="center"/>
              <w:rPr>
                <w:rFonts w:ascii="Arial" w:eastAsia="Arial" w:hAnsi="Arial" w:cs="Arial"/>
                <w:color w:val="0070C0"/>
                <w:sz w:val="36"/>
                <w:szCs w:val="36"/>
              </w:rPr>
            </w:pPr>
            <w:r>
              <w:rPr>
                <w:rFonts w:ascii="Arial" w:eastAsia="Arial" w:hAnsi="Arial" w:cs="Arial"/>
                <w:color w:val="0070C0"/>
                <w:sz w:val="36"/>
                <w:szCs w:val="36"/>
              </w:rPr>
              <w:t>COMMUNITY ANTENATAL MIDWIFERY SERVICES IN WALES: SUPPORTING MOTHERS, BABIES, AND FAMILIES</w:t>
            </w:r>
          </w:p>
          <w:p w14:paraId="6702D27E" w14:textId="77777777" w:rsidR="00E35A80" w:rsidRDefault="006447E7">
            <w:pPr>
              <w:rPr>
                <w:rFonts w:ascii="Calibri" w:eastAsia="Calibri" w:hAnsi="Calibri" w:cs="Calibri"/>
                <w:sz w:val="24"/>
                <w:szCs w:val="24"/>
              </w:rPr>
            </w:pPr>
            <w:r>
              <w:rPr>
                <w:rFonts w:ascii="Calibri" w:eastAsia="Calibri" w:hAnsi="Calibri" w:cs="Calibri"/>
                <w:sz w:val="24"/>
                <w:szCs w:val="24"/>
              </w:rPr>
              <w:t>According to NHS Wales (2024), community midwives are qualified professionals who work independently to provide care that is holistic, family-centered, and based on the latest evidence. Their responsibilities include carrying out antenatal checks, giving advice on healthy lifestyles, discussing birth plans, and offering reassurance when anxiety or concerns arise. Midwives also promote breastfeeding, help mothers prepare for labor and refer women to specialist services if complications are identified</w:t>
            </w:r>
          </w:p>
          <w:p w14:paraId="725224C8" w14:textId="77777777" w:rsidR="00E35A80" w:rsidRDefault="006447E7">
            <w:pPr>
              <w:rPr>
                <w:rFonts w:ascii="Calibri" w:eastAsia="Calibri" w:hAnsi="Calibri" w:cs="Calibri"/>
                <w:sz w:val="24"/>
                <w:szCs w:val="24"/>
              </w:rPr>
            </w:pPr>
            <w:r>
              <w:rPr>
                <w:rFonts w:ascii="Calibri" w:eastAsia="Calibri" w:hAnsi="Calibri" w:cs="Calibri"/>
                <w:noProof/>
                <w:sz w:val="24"/>
                <w:szCs w:val="24"/>
              </w:rPr>
              <w:drawing>
                <wp:inline distT="0" distB="0" distL="0" distR="0" wp14:anchorId="0A052846" wp14:editId="02E6CBCB">
                  <wp:extent cx="2709545" cy="1590675"/>
                  <wp:effectExtent l="0" t="0" r="0" b="0"/>
                  <wp:docPr id="14"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3"/>
                          <a:srcRect/>
                          <a:stretch>
                            <a:fillRect/>
                          </a:stretch>
                        </pic:blipFill>
                        <pic:spPr>
                          <a:xfrm>
                            <a:off x="0" y="0"/>
                            <a:ext cx="2709545" cy="1590675"/>
                          </a:xfrm>
                          <a:prstGeom prst="rect">
                            <a:avLst/>
                          </a:prstGeom>
                          <a:ln/>
                        </pic:spPr>
                      </pic:pic>
                    </a:graphicData>
                  </a:graphic>
                </wp:inline>
              </w:drawing>
            </w:r>
          </w:p>
          <w:p w14:paraId="5459F3E8" w14:textId="77777777" w:rsidR="00E35A80" w:rsidRDefault="00E35A80">
            <w:pPr>
              <w:jc w:val="center"/>
              <w:rPr>
                <w:rFonts w:ascii="Calibri" w:eastAsia="Calibri" w:hAnsi="Calibri" w:cs="Calibri"/>
                <w:sz w:val="24"/>
                <w:szCs w:val="24"/>
              </w:rPr>
            </w:pPr>
          </w:p>
        </w:tc>
        <w:tc>
          <w:tcPr>
            <w:tcW w:w="360" w:type="dxa"/>
            <w:vMerge w:val="restart"/>
          </w:tcPr>
          <w:p w14:paraId="19EEF0D0" w14:textId="77777777" w:rsidR="00E35A80" w:rsidRDefault="00E35A80">
            <w:pPr>
              <w:rPr>
                <w:rFonts w:ascii="Arial" w:eastAsia="Arial" w:hAnsi="Arial" w:cs="Arial"/>
              </w:rPr>
            </w:pPr>
          </w:p>
        </w:tc>
        <w:tc>
          <w:tcPr>
            <w:tcW w:w="4587" w:type="dxa"/>
            <w:vAlign w:val="center"/>
          </w:tcPr>
          <w:p w14:paraId="7E9913C1" w14:textId="77777777" w:rsidR="00E35A80" w:rsidRDefault="006447E7">
            <w:pPr>
              <w:rPr>
                <w:rFonts w:ascii="Arial" w:eastAsia="Arial" w:hAnsi="Arial" w:cs="Arial"/>
              </w:rPr>
            </w:pPr>
            <w:r>
              <w:t xml:space="preserve"> </w:t>
            </w:r>
            <w:r>
              <w:rPr>
                <w:noProof/>
              </w:rPr>
              <w:drawing>
                <wp:inline distT="0" distB="0" distL="0" distR="0" wp14:anchorId="6B24CD5C" wp14:editId="7DE73F7A">
                  <wp:extent cx="2705489" cy="4591710"/>
                  <wp:effectExtent l="0" t="0" r="0" b="0"/>
                  <wp:docPr id="17"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4"/>
                          <a:srcRect/>
                          <a:stretch>
                            <a:fillRect/>
                          </a:stretch>
                        </pic:blipFill>
                        <pic:spPr>
                          <a:xfrm>
                            <a:off x="0" y="0"/>
                            <a:ext cx="2705489" cy="4591710"/>
                          </a:xfrm>
                          <a:prstGeom prst="rect">
                            <a:avLst/>
                          </a:prstGeom>
                          <a:ln/>
                        </pic:spPr>
                      </pic:pic>
                    </a:graphicData>
                  </a:graphic>
                </wp:inline>
              </w:drawing>
            </w:r>
          </w:p>
        </w:tc>
      </w:tr>
      <w:tr w:rsidR="00E35A80" w14:paraId="77F5CB0F" w14:textId="77777777">
        <w:trPr>
          <w:trHeight w:val="272"/>
          <w:jc w:val="center"/>
        </w:trPr>
        <w:tc>
          <w:tcPr>
            <w:tcW w:w="4530" w:type="dxa"/>
          </w:tcPr>
          <w:p w14:paraId="49E5CCE9" w14:textId="77777777" w:rsidR="00E35A80" w:rsidRDefault="006447E7">
            <w:pPr>
              <w:pBdr>
                <w:top w:val="nil"/>
                <w:left w:val="nil"/>
                <w:bottom w:val="nil"/>
                <w:right w:val="nil"/>
                <w:between w:val="nil"/>
              </w:pBdr>
              <w:rPr>
                <w:rFonts w:ascii="Arial" w:eastAsia="Arial" w:hAnsi="Arial" w:cs="Arial"/>
                <w:b/>
                <w:color w:val="FFFFFF"/>
              </w:rPr>
            </w:pPr>
            <w:r>
              <w:rPr>
                <w:rFonts w:ascii="Arial" w:eastAsia="Arial" w:hAnsi="Arial" w:cs="Arial"/>
                <w:b/>
                <w:color w:val="FFFFFF"/>
              </w:rPr>
              <w:t>A BRIEF HISTORY OF THE SERVICE</w:t>
            </w:r>
          </w:p>
          <w:p w14:paraId="0FF2F372" w14:textId="77777777" w:rsidR="00E35A80" w:rsidRDefault="00E35A80">
            <w:pPr>
              <w:rPr>
                <w:rFonts w:ascii="Arial" w:eastAsia="Arial" w:hAnsi="Arial" w:cs="Arial"/>
                <w:b/>
              </w:rPr>
            </w:pPr>
          </w:p>
        </w:tc>
        <w:tc>
          <w:tcPr>
            <w:tcW w:w="416" w:type="dxa"/>
            <w:vMerge/>
          </w:tcPr>
          <w:p w14:paraId="767205FF" w14:textId="77777777" w:rsidR="00E35A80" w:rsidRDefault="00E35A80">
            <w:pPr>
              <w:widowControl w:val="0"/>
              <w:pBdr>
                <w:top w:val="nil"/>
                <w:left w:val="nil"/>
                <w:bottom w:val="nil"/>
                <w:right w:val="nil"/>
                <w:between w:val="nil"/>
              </w:pBdr>
              <w:spacing w:after="0" w:line="276" w:lineRule="auto"/>
              <w:rPr>
                <w:rFonts w:ascii="Arial" w:eastAsia="Arial" w:hAnsi="Arial" w:cs="Arial"/>
                <w:b/>
              </w:rPr>
            </w:pPr>
          </w:p>
        </w:tc>
        <w:tc>
          <w:tcPr>
            <w:tcW w:w="4497" w:type="dxa"/>
            <w:vMerge/>
          </w:tcPr>
          <w:p w14:paraId="0F5D0093" w14:textId="77777777" w:rsidR="00E35A80" w:rsidRDefault="00E35A80">
            <w:pPr>
              <w:widowControl w:val="0"/>
              <w:pBdr>
                <w:top w:val="nil"/>
                <w:left w:val="nil"/>
                <w:bottom w:val="nil"/>
                <w:right w:val="nil"/>
                <w:between w:val="nil"/>
              </w:pBdr>
              <w:spacing w:after="0" w:line="276" w:lineRule="auto"/>
              <w:rPr>
                <w:rFonts w:ascii="Arial" w:eastAsia="Arial" w:hAnsi="Arial" w:cs="Arial"/>
                <w:b/>
              </w:rPr>
            </w:pPr>
          </w:p>
        </w:tc>
        <w:tc>
          <w:tcPr>
            <w:tcW w:w="360" w:type="dxa"/>
            <w:vMerge/>
          </w:tcPr>
          <w:p w14:paraId="7DEBC178" w14:textId="77777777" w:rsidR="00E35A80" w:rsidRDefault="00E35A80">
            <w:pPr>
              <w:widowControl w:val="0"/>
              <w:pBdr>
                <w:top w:val="nil"/>
                <w:left w:val="nil"/>
                <w:bottom w:val="nil"/>
                <w:right w:val="nil"/>
                <w:between w:val="nil"/>
              </w:pBdr>
              <w:spacing w:after="0" w:line="276" w:lineRule="auto"/>
              <w:rPr>
                <w:rFonts w:ascii="Arial" w:eastAsia="Arial" w:hAnsi="Arial" w:cs="Arial"/>
                <w:b/>
              </w:rPr>
            </w:pPr>
          </w:p>
        </w:tc>
        <w:tc>
          <w:tcPr>
            <w:tcW w:w="4587" w:type="dxa"/>
          </w:tcPr>
          <w:p w14:paraId="586A1007" w14:textId="77777777" w:rsidR="00E35A80" w:rsidRDefault="00E35A80">
            <w:pPr>
              <w:pBdr>
                <w:top w:val="nil"/>
                <w:left w:val="nil"/>
                <w:bottom w:val="nil"/>
                <w:right w:val="nil"/>
                <w:between w:val="nil"/>
              </w:pBdr>
              <w:rPr>
                <w:rFonts w:ascii="Arial" w:eastAsia="Arial" w:hAnsi="Arial" w:cs="Arial"/>
                <w:color w:val="000000"/>
              </w:rPr>
            </w:pPr>
          </w:p>
        </w:tc>
      </w:tr>
      <w:tr w:rsidR="00E35A80" w14:paraId="41EFE387" w14:textId="77777777">
        <w:trPr>
          <w:trHeight w:val="473"/>
          <w:jc w:val="center"/>
        </w:trPr>
        <w:tc>
          <w:tcPr>
            <w:tcW w:w="4530" w:type="dxa"/>
            <w:vMerge w:val="restart"/>
          </w:tcPr>
          <w:p w14:paraId="2B7BFB95" w14:textId="77777777" w:rsidR="00E35A80" w:rsidRDefault="006447E7">
            <w:pPr>
              <w:rPr>
                <w:color w:val="C55911"/>
              </w:rPr>
            </w:pPr>
            <w:r>
              <w:rPr>
                <w:rFonts w:ascii="Arial" w:eastAsia="Arial" w:hAnsi="Arial" w:cs="Arial"/>
                <w:b/>
                <w:color w:val="C55911"/>
              </w:rPr>
              <w:lastRenderedPageBreak/>
              <w:t>A Brief history of the service</w:t>
            </w:r>
            <w:r>
              <w:rPr>
                <w:color w:val="C55911"/>
              </w:rPr>
              <w:t xml:space="preserve"> </w:t>
            </w:r>
          </w:p>
          <w:p w14:paraId="4E6F43CB" w14:textId="77777777" w:rsidR="00E35A80" w:rsidRDefault="006447E7">
            <w:r>
              <w:rPr>
                <w:rFonts w:ascii="Calibri" w:eastAsia="Calibri" w:hAnsi="Calibri" w:cs="Calibri"/>
              </w:rPr>
              <w:t xml:space="preserve">The history of community midwifery in Wales reflects a long journey from traditional birth attendants to regulated healthcare professionals. The </w:t>
            </w:r>
            <w:proofErr w:type="gramStart"/>
            <w:r>
              <w:rPr>
                <w:rFonts w:ascii="Calibri" w:eastAsia="Calibri" w:hAnsi="Calibri" w:cs="Calibri"/>
              </w:rPr>
              <w:t>Midwives</w:t>
            </w:r>
            <w:proofErr w:type="gramEnd"/>
            <w:r>
              <w:rPr>
                <w:rFonts w:ascii="Calibri" w:eastAsia="Calibri" w:hAnsi="Calibri" w:cs="Calibri"/>
              </w:rPr>
              <w:t xml:space="preserve"> Act of 1902 was the first law to recognize midwifery as a profession in the UK. When the National Health Service (NHS) was created in 1948, maternity care became free and available to all women hence ensuring that no one was excluded because of cost</w:t>
            </w:r>
            <w:r>
              <w:t xml:space="preserve">. </w:t>
            </w:r>
          </w:p>
          <w:p w14:paraId="1D889339" w14:textId="77777777" w:rsidR="00E35A80" w:rsidRDefault="00E35A80"/>
          <w:p w14:paraId="1B84A855" w14:textId="77777777" w:rsidR="00E35A80" w:rsidRDefault="006447E7">
            <w:r>
              <w:rPr>
                <w:noProof/>
              </w:rPr>
              <w:drawing>
                <wp:inline distT="0" distB="0" distL="0" distR="0" wp14:anchorId="2B7B223C" wp14:editId="2DDD1577">
                  <wp:extent cx="2724547" cy="3343762"/>
                  <wp:effectExtent l="0" t="0" r="0" b="0"/>
                  <wp:docPr id="16"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5"/>
                          <a:srcRect/>
                          <a:stretch>
                            <a:fillRect/>
                          </a:stretch>
                        </pic:blipFill>
                        <pic:spPr>
                          <a:xfrm>
                            <a:off x="0" y="0"/>
                            <a:ext cx="2724547" cy="3343762"/>
                          </a:xfrm>
                          <a:prstGeom prst="rect">
                            <a:avLst/>
                          </a:prstGeom>
                          <a:ln/>
                        </pic:spPr>
                      </pic:pic>
                    </a:graphicData>
                  </a:graphic>
                </wp:inline>
              </w:drawing>
            </w:r>
          </w:p>
          <w:p w14:paraId="4B3A8850" w14:textId="77777777" w:rsidR="00E35A80" w:rsidRDefault="006447E7">
            <w:pPr>
              <w:rPr>
                <w:rFonts w:ascii="Arial" w:eastAsia="Arial" w:hAnsi="Arial" w:cs="Arial"/>
              </w:rPr>
            </w:pPr>
            <w:r>
              <w:rPr>
                <w:rFonts w:ascii="Arial" w:eastAsia="Arial" w:hAnsi="Arial" w:cs="Arial"/>
                <w:noProof/>
              </w:rPr>
              <w:lastRenderedPageBreak/>
              <w:drawing>
                <wp:inline distT="0" distB="0" distL="0" distR="0" wp14:anchorId="158D3C84" wp14:editId="665755F7">
                  <wp:extent cx="2619749" cy="4667916"/>
                  <wp:effectExtent l="0" t="0" r="0" b="0"/>
                  <wp:docPr id="19"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6"/>
                          <a:srcRect/>
                          <a:stretch>
                            <a:fillRect/>
                          </a:stretch>
                        </pic:blipFill>
                        <pic:spPr>
                          <a:xfrm>
                            <a:off x="0" y="0"/>
                            <a:ext cx="2619749" cy="4667916"/>
                          </a:xfrm>
                          <a:prstGeom prst="rect">
                            <a:avLst/>
                          </a:prstGeom>
                          <a:ln/>
                        </pic:spPr>
                      </pic:pic>
                    </a:graphicData>
                  </a:graphic>
                </wp:inline>
              </w:drawing>
            </w:r>
          </w:p>
        </w:tc>
        <w:tc>
          <w:tcPr>
            <w:tcW w:w="416" w:type="dxa"/>
            <w:vMerge/>
          </w:tcPr>
          <w:p w14:paraId="1F8C5130" w14:textId="77777777" w:rsidR="00E35A80" w:rsidRDefault="00E35A80">
            <w:pPr>
              <w:widowControl w:val="0"/>
              <w:pBdr>
                <w:top w:val="nil"/>
                <w:left w:val="nil"/>
                <w:bottom w:val="nil"/>
                <w:right w:val="nil"/>
                <w:between w:val="nil"/>
              </w:pBdr>
              <w:spacing w:after="0" w:line="276" w:lineRule="auto"/>
              <w:rPr>
                <w:rFonts w:ascii="Arial" w:eastAsia="Arial" w:hAnsi="Arial" w:cs="Arial"/>
              </w:rPr>
            </w:pPr>
          </w:p>
        </w:tc>
        <w:tc>
          <w:tcPr>
            <w:tcW w:w="4497" w:type="dxa"/>
            <w:vMerge/>
          </w:tcPr>
          <w:p w14:paraId="65135608" w14:textId="77777777" w:rsidR="00E35A80" w:rsidRDefault="00E35A80">
            <w:pPr>
              <w:widowControl w:val="0"/>
              <w:pBdr>
                <w:top w:val="nil"/>
                <w:left w:val="nil"/>
                <w:bottom w:val="nil"/>
                <w:right w:val="nil"/>
                <w:between w:val="nil"/>
              </w:pBdr>
              <w:spacing w:after="0" w:line="276" w:lineRule="auto"/>
              <w:rPr>
                <w:rFonts w:ascii="Arial" w:eastAsia="Arial" w:hAnsi="Arial" w:cs="Arial"/>
              </w:rPr>
            </w:pPr>
          </w:p>
        </w:tc>
        <w:tc>
          <w:tcPr>
            <w:tcW w:w="360" w:type="dxa"/>
            <w:vMerge/>
          </w:tcPr>
          <w:p w14:paraId="31D86891" w14:textId="77777777" w:rsidR="00E35A80" w:rsidRDefault="00E35A80">
            <w:pPr>
              <w:widowControl w:val="0"/>
              <w:pBdr>
                <w:top w:val="nil"/>
                <w:left w:val="nil"/>
                <w:bottom w:val="nil"/>
                <w:right w:val="nil"/>
                <w:between w:val="nil"/>
              </w:pBdr>
              <w:spacing w:after="0" w:line="276" w:lineRule="auto"/>
              <w:rPr>
                <w:rFonts w:ascii="Arial" w:eastAsia="Arial" w:hAnsi="Arial" w:cs="Arial"/>
              </w:rPr>
            </w:pPr>
          </w:p>
        </w:tc>
        <w:tc>
          <w:tcPr>
            <w:tcW w:w="4587" w:type="dxa"/>
            <w:vMerge w:val="restart"/>
          </w:tcPr>
          <w:p w14:paraId="56305F96" w14:textId="77777777" w:rsidR="00E35A80" w:rsidRDefault="006447E7">
            <w:pPr>
              <w:pStyle w:val="Heading1"/>
              <w:rPr>
                <w:rFonts w:ascii="Arial" w:eastAsia="Arial" w:hAnsi="Arial" w:cs="Arial"/>
                <w:color w:val="00B050"/>
                <w:sz w:val="22"/>
                <w:szCs w:val="22"/>
              </w:rPr>
            </w:pPr>
            <w:r>
              <w:rPr>
                <w:rFonts w:ascii="Arial" w:eastAsia="Arial" w:hAnsi="Arial" w:cs="Arial"/>
                <w:color w:val="00B050"/>
                <w:sz w:val="22"/>
                <w:szCs w:val="22"/>
              </w:rPr>
              <w:t>How the service functions today</w:t>
            </w:r>
          </w:p>
          <w:p w14:paraId="18CFE053" w14:textId="77777777" w:rsidR="00E35A80" w:rsidRDefault="006447E7">
            <w:pPr>
              <w:rPr>
                <w:rFonts w:ascii="Calibri" w:eastAsia="Calibri" w:hAnsi="Calibri" w:cs="Calibri"/>
              </w:rPr>
            </w:pPr>
            <w:r>
              <w:rPr>
                <w:rFonts w:ascii="Calibri" w:eastAsia="Calibri" w:hAnsi="Calibri" w:cs="Calibri"/>
              </w:rPr>
              <w:t>In 2005, the Welsh Government’s National Service Framework for Children, Young People and Maternity Services introduced new standards to make maternity care safer, more family-centered, and culturally sensitive. This policy strengthened community-based midwifery and ensured that every woman, regardless of background, could access medical care support. Midwives today work as part of the NHS Wales health boards by combining modern medical knowledge with the traditional values of compassion and continuity of c</w:t>
            </w:r>
            <w:r>
              <w:rPr>
                <w:rFonts w:ascii="Calibri" w:eastAsia="Calibri" w:hAnsi="Calibri" w:cs="Calibri"/>
              </w:rPr>
              <w:t>are.</w:t>
            </w:r>
          </w:p>
          <w:p w14:paraId="79DD9A07" w14:textId="77777777" w:rsidR="00E35A80" w:rsidRDefault="006447E7">
            <w:pPr>
              <w:rPr>
                <w:rFonts w:ascii="Calibri" w:eastAsia="Calibri" w:hAnsi="Calibri" w:cs="Calibri"/>
              </w:rPr>
            </w:pPr>
            <w:r>
              <w:rPr>
                <w:rFonts w:ascii="Calibri" w:eastAsia="Calibri" w:hAnsi="Calibri" w:cs="Calibri"/>
              </w:rPr>
              <w:t xml:space="preserve">The Maternity and Neonatal Safety Support </w:t>
            </w:r>
            <w:proofErr w:type="spellStart"/>
            <w:r>
              <w:rPr>
                <w:rFonts w:ascii="Calibri" w:eastAsia="Calibri" w:hAnsi="Calibri" w:cs="Calibri"/>
              </w:rPr>
              <w:t>Programme</w:t>
            </w:r>
            <w:proofErr w:type="spellEnd"/>
            <w:r>
              <w:rPr>
                <w:rFonts w:ascii="Calibri" w:eastAsia="Calibri" w:hAnsi="Calibri" w:cs="Calibri"/>
              </w:rPr>
              <w:t xml:space="preserve"> (MNSSP) continues to guide practice by ensuring that all Welsh Health Boards provide consistent, safe, and equitable maternity care (NHS Wales, 2023).</w:t>
            </w:r>
          </w:p>
          <w:p w14:paraId="456B027E" w14:textId="77777777" w:rsidR="00E35A80" w:rsidRDefault="006447E7">
            <w:pPr>
              <w:rPr>
                <w:rFonts w:ascii="Calibri" w:eastAsia="Calibri" w:hAnsi="Calibri" w:cs="Calibri"/>
              </w:rPr>
            </w:pPr>
            <w:r>
              <w:rPr>
                <w:rFonts w:ascii="Calibri" w:eastAsia="Calibri" w:hAnsi="Calibri" w:cs="Calibri"/>
              </w:rPr>
              <w:t>In modern Wales, community midwifery services are provided through the seven local Health Boards, including Cardiff and Vale, Hywel Dda, and Aneurin Bevan. Each midwife supports a defined caseload of women from early pregnancy to the postnatal period.</w:t>
            </w:r>
          </w:p>
          <w:p w14:paraId="354B70AB" w14:textId="77777777" w:rsidR="00E35A80" w:rsidRDefault="006447E7">
            <w:pPr>
              <w:rPr>
                <w:rFonts w:ascii="Calibri" w:eastAsia="Calibri" w:hAnsi="Calibri" w:cs="Calibri"/>
              </w:rPr>
            </w:pPr>
            <w:r>
              <w:rPr>
                <w:rFonts w:ascii="Calibri" w:eastAsia="Calibri" w:hAnsi="Calibri" w:cs="Calibri"/>
              </w:rPr>
              <w:t>At the start of pregnancy, women have a booking appointment between 8 and 12 weeks, where the midwife collects health information, conducts screening tests, and develops an individualized care plan. Regular antenatal visits then take place throughout pregnancy to check the mother’s blood pressure, assess the baby’s growth, and discuss any concerns.</w:t>
            </w:r>
          </w:p>
          <w:p w14:paraId="2A2E223F" w14:textId="77777777" w:rsidR="00E35A80" w:rsidRDefault="006447E7">
            <w:pPr>
              <w:rPr>
                <w:rFonts w:ascii="Calibri" w:eastAsia="Calibri" w:hAnsi="Calibri" w:cs="Calibri"/>
              </w:rPr>
            </w:pPr>
            <w:r>
              <w:rPr>
                <w:rFonts w:ascii="Calibri" w:eastAsia="Calibri" w:hAnsi="Calibri" w:cs="Calibri"/>
              </w:rPr>
              <w:t xml:space="preserve">Midwives also run community clinics and make home visits to ensure care is accessible to women in rural or hard-to-reach areas. Some midwives specialize in supporting vulnerable </w:t>
            </w:r>
            <w:r>
              <w:rPr>
                <w:rFonts w:ascii="Calibri" w:eastAsia="Calibri" w:hAnsi="Calibri" w:cs="Calibri"/>
              </w:rPr>
              <w:lastRenderedPageBreak/>
              <w:t>groups, such as teenage mothers or women affected by domestic abuse. Others work closely with social workers and mental health professionals to provide joined-up support.</w:t>
            </w:r>
          </w:p>
          <w:p w14:paraId="46E4815C" w14:textId="77777777" w:rsidR="00E35A80" w:rsidRDefault="006447E7">
            <w:pPr>
              <w:rPr>
                <w:rFonts w:ascii="Calibri" w:eastAsia="Calibri" w:hAnsi="Calibri" w:cs="Calibri"/>
              </w:rPr>
            </w:pPr>
            <w:r>
              <w:rPr>
                <w:rFonts w:ascii="Calibri" w:eastAsia="Calibri" w:hAnsi="Calibri" w:cs="Calibri"/>
              </w:rPr>
              <w:t>This model of care reflects the values of A Healthier Wales (Welsh Government, 2018), which emphasizes care that is local, person-centered, and focused on prevention rather than crisis.</w:t>
            </w:r>
          </w:p>
          <w:p w14:paraId="47438249" w14:textId="77777777" w:rsidR="00E35A80" w:rsidRDefault="00E35A80">
            <w:pPr>
              <w:rPr>
                <w:rFonts w:ascii="Calibri" w:eastAsia="Calibri" w:hAnsi="Calibri" w:cs="Calibri"/>
              </w:rPr>
            </w:pPr>
          </w:p>
          <w:p w14:paraId="03E9F886" w14:textId="77777777" w:rsidR="00E35A80" w:rsidRDefault="006447E7">
            <w:pPr>
              <w:rPr>
                <w:rFonts w:ascii="Arial" w:eastAsia="Arial" w:hAnsi="Arial" w:cs="Arial"/>
              </w:rPr>
            </w:pPr>
            <w:r>
              <w:rPr>
                <w:rFonts w:ascii="Arial" w:eastAsia="Arial" w:hAnsi="Arial" w:cs="Arial"/>
                <w:noProof/>
              </w:rPr>
              <w:drawing>
                <wp:inline distT="0" distB="0" distL="0" distR="0" wp14:anchorId="3F89BF8B" wp14:editId="22861708">
                  <wp:extent cx="2766695" cy="3507105"/>
                  <wp:effectExtent l="0" t="0" r="0" b="0"/>
                  <wp:docPr id="18"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7"/>
                          <a:srcRect/>
                          <a:stretch>
                            <a:fillRect/>
                          </a:stretch>
                        </pic:blipFill>
                        <pic:spPr>
                          <a:xfrm>
                            <a:off x="0" y="0"/>
                            <a:ext cx="2766695" cy="3507105"/>
                          </a:xfrm>
                          <a:prstGeom prst="rect">
                            <a:avLst/>
                          </a:prstGeom>
                          <a:ln/>
                        </pic:spPr>
                      </pic:pic>
                    </a:graphicData>
                  </a:graphic>
                </wp:inline>
              </w:drawing>
            </w:r>
          </w:p>
        </w:tc>
      </w:tr>
      <w:tr w:rsidR="00E35A80" w14:paraId="79CE332D" w14:textId="77777777">
        <w:trPr>
          <w:trHeight w:val="60"/>
          <w:jc w:val="center"/>
        </w:trPr>
        <w:tc>
          <w:tcPr>
            <w:tcW w:w="4530" w:type="dxa"/>
            <w:vMerge/>
          </w:tcPr>
          <w:p w14:paraId="2AF88A63" w14:textId="77777777" w:rsidR="00E35A80" w:rsidRDefault="00E35A80">
            <w:pPr>
              <w:widowControl w:val="0"/>
              <w:pBdr>
                <w:top w:val="nil"/>
                <w:left w:val="nil"/>
                <w:bottom w:val="nil"/>
                <w:right w:val="nil"/>
                <w:between w:val="nil"/>
              </w:pBdr>
              <w:spacing w:after="0" w:line="276" w:lineRule="auto"/>
              <w:rPr>
                <w:rFonts w:ascii="Arial" w:eastAsia="Arial" w:hAnsi="Arial" w:cs="Arial"/>
              </w:rPr>
            </w:pPr>
          </w:p>
        </w:tc>
        <w:tc>
          <w:tcPr>
            <w:tcW w:w="416" w:type="dxa"/>
            <w:vMerge/>
          </w:tcPr>
          <w:p w14:paraId="1BE1B15D" w14:textId="77777777" w:rsidR="00E35A80" w:rsidRDefault="00E35A80">
            <w:pPr>
              <w:widowControl w:val="0"/>
              <w:pBdr>
                <w:top w:val="nil"/>
                <w:left w:val="nil"/>
                <w:bottom w:val="nil"/>
                <w:right w:val="nil"/>
                <w:between w:val="nil"/>
              </w:pBdr>
              <w:spacing w:after="0" w:line="276" w:lineRule="auto"/>
              <w:rPr>
                <w:rFonts w:ascii="Arial" w:eastAsia="Arial" w:hAnsi="Arial" w:cs="Arial"/>
              </w:rPr>
            </w:pPr>
          </w:p>
        </w:tc>
        <w:tc>
          <w:tcPr>
            <w:tcW w:w="4497" w:type="dxa"/>
          </w:tcPr>
          <w:p w14:paraId="3C5DF582" w14:textId="77777777" w:rsidR="00E35A80" w:rsidRDefault="00E35A80">
            <w:pPr>
              <w:rPr>
                <w:rFonts w:ascii="Arial" w:eastAsia="Arial" w:hAnsi="Arial" w:cs="Arial"/>
              </w:rPr>
            </w:pPr>
          </w:p>
        </w:tc>
        <w:tc>
          <w:tcPr>
            <w:tcW w:w="360" w:type="dxa"/>
            <w:vMerge/>
          </w:tcPr>
          <w:p w14:paraId="7BA042F5" w14:textId="77777777" w:rsidR="00E35A80" w:rsidRDefault="00E35A80">
            <w:pPr>
              <w:widowControl w:val="0"/>
              <w:pBdr>
                <w:top w:val="nil"/>
                <w:left w:val="nil"/>
                <w:bottom w:val="nil"/>
                <w:right w:val="nil"/>
                <w:between w:val="nil"/>
              </w:pBdr>
              <w:spacing w:after="0" w:line="276" w:lineRule="auto"/>
              <w:rPr>
                <w:rFonts w:ascii="Arial" w:eastAsia="Arial" w:hAnsi="Arial" w:cs="Arial"/>
              </w:rPr>
            </w:pPr>
          </w:p>
        </w:tc>
        <w:tc>
          <w:tcPr>
            <w:tcW w:w="4587" w:type="dxa"/>
            <w:vMerge/>
          </w:tcPr>
          <w:p w14:paraId="4E359CD3" w14:textId="77777777" w:rsidR="00E35A80" w:rsidRDefault="00E35A80">
            <w:pPr>
              <w:widowControl w:val="0"/>
              <w:pBdr>
                <w:top w:val="nil"/>
                <w:left w:val="nil"/>
                <w:bottom w:val="nil"/>
                <w:right w:val="nil"/>
                <w:between w:val="nil"/>
              </w:pBdr>
              <w:spacing w:after="0" w:line="276" w:lineRule="auto"/>
              <w:rPr>
                <w:rFonts w:ascii="Arial" w:eastAsia="Arial" w:hAnsi="Arial" w:cs="Arial"/>
              </w:rPr>
            </w:pPr>
          </w:p>
        </w:tc>
      </w:tr>
      <w:tr w:rsidR="00E35A80" w14:paraId="5AFDCCFA" w14:textId="77777777">
        <w:trPr>
          <w:trHeight w:val="6431"/>
          <w:jc w:val="center"/>
        </w:trPr>
        <w:tc>
          <w:tcPr>
            <w:tcW w:w="4530" w:type="dxa"/>
            <w:vMerge/>
          </w:tcPr>
          <w:p w14:paraId="768E2E18" w14:textId="77777777" w:rsidR="00E35A80" w:rsidRDefault="00E35A80">
            <w:pPr>
              <w:widowControl w:val="0"/>
              <w:pBdr>
                <w:top w:val="nil"/>
                <w:left w:val="nil"/>
                <w:bottom w:val="nil"/>
                <w:right w:val="nil"/>
                <w:between w:val="nil"/>
              </w:pBdr>
              <w:spacing w:after="0" w:line="276" w:lineRule="auto"/>
              <w:rPr>
                <w:rFonts w:ascii="Arial" w:eastAsia="Arial" w:hAnsi="Arial" w:cs="Arial"/>
              </w:rPr>
            </w:pPr>
          </w:p>
        </w:tc>
        <w:tc>
          <w:tcPr>
            <w:tcW w:w="416" w:type="dxa"/>
            <w:vMerge/>
          </w:tcPr>
          <w:p w14:paraId="478B4C86" w14:textId="77777777" w:rsidR="00E35A80" w:rsidRDefault="00E35A80">
            <w:pPr>
              <w:widowControl w:val="0"/>
              <w:pBdr>
                <w:top w:val="nil"/>
                <w:left w:val="nil"/>
                <w:bottom w:val="nil"/>
                <w:right w:val="nil"/>
                <w:between w:val="nil"/>
              </w:pBdr>
              <w:spacing w:after="0" w:line="276" w:lineRule="auto"/>
              <w:rPr>
                <w:rFonts w:ascii="Arial" w:eastAsia="Arial" w:hAnsi="Arial" w:cs="Arial"/>
              </w:rPr>
            </w:pPr>
          </w:p>
        </w:tc>
        <w:tc>
          <w:tcPr>
            <w:tcW w:w="4497" w:type="dxa"/>
          </w:tcPr>
          <w:p w14:paraId="4603899F" w14:textId="77777777" w:rsidR="00E35A80" w:rsidRDefault="006447E7">
            <w:pPr>
              <w:pStyle w:val="Heading1"/>
              <w:rPr>
                <w:rFonts w:ascii="Calibri" w:eastAsia="Calibri" w:hAnsi="Calibri" w:cs="Calibri"/>
                <w:color w:val="FF0000"/>
                <w:sz w:val="24"/>
                <w:szCs w:val="24"/>
              </w:rPr>
            </w:pPr>
            <w:r>
              <w:rPr>
                <w:rFonts w:ascii="Calibri" w:eastAsia="Calibri" w:hAnsi="Calibri" w:cs="Calibri"/>
                <w:color w:val="FF0000"/>
                <w:sz w:val="24"/>
                <w:szCs w:val="24"/>
              </w:rPr>
              <w:t>Challenges faced by the service</w:t>
            </w:r>
          </w:p>
          <w:p w14:paraId="10C3638B" w14:textId="77777777" w:rsidR="00E35A80" w:rsidRDefault="006447E7">
            <w:pPr>
              <w:rPr>
                <w:rFonts w:ascii="Calibri" w:eastAsia="Calibri" w:hAnsi="Calibri" w:cs="Calibri"/>
              </w:rPr>
            </w:pPr>
            <w:r>
              <w:rPr>
                <w:rFonts w:ascii="Calibri" w:eastAsia="Calibri" w:hAnsi="Calibri" w:cs="Calibri"/>
                <w:b/>
              </w:rPr>
              <w:t>1.Workforce shortages</w:t>
            </w:r>
            <w:r>
              <w:rPr>
                <w:rFonts w:ascii="Calibri" w:eastAsia="Calibri" w:hAnsi="Calibri" w:cs="Calibri"/>
              </w:rPr>
              <w:t xml:space="preserve">: There is a shortage of trained midwives. The Royal College of Midwives (2023) notes that recruitment is particularly difficult in rural areas such as Powys and Ceredigion. As a result, midwives often manage large caseloads </w:t>
            </w:r>
          </w:p>
          <w:p w14:paraId="32CE899D" w14:textId="77777777" w:rsidR="00E35A80" w:rsidRDefault="006447E7">
            <w:pPr>
              <w:rPr>
                <w:rFonts w:ascii="Calibri" w:eastAsia="Calibri" w:hAnsi="Calibri" w:cs="Calibri"/>
              </w:rPr>
            </w:pPr>
            <w:r>
              <w:rPr>
                <w:rFonts w:ascii="Calibri" w:eastAsia="Calibri" w:hAnsi="Calibri" w:cs="Calibri"/>
                <w:b/>
              </w:rPr>
              <w:t>2. Inequalities in maternal health outcomes</w:t>
            </w:r>
            <w:r>
              <w:rPr>
                <w:rFonts w:ascii="Calibri" w:eastAsia="Calibri" w:hAnsi="Calibri" w:cs="Calibri"/>
              </w:rPr>
              <w:t xml:space="preserve">: A Public Health Wales (2023) reports that women from deprived backgrounds and ethnic minority communities are more likely to experience poor pregnancy outcomes including preterm birth and low birth weight. Barriers such as language differences, lack of transport, and social stigma can make it harder for some women to access regular antenatal care. </w:t>
            </w:r>
          </w:p>
          <w:p w14:paraId="388215C4" w14:textId="77777777" w:rsidR="00E35A80" w:rsidRDefault="006447E7">
            <w:pPr>
              <w:rPr>
                <w:rFonts w:ascii="Calibri" w:eastAsia="Calibri" w:hAnsi="Calibri" w:cs="Calibri"/>
              </w:rPr>
            </w:pPr>
            <w:r>
              <w:rPr>
                <w:rFonts w:ascii="Calibri" w:eastAsia="Calibri" w:hAnsi="Calibri" w:cs="Calibri"/>
              </w:rPr>
              <w:t>To tackle this, NHS Wales introduced the Maternity Equity Strategy (2023), which promotes culturally sensitive care, community outreach, and better use of data to identify and close health gaps.</w:t>
            </w:r>
          </w:p>
          <w:p w14:paraId="7189CFD9" w14:textId="77777777" w:rsidR="00E35A80" w:rsidRDefault="006447E7">
            <w:pPr>
              <w:rPr>
                <w:rFonts w:ascii="Calibri" w:eastAsia="Calibri" w:hAnsi="Calibri" w:cs="Calibri"/>
              </w:rPr>
            </w:pPr>
            <w:r>
              <w:rPr>
                <w:rFonts w:ascii="Calibri" w:eastAsia="Calibri" w:hAnsi="Calibri" w:cs="Calibri"/>
              </w:rPr>
              <w:t>Community midwifery is a vital link between healthcare and wider social support systems. Midwives collaborate with GPs, social workers, health visitors, and voluntary organizations to address factors like housing, poverty, and domestic abuse that influence maternal health.</w:t>
            </w:r>
          </w:p>
          <w:p w14:paraId="4EF7BB41" w14:textId="77777777" w:rsidR="00E35A80" w:rsidRDefault="006447E7">
            <w:pPr>
              <w:rPr>
                <w:rFonts w:ascii="Calibri" w:eastAsia="Calibri" w:hAnsi="Calibri" w:cs="Calibri"/>
              </w:rPr>
            </w:pPr>
            <w:r>
              <w:rPr>
                <w:rFonts w:ascii="Calibri" w:eastAsia="Calibri" w:hAnsi="Calibri" w:cs="Calibri"/>
              </w:rPr>
              <w:t xml:space="preserve">The service supports several public health goals under the Well-being of Future Generations (Wales) Act 2015, such as reducing smoking in pregnancy, promoting mental wellbeing, and encouraging healthy lifestyles. By taking a </w:t>
            </w:r>
            <w:r>
              <w:rPr>
                <w:rFonts w:ascii="Calibri" w:eastAsia="Calibri" w:hAnsi="Calibri" w:cs="Calibri"/>
              </w:rPr>
              <w:lastRenderedPageBreak/>
              <w:t>holistic approach, midwives help families stay healthy long after the baby is born.</w:t>
            </w:r>
          </w:p>
          <w:p w14:paraId="10D79D89" w14:textId="77777777" w:rsidR="00E35A80" w:rsidRDefault="006447E7">
            <w:pPr>
              <w:rPr>
                <w:rFonts w:ascii="Calibri" w:eastAsia="Calibri" w:hAnsi="Calibri" w:cs="Calibri"/>
              </w:rPr>
            </w:pPr>
            <w:r>
              <w:rPr>
                <w:rFonts w:ascii="Calibri" w:eastAsia="Calibri" w:hAnsi="Calibri" w:cs="Calibri"/>
                <w:b/>
              </w:rPr>
              <w:t>Theoretical Frameworks</w:t>
            </w:r>
            <w:r>
              <w:rPr>
                <w:rFonts w:ascii="Calibri" w:eastAsia="Calibri" w:hAnsi="Calibri" w:cs="Calibri"/>
              </w:rPr>
              <w:t>: Community midwifery is guided by two main frameworks. The first is the Person-Centered Care Framework (McCormack &amp; McCance, 2017), which focuses on treating each woman with respect, dignity, and compassion while empowering her to make informed choices.</w:t>
            </w:r>
          </w:p>
          <w:p w14:paraId="3AC339FB" w14:textId="77777777" w:rsidR="00E35A80" w:rsidRDefault="006447E7">
            <w:pPr>
              <w:rPr>
                <w:rFonts w:ascii="Calibri" w:eastAsia="Calibri" w:hAnsi="Calibri" w:cs="Calibri"/>
              </w:rPr>
            </w:pPr>
            <w:r>
              <w:rPr>
                <w:rFonts w:ascii="Calibri" w:eastAsia="Calibri" w:hAnsi="Calibri" w:cs="Calibri"/>
              </w:rPr>
              <w:t>The second is the Social Model of Health, which recognizes that social and environmental factors have a huge impact on wellbeing (Naidoo &amp; Wills, 2021). Together, these models support the Nursing and Midwifery Council (NMC) Code (2018), which calls on practitioners to “prioritize people, practice effectively, preserve safety, and promote professionalism.”</w:t>
            </w:r>
          </w:p>
          <w:p w14:paraId="6E942846" w14:textId="77777777" w:rsidR="00E35A80" w:rsidRDefault="006447E7">
            <w:pPr>
              <w:rPr>
                <w:rFonts w:ascii="Calibri" w:eastAsia="Calibri" w:hAnsi="Calibri" w:cs="Calibri"/>
              </w:rPr>
            </w:pPr>
            <w:r>
              <w:rPr>
                <w:rFonts w:ascii="Calibri" w:eastAsia="Calibri" w:hAnsi="Calibri" w:cs="Calibri"/>
                <w:b/>
              </w:rPr>
              <w:t>Conclusion</w:t>
            </w:r>
            <w:r>
              <w:rPr>
                <w:rFonts w:ascii="Calibri" w:eastAsia="Calibri" w:hAnsi="Calibri" w:cs="Calibri"/>
              </w:rPr>
              <w:t>: Community antenatal midwifery services are central to ensuring safe, compassionate, and equitable maternity care across Wales. As Wales continues to invest in training, equity, and innovation, community midwifery remains a shining example of how local healthcare can change lives for generations to come.</w:t>
            </w:r>
          </w:p>
          <w:p w14:paraId="44D9FA51" w14:textId="77777777" w:rsidR="00E35A80" w:rsidRDefault="00E35A80">
            <w:pPr>
              <w:rPr>
                <w:rFonts w:ascii="Calibri" w:eastAsia="Calibri" w:hAnsi="Calibri" w:cs="Calibri"/>
              </w:rPr>
            </w:pPr>
          </w:p>
          <w:p w14:paraId="7964DD0C" w14:textId="77777777" w:rsidR="00E35A80" w:rsidRDefault="00E35A80">
            <w:pPr>
              <w:rPr>
                <w:rFonts w:ascii="Calibri" w:eastAsia="Calibri" w:hAnsi="Calibri" w:cs="Calibri"/>
              </w:rPr>
            </w:pPr>
          </w:p>
        </w:tc>
        <w:tc>
          <w:tcPr>
            <w:tcW w:w="360" w:type="dxa"/>
            <w:vMerge/>
          </w:tcPr>
          <w:p w14:paraId="2D811D95" w14:textId="77777777" w:rsidR="00E35A80" w:rsidRDefault="00E35A80">
            <w:pPr>
              <w:widowControl w:val="0"/>
              <w:pBdr>
                <w:top w:val="nil"/>
                <w:left w:val="nil"/>
                <w:bottom w:val="nil"/>
                <w:right w:val="nil"/>
                <w:between w:val="nil"/>
              </w:pBdr>
              <w:spacing w:after="0" w:line="276" w:lineRule="auto"/>
              <w:rPr>
                <w:rFonts w:ascii="Calibri" w:eastAsia="Calibri" w:hAnsi="Calibri" w:cs="Calibri"/>
              </w:rPr>
            </w:pPr>
          </w:p>
        </w:tc>
        <w:tc>
          <w:tcPr>
            <w:tcW w:w="4587" w:type="dxa"/>
            <w:vMerge/>
          </w:tcPr>
          <w:p w14:paraId="4D58994C" w14:textId="77777777" w:rsidR="00E35A80" w:rsidRDefault="00E35A80">
            <w:pPr>
              <w:widowControl w:val="0"/>
              <w:pBdr>
                <w:top w:val="nil"/>
                <w:left w:val="nil"/>
                <w:bottom w:val="nil"/>
                <w:right w:val="nil"/>
                <w:between w:val="nil"/>
              </w:pBdr>
              <w:spacing w:after="0" w:line="276" w:lineRule="auto"/>
              <w:rPr>
                <w:rFonts w:ascii="Calibri" w:eastAsia="Calibri" w:hAnsi="Calibri" w:cs="Calibri"/>
              </w:rPr>
            </w:pPr>
          </w:p>
        </w:tc>
      </w:tr>
    </w:tbl>
    <w:p w14:paraId="18B4A43E" w14:textId="4219C488" w:rsidR="00E35A80" w:rsidRDefault="00E35A80" w:rsidP="001D2C2A">
      <w:pPr>
        <w:pBdr>
          <w:top w:val="nil"/>
          <w:left w:val="nil"/>
          <w:bottom w:val="nil"/>
          <w:right w:val="nil"/>
          <w:between w:val="nil"/>
        </w:pBdr>
        <w:spacing w:after="0"/>
        <w:rPr>
          <w:rFonts w:ascii="Calibri" w:eastAsia="Calibri" w:hAnsi="Calibri" w:cs="Calibri"/>
          <w:color w:val="000000"/>
        </w:rPr>
      </w:pPr>
    </w:p>
    <w:p w14:paraId="58E84AA8" w14:textId="77777777" w:rsidR="00E35A80" w:rsidRDefault="00E35A80">
      <w:pPr>
        <w:rPr>
          <w:rFonts w:ascii="Arial" w:eastAsia="Arial" w:hAnsi="Arial" w:cs="Arial"/>
          <w:sz w:val="24"/>
          <w:szCs w:val="24"/>
        </w:rPr>
      </w:pPr>
    </w:p>
    <w:p w14:paraId="6284F36F" w14:textId="77777777" w:rsidR="00E35A80" w:rsidRDefault="006447E7">
      <w:pPr>
        <w:rPr>
          <w:rFonts w:ascii="Calibri" w:eastAsia="Calibri" w:hAnsi="Calibri" w:cs="Calibri"/>
          <w:b/>
        </w:rPr>
      </w:pPr>
      <w:r>
        <w:rPr>
          <w:rFonts w:ascii="Calibri" w:eastAsia="Calibri" w:hAnsi="Calibri" w:cs="Calibri"/>
          <w:b/>
        </w:rPr>
        <w:t xml:space="preserve">Task 2: A 600-word Essay </w:t>
      </w:r>
    </w:p>
    <w:p w14:paraId="217BD273" w14:textId="77777777" w:rsidR="00E35A80" w:rsidRDefault="006447E7">
      <w:pPr>
        <w:rPr>
          <w:rFonts w:ascii="Calibri" w:eastAsia="Calibri" w:hAnsi="Calibri" w:cs="Calibri"/>
          <w:b/>
        </w:rPr>
      </w:pPr>
      <w:r>
        <w:rPr>
          <w:rFonts w:ascii="Calibri" w:eastAsia="Calibri" w:hAnsi="Calibri" w:cs="Calibri"/>
          <w:b/>
        </w:rPr>
        <w:t xml:space="preserve">Discuss the origins of the National Health Service (NHS), exploring the historical context and key principles that led to its establishment. Critically examine the current structure of the NHS and its functioning </w:t>
      </w:r>
    </w:p>
    <w:p w14:paraId="2645598D" w14:textId="77777777" w:rsidR="00E35A80" w:rsidRDefault="00E35A80">
      <w:pPr>
        <w:rPr>
          <w:rFonts w:ascii="Calibri" w:eastAsia="Calibri" w:hAnsi="Calibri" w:cs="Calibri"/>
        </w:rPr>
      </w:pPr>
    </w:p>
    <w:p w14:paraId="4D892C8C" w14:textId="77777777" w:rsidR="00E35A80" w:rsidRDefault="006447E7">
      <w:pPr>
        <w:rPr>
          <w:rFonts w:ascii="Calibri" w:eastAsia="Calibri" w:hAnsi="Calibri" w:cs="Calibri"/>
          <w:b/>
        </w:rPr>
      </w:pPr>
      <w:r>
        <w:rPr>
          <w:rFonts w:ascii="Calibri" w:eastAsia="Calibri" w:hAnsi="Calibri" w:cs="Calibri"/>
          <w:b/>
        </w:rPr>
        <w:t>THE ORIGINS AND CURRENT STRUCTURE OF THE NATIONAL HEALTH SERVICE (NHS)</w:t>
      </w:r>
    </w:p>
    <w:p w14:paraId="227EC4C9" w14:textId="77777777" w:rsidR="00E35A80" w:rsidRDefault="006447E7">
      <w:pPr>
        <w:rPr>
          <w:rFonts w:ascii="Calibri" w:eastAsia="Calibri" w:hAnsi="Calibri" w:cs="Calibri"/>
          <w:b/>
        </w:rPr>
      </w:pPr>
      <w:r>
        <w:rPr>
          <w:rFonts w:ascii="Calibri" w:eastAsia="Calibri" w:hAnsi="Calibri" w:cs="Calibri"/>
          <w:b/>
        </w:rPr>
        <w:t>INTRODUCTION</w:t>
      </w:r>
    </w:p>
    <w:p w14:paraId="70D65701" w14:textId="3B1268BF" w:rsidR="00E35A80" w:rsidRPr="00DD49EB" w:rsidRDefault="006447E7">
      <w:pPr>
        <w:rPr>
          <w:rFonts w:ascii="Calibri" w:eastAsia="Calibri" w:hAnsi="Calibri" w:cs="Calibri"/>
        </w:rPr>
      </w:pPr>
      <w:r>
        <w:rPr>
          <w:rFonts w:ascii="Calibri" w:eastAsia="Calibri" w:hAnsi="Calibri" w:cs="Calibri"/>
        </w:rPr>
        <w:t xml:space="preserve">The National Health Service (NHS) is one of the United Kingdom’s greatest social achievements. Since its creation in 1948, it has offered healthcare that is free at the point of use and accessible to everyone, regardless of social status. The idea that good health care should be a public right rather than a privilege </w:t>
      </w:r>
      <w:proofErr w:type="gramStart"/>
      <w:r>
        <w:rPr>
          <w:rFonts w:ascii="Calibri" w:eastAsia="Calibri" w:hAnsi="Calibri" w:cs="Calibri"/>
        </w:rPr>
        <w:t>reshaped</w:t>
      </w:r>
      <w:proofErr w:type="gramEnd"/>
      <w:r>
        <w:rPr>
          <w:rFonts w:ascii="Calibri" w:eastAsia="Calibri" w:hAnsi="Calibri" w:cs="Calibri"/>
        </w:rPr>
        <w:t xml:space="preserve"> the country’s social values and remains central to the NHS today (Baggott, 2019). My essay explains how the NHS began, what shaped its creation, and how it is structured and operates in the present day.</w:t>
      </w:r>
    </w:p>
    <w:p w14:paraId="69D4B1E7" w14:textId="77777777" w:rsidR="00E35A80" w:rsidRDefault="006447E7">
      <w:pPr>
        <w:rPr>
          <w:rFonts w:ascii="Calibri" w:eastAsia="Calibri" w:hAnsi="Calibri" w:cs="Calibri"/>
        </w:rPr>
      </w:pPr>
      <w:r>
        <w:rPr>
          <w:rFonts w:ascii="Calibri" w:eastAsia="Calibri" w:hAnsi="Calibri" w:cs="Calibri"/>
        </w:rPr>
        <w:t xml:space="preserve">In 1942, Sir William Beveridge published a report that proposed tackling what he called the “five giant evils”- want, disease, ignorance, squalor, and idleness (Beveridge, 1942). His report became a blueprint for welfare reforms that followed the war. The </w:t>
      </w:r>
      <w:proofErr w:type="spellStart"/>
      <w:r>
        <w:rPr>
          <w:rFonts w:ascii="Calibri" w:eastAsia="Calibri" w:hAnsi="Calibri" w:cs="Calibri"/>
        </w:rPr>
        <w:t>Labour</w:t>
      </w:r>
      <w:proofErr w:type="spellEnd"/>
      <w:r>
        <w:rPr>
          <w:rFonts w:ascii="Calibri" w:eastAsia="Calibri" w:hAnsi="Calibri" w:cs="Calibri"/>
        </w:rPr>
        <w:t xml:space="preserve"> government led by Clement Attlee took up these five ideas, and the Minister of Health, Aneurin Bevan, introduced the National Health Service Act in 1946. When the NHS was officially opened on 5 July 1948, every citizen of the UK gained access to medical care without direct payment (The National Archives, 2023).</w:t>
      </w:r>
    </w:p>
    <w:p w14:paraId="1FB9E487" w14:textId="77777777" w:rsidR="00E35A80" w:rsidRDefault="006447E7">
      <w:pPr>
        <w:rPr>
          <w:rFonts w:ascii="Calibri" w:eastAsia="Calibri" w:hAnsi="Calibri" w:cs="Calibri"/>
          <w:b/>
        </w:rPr>
      </w:pPr>
      <w:r>
        <w:rPr>
          <w:rFonts w:ascii="Calibri" w:eastAsia="Calibri" w:hAnsi="Calibri" w:cs="Calibri"/>
          <w:b/>
        </w:rPr>
        <w:t>CORE PRINCIPLES</w:t>
      </w:r>
    </w:p>
    <w:p w14:paraId="3980E151" w14:textId="2DEDCDDB" w:rsidR="00E35A80" w:rsidRDefault="006447E7">
      <w:pPr>
        <w:rPr>
          <w:rFonts w:ascii="Calibri" w:eastAsia="Calibri" w:hAnsi="Calibri" w:cs="Calibri"/>
        </w:rPr>
      </w:pPr>
      <w:r>
        <w:rPr>
          <w:rFonts w:ascii="Calibri" w:eastAsia="Calibri" w:hAnsi="Calibri" w:cs="Calibri"/>
        </w:rPr>
        <w:t xml:space="preserve">The NHS was </w:t>
      </w:r>
      <w:r w:rsidR="00B735D3">
        <w:rPr>
          <w:rFonts w:ascii="Calibri" w:eastAsia="Calibri" w:hAnsi="Calibri" w:cs="Calibri"/>
        </w:rPr>
        <w:t>b</w:t>
      </w:r>
      <w:r>
        <w:rPr>
          <w:rFonts w:ascii="Calibri" w:eastAsia="Calibri" w:hAnsi="Calibri" w:cs="Calibri"/>
        </w:rPr>
        <w:t>uilt on three simple but powerful principles:</w:t>
      </w:r>
    </w:p>
    <w:p w14:paraId="2050A4D6" w14:textId="65F45175" w:rsidR="00E35A80" w:rsidRDefault="006447E7">
      <w:pPr>
        <w:spacing w:after="0"/>
        <w:rPr>
          <w:rFonts w:ascii="Calibri" w:eastAsia="Calibri" w:hAnsi="Calibri" w:cs="Calibri"/>
        </w:rPr>
      </w:pPr>
      <w:r>
        <w:rPr>
          <w:rFonts w:ascii="Calibri" w:eastAsia="Calibri" w:hAnsi="Calibri" w:cs="Calibri"/>
        </w:rPr>
        <w:t>It must meet the needs of everyone</w:t>
      </w:r>
      <w:r w:rsidR="00AE47B3">
        <w:rPr>
          <w:rFonts w:ascii="Calibri" w:eastAsia="Calibri" w:hAnsi="Calibri" w:cs="Calibri"/>
        </w:rPr>
        <w:t xml:space="preserve">, to the point of </w:t>
      </w:r>
      <w:r w:rsidR="008865C8">
        <w:rPr>
          <w:rFonts w:ascii="Calibri" w:eastAsia="Calibri" w:hAnsi="Calibri" w:cs="Calibri"/>
        </w:rPr>
        <w:t>delivery,</w:t>
      </w:r>
      <w:r w:rsidR="00A71F04">
        <w:rPr>
          <w:rFonts w:ascii="Calibri" w:eastAsia="Calibri" w:hAnsi="Calibri" w:cs="Calibri"/>
        </w:rPr>
        <w:t xml:space="preserve"> and it should be based on clin</w:t>
      </w:r>
      <w:r w:rsidR="00FD1250">
        <w:rPr>
          <w:rFonts w:ascii="Calibri" w:eastAsia="Calibri" w:hAnsi="Calibri" w:cs="Calibri"/>
        </w:rPr>
        <w:t>ical</w:t>
      </w:r>
      <w:r w:rsidR="00DB663A">
        <w:rPr>
          <w:rFonts w:ascii="Calibri" w:eastAsia="Calibri" w:hAnsi="Calibri" w:cs="Calibri"/>
        </w:rPr>
        <w:t xml:space="preserve"> </w:t>
      </w:r>
      <w:r w:rsidR="00643F9A">
        <w:rPr>
          <w:rFonts w:ascii="Calibri" w:eastAsia="Calibri" w:hAnsi="Calibri" w:cs="Calibri"/>
        </w:rPr>
        <w:t>notability</w:t>
      </w:r>
      <w:r w:rsidR="00DB663A">
        <w:rPr>
          <w:rFonts w:ascii="Calibri" w:eastAsia="Calibri" w:hAnsi="Calibri" w:cs="Calibri"/>
        </w:rPr>
        <w:t xml:space="preserve"> to pay </w:t>
      </w:r>
      <w:r w:rsidR="0033392C">
        <w:rPr>
          <w:rFonts w:ascii="Calibri" w:eastAsia="Calibri" w:hAnsi="Calibri" w:cs="Calibri"/>
        </w:rPr>
        <w:t>(Depar</w:t>
      </w:r>
      <w:r w:rsidR="00CA1A22">
        <w:rPr>
          <w:rFonts w:ascii="Calibri" w:eastAsia="Calibri" w:hAnsi="Calibri" w:cs="Calibri"/>
        </w:rPr>
        <w:t>tment of health and soc</w:t>
      </w:r>
      <w:r w:rsidR="0065041C">
        <w:rPr>
          <w:rFonts w:ascii="Calibri" w:eastAsia="Calibri" w:hAnsi="Calibri" w:cs="Calibri"/>
        </w:rPr>
        <w:t>ial care</w:t>
      </w:r>
      <w:r w:rsidR="00A47207">
        <w:rPr>
          <w:rFonts w:ascii="Calibri" w:eastAsia="Calibri" w:hAnsi="Calibri" w:cs="Calibri"/>
        </w:rPr>
        <w:t xml:space="preserve"> 2022)</w:t>
      </w:r>
    </w:p>
    <w:p w14:paraId="0EB9C51B" w14:textId="46B29383" w:rsidR="00DD49EB" w:rsidRPr="00DD49EB" w:rsidRDefault="00DD49EB" w:rsidP="00DD49EB">
      <w:pPr>
        <w:spacing w:after="0"/>
        <w:rPr>
          <w:rFonts w:ascii="Calibri" w:eastAsia="Calibri" w:hAnsi="Calibri" w:cs="Calibri"/>
        </w:rPr>
      </w:pPr>
    </w:p>
    <w:p w14:paraId="0CDB96B8" w14:textId="77777777" w:rsidR="00E35A80" w:rsidRDefault="006447E7">
      <w:pPr>
        <w:rPr>
          <w:rFonts w:ascii="Calibri" w:eastAsia="Calibri" w:hAnsi="Calibri" w:cs="Calibri"/>
        </w:rPr>
      </w:pPr>
      <w:r>
        <w:rPr>
          <w:rFonts w:ascii="Calibri" w:eastAsia="Calibri" w:hAnsi="Calibri" w:cs="Calibri"/>
        </w:rPr>
        <w:t>The NHS was organized into three main parts when it started hospitals, general practice, and community health services. This structure increased access but created duplication and bureaucracy (Ham, 2020). Later governments reformed the system to make it more effective. In 1990, the NHS and Community Care Act introduced an internal market that separated those who purchased services from those who provided them.</w:t>
      </w:r>
    </w:p>
    <w:p w14:paraId="5F31CCB6" w14:textId="77777777" w:rsidR="00E35A80" w:rsidRDefault="006447E7">
      <w:pPr>
        <w:rPr>
          <w:rFonts w:ascii="Calibri" w:eastAsia="Calibri" w:hAnsi="Calibri" w:cs="Calibri"/>
        </w:rPr>
      </w:pPr>
      <w:r>
        <w:rPr>
          <w:rFonts w:ascii="Calibri" w:eastAsia="Calibri" w:hAnsi="Calibri" w:cs="Calibri"/>
        </w:rPr>
        <w:t xml:space="preserve">All four UK nations independently manage their own distinct NHS. England operates through Integrated Care Systems (ICSs) that bring together hospitals, GPs, and social care providers to plan services locally. Wales by contrast focuses more on collaboration and preventive health hence avoiding competitive models (Department of Health and Social Care, 2022). </w:t>
      </w:r>
    </w:p>
    <w:p w14:paraId="148740FB" w14:textId="77777777" w:rsidR="00E35A80" w:rsidRDefault="006447E7">
      <w:pPr>
        <w:rPr>
          <w:rFonts w:ascii="Calibri" w:eastAsia="Calibri" w:hAnsi="Calibri" w:cs="Calibri"/>
          <w:b/>
        </w:rPr>
      </w:pPr>
      <w:r>
        <w:rPr>
          <w:rFonts w:ascii="Calibri" w:eastAsia="Calibri" w:hAnsi="Calibri" w:cs="Calibri"/>
          <w:b/>
        </w:rPr>
        <w:t>CURRENT CHALLENGES</w:t>
      </w:r>
    </w:p>
    <w:p w14:paraId="23D48F03" w14:textId="77777777" w:rsidR="00E35A80" w:rsidRDefault="006447E7">
      <w:pPr>
        <w:rPr>
          <w:rFonts w:ascii="Calibri" w:eastAsia="Calibri" w:hAnsi="Calibri" w:cs="Calibri"/>
        </w:rPr>
      </w:pPr>
      <w:r>
        <w:rPr>
          <w:rFonts w:ascii="Calibri" w:eastAsia="Calibri" w:hAnsi="Calibri" w:cs="Calibri"/>
        </w:rPr>
        <w:t>The NHS faces various challenges. An aging population, chronic illnesses, and rising patient expectations have increased pressure on services. Funding has not always kept pace with these ever-changing demands, leading to longer waiting times and resource shortages (Baggott, 2019).</w:t>
      </w:r>
    </w:p>
    <w:p w14:paraId="2C7F37EA" w14:textId="77777777" w:rsidR="00E35A80" w:rsidRDefault="006447E7">
      <w:pPr>
        <w:rPr>
          <w:rFonts w:ascii="Calibri" w:eastAsia="Calibri" w:hAnsi="Calibri" w:cs="Calibri"/>
        </w:rPr>
      </w:pPr>
      <w:r>
        <w:rPr>
          <w:rFonts w:ascii="Calibri" w:eastAsia="Calibri" w:hAnsi="Calibri" w:cs="Calibri"/>
        </w:rPr>
        <w:t>The NHS struggles to recruit and retain enough nurses, doctors, and other professionals, causing burnout and high turnover rates (Ham, 2020). At the same time, health inequalities remain wide. People living in poorer areas tend to experience worse health and shorter life expectancy (Klein, 2019).</w:t>
      </w:r>
    </w:p>
    <w:p w14:paraId="2790CCF9" w14:textId="77777777" w:rsidR="00E35A80" w:rsidRDefault="006447E7">
      <w:pPr>
        <w:rPr>
          <w:rFonts w:ascii="Calibri" w:eastAsia="Calibri" w:hAnsi="Calibri" w:cs="Calibri"/>
          <w:b/>
        </w:rPr>
      </w:pPr>
      <w:r>
        <w:rPr>
          <w:rFonts w:ascii="Calibri" w:eastAsia="Calibri" w:hAnsi="Calibri" w:cs="Calibri"/>
          <w:b/>
        </w:rPr>
        <w:t>CONCLUSION</w:t>
      </w:r>
    </w:p>
    <w:p w14:paraId="79143270" w14:textId="1375AB78" w:rsidR="00E35A80" w:rsidRDefault="006447E7">
      <w:pPr>
        <w:rPr>
          <w:rFonts w:ascii="Calibri" w:eastAsia="Calibri" w:hAnsi="Calibri" w:cs="Calibri"/>
        </w:rPr>
      </w:pPr>
      <w:r>
        <w:rPr>
          <w:rFonts w:ascii="Calibri" w:eastAsia="Calibri" w:hAnsi="Calibri" w:cs="Calibri"/>
        </w:rPr>
        <w:t xml:space="preserve">The NHS was born out of a vision for a fairer and healthier United Kingdom. Despite the funding pressures, workforce shortages, and growing health inequalities, the NHS continues to portray Bevan’s principle that “no society can legitimately call itself civilized if a sick person is denied medical aid because of lack of </w:t>
      </w:r>
      <w:r>
        <w:rPr>
          <w:rFonts w:ascii="Calibri" w:eastAsia="Calibri" w:hAnsi="Calibri" w:cs="Calibri"/>
        </w:rPr>
        <w:lastRenderedPageBreak/>
        <w:t>means.” To secure its future, continuous investment, innovation, and workforce support are vital so that the NHS can keep serving future generations with compassion and equality.</w:t>
      </w:r>
    </w:p>
    <w:p w14:paraId="16DFE58E" w14:textId="77777777" w:rsidR="00E35A80" w:rsidRDefault="00E35A80">
      <w:pPr>
        <w:rPr>
          <w:rFonts w:ascii="Calibri" w:eastAsia="Calibri" w:hAnsi="Calibri" w:cs="Calibri"/>
          <w:b/>
        </w:rPr>
      </w:pPr>
    </w:p>
    <w:p w14:paraId="26763D99" w14:textId="77777777" w:rsidR="00E35A80" w:rsidRDefault="00E35A80">
      <w:pPr>
        <w:rPr>
          <w:rFonts w:ascii="Calibri" w:eastAsia="Calibri" w:hAnsi="Calibri" w:cs="Calibri"/>
          <w:b/>
        </w:rPr>
      </w:pPr>
    </w:p>
    <w:p w14:paraId="3BCC487E" w14:textId="77777777" w:rsidR="00326726" w:rsidRDefault="00326726" w:rsidP="00DD49EB">
      <w:pPr>
        <w:rPr>
          <w:rFonts w:ascii="Calibri" w:eastAsia="Calibri" w:hAnsi="Calibri" w:cs="Calibri"/>
          <w:b/>
        </w:rPr>
      </w:pPr>
    </w:p>
    <w:p w14:paraId="15C868A5" w14:textId="77777777" w:rsidR="00326726" w:rsidRDefault="00326726" w:rsidP="00DD49EB">
      <w:pPr>
        <w:rPr>
          <w:rFonts w:ascii="Calibri" w:eastAsia="Calibri" w:hAnsi="Calibri" w:cs="Calibri"/>
          <w:b/>
        </w:rPr>
      </w:pPr>
    </w:p>
    <w:p w14:paraId="2ABF37EE" w14:textId="77777777" w:rsidR="00326726" w:rsidRDefault="00326726" w:rsidP="00DD49EB">
      <w:pPr>
        <w:rPr>
          <w:rFonts w:ascii="Calibri" w:eastAsia="Calibri" w:hAnsi="Calibri" w:cs="Calibri"/>
          <w:b/>
        </w:rPr>
      </w:pPr>
    </w:p>
    <w:p w14:paraId="7401FF29" w14:textId="77777777" w:rsidR="00326726" w:rsidRDefault="00326726" w:rsidP="00DD49EB">
      <w:pPr>
        <w:rPr>
          <w:rFonts w:ascii="Calibri" w:eastAsia="Calibri" w:hAnsi="Calibri" w:cs="Calibri"/>
          <w:b/>
        </w:rPr>
      </w:pPr>
    </w:p>
    <w:p w14:paraId="14FE9F5F" w14:textId="77777777" w:rsidR="00326726" w:rsidRDefault="00326726" w:rsidP="00DD49EB">
      <w:pPr>
        <w:rPr>
          <w:rFonts w:ascii="Calibri" w:eastAsia="Calibri" w:hAnsi="Calibri" w:cs="Calibri"/>
          <w:b/>
        </w:rPr>
      </w:pPr>
    </w:p>
    <w:p w14:paraId="0CCEB98F" w14:textId="77777777" w:rsidR="00326726" w:rsidRDefault="00326726" w:rsidP="00DD49EB">
      <w:pPr>
        <w:rPr>
          <w:rFonts w:ascii="Calibri" w:eastAsia="Calibri" w:hAnsi="Calibri" w:cs="Calibri"/>
          <w:b/>
        </w:rPr>
      </w:pPr>
    </w:p>
    <w:p w14:paraId="3B4A8566" w14:textId="77777777" w:rsidR="00326726" w:rsidRDefault="00326726" w:rsidP="00DD49EB">
      <w:pPr>
        <w:rPr>
          <w:rFonts w:ascii="Calibri" w:eastAsia="Calibri" w:hAnsi="Calibri" w:cs="Calibri"/>
          <w:b/>
        </w:rPr>
      </w:pPr>
    </w:p>
    <w:p w14:paraId="6EB6A365" w14:textId="77777777" w:rsidR="00326726" w:rsidRDefault="00326726" w:rsidP="00DD49EB">
      <w:pPr>
        <w:rPr>
          <w:rFonts w:ascii="Calibri" w:eastAsia="Calibri" w:hAnsi="Calibri" w:cs="Calibri"/>
          <w:b/>
        </w:rPr>
      </w:pPr>
    </w:p>
    <w:p w14:paraId="7FFD1148" w14:textId="77777777" w:rsidR="00326726" w:rsidRDefault="00326726" w:rsidP="00DD49EB">
      <w:pPr>
        <w:rPr>
          <w:rFonts w:ascii="Calibri" w:eastAsia="Calibri" w:hAnsi="Calibri" w:cs="Calibri"/>
          <w:color w:val="000000"/>
        </w:rPr>
      </w:pPr>
    </w:p>
    <w:p w14:paraId="674B43F9" w14:textId="77777777" w:rsidR="00326726" w:rsidRDefault="00326726" w:rsidP="00DD49EB">
      <w:pPr>
        <w:rPr>
          <w:rFonts w:ascii="Calibri" w:eastAsia="Calibri" w:hAnsi="Calibri" w:cs="Calibri"/>
          <w:color w:val="000000"/>
        </w:rPr>
      </w:pPr>
    </w:p>
    <w:p w14:paraId="18CDF33F" w14:textId="77777777" w:rsidR="00326726" w:rsidRDefault="00326726" w:rsidP="00DD49EB">
      <w:pPr>
        <w:rPr>
          <w:rFonts w:ascii="Calibri" w:eastAsia="Calibri" w:hAnsi="Calibri" w:cs="Calibri"/>
          <w:color w:val="000000"/>
        </w:rPr>
      </w:pPr>
    </w:p>
    <w:p w14:paraId="0FC952C0" w14:textId="77777777" w:rsidR="00326726" w:rsidRDefault="00326726" w:rsidP="00DD49EB">
      <w:pPr>
        <w:rPr>
          <w:rFonts w:ascii="Calibri" w:eastAsia="Calibri" w:hAnsi="Calibri" w:cs="Calibri"/>
          <w:color w:val="000000"/>
        </w:rPr>
      </w:pPr>
    </w:p>
    <w:p w14:paraId="592D31E9" w14:textId="77777777" w:rsidR="00326726" w:rsidRDefault="00326726" w:rsidP="00DD49EB">
      <w:pPr>
        <w:rPr>
          <w:rFonts w:ascii="Calibri" w:eastAsia="Calibri" w:hAnsi="Calibri" w:cs="Calibri"/>
          <w:color w:val="000000"/>
        </w:rPr>
      </w:pPr>
    </w:p>
    <w:p w14:paraId="02AA5A30" w14:textId="77777777" w:rsidR="00326726" w:rsidRDefault="00326726" w:rsidP="00DD49EB">
      <w:pPr>
        <w:rPr>
          <w:rFonts w:ascii="Calibri" w:eastAsia="Calibri" w:hAnsi="Calibri" w:cs="Calibri"/>
          <w:color w:val="000000"/>
        </w:rPr>
      </w:pPr>
    </w:p>
    <w:p w14:paraId="698548E2" w14:textId="77777777" w:rsidR="00326726" w:rsidRDefault="00326726" w:rsidP="00DD49EB">
      <w:pPr>
        <w:rPr>
          <w:rFonts w:ascii="Calibri" w:eastAsia="Calibri" w:hAnsi="Calibri" w:cs="Calibri"/>
          <w:color w:val="000000"/>
        </w:rPr>
      </w:pPr>
    </w:p>
    <w:p w14:paraId="66DB1BC6" w14:textId="77777777" w:rsidR="00326726" w:rsidRDefault="00326726" w:rsidP="00DD49EB">
      <w:pPr>
        <w:rPr>
          <w:rFonts w:ascii="Calibri" w:eastAsia="Calibri" w:hAnsi="Calibri" w:cs="Calibri"/>
          <w:color w:val="000000"/>
        </w:rPr>
      </w:pPr>
    </w:p>
    <w:p w14:paraId="77B5C8AB" w14:textId="77777777" w:rsidR="00326726" w:rsidRDefault="00326726" w:rsidP="00DD49EB">
      <w:pPr>
        <w:rPr>
          <w:rFonts w:ascii="Calibri" w:eastAsia="Calibri" w:hAnsi="Calibri" w:cs="Calibri"/>
          <w:color w:val="000000"/>
        </w:rPr>
      </w:pPr>
    </w:p>
    <w:p w14:paraId="1BE0B4ED" w14:textId="77777777" w:rsidR="00326726" w:rsidRPr="00326726" w:rsidRDefault="00326726" w:rsidP="00326726">
      <w:pPr>
        <w:rPr>
          <w:rFonts w:ascii="Calibri" w:eastAsia="Calibri" w:hAnsi="Calibri" w:cs="Calibri"/>
          <w:color w:val="000000"/>
        </w:rPr>
      </w:pPr>
    </w:p>
    <w:p w14:paraId="41B91207" w14:textId="77777777" w:rsidR="00B2300B" w:rsidRDefault="00B2300B" w:rsidP="00326726">
      <w:pPr>
        <w:rPr>
          <w:rFonts w:ascii="Calibri" w:eastAsia="Calibri" w:hAnsi="Calibri" w:cs="Calibri"/>
          <w:color w:val="000000"/>
        </w:rPr>
      </w:pPr>
    </w:p>
    <w:p w14:paraId="16899642" w14:textId="05379E1B" w:rsidR="00326726" w:rsidRPr="00326726" w:rsidRDefault="00326726" w:rsidP="00326726">
      <w:pPr>
        <w:rPr>
          <w:rFonts w:ascii="Calibri" w:eastAsia="Calibri" w:hAnsi="Calibri" w:cs="Calibri"/>
          <w:color w:val="000000"/>
        </w:rPr>
      </w:pPr>
      <w:r w:rsidRPr="00326726">
        <w:rPr>
          <w:rFonts w:ascii="Calibri" w:eastAsia="Calibri" w:hAnsi="Calibri" w:cs="Calibri"/>
          <w:color w:val="000000"/>
        </w:rPr>
        <w:lastRenderedPageBreak/>
        <w:t xml:space="preserve">REFERENCES </w:t>
      </w:r>
    </w:p>
    <w:p w14:paraId="37561142" w14:textId="7E72C6D7" w:rsidR="00326726" w:rsidRPr="00326726" w:rsidRDefault="00326726" w:rsidP="008865C8">
      <w:pPr>
        <w:spacing w:after="0"/>
        <w:jc w:val="both"/>
        <w:rPr>
          <w:rFonts w:ascii="Calibri" w:eastAsia="Calibri" w:hAnsi="Calibri" w:cs="Calibri"/>
          <w:color w:val="000000"/>
        </w:rPr>
      </w:pPr>
      <w:r w:rsidRPr="00326726">
        <w:rPr>
          <w:rFonts w:ascii="Calibri" w:eastAsia="Calibri" w:hAnsi="Calibri" w:cs="Calibri"/>
          <w:color w:val="000000"/>
        </w:rPr>
        <w:t>Baggott, R. (2019) Understanding Health Policy. 3rd ed. Bristol: Policy Press.</w:t>
      </w:r>
    </w:p>
    <w:p w14:paraId="7BE0DC0D" w14:textId="14432A0F" w:rsidR="00326726" w:rsidRPr="00326726" w:rsidRDefault="00326726" w:rsidP="008865C8">
      <w:pPr>
        <w:spacing w:after="0"/>
        <w:jc w:val="both"/>
        <w:rPr>
          <w:rFonts w:ascii="Calibri" w:eastAsia="Calibri" w:hAnsi="Calibri" w:cs="Calibri"/>
          <w:color w:val="000000"/>
        </w:rPr>
      </w:pPr>
      <w:r w:rsidRPr="00326726">
        <w:rPr>
          <w:rFonts w:ascii="Calibri" w:eastAsia="Calibri" w:hAnsi="Calibri" w:cs="Calibri"/>
          <w:color w:val="000000"/>
        </w:rPr>
        <w:t>Beveridge, W. (1942) Social Insurance and Allied Services. London: HMSO.</w:t>
      </w:r>
    </w:p>
    <w:p w14:paraId="31F9B7A4" w14:textId="77777777" w:rsidR="008865C8" w:rsidRDefault="00326726" w:rsidP="008865C8">
      <w:pPr>
        <w:spacing w:after="0"/>
        <w:jc w:val="both"/>
        <w:rPr>
          <w:rFonts w:ascii="Calibri" w:eastAsia="Calibri" w:hAnsi="Calibri" w:cs="Calibri"/>
          <w:color w:val="000000"/>
        </w:rPr>
      </w:pPr>
      <w:r w:rsidRPr="00326726">
        <w:rPr>
          <w:rFonts w:ascii="Calibri" w:eastAsia="Calibri" w:hAnsi="Calibri" w:cs="Calibri"/>
          <w:color w:val="000000"/>
        </w:rPr>
        <w:t>Department of Health and Social Care (2022) The NHS Constitution for England. London: DHSC.</w:t>
      </w:r>
    </w:p>
    <w:p w14:paraId="1188BB97" w14:textId="2D09D395" w:rsidR="00326726" w:rsidRPr="00326726" w:rsidRDefault="00326726" w:rsidP="008865C8">
      <w:pPr>
        <w:spacing w:after="0"/>
        <w:jc w:val="both"/>
        <w:rPr>
          <w:rFonts w:ascii="Calibri" w:eastAsia="Calibri" w:hAnsi="Calibri" w:cs="Calibri"/>
          <w:color w:val="000000"/>
        </w:rPr>
      </w:pPr>
      <w:r w:rsidRPr="00326726">
        <w:rPr>
          <w:rFonts w:ascii="Calibri" w:eastAsia="Calibri" w:hAnsi="Calibri" w:cs="Calibri"/>
          <w:color w:val="000000"/>
        </w:rPr>
        <w:t>Ham, C. (2020) Health Policy in Britain. 8th ed. London: Palgrave Macmillan.</w:t>
      </w:r>
    </w:p>
    <w:p w14:paraId="459141AF" w14:textId="733C7BDA" w:rsidR="00326726" w:rsidRPr="00326726" w:rsidRDefault="00326726" w:rsidP="008865C8">
      <w:pPr>
        <w:spacing w:after="0"/>
        <w:jc w:val="both"/>
        <w:rPr>
          <w:rFonts w:ascii="Calibri" w:eastAsia="Calibri" w:hAnsi="Calibri" w:cs="Calibri"/>
          <w:color w:val="000000"/>
        </w:rPr>
      </w:pPr>
      <w:r w:rsidRPr="00326726">
        <w:rPr>
          <w:rFonts w:ascii="Calibri" w:eastAsia="Calibri" w:hAnsi="Calibri" w:cs="Calibri"/>
          <w:color w:val="000000"/>
        </w:rPr>
        <w:t>Klein, R. (2019) The New Politics of the NHS: From Creation to Reinvention. 8th ed. London: Routledge.</w:t>
      </w:r>
    </w:p>
    <w:p w14:paraId="7091A865" w14:textId="72685E11" w:rsidR="00326726" w:rsidRPr="00326726" w:rsidRDefault="00326726" w:rsidP="008865C8">
      <w:pPr>
        <w:spacing w:after="0"/>
        <w:jc w:val="both"/>
        <w:rPr>
          <w:rFonts w:ascii="Calibri" w:eastAsia="Calibri" w:hAnsi="Calibri" w:cs="Calibri"/>
          <w:color w:val="000000"/>
        </w:rPr>
      </w:pPr>
      <w:r w:rsidRPr="00326726">
        <w:rPr>
          <w:rFonts w:ascii="Calibri" w:eastAsia="Calibri" w:hAnsi="Calibri" w:cs="Calibri"/>
          <w:color w:val="000000"/>
        </w:rPr>
        <w:t>The National Archives (2023) The National Health Service Act 1946. London: HMSO</w:t>
      </w:r>
    </w:p>
    <w:p w14:paraId="1EF61205" w14:textId="2E9CA21E" w:rsidR="00326726" w:rsidRPr="00326726" w:rsidRDefault="00326726" w:rsidP="008865C8">
      <w:pPr>
        <w:pBdr>
          <w:top w:val="nil"/>
          <w:left w:val="nil"/>
          <w:bottom w:val="nil"/>
          <w:right w:val="nil"/>
          <w:between w:val="nil"/>
        </w:pBdr>
        <w:spacing w:after="0"/>
        <w:jc w:val="both"/>
        <w:rPr>
          <w:rFonts w:ascii="Calibri" w:eastAsia="Calibri" w:hAnsi="Calibri" w:cs="Calibri"/>
          <w:color w:val="000000"/>
        </w:rPr>
      </w:pPr>
      <w:r w:rsidRPr="00326726">
        <w:rPr>
          <w:rFonts w:ascii="Calibri" w:eastAsia="Calibri" w:hAnsi="Calibri" w:cs="Calibri"/>
          <w:color w:val="000000"/>
        </w:rPr>
        <w:t>McCormack, B. &amp; McCance, T. (2017) Person-Centered Practice in Nursing and Health Care. 2nd ed. Oxford: Wiley Blackwell.</w:t>
      </w:r>
    </w:p>
    <w:p w14:paraId="611E0FDF" w14:textId="28EDA664" w:rsidR="00326726" w:rsidRPr="00326726" w:rsidRDefault="00326726" w:rsidP="008865C8">
      <w:pPr>
        <w:spacing w:after="0"/>
        <w:jc w:val="both"/>
        <w:rPr>
          <w:rFonts w:ascii="Calibri" w:eastAsia="Calibri" w:hAnsi="Calibri" w:cs="Calibri"/>
          <w:color w:val="000000"/>
        </w:rPr>
      </w:pPr>
      <w:r w:rsidRPr="00326726">
        <w:rPr>
          <w:rFonts w:ascii="Calibri" w:eastAsia="Calibri" w:hAnsi="Calibri" w:cs="Calibri"/>
          <w:color w:val="000000"/>
        </w:rPr>
        <w:t>Naidoo, J. &amp; Wills, J. (2021) Foundations for Health Promotion. 5th ed. London: Elsevier.</w:t>
      </w:r>
    </w:p>
    <w:p w14:paraId="237096D2" w14:textId="401519AD" w:rsidR="00326726" w:rsidRDefault="00326726" w:rsidP="008865C8">
      <w:pPr>
        <w:spacing w:after="0"/>
        <w:jc w:val="both"/>
        <w:rPr>
          <w:rFonts w:ascii="Calibri" w:eastAsia="Calibri" w:hAnsi="Calibri" w:cs="Calibri"/>
          <w:color w:val="000000"/>
        </w:rPr>
      </w:pPr>
      <w:r w:rsidRPr="00326726">
        <w:rPr>
          <w:rFonts w:ascii="Calibri" w:eastAsia="Calibri" w:hAnsi="Calibri" w:cs="Calibri"/>
          <w:color w:val="000000"/>
        </w:rPr>
        <w:t xml:space="preserve">NHS Wales (2023) Maternity and Neonatal Safety Support </w:t>
      </w:r>
      <w:r w:rsidR="00B2300B" w:rsidRPr="00326726">
        <w:rPr>
          <w:rFonts w:ascii="Calibri" w:eastAsia="Calibri" w:hAnsi="Calibri" w:cs="Calibri"/>
          <w:color w:val="000000"/>
        </w:rPr>
        <w:t>Program</w:t>
      </w:r>
      <w:r w:rsidRPr="00326726">
        <w:rPr>
          <w:rFonts w:ascii="Calibri" w:eastAsia="Calibri" w:hAnsi="Calibri" w:cs="Calibri"/>
          <w:color w:val="000000"/>
        </w:rPr>
        <w:t xml:space="preserve"> Annual Report. Cardiff: NHS Wales.</w:t>
      </w:r>
    </w:p>
    <w:p w14:paraId="6E5795D4" w14:textId="4F6BB004" w:rsidR="00F131A8" w:rsidRDefault="00326726" w:rsidP="008865C8">
      <w:pPr>
        <w:spacing w:after="0"/>
        <w:jc w:val="both"/>
        <w:rPr>
          <w:rFonts w:ascii="Calibri" w:eastAsia="Calibri" w:hAnsi="Calibri" w:cs="Calibri"/>
          <w:color w:val="000000"/>
        </w:rPr>
      </w:pPr>
      <w:r w:rsidRPr="00326726">
        <w:rPr>
          <w:rFonts w:ascii="Calibri" w:eastAsia="Calibri" w:hAnsi="Calibri" w:cs="Calibri"/>
          <w:color w:val="000000"/>
        </w:rPr>
        <w:t>NHS Wales (2024) Maternity Services Overview. Available at: https://www.wales.nhs.uk [Accessed 21 Oct. 2025].</w:t>
      </w:r>
    </w:p>
    <w:p w14:paraId="1E322AAD" w14:textId="311BD297" w:rsidR="00326726" w:rsidRDefault="00326726" w:rsidP="008865C8">
      <w:pPr>
        <w:spacing w:after="0"/>
        <w:jc w:val="both"/>
        <w:rPr>
          <w:rFonts w:ascii="Calibri" w:eastAsia="Calibri" w:hAnsi="Calibri" w:cs="Calibri"/>
          <w:color w:val="000000"/>
        </w:rPr>
      </w:pPr>
      <w:r w:rsidRPr="00326726">
        <w:rPr>
          <w:rFonts w:ascii="Calibri" w:eastAsia="Calibri" w:hAnsi="Calibri" w:cs="Calibri"/>
          <w:color w:val="000000"/>
        </w:rPr>
        <w:t>Public Health Wales (2023) Maternal and Infant Health Annual Review. Cardiff: PHW</w:t>
      </w:r>
    </w:p>
    <w:p w14:paraId="2A806A4B" w14:textId="00F9FDBA" w:rsidR="00B2300B" w:rsidRPr="00326726" w:rsidRDefault="00B2300B" w:rsidP="008865C8">
      <w:pPr>
        <w:pBdr>
          <w:top w:val="nil"/>
          <w:left w:val="nil"/>
          <w:bottom w:val="nil"/>
          <w:right w:val="nil"/>
          <w:between w:val="nil"/>
        </w:pBdr>
        <w:spacing w:after="0"/>
        <w:jc w:val="both"/>
        <w:rPr>
          <w:rFonts w:ascii="Calibri" w:eastAsia="Calibri" w:hAnsi="Calibri" w:cs="Calibri"/>
          <w:color w:val="000000"/>
        </w:rPr>
      </w:pPr>
      <w:r>
        <w:rPr>
          <w:rFonts w:ascii="Calibri" w:eastAsia="Calibri" w:hAnsi="Calibri" w:cs="Calibri"/>
          <w:color w:val="000000"/>
        </w:rPr>
        <w:t>Welsh Government (2022) All Wales Maternity Vision. Cardiff: Welsh Government.</w:t>
      </w:r>
    </w:p>
    <w:p w14:paraId="4CF505E5" w14:textId="77777777" w:rsidR="00326726" w:rsidRDefault="00326726" w:rsidP="00DD49EB">
      <w:pPr>
        <w:rPr>
          <w:rFonts w:ascii="Calibri" w:eastAsia="Calibri" w:hAnsi="Calibri" w:cs="Calibri"/>
          <w:color w:val="000000"/>
        </w:rPr>
      </w:pPr>
    </w:p>
    <w:p w14:paraId="08C123C7" w14:textId="77777777" w:rsidR="00326726" w:rsidRDefault="00326726" w:rsidP="00DD49EB">
      <w:pPr>
        <w:rPr>
          <w:rFonts w:ascii="Calibri" w:eastAsia="Calibri" w:hAnsi="Calibri" w:cs="Calibri"/>
          <w:color w:val="000000"/>
        </w:rPr>
      </w:pPr>
    </w:p>
    <w:p w14:paraId="5EE14BB3" w14:textId="77777777" w:rsidR="00326726" w:rsidRDefault="00326726" w:rsidP="00DD49EB">
      <w:pPr>
        <w:rPr>
          <w:rFonts w:ascii="Calibri" w:eastAsia="Calibri" w:hAnsi="Calibri" w:cs="Calibri"/>
          <w:color w:val="000000"/>
        </w:rPr>
      </w:pPr>
    </w:p>
    <w:p w14:paraId="26E6585A" w14:textId="77777777" w:rsidR="00326726" w:rsidRDefault="00326726" w:rsidP="00DD49EB">
      <w:pPr>
        <w:rPr>
          <w:rFonts w:ascii="Calibri" w:eastAsia="Calibri" w:hAnsi="Calibri" w:cs="Calibri"/>
          <w:color w:val="000000"/>
        </w:rPr>
      </w:pPr>
    </w:p>
    <w:p w14:paraId="1DDC745C" w14:textId="77777777" w:rsidR="00326726" w:rsidRDefault="00326726" w:rsidP="00DD49EB">
      <w:pPr>
        <w:rPr>
          <w:rFonts w:ascii="Calibri" w:eastAsia="Calibri" w:hAnsi="Calibri" w:cs="Calibri"/>
          <w:color w:val="000000"/>
        </w:rPr>
      </w:pPr>
    </w:p>
    <w:p w14:paraId="2258E493" w14:textId="77777777" w:rsidR="00326726" w:rsidRDefault="00326726" w:rsidP="00DD49EB">
      <w:pPr>
        <w:rPr>
          <w:rFonts w:ascii="Calibri" w:eastAsia="Calibri" w:hAnsi="Calibri" w:cs="Calibri"/>
          <w:color w:val="000000"/>
        </w:rPr>
      </w:pPr>
    </w:p>
    <w:p w14:paraId="53395764" w14:textId="77777777" w:rsidR="00326726" w:rsidRDefault="00326726" w:rsidP="00DD49EB">
      <w:pPr>
        <w:rPr>
          <w:rFonts w:ascii="Calibri" w:eastAsia="Calibri" w:hAnsi="Calibri" w:cs="Calibri"/>
          <w:color w:val="000000"/>
        </w:rPr>
      </w:pPr>
    </w:p>
    <w:p w14:paraId="2E173A91" w14:textId="77777777" w:rsidR="00326726" w:rsidRDefault="00326726" w:rsidP="00DD49EB">
      <w:pPr>
        <w:rPr>
          <w:rFonts w:ascii="Calibri" w:eastAsia="Calibri" w:hAnsi="Calibri" w:cs="Calibri"/>
          <w:color w:val="000000"/>
        </w:rPr>
      </w:pPr>
    </w:p>
    <w:p w14:paraId="3460AB81" w14:textId="77777777" w:rsidR="00326726" w:rsidRDefault="00326726" w:rsidP="00DD49EB">
      <w:pPr>
        <w:rPr>
          <w:rFonts w:ascii="Calibri" w:eastAsia="Calibri" w:hAnsi="Calibri" w:cs="Calibri"/>
          <w:color w:val="000000"/>
        </w:rPr>
      </w:pPr>
    </w:p>
    <w:p w14:paraId="51083618" w14:textId="77777777" w:rsidR="00326726" w:rsidRDefault="00326726" w:rsidP="00DD49EB">
      <w:pPr>
        <w:rPr>
          <w:rFonts w:ascii="Calibri" w:eastAsia="Calibri" w:hAnsi="Calibri" w:cs="Calibri"/>
          <w:color w:val="000000"/>
        </w:rPr>
      </w:pPr>
    </w:p>
    <w:p w14:paraId="5C96F5C1" w14:textId="77777777" w:rsidR="00326726" w:rsidRDefault="00326726" w:rsidP="00DD49EB">
      <w:pPr>
        <w:rPr>
          <w:rFonts w:ascii="Calibri" w:eastAsia="Calibri" w:hAnsi="Calibri" w:cs="Calibri"/>
          <w:color w:val="000000"/>
        </w:rPr>
      </w:pPr>
    </w:p>
    <w:p w14:paraId="26955FBF" w14:textId="77777777" w:rsidR="00326726" w:rsidRDefault="00326726" w:rsidP="00DD49EB">
      <w:pPr>
        <w:rPr>
          <w:rFonts w:ascii="Calibri" w:eastAsia="Calibri" w:hAnsi="Calibri" w:cs="Calibri"/>
          <w:sz w:val="24"/>
          <w:szCs w:val="24"/>
        </w:rPr>
      </w:pPr>
    </w:p>
    <w:sectPr w:rsidR="00326726">
      <w:headerReference w:type="default" r:id="rId18"/>
      <w:headerReference w:type="first" r:id="rId19"/>
      <w:pgSz w:w="15840" w:h="12240" w:orient="landscape"/>
      <w:pgMar w:top="720" w:right="720" w:bottom="576" w:left="720" w:header="432" w:footer="28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67B990" w14:textId="77777777" w:rsidR="002001A0" w:rsidRDefault="002001A0">
      <w:pPr>
        <w:spacing w:after="0"/>
      </w:pPr>
      <w:r>
        <w:separator/>
      </w:r>
    </w:p>
  </w:endnote>
  <w:endnote w:type="continuationSeparator" w:id="0">
    <w:p w14:paraId="5D2CC70C" w14:textId="77777777" w:rsidR="002001A0" w:rsidRDefault="002001A0">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charset w:val="00"/>
    <w:family w:val="auto"/>
    <w:pitch w:val="default"/>
    <w:embedRegular r:id="rId1" w:fontKey="{24726FDC-6E4C-4638-9EED-AAF5FF987328}"/>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embedRegular r:id="rId2" w:fontKey="{1ACBB712-CC7B-4950-B661-2B19F7CA9B62}"/>
    <w:embedBold r:id="rId3" w:fontKey="{9C8ABE7D-00AF-468D-8DCB-BEE643DD4BD1}"/>
    <w:embedItalic r:id="rId4" w:fontKey="{4A154A4C-A127-496E-A53C-58E94451C507}"/>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Regular r:id="rId5" w:fontKey="{ABD69EF8-DB22-4616-9F1D-0EBB49908AC8}"/>
    <w:embedItalic r:id="rId6" w:fontKey="{83C918F5-EF9B-4C90-B6C3-B24490FEEC65}"/>
  </w:font>
  <w:font w:name="Calibri">
    <w:panose1 w:val="020F0502020204030204"/>
    <w:charset w:val="00"/>
    <w:family w:val="swiss"/>
    <w:pitch w:val="variable"/>
    <w:sig w:usb0="E4002EFF" w:usb1="C200247B" w:usb2="00000009" w:usb3="00000000" w:csb0="000001FF" w:csb1="00000000"/>
    <w:embedRegular r:id="rId7" w:fontKey="{ECDFBA9C-0C2D-486D-96F9-FFDB2BFCBF53}"/>
    <w:embedBold r:id="rId8" w:fontKey="{4C7D42A4-135A-4A45-8BCC-945A2FA6C6A4}"/>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26145E" w14:textId="77777777" w:rsidR="002001A0" w:rsidRDefault="002001A0">
      <w:pPr>
        <w:spacing w:after="0"/>
      </w:pPr>
      <w:r>
        <w:separator/>
      </w:r>
    </w:p>
  </w:footnote>
  <w:footnote w:type="continuationSeparator" w:id="0">
    <w:p w14:paraId="14AF8A26" w14:textId="77777777" w:rsidR="002001A0" w:rsidRDefault="002001A0">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6375BA" w14:textId="77777777" w:rsidR="00E35A80" w:rsidRDefault="006447E7">
    <w:pPr>
      <w:pBdr>
        <w:top w:val="nil"/>
        <w:left w:val="nil"/>
        <w:bottom w:val="nil"/>
        <w:right w:val="nil"/>
        <w:between w:val="nil"/>
      </w:pBdr>
      <w:spacing w:after="0"/>
      <w:rPr>
        <w:color w:val="000000"/>
      </w:rPr>
    </w:pPr>
    <w:r>
      <w:rPr>
        <w:color w:val="000000"/>
      </w:rP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DE3F6E" w14:textId="77777777" w:rsidR="00E35A80" w:rsidRDefault="00E35A80">
    <w:pPr>
      <w:pBdr>
        <w:top w:val="nil"/>
        <w:left w:val="nil"/>
        <w:bottom w:val="nil"/>
        <w:right w:val="nil"/>
        <w:between w:val="nil"/>
      </w:pBdr>
      <w:spacing w:after="0"/>
      <w:rPr>
        <w:color w:val="000000"/>
      </w:rPr>
    </w:pPr>
  </w:p>
  <w:p w14:paraId="7B342C0F" w14:textId="77777777" w:rsidR="00E35A80" w:rsidRDefault="00E35A80">
    <w:pPr>
      <w:pBdr>
        <w:top w:val="nil"/>
        <w:left w:val="nil"/>
        <w:bottom w:val="nil"/>
        <w:right w:val="nil"/>
        <w:between w:val="nil"/>
      </w:pBdr>
      <w:spacing w:after="0"/>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450D06"/>
    <w:multiLevelType w:val="multilevel"/>
    <w:tmpl w:val="96D85ED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35734363"/>
    <w:multiLevelType w:val="multilevel"/>
    <w:tmpl w:val="3AA2A67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43C34D46"/>
    <w:multiLevelType w:val="hybridMultilevel"/>
    <w:tmpl w:val="54AE2F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87635163">
    <w:abstractNumId w:val="1"/>
  </w:num>
  <w:num w:numId="2" w16cid:durableId="1719549623">
    <w:abstractNumId w:val="0"/>
  </w:num>
  <w:num w:numId="3" w16cid:durableId="138644417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3"/>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35A80"/>
    <w:rsid w:val="000806BE"/>
    <w:rsid w:val="00133F16"/>
    <w:rsid w:val="001D2C2A"/>
    <w:rsid w:val="002001A0"/>
    <w:rsid w:val="00326726"/>
    <w:rsid w:val="0033392C"/>
    <w:rsid w:val="005064A1"/>
    <w:rsid w:val="00593A29"/>
    <w:rsid w:val="00643F9A"/>
    <w:rsid w:val="0065041C"/>
    <w:rsid w:val="00782E6C"/>
    <w:rsid w:val="0078727E"/>
    <w:rsid w:val="008865C8"/>
    <w:rsid w:val="00A47207"/>
    <w:rsid w:val="00A71F04"/>
    <w:rsid w:val="00A939A0"/>
    <w:rsid w:val="00AE47B3"/>
    <w:rsid w:val="00B2300B"/>
    <w:rsid w:val="00B24F42"/>
    <w:rsid w:val="00B735D3"/>
    <w:rsid w:val="00BE72E8"/>
    <w:rsid w:val="00CA1A22"/>
    <w:rsid w:val="00DB663A"/>
    <w:rsid w:val="00DD49EB"/>
    <w:rsid w:val="00E35A80"/>
    <w:rsid w:val="00F131A8"/>
    <w:rsid w:val="00F27ECB"/>
    <w:rsid w:val="00FD1250"/>
    <w:rsid w:val="00FE41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222456"/>
  <w15:docId w15:val="{2DF7D6E9-6871-4051-B0A4-0FF45715C1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entury Schoolbook" w:eastAsia="Century Schoolbook" w:hAnsi="Century Schoolbook" w:cs="Century Schoolbook"/>
        <w:sz w:val="22"/>
        <w:szCs w:val="22"/>
        <w:lang w:val="en" w:eastAsia="en-GB" w:bidi="ar-SA"/>
      </w:rPr>
    </w:rPrDefault>
    <w:pPrDefault>
      <w:pPr>
        <w:spacing w:after="2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spacing w:after="240"/>
      <w:outlineLvl w:val="0"/>
    </w:pPr>
    <w:rPr>
      <w:b/>
      <w:color w:val="44546A"/>
      <w:sz w:val="28"/>
      <w:szCs w:val="28"/>
    </w:rPr>
  </w:style>
  <w:style w:type="paragraph" w:styleId="Heading2">
    <w:name w:val="heading 2"/>
    <w:basedOn w:val="Normal"/>
    <w:next w:val="Normal"/>
    <w:link w:val="Heading2Char"/>
    <w:uiPriority w:val="9"/>
    <w:semiHidden/>
    <w:unhideWhenUsed/>
    <w:qFormat/>
    <w:pPr>
      <w:spacing w:after="240"/>
      <w:outlineLvl w:val="1"/>
    </w:pPr>
    <w:rPr>
      <w:b/>
      <w:color w:val="FFFFFF"/>
      <w:sz w:val="28"/>
      <w:szCs w:val="28"/>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link w:val="Heading4Char"/>
    <w:uiPriority w:val="9"/>
    <w:semiHidden/>
    <w:unhideWhenUsed/>
    <w:qFormat/>
    <w:pPr>
      <w:pBdr>
        <w:top w:val="nil"/>
        <w:left w:val="nil"/>
        <w:bottom w:val="nil"/>
        <w:right w:val="nil"/>
        <w:between w:val="nil"/>
      </w:pBdr>
      <w:spacing w:after="240"/>
      <w:outlineLvl w:val="3"/>
    </w:pPr>
    <w:rPr>
      <w:b/>
      <w:color w:val="ED7D31"/>
      <w:sz w:val="28"/>
      <w:szCs w:val="28"/>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uiPriority w:val="10"/>
    <w:qFormat/>
    <w:pPr>
      <w:spacing w:after="200"/>
      <w:jc w:val="center"/>
    </w:pPr>
    <w:rPr>
      <w:b/>
      <w:color w:val="FFFFFF"/>
      <w:sz w:val="48"/>
      <w:szCs w:val="48"/>
    </w:rPr>
  </w:style>
  <w:style w:type="table" w:styleId="TableGrid">
    <w:name w:val="Table Grid"/>
    <w:basedOn w:val="TableNormal"/>
    <w:uiPriority w:val="39"/>
    <w:rsid w:val="001D6C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semiHidden/>
    <w:rsid w:val="00A70A62"/>
    <w:rPr>
      <w:rFonts w:eastAsia="Times New Roman" w:cs="Arial"/>
      <w:b/>
      <w:noProof/>
      <w:color w:val="ED7D31" w:themeColor="accent2"/>
      <w:spacing w:val="10"/>
      <w:sz w:val="28"/>
      <w:szCs w:val="32"/>
    </w:rPr>
  </w:style>
  <w:style w:type="character" w:customStyle="1" w:styleId="TitleChar">
    <w:name w:val="Title Char"/>
    <w:basedOn w:val="DefaultParagraphFont"/>
    <w:link w:val="Title"/>
    <w:uiPriority w:val="10"/>
    <w:rsid w:val="00990E76"/>
    <w:rPr>
      <w:rFonts w:asciiTheme="majorHAnsi" w:eastAsiaTheme="majorEastAsia" w:hAnsiTheme="majorHAnsi" w:cstheme="majorBidi"/>
      <w:b/>
      <w:color w:val="FFFFFF" w:themeColor="background1"/>
      <w:spacing w:val="-10"/>
      <w:kern w:val="28"/>
      <w:sz w:val="48"/>
      <w:szCs w:val="56"/>
    </w:rPr>
  </w:style>
  <w:style w:type="paragraph" w:styleId="ListParagraph">
    <w:name w:val="List Paragraph"/>
    <w:basedOn w:val="Normal"/>
    <w:uiPriority w:val="34"/>
    <w:semiHidden/>
    <w:rsid w:val="00877A91"/>
    <w:pPr>
      <w:ind w:left="720"/>
      <w:contextualSpacing/>
    </w:pPr>
  </w:style>
  <w:style w:type="character" w:styleId="Strong">
    <w:name w:val="Strong"/>
    <w:basedOn w:val="DefaultParagraphFont"/>
    <w:uiPriority w:val="22"/>
    <w:semiHidden/>
    <w:rsid w:val="00967DAB"/>
    <w:rPr>
      <w:b/>
      <w:bCs/>
    </w:rPr>
  </w:style>
  <w:style w:type="character" w:customStyle="1" w:styleId="Heading1Char">
    <w:name w:val="Heading 1 Char"/>
    <w:basedOn w:val="DefaultParagraphFont"/>
    <w:link w:val="Heading1"/>
    <w:uiPriority w:val="9"/>
    <w:rsid w:val="00990E76"/>
    <w:rPr>
      <w:rFonts w:asciiTheme="majorHAnsi" w:hAnsiTheme="majorHAnsi"/>
      <w:b/>
      <w:color w:val="44546A" w:themeColor="text2"/>
      <w:spacing w:val="10"/>
      <w:sz w:val="28"/>
    </w:rPr>
  </w:style>
  <w:style w:type="character" w:styleId="Hashtag">
    <w:name w:val="Hashtag"/>
    <w:basedOn w:val="DefaultParagraphFont"/>
    <w:uiPriority w:val="99"/>
    <w:semiHidden/>
    <w:rsid w:val="00967DAB"/>
    <w:rPr>
      <w:color w:val="2B579A"/>
      <w:shd w:val="clear" w:color="auto" w:fill="E6E6E6"/>
    </w:rPr>
  </w:style>
  <w:style w:type="character" w:styleId="IntenseEmphasis">
    <w:name w:val="Intense Emphasis"/>
    <w:basedOn w:val="DefaultParagraphFont"/>
    <w:uiPriority w:val="21"/>
    <w:semiHidden/>
    <w:rsid w:val="00967DAB"/>
    <w:rPr>
      <w:i/>
      <w:iCs/>
      <w:color w:val="4472C4" w:themeColor="accent1"/>
    </w:rPr>
  </w:style>
  <w:style w:type="paragraph" w:styleId="IntenseQuote">
    <w:name w:val="Intense Quote"/>
    <w:basedOn w:val="Normal"/>
    <w:next w:val="Normal"/>
    <w:link w:val="IntenseQuoteChar"/>
    <w:uiPriority w:val="30"/>
    <w:semiHidden/>
    <w:rsid w:val="00967DAB"/>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semiHidden/>
    <w:rsid w:val="00967DAB"/>
    <w:rPr>
      <w:rFonts w:eastAsia="Times New Roman" w:cs="Times New Roman"/>
      <w:i/>
      <w:iCs/>
      <w:color w:val="4472C4" w:themeColor="accent1"/>
      <w:sz w:val="21"/>
    </w:rPr>
  </w:style>
  <w:style w:type="character" w:styleId="IntenseReference">
    <w:name w:val="Intense Reference"/>
    <w:basedOn w:val="DefaultParagraphFont"/>
    <w:uiPriority w:val="32"/>
    <w:semiHidden/>
    <w:rsid w:val="00967DAB"/>
    <w:rPr>
      <w:b/>
      <w:bCs/>
      <w:smallCaps/>
      <w:color w:val="4472C4" w:themeColor="accent1"/>
      <w:spacing w:val="5"/>
    </w:rPr>
  </w:style>
  <w:style w:type="character" w:styleId="SubtleReference">
    <w:name w:val="Subtle Reference"/>
    <w:basedOn w:val="DefaultParagraphFont"/>
    <w:uiPriority w:val="31"/>
    <w:semiHidden/>
    <w:rsid w:val="00967DAB"/>
    <w:rPr>
      <w:smallCaps/>
      <w:color w:val="5A5A5A" w:themeColor="text1" w:themeTint="A5"/>
    </w:rPr>
  </w:style>
  <w:style w:type="character" w:styleId="UnresolvedMention">
    <w:name w:val="Unresolved Mention"/>
    <w:basedOn w:val="DefaultParagraphFont"/>
    <w:uiPriority w:val="99"/>
    <w:semiHidden/>
    <w:rsid w:val="00967DAB"/>
    <w:rPr>
      <w:color w:val="808080"/>
      <w:shd w:val="clear" w:color="auto" w:fill="E6E6E6"/>
    </w:rPr>
  </w:style>
  <w:style w:type="character" w:customStyle="1" w:styleId="Heading2Char">
    <w:name w:val="Heading 2 Char"/>
    <w:basedOn w:val="DefaultParagraphFont"/>
    <w:link w:val="Heading2"/>
    <w:uiPriority w:val="9"/>
    <w:rsid w:val="00990E76"/>
    <w:rPr>
      <w:rFonts w:asciiTheme="majorHAnsi" w:hAnsiTheme="majorHAnsi"/>
      <w:b/>
      <w:color w:val="FFFFFF" w:themeColor="background1"/>
      <w:spacing w:val="10"/>
      <w:sz w:val="28"/>
    </w:rPr>
  </w:style>
  <w:style w:type="paragraph" w:customStyle="1" w:styleId="NormalTextDarkBackground">
    <w:name w:val="Normal Text Dark Background"/>
    <w:basedOn w:val="Normal"/>
    <w:qFormat/>
    <w:rsid w:val="00990E76"/>
    <w:rPr>
      <w:color w:val="FFFFFF" w:themeColor="background1"/>
    </w:rPr>
  </w:style>
  <w:style w:type="paragraph" w:styleId="Header">
    <w:name w:val="header"/>
    <w:basedOn w:val="Normal"/>
    <w:link w:val="HeaderChar"/>
    <w:uiPriority w:val="99"/>
    <w:rsid w:val="00C46111"/>
    <w:pPr>
      <w:spacing w:after="0"/>
    </w:pPr>
  </w:style>
  <w:style w:type="character" w:customStyle="1" w:styleId="HeaderChar">
    <w:name w:val="Header Char"/>
    <w:basedOn w:val="DefaultParagraphFont"/>
    <w:link w:val="Header"/>
    <w:uiPriority w:val="99"/>
    <w:rsid w:val="00C46111"/>
  </w:style>
  <w:style w:type="paragraph" w:styleId="Footer">
    <w:name w:val="footer"/>
    <w:basedOn w:val="Normal"/>
    <w:link w:val="FooterChar"/>
    <w:uiPriority w:val="99"/>
    <w:semiHidden/>
    <w:rsid w:val="00C46111"/>
    <w:pPr>
      <w:spacing w:after="0"/>
    </w:pPr>
  </w:style>
  <w:style w:type="character" w:customStyle="1" w:styleId="FooterChar">
    <w:name w:val="Footer Char"/>
    <w:basedOn w:val="DefaultParagraphFont"/>
    <w:link w:val="Footer"/>
    <w:uiPriority w:val="99"/>
    <w:semiHidden/>
    <w:rsid w:val="00C46111"/>
  </w:style>
  <w:style w:type="paragraph" w:styleId="NoSpacing">
    <w:name w:val="No Spacing"/>
    <w:link w:val="NoSpacingChar"/>
    <w:uiPriority w:val="1"/>
    <w:qFormat/>
    <w:rsid w:val="00CC0A8F"/>
    <w:rPr>
      <w:rFonts w:eastAsia="Times New Roman" w:cs="Times New Roman"/>
    </w:rPr>
  </w:style>
  <w:style w:type="character" w:styleId="PlaceholderText">
    <w:name w:val="Placeholder Text"/>
    <w:basedOn w:val="DefaultParagraphFont"/>
    <w:uiPriority w:val="99"/>
    <w:semiHidden/>
    <w:rsid w:val="00206405"/>
    <w:rPr>
      <w:color w:val="808080"/>
    </w:rPr>
  </w:style>
  <w:style w:type="paragraph" w:styleId="Quote">
    <w:name w:val="Quote"/>
    <w:basedOn w:val="Normal"/>
    <w:next w:val="Normal"/>
    <w:link w:val="QuoteChar"/>
    <w:uiPriority w:val="29"/>
    <w:qFormat/>
    <w:rsid w:val="00C46111"/>
    <w:pPr>
      <w:spacing w:after="200"/>
      <w:jc w:val="center"/>
    </w:pPr>
    <w:rPr>
      <w:rFonts w:asciiTheme="majorHAnsi" w:hAnsiTheme="majorHAnsi"/>
      <w:b/>
      <w:noProof/>
      <w:color w:val="44546A" w:themeColor="text2"/>
      <w:spacing w:val="-10"/>
      <w:sz w:val="48"/>
      <w:szCs w:val="100"/>
    </w:rPr>
  </w:style>
  <w:style w:type="character" w:customStyle="1" w:styleId="QuoteChar">
    <w:name w:val="Quote Char"/>
    <w:basedOn w:val="DefaultParagraphFont"/>
    <w:link w:val="Quote"/>
    <w:uiPriority w:val="29"/>
    <w:rsid w:val="00C46111"/>
    <w:rPr>
      <w:rFonts w:asciiTheme="majorHAnsi" w:hAnsiTheme="majorHAnsi"/>
      <w:b/>
      <w:noProof/>
      <w:color w:val="44546A" w:themeColor="text2"/>
      <w:spacing w:val="-10"/>
      <w:sz w:val="48"/>
      <w:szCs w:val="100"/>
    </w:rPr>
  </w:style>
  <w:style w:type="character" w:customStyle="1" w:styleId="NoSpacingChar">
    <w:name w:val="No Spacing Char"/>
    <w:basedOn w:val="DefaultParagraphFont"/>
    <w:link w:val="NoSpacing"/>
    <w:uiPriority w:val="1"/>
    <w:locked/>
    <w:rsid w:val="000B0081"/>
    <w:rPr>
      <w:rFonts w:eastAsia="Times New Roman" w:cs="Times New Roman"/>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paragraph" w:styleId="Revision">
    <w:name w:val="Revision"/>
    <w:hidden/>
    <w:uiPriority w:val="99"/>
    <w:semiHidden/>
    <w:rsid w:val="00DD49EB"/>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header" Target="head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6">
      <a:majorFont>
        <a:latin typeface="Century Schoolbook"/>
        <a:ea typeface=""/>
        <a:cs typeface=""/>
      </a:majorFont>
      <a:minorFont>
        <a:latin typeface="Century School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C1BXn+GgbWGYFeKInygX3nJJ9gg==">CgMxLjAyDmguN2h5Y2JncjBnbHA1OAByITFwQnpfb19pcGdzX2NzYXF4MW1ENnZNT2NsUHBZeGhiaA==</go:docsCustomData>
</go:gDocsCustomXmlDataStorage>
</file>

<file path=customXml/item2.xml><?xml version="1.0" encoding="utf-8"?>
<p:properties xmlns:p="http://schemas.microsoft.com/office/2006/metadata/properties" xmlns:xsi="http://www.w3.org/2001/XMLSchema-instance" xmlns:pc="http://schemas.microsoft.com/office/infopath/2007/PartnerControls">
  <documentManagement>
    <_activity xmlns="04d956d8-1ffd-4dba-87ce-03f615e16f58"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946ACECEF3D0D045B19B01E5B03389C8" ma:contentTypeVersion="5" ma:contentTypeDescription="Create a new document." ma:contentTypeScope="" ma:versionID="38cc0eefdac86cd84813df0558520616">
  <xsd:schema xmlns:xsd="http://www.w3.org/2001/XMLSchema" xmlns:xs="http://www.w3.org/2001/XMLSchema" xmlns:p="http://schemas.microsoft.com/office/2006/metadata/properties" xmlns:ns3="04d956d8-1ffd-4dba-87ce-03f615e16f58" targetNamespace="http://schemas.microsoft.com/office/2006/metadata/properties" ma:root="true" ma:fieldsID="11e0d0dc8ee264d750b9ed55eceb2ee1" ns3:_="">
    <xsd:import namespace="04d956d8-1ffd-4dba-87ce-03f615e16f5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4d956d8-1ffd-4dba-87ce-03f615e16f5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18EFF9AA-9740-4F21-9DFA-CB33CD7CE19F}">
  <ds:schemaRefs>
    <ds:schemaRef ds:uri="http://purl.org/dc/dcmitype/"/>
    <ds:schemaRef ds:uri="http://www.w3.org/XML/1998/namespace"/>
    <ds:schemaRef ds:uri="http://schemas.microsoft.com/office/2006/documentManagement/types"/>
    <ds:schemaRef ds:uri="http://purl.org/dc/elements/1.1/"/>
    <ds:schemaRef ds:uri="http://schemas.microsoft.com/office/infopath/2007/PartnerControls"/>
    <ds:schemaRef ds:uri="http://purl.org/dc/terms/"/>
    <ds:schemaRef ds:uri="http://schemas.openxmlformats.org/package/2006/metadata/core-properties"/>
    <ds:schemaRef ds:uri="04d956d8-1ffd-4dba-87ce-03f615e16f58"/>
    <ds:schemaRef ds:uri="http://schemas.microsoft.com/office/2006/metadata/properties"/>
  </ds:schemaRefs>
</ds:datastoreItem>
</file>

<file path=customXml/itemProps3.xml><?xml version="1.0" encoding="utf-8"?>
<ds:datastoreItem xmlns:ds="http://schemas.openxmlformats.org/officeDocument/2006/customXml" ds:itemID="{48624CAA-C01A-43DC-8A30-D96FAF628296}">
  <ds:schemaRefs>
    <ds:schemaRef ds:uri="http://schemas.microsoft.com/sharepoint/v3/contenttype/forms"/>
  </ds:schemaRefs>
</ds:datastoreItem>
</file>

<file path=customXml/itemProps4.xml><?xml version="1.0" encoding="utf-8"?>
<ds:datastoreItem xmlns:ds="http://schemas.openxmlformats.org/officeDocument/2006/customXml" ds:itemID="{5ECB5346-6E42-4D89-9B25-AA56BD4FD00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4d956d8-1ffd-4dba-87ce-03f615e16f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1531</Words>
  <Characters>8730</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Daisy Nangoonzi (2433877)</cp:lastModifiedBy>
  <cp:revision>2</cp:revision>
  <dcterms:created xsi:type="dcterms:W3CDTF">2025-11-13T22:16:00Z</dcterms:created>
  <dcterms:modified xsi:type="dcterms:W3CDTF">2025-11-13T22:16:00Z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0x010100946ACECEF3D0D045B19B01E5B03389C8</vt:lpwstr>
  </property>
</Properties>
</file>