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8B01E" w14:textId="77777777" w:rsidR="00BD333C" w:rsidRDefault="00BD333C" w:rsidP="00BD333C">
      <w:pPr>
        <w:pStyle w:val="NormalWeb"/>
        <w:jc w:val="center"/>
        <w:rPr>
          <w:rFonts w:ascii="Arial" w:hAnsi="Arial" w:cs="Arial"/>
          <w:b/>
          <w:bCs/>
          <w:sz w:val="32"/>
          <w:szCs w:val="32"/>
        </w:rPr>
      </w:pPr>
    </w:p>
    <w:p w14:paraId="798C4C37" w14:textId="77777777" w:rsidR="00BD333C" w:rsidRDefault="00BD333C" w:rsidP="00BD333C">
      <w:pPr>
        <w:pStyle w:val="NormalWeb"/>
        <w:jc w:val="center"/>
        <w:rPr>
          <w:rFonts w:ascii="Arial" w:hAnsi="Arial" w:cs="Arial"/>
          <w:b/>
          <w:bCs/>
          <w:sz w:val="32"/>
          <w:szCs w:val="32"/>
        </w:rPr>
      </w:pPr>
    </w:p>
    <w:p w14:paraId="50938B33" w14:textId="77777777" w:rsidR="00BD333C" w:rsidRDefault="00BD333C" w:rsidP="00BD333C">
      <w:pPr>
        <w:pStyle w:val="NormalWeb"/>
        <w:jc w:val="center"/>
        <w:rPr>
          <w:rFonts w:ascii="Arial" w:hAnsi="Arial" w:cs="Arial"/>
          <w:b/>
          <w:bCs/>
          <w:sz w:val="32"/>
          <w:szCs w:val="32"/>
        </w:rPr>
      </w:pPr>
    </w:p>
    <w:p w14:paraId="63A66616" w14:textId="77777777" w:rsidR="00BD333C" w:rsidRDefault="00BD333C" w:rsidP="00BD333C">
      <w:pPr>
        <w:pStyle w:val="NormalWeb"/>
        <w:jc w:val="center"/>
        <w:rPr>
          <w:rFonts w:ascii="Arial" w:hAnsi="Arial" w:cs="Arial"/>
          <w:b/>
          <w:bCs/>
          <w:sz w:val="32"/>
          <w:szCs w:val="32"/>
        </w:rPr>
      </w:pPr>
    </w:p>
    <w:p w14:paraId="26883953" w14:textId="47500396" w:rsidR="00BD333C" w:rsidRPr="00BD333C" w:rsidRDefault="00BD333C" w:rsidP="00BD333C">
      <w:pPr>
        <w:pStyle w:val="NormalWeb"/>
        <w:jc w:val="center"/>
        <w:rPr>
          <w:rFonts w:ascii="Arial" w:hAnsi="Arial" w:cs="Arial"/>
          <w:b/>
          <w:bCs/>
        </w:rPr>
      </w:pPr>
      <w:r w:rsidRPr="00BD333C">
        <w:rPr>
          <w:rFonts w:ascii="Arial" w:hAnsi="Arial" w:cs="Arial"/>
          <w:b/>
          <w:bCs/>
          <w:sz w:val="32"/>
          <w:szCs w:val="32"/>
        </w:rPr>
        <w:t>Point Of Care Testing (POCT) in the healthcare sector</w:t>
      </w:r>
    </w:p>
    <w:p w14:paraId="06E69F45" w14:textId="77777777" w:rsidR="00BD333C" w:rsidRDefault="00BD333C" w:rsidP="00BD333C">
      <w:pPr>
        <w:pStyle w:val="NormalWeb"/>
        <w:jc w:val="center"/>
        <w:rPr>
          <w:rFonts w:ascii="Arial" w:hAnsi="Arial" w:cs="Arial"/>
          <w:sz w:val="22"/>
          <w:szCs w:val="22"/>
        </w:rPr>
      </w:pPr>
    </w:p>
    <w:p w14:paraId="2D8649C4" w14:textId="77777777" w:rsidR="00BD333C" w:rsidRDefault="00BD333C" w:rsidP="00BD333C">
      <w:pPr>
        <w:pStyle w:val="NormalWeb"/>
        <w:jc w:val="center"/>
        <w:rPr>
          <w:rFonts w:ascii="Arial" w:hAnsi="Arial" w:cs="Arial"/>
          <w:sz w:val="22"/>
          <w:szCs w:val="22"/>
        </w:rPr>
      </w:pPr>
    </w:p>
    <w:p w14:paraId="14FEF6E4" w14:textId="77777777" w:rsidR="00BD333C" w:rsidRDefault="00BD333C" w:rsidP="00BD333C">
      <w:pPr>
        <w:pStyle w:val="NormalWeb"/>
        <w:jc w:val="center"/>
        <w:rPr>
          <w:rFonts w:ascii="Arial" w:hAnsi="Arial" w:cs="Arial"/>
          <w:sz w:val="22"/>
          <w:szCs w:val="22"/>
        </w:rPr>
      </w:pPr>
    </w:p>
    <w:p w14:paraId="0DBDEDE6" w14:textId="13C8AF6F" w:rsidR="00BD333C" w:rsidRPr="00AE306F" w:rsidRDefault="00BD333C" w:rsidP="00BD333C">
      <w:pPr>
        <w:pStyle w:val="NormalWeb"/>
        <w:jc w:val="center"/>
        <w:rPr>
          <w:rFonts w:ascii="Arial" w:hAnsi="Arial" w:cs="Arial"/>
          <w:sz w:val="28"/>
          <w:szCs w:val="28"/>
        </w:rPr>
      </w:pPr>
      <w:r w:rsidRPr="00AE306F">
        <w:rPr>
          <w:rFonts w:ascii="Arial" w:hAnsi="Arial" w:cs="Arial"/>
        </w:rPr>
        <w:t>Vivien Chang Yun Hui Student ID: 2008028</w:t>
      </w:r>
    </w:p>
    <w:p w14:paraId="37834226" w14:textId="4E09D5B9" w:rsidR="00BD333C" w:rsidRDefault="00BD333C"/>
    <w:p w14:paraId="6A59026E" w14:textId="77777777" w:rsidR="00BD333C" w:rsidRDefault="00BD333C">
      <w:r>
        <w:br w:type="page"/>
      </w:r>
    </w:p>
    <w:sdt>
      <w:sdtPr>
        <w:id w:val="1492987963"/>
        <w:docPartObj>
          <w:docPartGallery w:val="Table of Contents"/>
          <w:docPartUnique/>
        </w:docPartObj>
      </w:sdtPr>
      <w:sdtEndPr>
        <w:rPr>
          <w:rFonts w:asciiTheme="minorHAnsi" w:eastAsiaTheme="minorEastAsia" w:hAnsiTheme="minorHAnsi" w:cstheme="minorBidi"/>
          <w:noProof/>
          <w:color w:val="auto"/>
          <w:sz w:val="24"/>
          <w:szCs w:val="24"/>
          <w:lang w:eastAsia="zh-CN"/>
        </w:rPr>
      </w:sdtEndPr>
      <w:sdtContent>
        <w:p w14:paraId="67BAD498" w14:textId="3DF2F3C6" w:rsidR="00BD333C" w:rsidRPr="00AE306F" w:rsidRDefault="00BD333C">
          <w:pPr>
            <w:pStyle w:val="TOCHeading"/>
            <w:rPr>
              <w:rFonts w:ascii="Arial" w:hAnsi="Arial" w:cs="Arial"/>
              <w:sz w:val="24"/>
              <w:szCs w:val="24"/>
            </w:rPr>
          </w:pPr>
          <w:r w:rsidRPr="00AE306F">
            <w:rPr>
              <w:rFonts w:ascii="Arial" w:hAnsi="Arial" w:cs="Arial"/>
              <w:sz w:val="24"/>
              <w:szCs w:val="24"/>
            </w:rPr>
            <w:t>Table of Contents</w:t>
          </w:r>
        </w:p>
        <w:p w14:paraId="7F098138" w14:textId="77777777" w:rsidR="00BD333C" w:rsidRPr="00AE306F" w:rsidRDefault="00BD333C">
          <w:pPr>
            <w:rPr>
              <w:rFonts w:ascii="Arial" w:hAnsi="Arial" w:cs="Arial"/>
            </w:rPr>
          </w:pPr>
          <w:r w:rsidRPr="00AE306F">
            <w:rPr>
              <w:rFonts w:ascii="Arial" w:hAnsi="Arial" w:cs="Arial"/>
            </w:rPr>
            <w:t>Introduction</w:t>
          </w:r>
        </w:p>
        <w:p w14:paraId="29648243" w14:textId="77777777" w:rsidR="00BD333C" w:rsidRPr="00AE306F" w:rsidRDefault="00BD333C">
          <w:pPr>
            <w:rPr>
              <w:rFonts w:ascii="Arial" w:hAnsi="Arial" w:cs="Arial"/>
            </w:rPr>
          </w:pPr>
          <w:r w:rsidRPr="00AE306F">
            <w:rPr>
              <w:rFonts w:ascii="Arial" w:hAnsi="Arial" w:cs="Arial"/>
            </w:rPr>
            <w:t>Aims and Objective of Point of Care Testing</w:t>
          </w:r>
        </w:p>
        <w:p w14:paraId="413CAB7A" w14:textId="2A7548E8" w:rsidR="00BD333C" w:rsidRPr="00AE306F" w:rsidRDefault="00BD333C">
          <w:pPr>
            <w:rPr>
              <w:rFonts w:ascii="Arial" w:hAnsi="Arial" w:cs="Arial"/>
            </w:rPr>
          </w:pPr>
          <w:r w:rsidRPr="00AE306F">
            <w:rPr>
              <w:rFonts w:ascii="Arial" w:hAnsi="Arial" w:cs="Arial"/>
            </w:rPr>
            <w:t>Methodological of Point of Care Testing</w:t>
          </w:r>
        </w:p>
        <w:p w14:paraId="51D8D581" w14:textId="77777777" w:rsidR="00BD333C" w:rsidRPr="00AE306F" w:rsidRDefault="00BD333C">
          <w:pPr>
            <w:rPr>
              <w:rFonts w:ascii="Arial" w:hAnsi="Arial" w:cs="Arial"/>
            </w:rPr>
          </w:pPr>
          <w:r w:rsidRPr="00AE306F">
            <w:rPr>
              <w:rFonts w:ascii="Arial" w:hAnsi="Arial" w:cs="Arial"/>
            </w:rPr>
            <w:t>Advantages and Disadvantages of Point of Care Testing</w:t>
          </w:r>
        </w:p>
        <w:p w14:paraId="59D20A4A" w14:textId="77777777" w:rsidR="00BD333C" w:rsidRPr="00AE306F" w:rsidRDefault="00BD333C">
          <w:pPr>
            <w:rPr>
              <w:rFonts w:ascii="Arial" w:hAnsi="Arial" w:cs="Arial"/>
            </w:rPr>
          </w:pPr>
          <w:r w:rsidRPr="00AE306F">
            <w:rPr>
              <w:rFonts w:ascii="Arial" w:hAnsi="Arial" w:cs="Arial"/>
            </w:rPr>
            <w:t>Analysis of Point of Care Testing</w:t>
          </w:r>
        </w:p>
        <w:p w14:paraId="0A27575D" w14:textId="77777777" w:rsidR="00BD333C" w:rsidRPr="00AE306F" w:rsidRDefault="00BD333C">
          <w:pPr>
            <w:rPr>
              <w:rFonts w:ascii="Arial" w:hAnsi="Arial" w:cs="Arial"/>
            </w:rPr>
          </w:pPr>
          <w:r w:rsidRPr="00AE306F">
            <w:rPr>
              <w:rFonts w:ascii="Arial" w:hAnsi="Arial" w:cs="Arial"/>
            </w:rPr>
            <w:t>Conclusion</w:t>
          </w:r>
        </w:p>
        <w:p w14:paraId="057AAD87" w14:textId="223DFA5B" w:rsidR="00BD333C" w:rsidRDefault="00BD333C">
          <w:r w:rsidRPr="00AE306F">
            <w:rPr>
              <w:rFonts w:ascii="Arial" w:hAnsi="Arial" w:cs="Arial"/>
            </w:rPr>
            <w:t>References</w:t>
          </w:r>
          <w:r w:rsidRPr="00AE306F">
            <w:rPr>
              <w:sz w:val="28"/>
              <w:szCs w:val="28"/>
            </w:rPr>
            <w:t xml:space="preserve"> </w:t>
          </w:r>
        </w:p>
      </w:sdtContent>
    </w:sdt>
    <w:p w14:paraId="31817247" w14:textId="5AFF95AB" w:rsidR="00BD333C" w:rsidRDefault="00BD333C"/>
    <w:p w14:paraId="1A1DA1C8" w14:textId="77777777" w:rsidR="00BD333C" w:rsidRDefault="00BD333C">
      <w:r>
        <w:br w:type="page"/>
      </w:r>
    </w:p>
    <w:p w14:paraId="098C0099" w14:textId="47E9FBAA" w:rsidR="00994A28" w:rsidRPr="00E1345B" w:rsidRDefault="00BD333C">
      <w:pPr>
        <w:rPr>
          <w:rFonts w:ascii="Arial" w:hAnsi="Arial" w:cs="Arial"/>
          <w:b/>
          <w:bCs/>
        </w:rPr>
      </w:pPr>
      <w:r w:rsidRPr="00E1345B">
        <w:rPr>
          <w:rFonts w:ascii="Arial" w:hAnsi="Arial" w:cs="Arial"/>
          <w:b/>
          <w:bCs/>
        </w:rPr>
        <w:lastRenderedPageBreak/>
        <w:t>Introduction</w:t>
      </w:r>
    </w:p>
    <w:p w14:paraId="76688BE3" w14:textId="6904DD22" w:rsidR="00BD333C" w:rsidRPr="00AE306F" w:rsidRDefault="00BD333C">
      <w:pPr>
        <w:rPr>
          <w:rFonts w:ascii="Arial" w:hAnsi="Arial" w:cs="Arial"/>
        </w:rPr>
      </w:pPr>
    </w:p>
    <w:p w14:paraId="5ADADD11" w14:textId="7489A31D" w:rsidR="00D43538" w:rsidRDefault="00BD333C">
      <w:pPr>
        <w:rPr>
          <w:rFonts w:ascii="Arial" w:hAnsi="Arial" w:cs="Arial"/>
        </w:rPr>
      </w:pPr>
      <w:r w:rsidRPr="00AE306F">
        <w:rPr>
          <w:rFonts w:ascii="Arial" w:hAnsi="Arial" w:cs="Arial"/>
        </w:rPr>
        <w:t xml:space="preserve">The utilization of </w:t>
      </w:r>
      <w:r w:rsidR="00AE306F" w:rsidRPr="00AE306F">
        <w:rPr>
          <w:rFonts w:ascii="Arial" w:hAnsi="Arial" w:cs="Arial"/>
        </w:rPr>
        <w:t xml:space="preserve">research facility operations in closeness </w:t>
      </w:r>
      <w:r w:rsidR="00AE306F">
        <w:rPr>
          <w:rFonts w:ascii="Arial" w:hAnsi="Arial" w:cs="Arial"/>
        </w:rPr>
        <w:t xml:space="preserve">to a patient’s area is alluded to as Point of Care Testing (POCT). </w:t>
      </w:r>
      <w:r w:rsidR="00D43538">
        <w:rPr>
          <w:rFonts w:ascii="Arial" w:hAnsi="Arial" w:cs="Arial"/>
        </w:rPr>
        <w:t>Fast assortment of re</w:t>
      </w:r>
      <w:r w:rsidR="00552089">
        <w:rPr>
          <w:rFonts w:ascii="Arial" w:hAnsi="Arial" w:cs="Arial"/>
        </w:rPr>
        <w:t xml:space="preserve">sults </w:t>
      </w:r>
      <w:r w:rsidR="00D43538">
        <w:rPr>
          <w:rFonts w:ascii="Arial" w:hAnsi="Arial" w:cs="Arial"/>
        </w:rPr>
        <w:t xml:space="preserve">is a somewhat recent fad in laboratory, driven by the clinical interest for expedient admittance to examination results. </w:t>
      </w:r>
      <w:r w:rsidR="00552089">
        <w:rPr>
          <w:rFonts w:ascii="Arial" w:hAnsi="Arial" w:cs="Arial"/>
        </w:rPr>
        <w:t xml:space="preserve">As lab contraption and procedures have diminished in size, POCT examinations have become progressively reasonable. </w:t>
      </w:r>
      <w:r w:rsidR="004122B9">
        <w:rPr>
          <w:rFonts w:ascii="Arial" w:hAnsi="Arial" w:cs="Arial"/>
        </w:rPr>
        <w:t xml:space="preserve">The most significant benefit </w:t>
      </w:r>
      <w:r w:rsidR="00F04783">
        <w:rPr>
          <w:rFonts w:ascii="Arial" w:hAnsi="Arial" w:cs="Arial"/>
        </w:rPr>
        <w:t xml:space="preserve">of POCT is that it eliminates the prerequisite for sample transportation to the laboratory, which sets aside both time and money. </w:t>
      </w:r>
      <w:r w:rsidR="009049E0">
        <w:rPr>
          <w:rFonts w:ascii="Arial" w:hAnsi="Arial" w:cs="Arial"/>
        </w:rPr>
        <w:t xml:space="preserve">Besides, the outcomes are </w:t>
      </w:r>
      <w:r w:rsidR="00166B76">
        <w:rPr>
          <w:rFonts w:ascii="Arial" w:hAnsi="Arial" w:cs="Arial"/>
        </w:rPr>
        <w:t>accessible</w:t>
      </w:r>
      <w:r w:rsidR="009049E0">
        <w:rPr>
          <w:rFonts w:ascii="Arial" w:hAnsi="Arial" w:cs="Arial"/>
        </w:rPr>
        <w:t xml:space="preserve"> at the patient’s bedside promptly after the test </w:t>
      </w:r>
      <w:r w:rsidR="00166B76">
        <w:rPr>
          <w:rFonts w:ascii="Arial" w:hAnsi="Arial" w:cs="Arial"/>
        </w:rPr>
        <w:t xml:space="preserve">is done. </w:t>
      </w:r>
      <w:r w:rsidR="003C4FBC">
        <w:rPr>
          <w:rFonts w:ascii="Arial" w:hAnsi="Arial" w:cs="Arial"/>
        </w:rPr>
        <w:t xml:space="preserve">This saves time since the result can be used immediately to make decisions about extra symptomatic and remedial treatment alternatives (Briggs et al.,2008). Over the earlier decade, the European market for POCT frameworks has shown a critical expansion in deals. </w:t>
      </w:r>
      <w:r w:rsidR="00ED76C4">
        <w:rPr>
          <w:rFonts w:ascii="Arial" w:hAnsi="Arial" w:cs="Arial"/>
        </w:rPr>
        <w:t xml:space="preserve">In vitro indicative testing presently represents practically 0.9 billion euros in Germany, representing 33% of the worldwide market. We will be discussing and focusing on POCT and the extraordinary contemplations that should be taken while utilizing this strategy in emergency clinics or workplace. This plans to advance basic pondering of the issues, especially their ramifications for clinical consideration, authoritative design and financial aspects. </w:t>
      </w:r>
    </w:p>
    <w:p w14:paraId="5F437BF5" w14:textId="3AF747F0" w:rsidR="00ED76C4" w:rsidRDefault="00ED76C4">
      <w:pPr>
        <w:rPr>
          <w:rFonts w:ascii="Arial" w:hAnsi="Arial" w:cs="Arial"/>
        </w:rPr>
      </w:pPr>
    </w:p>
    <w:p w14:paraId="3B8F852D" w14:textId="4A19D26E" w:rsidR="00ED76C4" w:rsidRDefault="00ED76C4">
      <w:pPr>
        <w:rPr>
          <w:rFonts w:ascii="Arial" w:hAnsi="Arial" w:cs="Arial"/>
        </w:rPr>
      </w:pPr>
      <w:r>
        <w:rPr>
          <w:rFonts w:ascii="Arial" w:hAnsi="Arial" w:cs="Arial"/>
        </w:rPr>
        <w:t xml:space="preserve">Purpose in care testing is a famous strategy for doing research facility tests at or at the place of care for patients. POCT can possibly further develop patient treatment when utilized related to a total quality administration framework, as indicated by a huge collection of examination. </w:t>
      </w:r>
      <w:r w:rsidR="006E2821">
        <w:rPr>
          <w:rFonts w:ascii="Arial" w:hAnsi="Arial" w:cs="Arial"/>
        </w:rPr>
        <w:t>This assertion is upheld by various assessed studies depicting functional parts of the Quality Assurance for Aboriginal and Torres Strait Islander Medical Services (QAAMS) and Integrated Cardiovascular Clinical Network (</w:t>
      </w:r>
      <w:proofErr w:type="spellStart"/>
      <w:r w:rsidR="006E2821">
        <w:rPr>
          <w:rFonts w:ascii="Arial" w:hAnsi="Arial" w:cs="Arial"/>
        </w:rPr>
        <w:t>iCCnet</w:t>
      </w:r>
      <w:proofErr w:type="spellEnd"/>
      <w:r w:rsidR="006E2821">
        <w:rPr>
          <w:rFonts w:ascii="Arial" w:hAnsi="Arial" w:cs="Arial"/>
        </w:rPr>
        <w:t xml:space="preserve">) drives. </w:t>
      </w:r>
      <w:r w:rsidR="00225C6B">
        <w:rPr>
          <w:rFonts w:ascii="Arial" w:hAnsi="Arial" w:cs="Arial"/>
        </w:rPr>
        <w:t xml:space="preserve">A speedier outcome, then again, isn’t generally identical to an outcome from a standard clinical or pathology laboratory, and perceiving the distinction requires a careful handle of the advancements in question. </w:t>
      </w:r>
      <w:r w:rsidR="007E3AA9">
        <w:rPr>
          <w:rFonts w:ascii="Arial" w:hAnsi="Arial" w:cs="Arial"/>
        </w:rPr>
        <w:t xml:space="preserve">Worries over POCT quality have likewise brought about a chain of importance of lab rules in the United States and different countries. Many </w:t>
      </w:r>
      <w:r w:rsidR="00A874B0">
        <w:rPr>
          <w:rFonts w:ascii="Arial" w:hAnsi="Arial" w:cs="Arial"/>
        </w:rPr>
        <w:t>experts’</w:t>
      </w:r>
      <w:r w:rsidR="007E3AA9">
        <w:rPr>
          <w:rFonts w:ascii="Arial" w:hAnsi="Arial" w:cs="Arial"/>
        </w:rPr>
        <w:t xml:space="preserve"> affiliations have created POCT functional rules to expand patient advantage while limiting testing mistakes. </w:t>
      </w:r>
      <w:r w:rsidR="00A874B0">
        <w:rPr>
          <w:rFonts w:ascii="Arial" w:hAnsi="Arial" w:cs="Arial"/>
        </w:rPr>
        <w:t xml:space="preserve">A considerable lot of the apparent functional and specialized concerns have been tended to by the International Organization for Standardization (ISO) and the Clinical and Laboratory Standards Institute in the United States (CLSI). </w:t>
      </w:r>
    </w:p>
    <w:p w14:paraId="1A752BA5" w14:textId="1C1816AF" w:rsidR="003C4FBC" w:rsidRDefault="003C4FBC">
      <w:pPr>
        <w:rPr>
          <w:rFonts w:ascii="Arial" w:hAnsi="Arial" w:cs="Arial"/>
        </w:rPr>
      </w:pPr>
    </w:p>
    <w:p w14:paraId="632B04D3" w14:textId="422996E6" w:rsidR="003C4FBC" w:rsidRDefault="00A874B0">
      <w:pPr>
        <w:rPr>
          <w:rFonts w:ascii="Arial" w:hAnsi="Arial" w:cs="Arial"/>
        </w:rPr>
      </w:pPr>
      <w:r>
        <w:rPr>
          <w:rFonts w:ascii="Arial" w:hAnsi="Arial" w:cs="Arial"/>
        </w:rPr>
        <w:t xml:space="preserve">Proof based medication has now turned into the best quality level for bettering medical services throughout the world. Innovation and clinical medicines ought to be evaluated utilizing a proof-based medication approach that thinks about specialized, cost-adequacy, and patient advantage. At the most fundamental level, patients as medical services purchasers accept that the nature of care they get is indistinguishable with the shortfall of clinical blunders. This involves blunder free research center and reason behind care testing. </w:t>
      </w:r>
      <w:r w:rsidR="00B26EE2">
        <w:rPr>
          <w:rFonts w:ascii="Arial" w:hAnsi="Arial" w:cs="Arial"/>
        </w:rPr>
        <w:t>Quality objectives for both logical and clinical administration should be given a proper high need to accomplish patient wellbeing inside the current setting - laboratory and POCT. The Medical Journal of Australia (MJA) is additionally second to the British Medical Journal (BMJ) - “in distributing the greatest number of references listed under the term proof-based medication in English language diaries.” As indicated by the report. The latest (third) release of the globally acclaimed work on “P</w:t>
      </w:r>
      <w:r w:rsidR="00C75418">
        <w:rPr>
          <w:rFonts w:ascii="Arial" w:hAnsi="Arial" w:cs="Arial"/>
        </w:rPr>
        <w:t>oint-of-Care Testing</w:t>
      </w:r>
      <w:r w:rsidR="00B26EE2">
        <w:rPr>
          <w:rFonts w:ascii="Arial" w:hAnsi="Arial" w:cs="Arial"/>
        </w:rPr>
        <w:t xml:space="preserve">: Needs, Opportunity, and Innovation” addresses a large portion of the current subjects in the </w:t>
      </w:r>
      <w:r w:rsidR="00B26EE2">
        <w:rPr>
          <w:rFonts w:ascii="Arial" w:hAnsi="Arial" w:cs="Arial"/>
        </w:rPr>
        <w:lastRenderedPageBreak/>
        <w:t xml:space="preserve">POCT banter (AACC Press, 2010), altered by CP Price, A St John, and LJ </w:t>
      </w:r>
      <w:proofErr w:type="spellStart"/>
      <w:r w:rsidR="00B26EE2">
        <w:rPr>
          <w:rFonts w:ascii="Arial" w:hAnsi="Arial" w:cs="Arial"/>
        </w:rPr>
        <w:t>Kricka</w:t>
      </w:r>
      <w:proofErr w:type="spellEnd"/>
      <w:r w:rsidR="00B26EE2">
        <w:rPr>
          <w:rFonts w:ascii="Arial" w:hAnsi="Arial" w:cs="Arial"/>
        </w:rPr>
        <w:t xml:space="preserve">. </w:t>
      </w:r>
      <w:r w:rsidR="00C75418">
        <w:rPr>
          <w:rFonts w:ascii="Arial" w:hAnsi="Arial" w:cs="Arial"/>
        </w:rPr>
        <w:t xml:space="preserve">“Today, most medical services associations offer some reason behind care testing (POCT) as a device to further develop medical care conveyance,” composes Professor Sharon </w:t>
      </w:r>
      <w:proofErr w:type="spellStart"/>
      <w:r w:rsidR="00C75418">
        <w:rPr>
          <w:rFonts w:ascii="Arial" w:hAnsi="Arial" w:cs="Arial"/>
        </w:rPr>
        <w:t>Ehrmeyer</w:t>
      </w:r>
      <w:proofErr w:type="spellEnd"/>
      <w:r w:rsidR="00C75418">
        <w:rPr>
          <w:rFonts w:ascii="Arial" w:hAnsi="Arial" w:cs="Arial"/>
        </w:rPr>
        <w:t xml:space="preserve"> in Chapter 19 of this book. POCT is an expansive term that alludes to any testing that is done approach on patient outside of a customary clinical research facility, regardless of whether it is done in a specialist’s office, a trauma center, an emergency unit or a medical procedure place. Even though exceptionally prepared research facility experts performing </w:t>
      </w:r>
      <w:r w:rsidR="009D27BD">
        <w:rPr>
          <w:rFonts w:ascii="Arial" w:hAnsi="Arial" w:cs="Arial"/>
        </w:rPr>
        <w:t xml:space="preserve">clinical lab testing are required to follow broad unofficial laws in many nations to guarantee quality test outcomes, explicit testing necessities for POCT, which is commonly performed by people without formal lab training or preparation have not been recognized. The central government in the United States authorizes least necessities for all lab testing, paying little heed to where it is performed, and applies control through administrative approaches, public enactment, and coordination with proficient associations. “Notwithstanding, numerous counties have proficient associations that endorse explicit rules of POCT, for example, quality affirmations cycles and outer quality assessment or capability testing.” says the report. </w:t>
      </w:r>
    </w:p>
    <w:p w14:paraId="508EE07A" w14:textId="144689E1" w:rsidR="009D27BD" w:rsidRDefault="009D27BD">
      <w:pPr>
        <w:rPr>
          <w:rFonts w:ascii="Arial" w:hAnsi="Arial" w:cs="Arial"/>
        </w:rPr>
      </w:pPr>
    </w:p>
    <w:p w14:paraId="7124433E" w14:textId="3CE3EB70" w:rsidR="009D27BD" w:rsidRDefault="009D27BD">
      <w:pPr>
        <w:rPr>
          <w:rFonts w:ascii="Arial" w:hAnsi="Arial" w:cs="Arial"/>
        </w:rPr>
      </w:pPr>
      <w:r>
        <w:rPr>
          <w:rFonts w:ascii="Arial" w:hAnsi="Arial" w:cs="Arial"/>
        </w:rPr>
        <w:t xml:space="preserve">For medical care financing specialists, POCT’s development and usefulness represent various hindrances. Specifically, the ability </w:t>
      </w:r>
      <w:r w:rsidR="00FC2820">
        <w:rPr>
          <w:rFonts w:ascii="Arial" w:hAnsi="Arial" w:cs="Arial"/>
        </w:rPr>
        <w:t>to evaluate the likely worth of POCT in the patient consideration measure. In chapter 1 of Point-of-Care Testing: Needs, Opportunity, and Innovation, the penultimate expression expresses: “The four primary difficulties are creating proof to show that POCT further develops results, changing clinical practice to convey the advantage, keeping up with clinical administration for a more disseminated research facility medication administration, and changing asset allotment to mirror the reasonable expansion in interest in POCT innovation while recovering assets from the point in the pathway where the advantages are figured out.”</w:t>
      </w:r>
    </w:p>
    <w:p w14:paraId="0ECBF757" w14:textId="41DC7B4E" w:rsidR="00FC2820" w:rsidRDefault="00FC2820">
      <w:pPr>
        <w:rPr>
          <w:rFonts w:ascii="Arial" w:hAnsi="Arial" w:cs="Arial"/>
        </w:rPr>
      </w:pPr>
    </w:p>
    <w:p w14:paraId="427329BD" w14:textId="2D6E1B7C" w:rsidR="00FC2820" w:rsidRDefault="00FC2820">
      <w:pPr>
        <w:rPr>
          <w:rFonts w:ascii="Arial" w:hAnsi="Arial" w:cs="Arial"/>
        </w:rPr>
      </w:pPr>
      <w:r>
        <w:rPr>
          <w:rFonts w:ascii="Arial" w:hAnsi="Arial" w:cs="Arial"/>
        </w:rPr>
        <w:t xml:space="preserve">POCT enjoys a great deal of upper hands over focal research </w:t>
      </w:r>
      <w:r w:rsidR="00F541B8">
        <w:rPr>
          <w:rFonts w:ascii="Arial" w:hAnsi="Arial" w:cs="Arial"/>
        </w:rPr>
        <w:t>facility testing when contrasted with different procedures. POCT gadgets simply require a little measure of test volume and do not need any prior example processing. POCT is especially helpful for babies, newborn children, and patients who are in danger of blood misfortune during phlebotomy. Notwithstanding entire blood tests, POCT gear can assess body fluid specimens such as Urine. While the specialist or doctor is evaluating the patient, the clinician can obtain test results in a brief timeframe. Moving an example to a lab and sitting tight for results is not needed (Crocker et al.,2014). POCT might be coordinated into the clinical progression of patient consideration since clinicians can arrange a test, get the outcomes, and apply the discoveries</w:t>
      </w:r>
      <w:r w:rsidR="00546E9E">
        <w:rPr>
          <w:rFonts w:ascii="Arial" w:hAnsi="Arial" w:cs="Arial"/>
        </w:rPr>
        <w:t xml:space="preserve"> all in a similar arrangement. Patients’ outcomes might increment because of all the quick restorative activity and better tolerant results. POCT, then again, is loaded with issues. Since POCT synthetics are single-use tests, they are more costly than ordinary research center testing. Customary lab reagents are mass bundled for high-volume examination. POCT is as often as possible not done by lab experts in medical clinic settings, making contrasts in the testing procedure’s preanalytical, logical, or postanalytical parts harder to recognize. A second issue that should be tended to, is documentation. POCT results could conceivably be incorporated or noted in for example patient’s electrocardiogram. It’s conceivable that clinical staff are clueless of the variety of public and worldwide standards and </w:t>
      </w:r>
      <w:r w:rsidR="00546E9E">
        <w:rPr>
          <w:rFonts w:ascii="Arial" w:hAnsi="Arial" w:cs="Arial"/>
        </w:rPr>
        <w:lastRenderedPageBreak/>
        <w:t xml:space="preserve">administrative guidelines that apply to research facility activities, which may be befuddling. </w:t>
      </w:r>
    </w:p>
    <w:p w14:paraId="742132A5" w14:textId="38A0D289" w:rsidR="00546E9E" w:rsidRDefault="00546E9E">
      <w:pPr>
        <w:rPr>
          <w:rFonts w:ascii="Arial" w:hAnsi="Arial" w:cs="Arial"/>
        </w:rPr>
      </w:pPr>
    </w:p>
    <w:p w14:paraId="0CB9AF82" w14:textId="69662AB1" w:rsidR="00546E9E" w:rsidRDefault="00546E9E">
      <w:pPr>
        <w:rPr>
          <w:rFonts w:ascii="Arial" w:hAnsi="Arial" w:cs="Arial"/>
        </w:rPr>
      </w:pPr>
      <w:r>
        <w:rPr>
          <w:rFonts w:ascii="Arial" w:hAnsi="Arial" w:cs="Arial"/>
        </w:rPr>
        <w:t xml:space="preserve">Testing done at the mark of POCT </w:t>
      </w:r>
      <w:r w:rsidR="00E1345B">
        <w:rPr>
          <w:rFonts w:ascii="Arial" w:hAnsi="Arial" w:cs="Arial"/>
        </w:rPr>
        <w:t xml:space="preserve">benefits patients since it chooses how long they should remain in the medical clinic. Patients become more mindful of their position, and they can get data about their condition in short order, permitting them to get the consideration they needed consistently. These tests add to a more prominent way of life and expanded patient fulfillment by finding medical problems almost immediately. They are advantageous to the medical care industry. Also, the capacity to perform POCT permits doctors and other clinical experts to help a more prominent number of patients. Since compact testing and checking gear is so promptly accessible, patients can use it to be more readily focus on themselves, which assists with forestalling readmissions. Some POCT gadgets have state of the art innovation that permits a medical supplier to get the additional cost (Insights, 2020). </w:t>
      </w:r>
    </w:p>
    <w:p w14:paraId="0F80AE35" w14:textId="56A7DBED" w:rsidR="00E1345B" w:rsidRDefault="00E1345B">
      <w:pPr>
        <w:rPr>
          <w:rFonts w:ascii="Arial" w:hAnsi="Arial" w:cs="Arial"/>
        </w:rPr>
      </w:pPr>
    </w:p>
    <w:p w14:paraId="00AD078A" w14:textId="225C52AD" w:rsidR="00E1345B" w:rsidRPr="00E1345B" w:rsidRDefault="00E1345B">
      <w:pPr>
        <w:rPr>
          <w:rFonts w:ascii="Arial" w:hAnsi="Arial" w:cs="Arial"/>
          <w:b/>
          <w:bCs/>
        </w:rPr>
      </w:pPr>
      <w:r w:rsidRPr="00E1345B">
        <w:rPr>
          <w:rFonts w:ascii="Arial" w:hAnsi="Arial" w:cs="Arial"/>
          <w:b/>
          <w:bCs/>
        </w:rPr>
        <w:t>Methodological POCT</w:t>
      </w:r>
    </w:p>
    <w:p w14:paraId="4ADC6873" w14:textId="049FE710" w:rsidR="00E1345B" w:rsidRDefault="00E1345B">
      <w:pPr>
        <w:rPr>
          <w:rFonts w:ascii="Arial" w:hAnsi="Arial" w:cs="Arial"/>
        </w:rPr>
      </w:pPr>
    </w:p>
    <w:p w14:paraId="056FF7C7" w14:textId="77777777" w:rsidR="00E1345B" w:rsidRPr="00AE306F" w:rsidRDefault="00E1345B">
      <w:pPr>
        <w:rPr>
          <w:rFonts w:ascii="Arial" w:hAnsi="Arial" w:cs="Arial"/>
        </w:rPr>
      </w:pPr>
    </w:p>
    <w:sectPr w:rsidR="00E1345B" w:rsidRPr="00AE306F" w:rsidSect="00014A39">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DC5A2" w14:textId="77777777" w:rsidR="00BD333C" w:rsidRDefault="00BD333C" w:rsidP="00BD333C">
      <w:r>
        <w:separator/>
      </w:r>
    </w:p>
  </w:endnote>
  <w:endnote w:type="continuationSeparator" w:id="0">
    <w:p w14:paraId="01575946" w14:textId="77777777" w:rsidR="00BD333C" w:rsidRDefault="00BD333C" w:rsidP="00BD3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3793884"/>
      <w:docPartObj>
        <w:docPartGallery w:val="Page Numbers (Bottom of Page)"/>
        <w:docPartUnique/>
      </w:docPartObj>
    </w:sdtPr>
    <w:sdtContent>
      <w:p w14:paraId="73C077B8" w14:textId="411AD998" w:rsidR="00BD333C" w:rsidRDefault="00BD333C" w:rsidP="00DE69B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A450E7" w14:textId="77777777" w:rsidR="00BD333C" w:rsidRDefault="00BD33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2013572"/>
      <w:docPartObj>
        <w:docPartGallery w:val="Page Numbers (Bottom of Page)"/>
        <w:docPartUnique/>
      </w:docPartObj>
    </w:sdtPr>
    <w:sdtContent>
      <w:p w14:paraId="7685A0D9" w14:textId="09C7D0EE" w:rsidR="00BD333C" w:rsidRDefault="00BD333C" w:rsidP="00DE69B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5F4924" w14:textId="77777777" w:rsidR="00BD333C" w:rsidRDefault="00BD3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A5220" w14:textId="77777777" w:rsidR="00BD333C" w:rsidRDefault="00BD333C" w:rsidP="00BD333C">
      <w:r>
        <w:separator/>
      </w:r>
    </w:p>
  </w:footnote>
  <w:footnote w:type="continuationSeparator" w:id="0">
    <w:p w14:paraId="40809258" w14:textId="77777777" w:rsidR="00BD333C" w:rsidRDefault="00BD333C" w:rsidP="00BD33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33C"/>
    <w:rsid w:val="00014A39"/>
    <w:rsid w:val="00166B76"/>
    <w:rsid w:val="001B53A6"/>
    <w:rsid w:val="001C0EFE"/>
    <w:rsid w:val="00225C6B"/>
    <w:rsid w:val="003373CF"/>
    <w:rsid w:val="00383BFB"/>
    <w:rsid w:val="003C4FBC"/>
    <w:rsid w:val="004122B9"/>
    <w:rsid w:val="005170A1"/>
    <w:rsid w:val="00546E9E"/>
    <w:rsid w:val="00552089"/>
    <w:rsid w:val="006E2821"/>
    <w:rsid w:val="007E3AA9"/>
    <w:rsid w:val="009049E0"/>
    <w:rsid w:val="00993F06"/>
    <w:rsid w:val="009D27BD"/>
    <w:rsid w:val="00A874B0"/>
    <w:rsid w:val="00AD5970"/>
    <w:rsid w:val="00AE306F"/>
    <w:rsid w:val="00B26EE2"/>
    <w:rsid w:val="00BD333C"/>
    <w:rsid w:val="00C16B16"/>
    <w:rsid w:val="00C75418"/>
    <w:rsid w:val="00D43538"/>
    <w:rsid w:val="00E1345B"/>
    <w:rsid w:val="00E530DB"/>
    <w:rsid w:val="00ED76C4"/>
    <w:rsid w:val="00F04783"/>
    <w:rsid w:val="00F541B8"/>
    <w:rsid w:val="00FC2820"/>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B0276FE"/>
  <w15:chartTrackingRefBased/>
  <w15:docId w15:val="{AF5268CA-8C88-E24F-AE7C-B9004A61C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SG"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BD333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333C"/>
    <w:pPr>
      <w:spacing w:before="100" w:beforeAutospacing="1" w:after="100" w:afterAutospacing="1"/>
    </w:pPr>
    <w:rPr>
      <w:rFonts w:ascii="Times New Roman" w:eastAsia="Times New Roman" w:hAnsi="Times New Roman" w:cs="Times New Roman"/>
      <w:lang w:val="en-SG"/>
    </w:rPr>
  </w:style>
  <w:style w:type="character" w:customStyle="1" w:styleId="Heading1Char">
    <w:name w:val="Heading 1 Char"/>
    <w:basedOn w:val="DefaultParagraphFont"/>
    <w:link w:val="Heading1"/>
    <w:uiPriority w:val="9"/>
    <w:rsid w:val="00BD333C"/>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BD333C"/>
    <w:pPr>
      <w:spacing w:before="480" w:line="276" w:lineRule="auto"/>
      <w:outlineLvl w:val="9"/>
    </w:pPr>
    <w:rPr>
      <w:b/>
      <w:bCs/>
      <w:sz w:val="28"/>
      <w:szCs w:val="28"/>
      <w:lang w:eastAsia="en-US"/>
    </w:rPr>
  </w:style>
  <w:style w:type="paragraph" w:styleId="TOC1">
    <w:name w:val="toc 1"/>
    <w:basedOn w:val="Normal"/>
    <w:next w:val="Normal"/>
    <w:autoRedefine/>
    <w:uiPriority w:val="39"/>
    <w:semiHidden/>
    <w:unhideWhenUsed/>
    <w:rsid w:val="00BD333C"/>
    <w:pPr>
      <w:spacing w:before="120"/>
    </w:pPr>
    <w:rPr>
      <w:rFonts w:cstheme="minorHAnsi"/>
      <w:b/>
      <w:bCs/>
      <w:i/>
      <w:iCs/>
    </w:rPr>
  </w:style>
  <w:style w:type="paragraph" w:styleId="TOC2">
    <w:name w:val="toc 2"/>
    <w:basedOn w:val="Normal"/>
    <w:next w:val="Normal"/>
    <w:autoRedefine/>
    <w:uiPriority w:val="39"/>
    <w:semiHidden/>
    <w:unhideWhenUsed/>
    <w:rsid w:val="00BD333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BD333C"/>
    <w:pPr>
      <w:ind w:left="480"/>
    </w:pPr>
    <w:rPr>
      <w:rFonts w:cstheme="minorHAnsi"/>
      <w:sz w:val="20"/>
      <w:szCs w:val="20"/>
    </w:rPr>
  </w:style>
  <w:style w:type="paragraph" w:styleId="TOC4">
    <w:name w:val="toc 4"/>
    <w:basedOn w:val="Normal"/>
    <w:next w:val="Normal"/>
    <w:autoRedefine/>
    <w:uiPriority w:val="39"/>
    <w:semiHidden/>
    <w:unhideWhenUsed/>
    <w:rsid w:val="00BD333C"/>
    <w:pPr>
      <w:ind w:left="720"/>
    </w:pPr>
    <w:rPr>
      <w:rFonts w:cstheme="minorHAnsi"/>
      <w:sz w:val="20"/>
      <w:szCs w:val="20"/>
    </w:rPr>
  </w:style>
  <w:style w:type="paragraph" w:styleId="TOC5">
    <w:name w:val="toc 5"/>
    <w:basedOn w:val="Normal"/>
    <w:next w:val="Normal"/>
    <w:autoRedefine/>
    <w:uiPriority w:val="39"/>
    <w:semiHidden/>
    <w:unhideWhenUsed/>
    <w:rsid w:val="00BD333C"/>
    <w:pPr>
      <w:ind w:left="960"/>
    </w:pPr>
    <w:rPr>
      <w:rFonts w:cstheme="minorHAnsi"/>
      <w:sz w:val="20"/>
      <w:szCs w:val="20"/>
    </w:rPr>
  </w:style>
  <w:style w:type="paragraph" w:styleId="TOC6">
    <w:name w:val="toc 6"/>
    <w:basedOn w:val="Normal"/>
    <w:next w:val="Normal"/>
    <w:autoRedefine/>
    <w:uiPriority w:val="39"/>
    <w:semiHidden/>
    <w:unhideWhenUsed/>
    <w:rsid w:val="00BD333C"/>
    <w:pPr>
      <w:ind w:left="1200"/>
    </w:pPr>
    <w:rPr>
      <w:rFonts w:cstheme="minorHAnsi"/>
      <w:sz w:val="20"/>
      <w:szCs w:val="20"/>
    </w:rPr>
  </w:style>
  <w:style w:type="paragraph" w:styleId="TOC7">
    <w:name w:val="toc 7"/>
    <w:basedOn w:val="Normal"/>
    <w:next w:val="Normal"/>
    <w:autoRedefine/>
    <w:uiPriority w:val="39"/>
    <w:semiHidden/>
    <w:unhideWhenUsed/>
    <w:rsid w:val="00BD333C"/>
    <w:pPr>
      <w:ind w:left="1440"/>
    </w:pPr>
    <w:rPr>
      <w:rFonts w:cstheme="minorHAnsi"/>
      <w:sz w:val="20"/>
      <w:szCs w:val="20"/>
    </w:rPr>
  </w:style>
  <w:style w:type="paragraph" w:styleId="TOC8">
    <w:name w:val="toc 8"/>
    <w:basedOn w:val="Normal"/>
    <w:next w:val="Normal"/>
    <w:autoRedefine/>
    <w:uiPriority w:val="39"/>
    <w:semiHidden/>
    <w:unhideWhenUsed/>
    <w:rsid w:val="00BD333C"/>
    <w:pPr>
      <w:ind w:left="1680"/>
    </w:pPr>
    <w:rPr>
      <w:rFonts w:cstheme="minorHAnsi"/>
      <w:sz w:val="20"/>
      <w:szCs w:val="20"/>
    </w:rPr>
  </w:style>
  <w:style w:type="paragraph" w:styleId="TOC9">
    <w:name w:val="toc 9"/>
    <w:basedOn w:val="Normal"/>
    <w:next w:val="Normal"/>
    <w:autoRedefine/>
    <w:uiPriority w:val="39"/>
    <w:semiHidden/>
    <w:unhideWhenUsed/>
    <w:rsid w:val="00BD333C"/>
    <w:pPr>
      <w:ind w:left="1920"/>
    </w:pPr>
    <w:rPr>
      <w:rFonts w:cstheme="minorHAnsi"/>
      <w:sz w:val="20"/>
      <w:szCs w:val="20"/>
    </w:rPr>
  </w:style>
  <w:style w:type="paragraph" w:styleId="Footer">
    <w:name w:val="footer"/>
    <w:basedOn w:val="Normal"/>
    <w:link w:val="FooterChar"/>
    <w:uiPriority w:val="99"/>
    <w:unhideWhenUsed/>
    <w:rsid w:val="00BD333C"/>
    <w:pPr>
      <w:tabs>
        <w:tab w:val="center" w:pos="4513"/>
        <w:tab w:val="right" w:pos="9026"/>
      </w:tabs>
    </w:pPr>
  </w:style>
  <w:style w:type="character" w:customStyle="1" w:styleId="FooterChar">
    <w:name w:val="Footer Char"/>
    <w:basedOn w:val="DefaultParagraphFont"/>
    <w:link w:val="Footer"/>
    <w:uiPriority w:val="99"/>
    <w:rsid w:val="00BD333C"/>
    <w:rPr>
      <w:lang w:val="en-US"/>
    </w:rPr>
  </w:style>
  <w:style w:type="character" w:styleId="PageNumber">
    <w:name w:val="page number"/>
    <w:basedOn w:val="DefaultParagraphFont"/>
    <w:uiPriority w:val="99"/>
    <w:semiHidden/>
    <w:unhideWhenUsed/>
    <w:rsid w:val="00BD3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083408">
      <w:bodyDiv w:val="1"/>
      <w:marLeft w:val="0"/>
      <w:marRight w:val="0"/>
      <w:marTop w:val="0"/>
      <w:marBottom w:val="0"/>
      <w:divBdr>
        <w:top w:val="none" w:sz="0" w:space="0" w:color="auto"/>
        <w:left w:val="none" w:sz="0" w:space="0" w:color="auto"/>
        <w:bottom w:val="none" w:sz="0" w:space="0" w:color="auto"/>
        <w:right w:val="none" w:sz="0" w:space="0" w:color="auto"/>
      </w:divBdr>
      <w:divsChild>
        <w:div w:id="1173105943">
          <w:marLeft w:val="0"/>
          <w:marRight w:val="0"/>
          <w:marTop w:val="0"/>
          <w:marBottom w:val="0"/>
          <w:divBdr>
            <w:top w:val="none" w:sz="0" w:space="0" w:color="auto"/>
            <w:left w:val="none" w:sz="0" w:space="0" w:color="auto"/>
            <w:bottom w:val="none" w:sz="0" w:space="0" w:color="auto"/>
            <w:right w:val="none" w:sz="0" w:space="0" w:color="auto"/>
          </w:divBdr>
          <w:divsChild>
            <w:div w:id="189465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017621">
      <w:bodyDiv w:val="1"/>
      <w:marLeft w:val="0"/>
      <w:marRight w:val="0"/>
      <w:marTop w:val="0"/>
      <w:marBottom w:val="0"/>
      <w:divBdr>
        <w:top w:val="none" w:sz="0" w:space="0" w:color="auto"/>
        <w:left w:val="none" w:sz="0" w:space="0" w:color="auto"/>
        <w:bottom w:val="none" w:sz="0" w:space="0" w:color="auto"/>
        <w:right w:val="none" w:sz="0" w:space="0" w:color="auto"/>
      </w:divBdr>
      <w:divsChild>
        <w:div w:id="761149307">
          <w:marLeft w:val="0"/>
          <w:marRight w:val="0"/>
          <w:marTop w:val="0"/>
          <w:marBottom w:val="0"/>
          <w:divBdr>
            <w:top w:val="none" w:sz="0" w:space="0" w:color="auto"/>
            <w:left w:val="none" w:sz="0" w:space="0" w:color="auto"/>
            <w:bottom w:val="none" w:sz="0" w:space="0" w:color="auto"/>
            <w:right w:val="none" w:sz="0" w:space="0" w:color="auto"/>
          </w:divBdr>
          <w:divsChild>
            <w:div w:id="1726415823">
              <w:marLeft w:val="0"/>
              <w:marRight w:val="0"/>
              <w:marTop w:val="0"/>
              <w:marBottom w:val="0"/>
              <w:divBdr>
                <w:top w:val="none" w:sz="0" w:space="0" w:color="auto"/>
                <w:left w:val="none" w:sz="0" w:space="0" w:color="auto"/>
                <w:bottom w:val="none" w:sz="0" w:space="0" w:color="auto"/>
                <w:right w:val="none" w:sz="0" w:space="0" w:color="auto"/>
              </w:divBdr>
              <w:divsChild>
                <w:div w:id="51053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D8BFE-89D8-F947-A2EC-BF782BF19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1323</Words>
  <Characters>7542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2021-12-05T04:56:00Z</dcterms:created>
  <dcterms:modified xsi:type="dcterms:W3CDTF">2021-12-05T04:56:00Z</dcterms:modified>
</cp:coreProperties>
</file>