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PlainTable1"/>
        <w:tblpPr w:leftFromText="180" w:rightFromText="180" w:vertAnchor="text" w:horzAnchor="margin" w:tblpXSpec="center" w:tblpY="2677"/>
        <w:tblW w:w="9794" w:type="dxa"/>
        <w:tblLook w:val="04A0" w:firstRow="1" w:lastRow="0" w:firstColumn="1" w:lastColumn="0" w:noHBand="0" w:noVBand="1"/>
      </w:tblPr>
      <w:tblGrid>
        <w:gridCol w:w="3186"/>
        <w:gridCol w:w="6608"/>
      </w:tblGrid>
      <w:tr w:rsidR="004F4A97" w:rsidRPr="004F4A97" w14:paraId="7ECE2FE7" w14:textId="77777777" w:rsidTr="004F4A97">
        <w:trPr>
          <w:cnfStyle w:val="100000000000" w:firstRow="1" w:lastRow="0" w:firstColumn="0" w:lastColumn="0" w:oddVBand="0" w:evenVBand="0" w:oddHBand="0" w:evenHBand="0" w:firstRowFirstColumn="0" w:firstRowLastColumn="0" w:lastRowFirstColumn="0" w:lastRowLastColumn="0"/>
          <w:trHeight w:val="835"/>
        </w:trPr>
        <w:tc>
          <w:tcPr>
            <w:cnfStyle w:val="001000000000" w:firstRow="0" w:lastRow="0" w:firstColumn="1" w:lastColumn="0" w:oddVBand="0" w:evenVBand="0" w:oddHBand="0" w:evenHBand="0" w:firstRowFirstColumn="0" w:firstRowLastColumn="0" w:lastRowFirstColumn="0" w:lastRowLastColumn="0"/>
            <w:tcW w:w="3186" w:type="dxa"/>
          </w:tcPr>
          <w:p w14:paraId="5535288D" w14:textId="5DA1060A" w:rsidR="00930F4A" w:rsidRPr="004F4A97" w:rsidRDefault="00930F4A" w:rsidP="004F4A97">
            <w:pPr>
              <w:spacing w:line="360" w:lineRule="auto"/>
              <w:jc w:val="left"/>
              <w:rPr>
                <w:rFonts w:ascii="Arial" w:hAnsi="Arial" w:cs="Arial"/>
              </w:rPr>
            </w:pPr>
            <w:r w:rsidRPr="004F4A97">
              <w:rPr>
                <w:rFonts w:ascii="Arial" w:hAnsi="Arial" w:cs="Arial"/>
              </w:rPr>
              <w:t>Name:</w:t>
            </w:r>
          </w:p>
        </w:tc>
        <w:tc>
          <w:tcPr>
            <w:tcW w:w="6608" w:type="dxa"/>
          </w:tcPr>
          <w:p w14:paraId="7361823C" w14:textId="77777777" w:rsidR="00930F4A" w:rsidRPr="004F4A97" w:rsidRDefault="00930F4A" w:rsidP="004F4A97">
            <w:pPr>
              <w:spacing w:line="360" w:lineRule="auto"/>
              <w:jc w:val="left"/>
              <w:cnfStyle w:val="100000000000" w:firstRow="1" w:lastRow="0" w:firstColumn="0" w:lastColumn="0" w:oddVBand="0" w:evenVBand="0" w:oddHBand="0" w:evenHBand="0" w:firstRowFirstColumn="0" w:firstRowLastColumn="0" w:lastRowFirstColumn="0" w:lastRowLastColumn="0"/>
              <w:rPr>
                <w:rFonts w:ascii="Arial" w:hAnsi="Arial" w:cs="Arial"/>
              </w:rPr>
            </w:pPr>
            <w:r w:rsidRPr="004F4A97">
              <w:rPr>
                <w:rFonts w:ascii="Arial" w:hAnsi="Arial" w:cs="Arial"/>
              </w:rPr>
              <w:t>Mahmudul Hasan</w:t>
            </w:r>
          </w:p>
        </w:tc>
      </w:tr>
      <w:tr w:rsidR="004F4A97" w:rsidRPr="004F4A97" w14:paraId="1E0BC777" w14:textId="77777777" w:rsidTr="004F4A97">
        <w:trPr>
          <w:cnfStyle w:val="000000100000" w:firstRow="0" w:lastRow="0" w:firstColumn="0" w:lastColumn="0" w:oddVBand="0" w:evenVBand="0" w:oddHBand="1" w:evenHBand="0" w:firstRowFirstColumn="0" w:firstRowLastColumn="0" w:lastRowFirstColumn="0" w:lastRowLastColumn="0"/>
          <w:trHeight w:val="818"/>
        </w:trPr>
        <w:tc>
          <w:tcPr>
            <w:cnfStyle w:val="001000000000" w:firstRow="0" w:lastRow="0" w:firstColumn="1" w:lastColumn="0" w:oddVBand="0" w:evenVBand="0" w:oddHBand="0" w:evenHBand="0" w:firstRowFirstColumn="0" w:firstRowLastColumn="0" w:lastRowFirstColumn="0" w:lastRowLastColumn="0"/>
            <w:tcW w:w="3186" w:type="dxa"/>
          </w:tcPr>
          <w:p w14:paraId="4710B7B7" w14:textId="77777777" w:rsidR="00930F4A" w:rsidRPr="004F4A97" w:rsidRDefault="00930F4A" w:rsidP="004F4A97">
            <w:pPr>
              <w:spacing w:line="360" w:lineRule="auto"/>
              <w:jc w:val="left"/>
              <w:rPr>
                <w:rFonts w:ascii="Arial" w:hAnsi="Arial" w:cs="Arial"/>
              </w:rPr>
            </w:pPr>
            <w:r w:rsidRPr="004F4A97">
              <w:rPr>
                <w:rFonts w:ascii="Arial" w:hAnsi="Arial" w:cs="Arial"/>
              </w:rPr>
              <w:t>Student ID:</w:t>
            </w:r>
          </w:p>
        </w:tc>
        <w:tc>
          <w:tcPr>
            <w:tcW w:w="6608" w:type="dxa"/>
          </w:tcPr>
          <w:p w14:paraId="6764B8A0" w14:textId="77777777" w:rsidR="00930F4A" w:rsidRPr="004F4A97" w:rsidRDefault="00930F4A" w:rsidP="004F4A97">
            <w:pPr>
              <w:spacing w:line="360" w:lineRule="auto"/>
              <w:jc w:val="left"/>
              <w:cnfStyle w:val="000000100000" w:firstRow="0" w:lastRow="0" w:firstColumn="0" w:lastColumn="0" w:oddVBand="0" w:evenVBand="0" w:oddHBand="1" w:evenHBand="0" w:firstRowFirstColumn="0" w:firstRowLastColumn="0" w:lastRowFirstColumn="0" w:lastRowLastColumn="0"/>
              <w:rPr>
                <w:rFonts w:ascii="Arial" w:hAnsi="Arial" w:cs="Arial"/>
                <w:b/>
                <w:bCs/>
              </w:rPr>
            </w:pPr>
            <w:r w:rsidRPr="004F4A97">
              <w:rPr>
                <w:rFonts w:ascii="Arial" w:hAnsi="Arial" w:cs="Arial"/>
                <w:b/>
                <w:bCs/>
              </w:rPr>
              <w:t>2523193</w:t>
            </w:r>
          </w:p>
        </w:tc>
      </w:tr>
      <w:tr w:rsidR="004F4A97" w:rsidRPr="004F4A97" w14:paraId="15BC89D8" w14:textId="77777777" w:rsidTr="004F4A97">
        <w:trPr>
          <w:trHeight w:val="835"/>
        </w:trPr>
        <w:tc>
          <w:tcPr>
            <w:cnfStyle w:val="001000000000" w:firstRow="0" w:lastRow="0" w:firstColumn="1" w:lastColumn="0" w:oddVBand="0" w:evenVBand="0" w:oddHBand="0" w:evenHBand="0" w:firstRowFirstColumn="0" w:firstRowLastColumn="0" w:lastRowFirstColumn="0" w:lastRowLastColumn="0"/>
            <w:tcW w:w="3186" w:type="dxa"/>
          </w:tcPr>
          <w:p w14:paraId="44EFE4F1" w14:textId="1F8F20AE" w:rsidR="00930F4A" w:rsidRPr="004F4A97" w:rsidRDefault="00930F4A" w:rsidP="004F4A97">
            <w:pPr>
              <w:spacing w:line="360" w:lineRule="auto"/>
              <w:jc w:val="left"/>
              <w:rPr>
                <w:rFonts w:ascii="Arial" w:hAnsi="Arial" w:cs="Arial"/>
              </w:rPr>
            </w:pPr>
            <w:r w:rsidRPr="004F4A97">
              <w:rPr>
                <w:rFonts w:ascii="Arial" w:hAnsi="Arial" w:cs="Arial"/>
              </w:rPr>
              <w:t>Programme:</w:t>
            </w:r>
          </w:p>
        </w:tc>
        <w:tc>
          <w:tcPr>
            <w:tcW w:w="6608" w:type="dxa"/>
          </w:tcPr>
          <w:p w14:paraId="422EBAAE" w14:textId="77777777" w:rsidR="00930F4A" w:rsidRPr="004F4A97" w:rsidRDefault="00930F4A" w:rsidP="004F4A97">
            <w:pPr>
              <w:spacing w:line="360" w:lineRule="auto"/>
              <w:jc w:val="left"/>
              <w:cnfStyle w:val="000000000000" w:firstRow="0" w:lastRow="0" w:firstColumn="0" w:lastColumn="0" w:oddVBand="0" w:evenVBand="0" w:oddHBand="0" w:evenHBand="0" w:firstRowFirstColumn="0" w:firstRowLastColumn="0" w:lastRowFirstColumn="0" w:lastRowLastColumn="0"/>
              <w:rPr>
                <w:rFonts w:ascii="Arial" w:hAnsi="Arial" w:cs="Arial"/>
                <w:b/>
                <w:bCs/>
              </w:rPr>
            </w:pPr>
            <w:r w:rsidRPr="004F4A97">
              <w:rPr>
                <w:rFonts w:ascii="Arial" w:hAnsi="Arial" w:cs="Arial"/>
                <w:b/>
                <w:bCs/>
              </w:rPr>
              <w:t>Master of Business Administration</w:t>
            </w:r>
          </w:p>
        </w:tc>
      </w:tr>
      <w:tr w:rsidR="004F4A97" w:rsidRPr="004F4A97" w14:paraId="34C1FC21" w14:textId="77777777" w:rsidTr="004F4A97">
        <w:trPr>
          <w:cnfStyle w:val="000000100000" w:firstRow="0" w:lastRow="0" w:firstColumn="0" w:lastColumn="0" w:oddVBand="0" w:evenVBand="0" w:oddHBand="1" w:evenHBand="0" w:firstRowFirstColumn="0" w:firstRowLastColumn="0" w:lastRowFirstColumn="0" w:lastRowLastColumn="0"/>
          <w:trHeight w:val="818"/>
        </w:trPr>
        <w:tc>
          <w:tcPr>
            <w:cnfStyle w:val="001000000000" w:firstRow="0" w:lastRow="0" w:firstColumn="1" w:lastColumn="0" w:oddVBand="0" w:evenVBand="0" w:oddHBand="0" w:evenHBand="0" w:firstRowFirstColumn="0" w:firstRowLastColumn="0" w:lastRowFirstColumn="0" w:lastRowLastColumn="0"/>
            <w:tcW w:w="3186" w:type="dxa"/>
          </w:tcPr>
          <w:p w14:paraId="7D00D4C5" w14:textId="77777777" w:rsidR="00930F4A" w:rsidRPr="004F4A97" w:rsidRDefault="00930F4A" w:rsidP="004F4A97">
            <w:pPr>
              <w:spacing w:line="360" w:lineRule="auto"/>
              <w:jc w:val="left"/>
              <w:rPr>
                <w:rFonts w:ascii="Arial" w:hAnsi="Arial" w:cs="Arial"/>
              </w:rPr>
            </w:pPr>
            <w:r w:rsidRPr="004F4A97">
              <w:rPr>
                <w:rFonts w:ascii="Arial" w:hAnsi="Arial" w:cs="Arial"/>
              </w:rPr>
              <w:t>Module:</w:t>
            </w:r>
          </w:p>
        </w:tc>
        <w:tc>
          <w:tcPr>
            <w:tcW w:w="6608" w:type="dxa"/>
          </w:tcPr>
          <w:p w14:paraId="23EF7757" w14:textId="6B31BDAE" w:rsidR="00930F4A" w:rsidRPr="004F4A97" w:rsidRDefault="00B27DD8" w:rsidP="004F4A97">
            <w:pPr>
              <w:spacing w:line="360" w:lineRule="auto"/>
              <w:jc w:val="left"/>
              <w:cnfStyle w:val="000000100000" w:firstRow="0" w:lastRow="0" w:firstColumn="0" w:lastColumn="0" w:oddVBand="0" w:evenVBand="0" w:oddHBand="1" w:evenHBand="0" w:firstRowFirstColumn="0" w:firstRowLastColumn="0" w:lastRowFirstColumn="0" w:lastRowLastColumn="0"/>
              <w:rPr>
                <w:rFonts w:ascii="Arial" w:hAnsi="Arial" w:cs="Arial"/>
                <w:b/>
                <w:bCs/>
              </w:rPr>
            </w:pPr>
            <w:r>
              <w:rPr>
                <w:rFonts w:ascii="Arial" w:hAnsi="Arial" w:cs="Arial"/>
                <w:b/>
                <w:bCs/>
              </w:rPr>
              <w:t>Financial</w:t>
            </w:r>
            <w:r w:rsidR="00930F4A" w:rsidRPr="004F4A97">
              <w:rPr>
                <w:rFonts w:ascii="Arial" w:hAnsi="Arial" w:cs="Arial"/>
                <w:b/>
                <w:bCs/>
              </w:rPr>
              <w:t xml:space="preserve"> Management</w:t>
            </w:r>
          </w:p>
        </w:tc>
      </w:tr>
      <w:tr w:rsidR="004F4A97" w:rsidRPr="004F4A97" w14:paraId="0F2F66F7" w14:textId="77777777" w:rsidTr="004F4A97">
        <w:trPr>
          <w:trHeight w:val="835"/>
        </w:trPr>
        <w:tc>
          <w:tcPr>
            <w:cnfStyle w:val="001000000000" w:firstRow="0" w:lastRow="0" w:firstColumn="1" w:lastColumn="0" w:oddVBand="0" w:evenVBand="0" w:oddHBand="0" w:evenHBand="0" w:firstRowFirstColumn="0" w:firstRowLastColumn="0" w:lastRowFirstColumn="0" w:lastRowLastColumn="0"/>
            <w:tcW w:w="3186" w:type="dxa"/>
          </w:tcPr>
          <w:p w14:paraId="10F24852" w14:textId="77777777" w:rsidR="00930F4A" w:rsidRPr="004F4A97" w:rsidRDefault="00930F4A" w:rsidP="004F4A97">
            <w:pPr>
              <w:spacing w:line="360" w:lineRule="auto"/>
              <w:jc w:val="left"/>
              <w:rPr>
                <w:rFonts w:ascii="Arial" w:hAnsi="Arial" w:cs="Arial"/>
              </w:rPr>
            </w:pPr>
            <w:r w:rsidRPr="004F4A97">
              <w:rPr>
                <w:rFonts w:ascii="Arial" w:hAnsi="Arial" w:cs="Arial"/>
              </w:rPr>
              <w:t>Module Code:</w:t>
            </w:r>
          </w:p>
        </w:tc>
        <w:tc>
          <w:tcPr>
            <w:tcW w:w="6608" w:type="dxa"/>
          </w:tcPr>
          <w:p w14:paraId="39CD2C75" w14:textId="01DA5C59" w:rsidR="00930F4A" w:rsidRPr="004F4A97" w:rsidRDefault="00930F4A" w:rsidP="004F4A97">
            <w:pPr>
              <w:spacing w:line="360" w:lineRule="auto"/>
              <w:jc w:val="left"/>
              <w:cnfStyle w:val="000000000000" w:firstRow="0" w:lastRow="0" w:firstColumn="0" w:lastColumn="0" w:oddVBand="0" w:evenVBand="0" w:oddHBand="0" w:evenHBand="0" w:firstRowFirstColumn="0" w:firstRowLastColumn="0" w:lastRowFirstColumn="0" w:lastRowLastColumn="0"/>
              <w:rPr>
                <w:rFonts w:ascii="Arial" w:hAnsi="Arial" w:cs="Arial"/>
                <w:b/>
                <w:bCs/>
              </w:rPr>
            </w:pPr>
            <w:r w:rsidRPr="004F4A97">
              <w:rPr>
                <w:rFonts w:ascii="Arial" w:hAnsi="Arial" w:cs="Arial"/>
                <w:b/>
                <w:bCs/>
              </w:rPr>
              <w:t>LCMB70</w:t>
            </w:r>
            <w:r w:rsidR="00490980" w:rsidRPr="004F4A97">
              <w:rPr>
                <w:rFonts w:ascii="Arial" w:hAnsi="Arial" w:cs="Arial"/>
                <w:b/>
                <w:bCs/>
              </w:rPr>
              <w:t>02</w:t>
            </w:r>
          </w:p>
        </w:tc>
      </w:tr>
      <w:tr w:rsidR="004F4A97" w:rsidRPr="004F4A97" w14:paraId="46367BFA" w14:textId="77777777" w:rsidTr="004F4A97">
        <w:trPr>
          <w:cnfStyle w:val="000000100000" w:firstRow="0" w:lastRow="0" w:firstColumn="0" w:lastColumn="0" w:oddVBand="0" w:evenVBand="0" w:oddHBand="1" w:evenHBand="0" w:firstRowFirstColumn="0" w:firstRowLastColumn="0" w:lastRowFirstColumn="0" w:lastRowLastColumn="0"/>
          <w:trHeight w:val="818"/>
        </w:trPr>
        <w:tc>
          <w:tcPr>
            <w:cnfStyle w:val="001000000000" w:firstRow="0" w:lastRow="0" w:firstColumn="1" w:lastColumn="0" w:oddVBand="0" w:evenVBand="0" w:oddHBand="0" w:evenHBand="0" w:firstRowFirstColumn="0" w:firstRowLastColumn="0" w:lastRowFirstColumn="0" w:lastRowLastColumn="0"/>
            <w:tcW w:w="3186" w:type="dxa"/>
          </w:tcPr>
          <w:p w14:paraId="288DB8C5" w14:textId="77777777" w:rsidR="00930F4A" w:rsidRPr="004F4A97" w:rsidRDefault="00930F4A" w:rsidP="004F4A97">
            <w:pPr>
              <w:spacing w:line="360" w:lineRule="auto"/>
              <w:jc w:val="left"/>
              <w:rPr>
                <w:rFonts w:ascii="Arial" w:hAnsi="Arial" w:cs="Arial"/>
              </w:rPr>
            </w:pPr>
            <w:r w:rsidRPr="004F4A97">
              <w:rPr>
                <w:rFonts w:ascii="Arial" w:hAnsi="Arial" w:cs="Arial"/>
              </w:rPr>
              <w:t>Lecturer:</w:t>
            </w:r>
          </w:p>
        </w:tc>
        <w:tc>
          <w:tcPr>
            <w:tcW w:w="6608" w:type="dxa"/>
          </w:tcPr>
          <w:p w14:paraId="019EDAA4" w14:textId="32A2F037" w:rsidR="00930F4A" w:rsidRPr="004F4A97" w:rsidRDefault="00CE30C6" w:rsidP="004F4A97">
            <w:pPr>
              <w:spacing w:line="360" w:lineRule="auto"/>
              <w:jc w:val="left"/>
              <w:cnfStyle w:val="000000100000" w:firstRow="0" w:lastRow="0" w:firstColumn="0" w:lastColumn="0" w:oddVBand="0" w:evenVBand="0" w:oddHBand="1" w:evenHBand="0" w:firstRowFirstColumn="0" w:firstRowLastColumn="0" w:lastRowFirstColumn="0" w:lastRowLastColumn="0"/>
              <w:rPr>
                <w:rFonts w:ascii="Arial" w:hAnsi="Arial" w:cs="Arial"/>
                <w:b/>
                <w:bCs/>
              </w:rPr>
            </w:pPr>
            <w:r>
              <w:rPr>
                <w:rFonts w:ascii="Arial" w:hAnsi="Arial" w:cs="Arial"/>
                <w:b/>
                <w:bCs/>
              </w:rPr>
              <w:t>Dr.</w:t>
            </w:r>
            <w:r w:rsidR="004C4B6F">
              <w:rPr>
                <w:rFonts w:ascii="Arial" w:hAnsi="Arial" w:cs="Arial"/>
                <w:b/>
                <w:bCs/>
              </w:rPr>
              <w:t xml:space="preserve"> </w:t>
            </w:r>
            <w:r w:rsidR="00490980" w:rsidRPr="004F4A97">
              <w:rPr>
                <w:rFonts w:ascii="Arial" w:hAnsi="Arial" w:cs="Arial"/>
                <w:b/>
                <w:bCs/>
              </w:rPr>
              <w:t>Patrick Yeboah</w:t>
            </w:r>
          </w:p>
        </w:tc>
      </w:tr>
      <w:tr w:rsidR="004F4A97" w:rsidRPr="004F4A97" w14:paraId="40D7DDCA" w14:textId="77777777" w:rsidTr="004F4A97">
        <w:trPr>
          <w:trHeight w:val="1190"/>
        </w:trPr>
        <w:tc>
          <w:tcPr>
            <w:cnfStyle w:val="001000000000" w:firstRow="0" w:lastRow="0" w:firstColumn="1" w:lastColumn="0" w:oddVBand="0" w:evenVBand="0" w:oddHBand="0" w:evenHBand="0" w:firstRowFirstColumn="0" w:firstRowLastColumn="0" w:lastRowFirstColumn="0" w:lastRowLastColumn="0"/>
            <w:tcW w:w="3186" w:type="dxa"/>
          </w:tcPr>
          <w:p w14:paraId="333EFAB7" w14:textId="77777777" w:rsidR="00930F4A" w:rsidRPr="004F4A97" w:rsidRDefault="00930F4A" w:rsidP="004F4A97">
            <w:pPr>
              <w:spacing w:line="360" w:lineRule="auto"/>
              <w:jc w:val="left"/>
              <w:rPr>
                <w:rFonts w:ascii="Arial" w:hAnsi="Arial" w:cs="Arial"/>
              </w:rPr>
            </w:pPr>
            <w:r w:rsidRPr="004F4A97">
              <w:rPr>
                <w:rFonts w:ascii="Arial" w:hAnsi="Arial" w:cs="Arial"/>
              </w:rPr>
              <w:t>Assignment Title:</w:t>
            </w:r>
          </w:p>
        </w:tc>
        <w:tc>
          <w:tcPr>
            <w:tcW w:w="6608" w:type="dxa"/>
          </w:tcPr>
          <w:p w14:paraId="34B28CFF" w14:textId="73C9AF3B" w:rsidR="00930F4A" w:rsidRPr="004F4A97" w:rsidRDefault="00490980" w:rsidP="004F4A97">
            <w:pPr>
              <w:spacing w:line="360" w:lineRule="auto"/>
              <w:jc w:val="left"/>
              <w:cnfStyle w:val="000000000000" w:firstRow="0" w:lastRow="0" w:firstColumn="0" w:lastColumn="0" w:oddVBand="0" w:evenVBand="0" w:oddHBand="0" w:evenHBand="0" w:firstRowFirstColumn="0" w:firstRowLastColumn="0" w:lastRowFirstColumn="0" w:lastRowLastColumn="0"/>
              <w:rPr>
                <w:rFonts w:ascii="Arial" w:hAnsi="Arial" w:cs="Arial"/>
                <w:b/>
                <w:bCs/>
              </w:rPr>
            </w:pPr>
            <w:r w:rsidRPr="004F4A97">
              <w:rPr>
                <w:rFonts w:ascii="Arial" w:hAnsi="Arial" w:cs="Arial"/>
                <w:b/>
                <w:bCs/>
              </w:rPr>
              <w:t>Assessment</w:t>
            </w:r>
            <w:r w:rsidR="004F4A97" w:rsidRPr="004F4A97">
              <w:rPr>
                <w:rFonts w:ascii="Arial" w:hAnsi="Arial" w:cs="Arial"/>
                <w:b/>
                <w:bCs/>
              </w:rPr>
              <w:t xml:space="preserve"> </w:t>
            </w:r>
            <w:r w:rsidRPr="004F4A97">
              <w:rPr>
                <w:rFonts w:ascii="Arial" w:hAnsi="Arial" w:cs="Arial"/>
                <w:b/>
                <w:bCs/>
              </w:rPr>
              <w:t>component: Financial performance and management</w:t>
            </w:r>
          </w:p>
        </w:tc>
      </w:tr>
      <w:tr w:rsidR="004F4A97" w:rsidRPr="004F4A97" w14:paraId="6544C23D" w14:textId="77777777" w:rsidTr="004F4A97">
        <w:trPr>
          <w:cnfStyle w:val="000000100000" w:firstRow="0" w:lastRow="0" w:firstColumn="0" w:lastColumn="0" w:oddVBand="0" w:evenVBand="0" w:oddHBand="1" w:evenHBand="0" w:firstRowFirstColumn="0" w:firstRowLastColumn="0" w:lastRowFirstColumn="0" w:lastRowLastColumn="0"/>
          <w:trHeight w:val="818"/>
        </w:trPr>
        <w:tc>
          <w:tcPr>
            <w:cnfStyle w:val="001000000000" w:firstRow="0" w:lastRow="0" w:firstColumn="1" w:lastColumn="0" w:oddVBand="0" w:evenVBand="0" w:oddHBand="0" w:evenHBand="0" w:firstRowFirstColumn="0" w:firstRowLastColumn="0" w:lastRowFirstColumn="0" w:lastRowLastColumn="0"/>
            <w:tcW w:w="3186" w:type="dxa"/>
          </w:tcPr>
          <w:p w14:paraId="34646F57" w14:textId="77777777" w:rsidR="00930F4A" w:rsidRPr="004F4A97" w:rsidRDefault="00930F4A" w:rsidP="004F4A97">
            <w:pPr>
              <w:spacing w:line="360" w:lineRule="auto"/>
              <w:jc w:val="left"/>
              <w:rPr>
                <w:rFonts w:ascii="Arial" w:hAnsi="Arial" w:cs="Arial"/>
              </w:rPr>
            </w:pPr>
            <w:r w:rsidRPr="004F4A97">
              <w:rPr>
                <w:rFonts w:ascii="Arial" w:hAnsi="Arial" w:cs="Arial"/>
              </w:rPr>
              <w:t>Word Count:</w:t>
            </w:r>
          </w:p>
        </w:tc>
        <w:tc>
          <w:tcPr>
            <w:tcW w:w="6608" w:type="dxa"/>
          </w:tcPr>
          <w:p w14:paraId="0C103819" w14:textId="30AF4A4D" w:rsidR="00930F4A" w:rsidRPr="004F4A97" w:rsidRDefault="00420C6D" w:rsidP="004F4A97">
            <w:pPr>
              <w:spacing w:line="360" w:lineRule="auto"/>
              <w:jc w:val="left"/>
              <w:cnfStyle w:val="000000100000" w:firstRow="0" w:lastRow="0" w:firstColumn="0" w:lastColumn="0" w:oddVBand="0" w:evenVBand="0" w:oddHBand="1" w:evenHBand="0" w:firstRowFirstColumn="0" w:firstRowLastColumn="0" w:lastRowFirstColumn="0" w:lastRowLastColumn="0"/>
              <w:rPr>
                <w:rFonts w:ascii="Arial" w:hAnsi="Arial" w:cs="Arial"/>
                <w:b/>
                <w:bCs/>
              </w:rPr>
            </w:pPr>
            <w:r>
              <w:rPr>
                <w:rFonts w:ascii="Arial" w:hAnsi="Arial" w:cs="Arial"/>
                <w:b/>
                <w:bCs/>
              </w:rPr>
              <w:t>A</w:t>
            </w:r>
            <w:r w:rsidRPr="00420C6D">
              <w:rPr>
                <w:rFonts w:ascii="Arial" w:hAnsi="Arial" w:cs="Arial"/>
                <w:b/>
                <w:bCs/>
              </w:rPr>
              <w:t>pproximately</w:t>
            </w:r>
            <w:r>
              <w:rPr>
                <w:rFonts w:ascii="Arial" w:hAnsi="Arial" w:cs="Arial"/>
                <w:b/>
                <w:bCs/>
              </w:rPr>
              <w:t xml:space="preserve"> 5,000 words </w:t>
            </w:r>
          </w:p>
        </w:tc>
      </w:tr>
      <w:tr w:rsidR="004F4A97" w:rsidRPr="004F4A97" w14:paraId="488B21E3" w14:textId="77777777" w:rsidTr="004F4A97">
        <w:trPr>
          <w:trHeight w:val="818"/>
        </w:trPr>
        <w:tc>
          <w:tcPr>
            <w:cnfStyle w:val="001000000000" w:firstRow="0" w:lastRow="0" w:firstColumn="1" w:lastColumn="0" w:oddVBand="0" w:evenVBand="0" w:oddHBand="0" w:evenHBand="0" w:firstRowFirstColumn="0" w:firstRowLastColumn="0" w:lastRowFirstColumn="0" w:lastRowLastColumn="0"/>
            <w:tcW w:w="3186" w:type="dxa"/>
          </w:tcPr>
          <w:p w14:paraId="19DC8FFB" w14:textId="77777777" w:rsidR="00930F4A" w:rsidRPr="004F4A97" w:rsidRDefault="00930F4A" w:rsidP="004F4A97">
            <w:pPr>
              <w:spacing w:line="360" w:lineRule="auto"/>
              <w:jc w:val="left"/>
              <w:rPr>
                <w:rFonts w:ascii="Arial" w:hAnsi="Arial" w:cs="Arial"/>
              </w:rPr>
            </w:pPr>
            <w:r w:rsidRPr="004F4A97">
              <w:rPr>
                <w:rFonts w:ascii="Arial" w:hAnsi="Arial" w:cs="Arial"/>
              </w:rPr>
              <w:t>Submission date:</w:t>
            </w:r>
          </w:p>
        </w:tc>
        <w:tc>
          <w:tcPr>
            <w:tcW w:w="6608" w:type="dxa"/>
          </w:tcPr>
          <w:p w14:paraId="3D8C404A" w14:textId="3488D4A1" w:rsidR="00930F4A" w:rsidRPr="004F4A97" w:rsidRDefault="00930F4A" w:rsidP="004F4A97">
            <w:pPr>
              <w:spacing w:line="360" w:lineRule="auto"/>
              <w:jc w:val="left"/>
              <w:cnfStyle w:val="000000000000" w:firstRow="0" w:lastRow="0" w:firstColumn="0" w:lastColumn="0" w:oddVBand="0" w:evenVBand="0" w:oddHBand="0" w:evenHBand="0" w:firstRowFirstColumn="0" w:firstRowLastColumn="0" w:lastRowFirstColumn="0" w:lastRowLastColumn="0"/>
              <w:rPr>
                <w:rFonts w:ascii="Arial" w:hAnsi="Arial" w:cs="Arial"/>
                <w:b/>
                <w:bCs/>
              </w:rPr>
            </w:pPr>
            <w:r w:rsidRPr="004F4A97">
              <w:rPr>
                <w:rFonts w:ascii="Arial" w:hAnsi="Arial" w:cs="Arial"/>
                <w:b/>
                <w:bCs/>
              </w:rPr>
              <w:t>Friday 27/0</w:t>
            </w:r>
            <w:r w:rsidR="00490980" w:rsidRPr="004F4A97">
              <w:rPr>
                <w:rFonts w:ascii="Arial" w:hAnsi="Arial" w:cs="Arial"/>
                <w:b/>
                <w:bCs/>
              </w:rPr>
              <w:t>3</w:t>
            </w:r>
            <w:r w:rsidRPr="004F4A97">
              <w:rPr>
                <w:rFonts w:ascii="Arial" w:hAnsi="Arial" w:cs="Arial"/>
                <w:b/>
                <w:bCs/>
              </w:rPr>
              <w:t>/2026</w:t>
            </w:r>
          </w:p>
        </w:tc>
      </w:tr>
    </w:tbl>
    <w:p w14:paraId="68DA76A1" w14:textId="77777777" w:rsidR="004F4A97" w:rsidRPr="004F4A97" w:rsidRDefault="004F4A97" w:rsidP="00200226">
      <w:pPr>
        <w:spacing w:line="360" w:lineRule="auto"/>
        <w:jc w:val="center"/>
        <w:rPr>
          <w:rFonts w:ascii="Arial" w:hAnsi="Arial" w:cs="Arial"/>
          <w:sz w:val="24"/>
          <w:szCs w:val="24"/>
        </w:rPr>
      </w:pPr>
      <w:r w:rsidRPr="004F4A97">
        <w:rPr>
          <w:rFonts w:ascii="Arial" w:hAnsi="Arial" w:cs="Arial"/>
          <w:noProof/>
          <w:sz w:val="24"/>
          <w:szCs w:val="24"/>
        </w:rPr>
        <w:drawing>
          <wp:inline distT="0" distB="0" distL="0" distR="0" wp14:anchorId="3C1120B7" wp14:editId="396218E7">
            <wp:extent cx="2817612" cy="1127760"/>
            <wp:effectExtent l="0" t="0" r="1905" b="0"/>
            <wp:docPr id="13719228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1922830" name="Picture 1371922830"/>
                    <pic:cNvPicPr/>
                  </pic:nvPicPr>
                  <pic:blipFill>
                    <a:blip r:embed="rId8"/>
                    <a:stretch>
                      <a:fillRect/>
                    </a:stretch>
                  </pic:blipFill>
                  <pic:spPr>
                    <a:xfrm>
                      <a:off x="0" y="0"/>
                      <a:ext cx="2856924" cy="1143495"/>
                    </a:xfrm>
                    <a:prstGeom prst="rect">
                      <a:avLst/>
                    </a:prstGeom>
                  </pic:spPr>
                </pic:pic>
              </a:graphicData>
            </a:graphic>
          </wp:inline>
        </w:drawing>
      </w:r>
    </w:p>
    <w:p w14:paraId="1E7EFB34" w14:textId="77777777" w:rsidR="004F4A97" w:rsidRPr="004F4A97" w:rsidRDefault="004F4A97" w:rsidP="004F4A97">
      <w:pPr>
        <w:spacing w:line="360" w:lineRule="auto"/>
        <w:jc w:val="left"/>
        <w:rPr>
          <w:rFonts w:ascii="Arial" w:hAnsi="Arial" w:cs="Arial"/>
          <w:sz w:val="24"/>
          <w:szCs w:val="24"/>
        </w:rPr>
      </w:pPr>
    </w:p>
    <w:p w14:paraId="12B281B3" w14:textId="03623010" w:rsidR="00EB6BA2" w:rsidRPr="004F4A97" w:rsidRDefault="00000000" w:rsidP="004F4A97">
      <w:pPr>
        <w:spacing w:line="360" w:lineRule="auto"/>
        <w:jc w:val="left"/>
        <w:rPr>
          <w:rFonts w:ascii="Arial" w:hAnsi="Arial" w:cs="Arial"/>
          <w:sz w:val="24"/>
          <w:szCs w:val="24"/>
        </w:rPr>
      </w:pPr>
      <w:r w:rsidRPr="004F4A97">
        <w:rPr>
          <w:rFonts w:ascii="Arial" w:hAnsi="Arial" w:cs="Arial"/>
          <w:sz w:val="24"/>
          <w:szCs w:val="24"/>
        </w:rPr>
        <w:br/>
      </w:r>
    </w:p>
    <w:p w14:paraId="66AB639B" w14:textId="7FE9AB11" w:rsidR="00170E24" w:rsidRPr="004F4A97" w:rsidRDefault="00000000" w:rsidP="004F4A97">
      <w:pPr>
        <w:spacing w:line="360" w:lineRule="auto"/>
        <w:jc w:val="left"/>
        <w:rPr>
          <w:rFonts w:ascii="Arial" w:hAnsi="Arial" w:cs="Arial"/>
          <w:sz w:val="24"/>
          <w:szCs w:val="24"/>
        </w:rPr>
      </w:pPr>
      <w:r w:rsidRPr="004F4A97">
        <w:rPr>
          <w:rFonts w:ascii="Arial" w:hAnsi="Arial" w:cs="Arial"/>
          <w:sz w:val="24"/>
          <w:szCs w:val="24"/>
        </w:rPr>
        <w:br w:type="page"/>
      </w:r>
    </w:p>
    <w:sdt>
      <w:sdtPr>
        <w:rPr>
          <w:rFonts w:ascii="Arial" w:eastAsiaTheme="minorEastAsia" w:hAnsi="Arial" w:cs="Arial"/>
          <w:b w:val="0"/>
          <w:bCs w:val="0"/>
          <w:caps w:val="0"/>
          <w:spacing w:val="0"/>
          <w:sz w:val="24"/>
          <w:szCs w:val="24"/>
          <w:lang w:val="en-GB"/>
        </w:rPr>
        <w:id w:val="1357307266"/>
        <w:docPartObj>
          <w:docPartGallery w:val="Table of Contents"/>
          <w:docPartUnique/>
        </w:docPartObj>
      </w:sdtPr>
      <w:sdtContent>
        <w:p w14:paraId="1215BEE4" w14:textId="7F883C04" w:rsidR="003D3CBD" w:rsidRDefault="003D3CBD" w:rsidP="00150D95">
          <w:pPr>
            <w:pStyle w:val="TOCHeading"/>
            <w:spacing w:line="360" w:lineRule="auto"/>
            <w:jc w:val="center"/>
            <w:rPr>
              <w:rFonts w:ascii="Arial" w:hAnsi="Arial" w:cs="Arial"/>
              <w:sz w:val="32"/>
              <w:szCs w:val="32"/>
              <w:lang w:val="en-GB"/>
            </w:rPr>
          </w:pPr>
          <w:r w:rsidRPr="00150D95">
            <w:rPr>
              <w:rFonts w:ascii="Arial" w:hAnsi="Arial" w:cs="Arial"/>
              <w:sz w:val="32"/>
              <w:szCs w:val="32"/>
              <w:lang w:val="en-GB"/>
            </w:rPr>
            <w:t>Table of Contents</w:t>
          </w:r>
        </w:p>
        <w:p w14:paraId="5EC8EE65" w14:textId="77777777" w:rsidR="00150D95" w:rsidRPr="00150D95" w:rsidRDefault="00150D95" w:rsidP="00150D95">
          <w:pPr>
            <w:rPr>
              <w:lang w:val="en-GB"/>
            </w:rPr>
          </w:pPr>
        </w:p>
        <w:p w14:paraId="73C65B6E" w14:textId="58D831DE" w:rsidR="003D3CBD" w:rsidRPr="00150D95" w:rsidRDefault="003D3CBD" w:rsidP="004F4A97">
          <w:pPr>
            <w:pStyle w:val="TOC1"/>
            <w:tabs>
              <w:tab w:val="right" w:leader="dot" w:pos="9849"/>
            </w:tabs>
            <w:spacing w:line="360" w:lineRule="auto"/>
            <w:jc w:val="left"/>
            <w:rPr>
              <w:rFonts w:ascii="Arial" w:hAnsi="Arial" w:cs="Arial"/>
              <w:b/>
              <w:bCs/>
              <w:noProof/>
              <w:kern w:val="2"/>
              <w:sz w:val="24"/>
              <w:szCs w:val="24"/>
              <w:lang w:val="en-BB" w:eastAsia="en-BB"/>
              <w14:ligatures w14:val="standardContextual"/>
            </w:rPr>
          </w:pPr>
          <w:r w:rsidRPr="00150D95">
            <w:rPr>
              <w:rFonts w:ascii="Arial" w:hAnsi="Arial" w:cs="Arial"/>
              <w:b/>
              <w:bCs/>
              <w:sz w:val="24"/>
              <w:szCs w:val="24"/>
            </w:rPr>
            <w:fldChar w:fldCharType="begin"/>
          </w:r>
          <w:r w:rsidRPr="00150D95">
            <w:rPr>
              <w:rFonts w:ascii="Arial" w:hAnsi="Arial" w:cs="Arial"/>
              <w:b/>
              <w:bCs/>
              <w:sz w:val="24"/>
              <w:szCs w:val="24"/>
            </w:rPr>
            <w:instrText xml:space="preserve"> TOC \o "1-3" \h \z \u </w:instrText>
          </w:r>
          <w:r w:rsidRPr="00150D95">
            <w:rPr>
              <w:rFonts w:ascii="Arial" w:hAnsi="Arial" w:cs="Arial"/>
              <w:b/>
              <w:bCs/>
              <w:sz w:val="24"/>
              <w:szCs w:val="24"/>
            </w:rPr>
            <w:fldChar w:fldCharType="separate"/>
          </w:r>
          <w:hyperlink w:anchor="_Toc225450229" w:history="1">
            <w:r w:rsidRPr="00150D95">
              <w:rPr>
                <w:rStyle w:val="Hyperlink"/>
                <w:rFonts w:ascii="Arial" w:hAnsi="Arial" w:cs="Arial"/>
                <w:b/>
                <w:bCs/>
                <w:noProof/>
                <w:sz w:val="24"/>
                <w:szCs w:val="24"/>
              </w:rPr>
              <w:t>Introduction</w:t>
            </w:r>
            <w:r w:rsidRPr="00150D95">
              <w:rPr>
                <w:rFonts w:ascii="Arial" w:hAnsi="Arial" w:cs="Arial"/>
                <w:b/>
                <w:bCs/>
                <w:noProof/>
                <w:webHidden/>
                <w:sz w:val="24"/>
                <w:szCs w:val="24"/>
              </w:rPr>
              <w:tab/>
            </w:r>
            <w:r w:rsidRPr="00150D95">
              <w:rPr>
                <w:rFonts w:ascii="Arial" w:hAnsi="Arial" w:cs="Arial"/>
                <w:b/>
                <w:bCs/>
                <w:noProof/>
                <w:webHidden/>
                <w:sz w:val="24"/>
                <w:szCs w:val="24"/>
              </w:rPr>
              <w:fldChar w:fldCharType="begin"/>
            </w:r>
            <w:r w:rsidRPr="00150D95">
              <w:rPr>
                <w:rFonts w:ascii="Arial" w:hAnsi="Arial" w:cs="Arial"/>
                <w:b/>
                <w:bCs/>
                <w:noProof/>
                <w:webHidden/>
                <w:sz w:val="24"/>
                <w:szCs w:val="24"/>
              </w:rPr>
              <w:instrText xml:space="preserve"> PAGEREF _Toc225450229 \h </w:instrText>
            </w:r>
            <w:r w:rsidRPr="00150D95">
              <w:rPr>
                <w:rFonts w:ascii="Arial" w:hAnsi="Arial" w:cs="Arial"/>
                <w:b/>
                <w:bCs/>
                <w:noProof/>
                <w:webHidden/>
                <w:sz w:val="24"/>
                <w:szCs w:val="24"/>
              </w:rPr>
            </w:r>
            <w:r w:rsidRPr="00150D95">
              <w:rPr>
                <w:rFonts w:ascii="Arial" w:hAnsi="Arial" w:cs="Arial"/>
                <w:b/>
                <w:bCs/>
                <w:noProof/>
                <w:webHidden/>
                <w:sz w:val="24"/>
                <w:szCs w:val="24"/>
              </w:rPr>
              <w:fldChar w:fldCharType="separate"/>
            </w:r>
            <w:r w:rsidRPr="00150D95">
              <w:rPr>
                <w:rFonts w:ascii="Arial" w:hAnsi="Arial" w:cs="Arial"/>
                <w:b/>
                <w:bCs/>
                <w:noProof/>
                <w:webHidden/>
                <w:sz w:val="24"/>
                <w:szCs w:val="24"/>
              </w:rPr>
              <w:t>4</w:t>
            </w:r>
            <w:r w:rsidRPr="00150D95">
              <w:rPr>
                <w:rFonts w:ascii="Arial" w:hAnsi="Arial" w:cs="Arial"/>
                <w:b/>
                <w:bCs/>
                <w:noProof/>
                <w:webHidden/>
                <w:sz w:val="24"/>
                <w:szCs w:val="24"/>
              </w:rPr>
              <w:fldChar w:fldCharType="end"/>
            </w:r>
          </w:hyperlink>
        </w:p>
        <w:p w14:paraId="1BAE8120" w14:textId="3FE9AFF6" w:rsidR="003D3CBD" w:rsidRPr="00150D95" w:rsidRDefault="003D3CBD" w:rsidP="004F4A97">
          <w:pPr>
            <w:pStyle w:val="TOC1"/>
            <w:tabs>
              <w:tab w:val="right" w:leader="dot" w:pos="9849"/>
            </w:tabs>
            <w:spacing w:line="360" w:lineRule="auto"/>
            <w:jc w:val="left"/>
            <w:rPr>
              <w:rFonts w:ascii="Arial" w:hAnsi="Arial" w:cs="Arial"/>
              <w:b/>
              <w:bCs/>
              <w:noProof/>
              <w:kern w:val="2"/>
              <w:sz w:val="24"/>
              <w:szCs w:val="24"/>
              <w:lang w:val="en-BB" w:eastAsia="en-BB"/>
              <w14:ligatures w14:val="standardContextual"/>
            </w:rPr>
          </w:pPr>
          <w:hyperlink w:anchor="_Toc225450230" w:history="1">
            <w:r w:rsidRPr="00150D95">
              <w:rPr>
                <w:rStyle w:val="Hyperlink"/>
                <w:rFonts w:ascii="Arial" w:hAnsi="Arial" w:cs="Arial"/>
                <w:b/>
                <w:bCs/>
                <w:noProof/>
                <w:sz w:val="24"/>
                <w:szCs w:val="24"/>
              </w:rPr>
              <w:t>1. Financial Health Check</w:t>
            </w:r>
            <w:r w:rsidRPr="00150D95">
              <w:rPr>
                <w:rFonts w:ascii="Arial" w:hAnsi="Arial" w:cs="Arial"/>
                <w:b/>
                <w:bCs/>
                <w:noProof/>
                <w:webHidden/>
                <w:sz w:val="24"/>
                <w:szCs w:val="24"/>
              </w:rPr>
              <w:tab/>
            </w:r>
            <w:r w:rsidRPr="00150D95">
              <w:rPr>
                <w:rFonts w:ascii="Arial" w:hAnsi="Arial" w:cs="Arial"/>
                <w:b/>
                <w:bCs/>
                <w:noProof/>
                <w:webHidden/>
                <w:sz w:val="24"/>
                <w:szCs w:val="24"/>
              </w:rPr>
              <w:fldChar w:fldCharType="begin"/>
            </w:r>
            <w:r w:rsidRPr="00150D95">
              <w:rPr>
                <w:rFonts w:ascii="Arial" w:hAnsi="Arial" w:cs="Arial"/>
                <w:b/>
                <w:bCs/>
                <w:noProof/>
                <w:webHidden/>
                <w:sz w:val="24"/>
                <w:szCs w:val="24"/>
              </w:rPr>
              <w:instrText xml:space="preserve"> PAGEREF _Toc225450230 \h </w:instrText>
            </w:r>
            <w:r w:rsidRPr="00150D95">
              <w:rPr>
                <w:rFonts w:ascii="Arial" w:hAnsi="Arial" w:cs="Arial"/>
                <w:b/>
                <w:bCs/>
                <w:noProof/>
                <w:webHidden/>
                <w:sz w:val="24"/>
                <w:szCs w:val="24"/>
              </w:rPr>
            </w:r>
            <w:r w:rsidRPr="00150D95">
              <w:rPr>
                <w:rFonts w:ascii="Arial" w:hAnsi="Arial" w:cs="Arial"/>
                <w:b/>
                <w:bCs/>
                <w:noProof/>
                <w:webHidden/>
                <w:sz w:val="24"/>
                <w:szCs w:val="24"/>
              </w:rPr>
              <w:fldChar w:fldCharType="separate"/>
            </w:r>
            <w:r w:rsidRPr="00150D95">
              <w:rPr>
                <w:rFonts w:ascii="Arial" w:hAnsi="Arial" w:cs="Arial"/>
                <w:b/>
                <w:bCs/>
                <w:noProof/>
                <w:webHidden/>
                <w:sz w:val="24"/>
                <w:szCs w:val="24"/>
              </w:rPr>
              <w:t>5</w:t>
            </w:r>
            <w:r w:rsidRPr="00150D95">
              <w:rPr>
                <w:rFonts w:ascii="Arial" w:hAnsi="Arial" w:cs="Arial"/>
                <w:b/>
                <w:bCs/>
                <w:noProof/>
                <w:webHidden/>
                <w:sz w:val="24"/>
                <w:szCs w:val="24"/>
              </w:rPr>
              <w:fldChar w:fldCharType="end"/>
            </w:r>
          </w:hyperlink>
        </w:p>
        <w:p w14:paraId="109C6D56" w14:textId="243216F6" w:rsidR="003D3CBD" w:rsidRPr="00150D95" w:rsidRDefault="003D3CBD" w:rsidP="004F4A97">
          <w:pPr>
            <w:pStyle w:val="TOC2"/>
            <w:tabs>
              <w:tab w:val="right" w:leader="dot" w:pos="9849"/>
            </w:tabs>
            <w:spacing w:line="360" w:lineRule="auto"/>
            <w:jc w:val="left"/>
            <w:rPr>
              <w:rFonts w:ascii="Arial" w:hAnsi="Arial" w:cs="Arial"/>
              <w:b/>
              <w:bCs/>
              <w:noProof/>
              <w:kern w:val="2"/>
              <w:sz w:val="24"/>
              <w:szCs w:val="24"/>
              <w:lang w:val="en-BB" w:eastAsia="en-BB"/>
              <w14:ligatures w14:val="standardContextual"/>
            </w:rPr>
          </w:pPr>
          <w:hyperlink w:anchor="_Toc225450231" w:history="1">
            <w:r w:rsidRPr="00150D95">
              <w:rPr>
                <w:rStyle w:val="Hyperlink"/>
                <w:rFonts w:ascii="Arial" w:hAnsi="Arial" w:cs="Arial"/>
                <w:b/>
                <w:bCs/>
                <w:noProof/>
                <w:sz w:val="24"/>
                <w:szCs w:val="24"/>
              </w:rPr>
              <w:t>Methodological note</w:t>
            </w:r>
            <w:r w:rsidRPr="00150D95">
              <w:rPr>
                <w:rFonts w:ascii="Arial" w:hAnsi="Arial" w:cs="Arial"/>
                <w:b/>
                <w:bCs/>
                <w:noProof/>
                <w:webHidden/>
                <w:sz w:val="24"/>
                <w:szCs w:val="24"/>
              </w:rPr>
              <w:tab/>
            </w:r>
            <w:r w:rsidRPr="00150D95">
              <w:rPr>
                <w:rFonts w:ascii="Arial" w:hAnsi="Arial" w:cs="Arial"/>
                <w:b/>
                <w:bCs/>
                <w:noProof/>
                <w:webHidden/>
                <w:sz w:val="24"/>
                <w:szCs w:val="24"/>
              </w:rPr>
              <w:fldChar w:fldCharType="begin"/>
            </w:r>
            <w:r w:rsidRPr="00150D95">
              <w:rPr>
                <w:rFonts w:ascii="Arial" w:hAnsi="Arial" w:cs="Arial"/>
                <w:b/>
                <w:bCs/>
                <w:noProof/>
                <w:webHidden/>
                <w:sz w:val="24"/>
                <w:szCs w:val="24"/>
              </w:rPr>
              <w:instrText xml:space="preserve"> PAGEREF _Toc225450231 \h </w:instrText>
            </w:r>
            <w:r w:rsidRPr="00150D95">
              <w:rPr>
                <w:rFonts w:ascii="Arial" w:hAnsi="Arial" w:cs="Arial"/>
                <w:b/>
                <w:bCs/>
                <w:noProof/>
                <w:webHidden/>
                <w:sz w:val="24"/>
                <w:szCs w:val="24"/>
              </w:rPr>
            </w:r>
            <w:r w:rsidRPr="00150D95">
              <w:rPr>
                <w:rFonts w:ascii="Arial" w:hAnsi="Arial" w:cs="Arial"/>
                <w:b/>
                <w:bCs/>
                <w:noProof/>
                <w:webHidden/>
                <w:sz w:val="24"/>
                <w:szCs w:val="24"/>
              </w:rPr>
              <w:fldChar w:fldCharType="separate"/>
            </w:r>
            <w:r w:rsidRPr="00150D95">
              <w:rPr>
                <w:rFonts w:ascii="Arial" w:hAnsi="Arial" w:cs="Arial"/>
                <w:b/>
                <w:bCs/>
                <w:noProof/>
                <w:webHidden/>
                <w:sz w:val="24"/>
                <w:szCs w:val="24"/>
              </w:rPr>
              <w:t>5</w:t>
            </w:r>
            <w:r w:rsidRPr="00150D95">
              <w:rPr>
                <w:rFonts w:ascii="Arial" w:hAnsi="Arial" w:cs="Arial"/>
                <w:b/>
                <w:bCs/>
                <w:noProof/>
                <w:webHidden/>
                <w:sz w:val="24"/>
                <w:szCs w:val="24"/>
              </w:rPr>
              <w:fldChar w:fldCharType="end"/>
            </w:r>
          </w:hyperlink>
        </w:p>
        <w:p w14:paraId="5C1B455F" w14:textId="2959038A" w:rsidR="003D3CBD" w:rsidRPr="00150D95" w:rsidRDefault="003D3CBD" w:rsidP="004F4A97">
          <w:pPr>
            <w:pStyle w:val="TOC3"/>
            <w:tabs>
              <w:tab w:val="right" w:leader="dot" w:pos="9849"/>
            </w:tabs>
            <w:spacing w:line="360" w:lineRule="auto"/>
            <w:jc w:val="left"/>
            <w:rPr>
              <w:rFonts w:ascii="Arial" w:hAnsi="Arial" w:cs="Arial"/>
              <w:b/>
              <w:bCs/>
              <w:noProof/>
              <w:kern w:val="2"/>
              <w:sz w:val="24"/>
              <w:szCs w:val="24"/>
              <w:lang w:val="en-BB" w:eastAsia="en-BB"/>
              <w14:ligatures w14:val="standardContextual"/>
            </w:rPr>
          </w:pPr>
          <w:hyperlink w:anchor="_Toc225450232" w:history="1">
            <w:r w:rsidRPr="00150D95">
              <w:rPr>
                <w:rStyle w:val="Hyperlink"/>
                <w:rFonts w:ascii="Arial" w:hAnsi="Arial" w:cs="Arial"/>
                <w:b/>
                <w:bCs/>
                <w:noProof/>
                <w:sz w:val="24"/>
                <w:szCs w:val="24"/>
              </w:rPr>
              <w:t>Table 1. Core financial data used for ratio analysis (US$ million)</w:t>
            </w:r>
            <w:r w:rsidRPr="00150D95">
              <w:rPr>
                <w:rFonts w:ascii="Arial" w:hAnsi="Arial" w:cs="Arial"/>
                <w:b/>
                <w:bCs/>
                <w:noProof/>
                <w:webHidden/>
                <w:sz w:val="24"/>
                <w:szCs w:val="24"/>
              </w:rPr>
              <w:tab/>
            </w:r>
            <w:r w:rsidRPr="00150D95">
              <w:rPr>
                <w:rFonts w:ascii="Arial" w:hAnsi="Arial" w:cs="Arial"/>
                <w:b/>
                <w:bCs/>
                <w:noProof/>
                <w:webHidden/>
                <w:sz w:val="24"/>
                <w:szCs w:val="24"/>
              </w:rPr>
              <w:fldChar w:fldCharType="begin"/>
            </w:r>
            <w:r w:rsidRPr="00150D95">
              <w:rPr>
                <w:rFonts w:ascii="Arial" w:hAnsi="Arial" w:cs="Arial"/>
                <w:b/>
                <w:bCs/>
                <w:noProof/>
                <w:webHidden/>
                <w:sz w:val="24"/>
                <w:szCs w:val="24"/>
              </w:rPr>
              <w:instrText xml:space="preserve"> PAGEREF _Toc225450232 \h </w:instrText>
            </w:r>
            <w:r w:rsidRPr="00150D95">
              <w:rPr>
                <w:rFonts w:ascii="Arial" w:hAnsi="Arial" w:cs="Arial"/>
                <w:b/>
                <w:bCs/>
                <w:noProof/>
                <w:webHidden/>
                <w:sz w:val="24"/>
                <w:szCs w:val="24"/>
              </w:rPr>
            </w:r>
            <w:r w:rsidRPr="00150D95">
              <w:rPr>
                <w:rFonts w:ascii="Arial" w:hAnsi="Arial" w:cs="Arial"/>
                <w:b/>
                <w:bCs/>
                <w:noProof/>
                <w:webHidden/>
                <w:sz w:val="24"/>
                <w:szCs w:val="24"/>
              </w:rPr>
              <w:fldChar w:fldCharType="separate"/>
            </w:r>
            <w:r w:rsidRPr="00150D95">
              <w:rPr>
                <w:rFonts w:ascii="Arial" w:hAnsi="Arial" w:cs="Arial"/>
                <w:b/>
                <w:bCs/>
                <w:noProof/>
                <w:webHidden/>
                <w:sz w:val="24"/>
                <w:szCs w:val="24"/>
              </w:rPr>
              <w:t>5</w:t>
            </w:r>
            <w:r w:rsidRPr="00150D95">
              <w:rPr>
                <w:rFonts w:ascii="Arial" w:hAnsi="Arial" w:cs="Arial"/>
                <w:b/>
                <w:bCs/>
                <w:noProof/>
                <w:webHidden/>
                <w:sz w:val="24"/>
                <w:szCs w:val="24"/>
              </w:rPr>
              <w:fldChar w:fldCharType="end"/>
            </w:r>
          </w:hyperlink>
        </w:p>
        <w:p w14:paraId="1D413225" w14:textId="588ACA66" w:rsidR="003D3CBD" w:rsidRPr="00150D95" w:rsidRDefault="003D3CBD" w:rsidP="004F4A97">
          <w:pPr>
            <w:pStyle w:val="TOC2"/>
            <w:tabs>
              <w:tab w:val="right" w:leader="dot" w:pos="9849"/>
            </w:tabs>
            <w:spacing w:line="360" w:lineRule="auto"/>
            <w:jc w:val="left"/>
            <w:rPr>
              <w:rFonts w:ascii="Arial" w:hAnsi="Arial" w:cs="Arial"/>
              <w:b/>
              <w:bCs/>
              <w:noProof/>
              <w:kern w:val="2"/>
              <w:sz w:val="24"/>
              <w:szCs w:val="24"/>
              <w:lang w:val="en-BB" w:eastAsia="en-BB"/>
              <w14:ligatures w14:val="standardContextual"/>
            </w:rPr>
          </w:pPr>
          <w:hyperlink w:anchor="_Toc225450233" w:history="1">
            <w:r w:rsidRPr="00150D95">
              <w:rPr>
                <w:rStyle w:val="Hyperlink"/>
                <w:rFonts w:ascii="Arial" w:hAnsi="Arial" w:cs="Arial"/>
                <w:b/>
                <w:bCs/>
                <w:noProof/>
                <w:sz w:val="24"/>
                <w:szCs w:val="24"/>
              </w:rPr>
              <w:t>Overall financial interpretation</w:t>
            </w:r>
            <w:r w:rsidRPr="00150D95">
              <w:rPr>
                <w:rFonts w:ascii="Arial" w:hAnsi="Arial" w:cs="Arial"/>
                <w:b/>
                <w:bCs/>
                <w:noProof/>
                <w:webHidden/>
                <w:sz w:val="24"/>
                <w:szCs w:val="24"/>
              </w:rPr>
              <w:tab/>
            </w:r>
            <w:r w:rsidRPr="00150D95">
              <w:rPr>
                <w:rFonts w:ascii="Arial" w:hAnsi="Arial" w:cs="Arial"/>
                <w:b/>
                <w:bCs/>
                <w:noProof/>
                <w:webHidden/>
                <w:sz w:val="24"/>
                <w:szCs w:val="24"/>
              </w:rPr>
              <w:fldChar w:fldCharType="begin"/>
            </w:r>
            <w:r w:rsidRPr="00150D95">
              <w:rPr>
                <w:rFonts w:ascii="Arial" w:hAnsi="Arial" w:cs="Arial"/>
                <w:b/>
                <w:bCs/>
                <w:noProof/>
                <w:webHidden/>
                <w:sz w:val="24"/>
                <w:szCs w:val="24"/>
              </w:rPr>
              <w:instrText xml:space="preserve"> PAGEREF _Toc225450233 \h </w:instrText>
            </w:r>
            <w:r w:rsidRPr="00150D95">
              <w:rPr>
                <w:rFonts w:ascii="Arial" w:hAnsi="Arial" w:cs="Arial"/>
                <w:b/>
                <w:bCs/>
                <w:noProof/>
                <w:webHidden/>
                <w:sz w:val="24"/>
                <w:szCs w:val="24"/>
              </w:rPr>
            </w:r>
            <w:r w:rsidRPr="00150D95">
              <w:rPr>
                <w:rFonts w:ascii="Arial" w:hAnsi="Arial" w:cs="Arial"/>
                <w:b/>
                <w:bCs/>
                <w:noProof/>
                <w:webHidden/>
                <w:sz w:val="24"/>
                <w:szCs w:val="24"/>
              </w:rPr>
              <w:fldChar w:fldCharType="separate"/>
            </w:r>
            <w:r w:rsidRPr="00150D95">
              <w:rPr>
                <w:rFonts w:ascii="Arial" w:hAnsi="Arial" w:cs="Arial"/>
                <w:b/>
                <w:bCs/>
                <w:noProof/>
                <w:webHidden/>
                <w:sz w:val="24"/>
                <w:szCs w:val="24"/>
              </w:rPr>
              <w:t>6</w:t>
            </w:r>
            <w:r w:rsidRPr="00150D95">
              <w:rPr>
                <w:rFonts w:ascii="Arial" w:hAnsi="Arial" w:cs="Arial"/>
                <w:b/>
                <w:bCs/>
                <w:noProof/>
                <w:webHidden/>
                <w:sz w:val="24"/>
                <w:szCs w:val="24"/>
              </w:rPr>
              <w:fldChar w:fldCharType="end"/>
            </w:r>
          </w:hyperlink>
        </w:p>
        <w:p w14:paraId="692D66BE" w14:textId="562BD8BB" w:rsidR="003D3CBD" w:rsidRPr="00150D95" w:rsidRDefault="003D3CBD" w:rsidP="004F4A97">
          <w:pPr>
            <w:pStyle w:val="TOC2"/>
            <w:tabs>
              <w:tab w:val="right" w:leader="dot" w:pos="9849"/>
            </w:tabs>
            <w:spacing w:line="360" w:lineRule="auto"/>
            <w:jc w:val="left"/>
            <w:rPr>
              <w:rFonts w:ascii="Arial" w:hAnsi="Arial" w:cs="Arial"/>
              <w:b/>
              <w:bCs/>
              <w:noProof/>
              <w:kern w:val="2"/>
              <w:sz w:val="24"/>
              <w:szCs w:val="24"/>
              <w:lang w:val="en-BB" w:eastAsia="en-BB"/>
              <w14:ligatures w14:val="standardContextual"/>
            </w:rPr>
          </w:pPr>
          <w:hyperlink w:anchor="_Toc225450234" w:history="1">
            <w:r w:rsidRPr="00150D95">
              <w:rPr>
                <w:rStyle w:val="Hyperlink"/>
                <w:rFonts w:ascii="Arial" w:hAnsi="Arial" w:cs="Arial"/>
                <w:b/>
                <w:bCs/>
                <w:noProof/>
                <w:sz w:val="24"/>
                <w:szCs w:val="24"/>
              </w:rPr>
              <w:t>Profitability ratios</w:t>
            </w:r>
            <w:r w:rsidRPr="00150D95">
              <w:rPr>
                <w:rFonts w:ascii="Arial" w:hAnsi="Arial" w:cs="Arial"/>
                <w:b/>
                <w:bCs/>
                <w:noProof/>
                <w:webHidden/>
                <w:sz w:val="24"/>
                <w:szCs w:val="24"/>
              </w:rPr>
              <w:tab/>
            </w:r>
            <w:r w:rsidRPr="00150D95">
              <w:rPr>
                <w:rFonts w:ascii="Arial" w:hAnsi="Arial" w:cs="Arial"/>
                <w:b/>
                <w:bCs/>
                <w:noProof/>
                <w:webHidden/>
                <w:sz w:val="24"/>
                <w:szCs w:val="24"/>
              </w:rPr>
              <w:fldChar w:fldCharType="begin"/>
            </w:r>
            <w:r w:rsidRPr="00150D95">
              <w:rPr>
                <w:rFonts w:ascii="Arial" w:hAnsi="Arial" w:cs="Arial"/>
                <w:b/>
                <w:bCs/>
                <w:noProof/>
                <w:webHidden/>
                <w:sz w:val="24"/>
                <w:szCs w:val="24"/>
              </w:rPr>
              <w:instrText xml:space="preserve"> PAGEREF _Toc225450234 \h </w:instrText>
            </w:r>
            <w:r w:rsidRPr="00150D95">
              <w:rPr>
                <w:rFonts w:ascii="Arial" w:hAnsi="Arial" w:cs="Arial"/>
                <w:b/>
                <w:bCs/>
                <w:noProof/>
                <w:webHidden/>
                <w:sz w:val="24"/>
                <w:szCs w:val="24"/>
              </w:rPr>
            </w:r>
            <w:r w:rsidRPr="00150D95">
              <w:rPr>
                <w:rFonts w:ascii="Arial" w:hAnsi="Arial" w:cs="Arial"/>
                <w:b/>
                <w:bCs/>
                <w:noProof/>
                <w:webHidden/>
                <w:sz w:val="24"/>
                <w:szCs w:val="24"/>
              </w:rPr>
              <w:fldChar w:fldCharType="separate"/>
            </w:r>
            <w:r w:rsidRPr="00150D95">
              <w:rPr>
                <w:rFonts w:ascii="Arial" w:hAnsi="Arial" w:cs="Arial"/>
                <w:b/>
                <w:bCs/>
                <w:noProof/>
                <w:webHidden/>
                <w:sz w:val="24"/>
                <w:szCs w:val="24"/>
              </w:rPr>
              <w:t>7</w:t>
            </w:r>
            <w:r w:rsidRPr="00150D95">
              <w:rPr>
                <w:rFonts w:ascii="Arial" w:hAnsi="Arial" w:cs="Arial"/>
                <w:b/>
                <w:bCs/>
                <w:noProof/>
                <w:webHidden/>
                <w:sz w:val="24"/>
                <w:szCs w:val="24"/>
              </w:rPr>
              <w:fldChar w:fldCharType="end"/>
            </w:r>
          </w:hyperlink>
        </w:p>
        <w:p w14:paraId="0DCB74CC" w14:textId="38C5BB51" w:rsidR="003D3CBD" w:rsidRPr="00150D95" w:rsidRDefault="003D3CBD" w:rsidP="004F4A97">
          <w:pPr>
            <w:pStyle w:val="TOC3"/>
            <w:tabs>
              <w:tab w:val="right" w:leader="dot" w:pos="9849"/>
            </w:tabs>
            <w:spacing w:line="360" w:lineRule="auto"/>
            <w:jc w:val="left"/>
            <w:rPr>
              <w:rFonts w:ascii="Arial" w:hAnsi="Arial" w:cs="Arial"/>
              <w:b/>
              <w:bCs/>
              <w:noProof/>
              <w:kern w:val="2"/>
              <w:sz w:val="24"/>
              <w:szCs w:val="24"/>
              <w:lang w:val="en-BB" w:eastAsia="en-BB"/>
              <w14:ligatures w14:val="standardContextual"/>
            </w:rPr>
          </w:pPr>
          <w:hyperlink w:anchor="_Toc225450235" w:history="1">
            <w:r w:rsidRPr="00150D95">
              <w:rPr>
                <w:rStyle w:val="Hyperlink"/>
                <w:rFonts w:ascii="Arial" w:hAnsi="Arial" w:cs="Arial"/>
                <w:b/>
                <w:bCs/>
                <w:noProof/>
                <w:sz w:val="24"/>
                <w:szCs w:val="24"/>
              </w:rPr>
              <w:t>Table 2. Profitability and cash-generation ratios</w:t>
            </w:r>
            <w:r w:rsidRPr="00150D95">
              <w:rPr>
                <w:rFonts w:ascii="Arial" w:hAnsi="Arial" w:cs="Arial"/>
                <w:b/>
                <w:bCs/>
                <w:noProof/>
                <w:webHidden/>
                <w:sz w:val="24"/>
                <w:szCs w:val="24"/>
              </w:rPr>
              <w:tab/>
            </w:r>
            <w:r w:rsidRPr="00150D95">
              <w:rPr>
                <w:rFonts w:ascii="Arial" w:hAnsi="Arial" w:cs="Arial"/>
                <w:b/>
                <w:bCs/>
                <w:noProof/>
                <w:webHidden/>
                <w:sz w:val="24"/>
                <w:szCs w:val="24"/>
              </w:rPr>
              <w:fldChar w:fldCharType="begin"/>
            </w:r>
            <w:r w:rsidRPr="00150D95">
              <w:rPr>
                <w:rFonts w:ascii="Arial" w:hAnsi="Arial" w:cs="Arial"/>
                <w:b/>
                <w:bCs/>
                <w:noProof/>
                <w:webHidden/>
                <w:sz w:val="24"/>
                <w:szCs w:val="24"/>
              </w:rPr>
              <w:instrText xml:space="preserve"> PAGEREF _Toc225450235 \h </w:instrText>
            </w:r>
            <w:r w:rsidRPr="00150D95">
              <w:rPr>
                <w:rFonts w:ascii="Arial" w:hAnsi="Arial" w:cs="Arial"/>
                <w:b/>
                <w:bCs/>
                <w:noProof/>
                <w:webHidden/>
                <w:sz w:val="24"/>
                <w:szCs w:val="24"/>
              </w:rPr>
            </w:r>
            <w:r w:rsidRPr="00150D95">
              <w:rPr>
                <w:rFonts w:ascii="Arial" w:hAnsi="Arial" w:cs="Arial"/>
                <w:b/>
                <w:bCs/>
                <w:noProof/>
                <w:webHidden/>
                <w:sz w:val="24"/>
                <w:szCs w:val="24"/>
              </w:rPr>
              <w:fldChar w:fldCharType="separate"/>
            </w:r>
            <w:r w:rsidRPr="00150D95">
              <w:rPr>
                <w:rFonts w:ascii="Arial" w:hAnsi="Arial" w:cs="Arial"/>
                <w:b/>
                <w:bCs/>
                <w:noProof/>
                <w:webHidden/>
                <w:sz w:val="24"/>
                <w:szCs w:val="24"/>
              </w:rPr>
              <w:t>7</w:t>
            </w:r>
            <w:r w:rsidRPr="00150D95">
              <w:rPr>
                <w:rFonts w:ascii="Arial" w:hAnsi="Arial" w:cs="Arial"/>
                <w:b/>
                <w:bCs/>
                <w:noProof/>
                <w:webHidden/>
                <w:sz w:val="24"/>
                <w:szCs w:val="24"/>
              </w:rPr>
              <w:fldChar w:fldCharType="end"/>
            </w:r>
          </w:hyperlink>
        </w:p>
        <w:p w14:paraId="514C6D8E" w14:textId="3D71EE15" w:rsidR="003D3CBD" w:rsidRPr="00150D95" w:rsidRDefault="003D3CBD" w:rsidP="004F4A97">
          <w:pPr>
            <w:pStyle w:val="TOC2"/>
            <w:tabs>
              <w:tab w:val="right" w:leader="dot" w:pos="9849"/>
            </w:tabs>
            <w:spacing w:line="360" w:lineRule="auto"/>
            <w:jc w:val="left"/>
            <w:rPr>
              <w:rFonts w:ascii="Arial" w:hAnsi="Arial" w:cs="Arial"/>
              <w:b/>
              <w:bCs/>
              <w:noProof/>
              <w:kern w:val="2"/>
              <w:sz w:val="24"/>
              <w:szCs w:val="24"/>
              <w:lang w:val="en-BB" w:eastAsia="en-BB"/>
              <w14:ligatures w14:val="standardContextual"/>
            </w:rPr>
          </w:pPr>
          <w:hyperlink w:anchor="_Toc225450236" w:history="1">
            <w:r w:rsidRPr="00150D95">
              <w:rPr>
                <w:rStyle w:val="Hyperlink"/>
                <w:rFonts w:ascii="Arial" w:hAnsi="Arial" w:cs="Arial"/>
                <w:b/>
                <w:bCs/>
                <w:noProof/>
                <w:sz w:val="24"/>
                <w:szCs w:val="24"/>
              </w:rPr>
              <w:t>Liquidity ratios</w:t>
            </w:r>
            <w:r w:rsidRPr="00150D95">
              <w:rPr>
                <w:rFonts w:ascii="Arial" w:hAnsi="Arial" w:cs="Arial"/>
                <w:b/>
                <w:bCs/>
                <w:noProof/>
                <w:webHidden/>
                <w:sz w:val="24"/>
                <w:szCs w:val="24"/>
              </w:rPr>
              <w:tab/>
            </w:r>
            <w:r w:rsidRPr="00150D95">
              <w:rPr>
                <w:rFonts w:ascii="Arial" w:hAnsi="Arial" w:cs="Arial"/>
                <w:b/>
                <w:bCs/>
                <w:noProof/>
                <w:webHidden/>
                <w:sz w:val="24"/>
                <w:szCs w:val="24"/>
              </w:rPr>
              <w:fldChar w:fldCharType="begin"/>
            </w:r>
            <w:r w:rsidRPr="00150D95">
              <w:rPr>
                <w:rFonts w:ascii="Arial" w:hAnsi="Arial" w:cs="Arial"/>
                <w:b/>
                <w:bCs/>
                <w:noProof/>
                <w:webHidden/>
                <w:sz w:val="24"/>
                <w:szCs w:val="24"/>
              </w:rPr>
              <w:instrText xml:space="preserve"> PAGEREF _Toc225450236 \h </w:instrText>
            </w:r>
            <w:r w:rsidRPr="00150D95">
              <w:rPr>
                <w:rFonts w:ascii="Arial" w:hAnsi="Arial" w:cs="Arial"/>
                <w:b/>
                <w:bCs/>
                <w:noProof/>
                <w:webHidden/>
                <w:sz w:val="24"/>
                <w:szCs w:val="24"/>
              </w:rPr>
            </w:r>
            <w:r w:rsidRPr="00150D95">
              <w:rPr>
                <w:rFonts w:ascii="Arial" w:hAnsi="Arial" w:cs="Arial"/>
                <w:b/>
                <w:bCs/>
                <w:noProof/>
                <w:webHidden/>
                <w:sz w:val="24"/>
                <w:szCs w:val="24"/>
              </w:rPr>
              <w:fldChar w:fldCharType="separate"/>
            </w:r>
            <w:r w:rsidRPr="00150D95">
              <w:rPr>
                <w:rFonts w:ascii="Arial" w:hAnsi="Arial" w:cs="Arial"/>
                <w:b/>
                <w:bCs/>
                <w:noProof/>
                <w:webHidden/>
                <w:sz w:val="24"/>
                <w:szCs w:val="24"/>
              </w:rPr>
              <w:t>8</w:t>
            </w:r>
            <w:r w:rsidRPr="00150D95">
              <w:rPr>
                <w:rFonts w:ascii="Arial" w:hAnsi="Arial" w:cs="Arial"/>
                <w:b/>
                <w:bCs/>
                <w:noProof/>
                <w:webHidden/>
                <w:sz w:val="24"/>
                <w:szCs w:val="24"/>
              </w:rPr>
              <w:fldChar w:fldCharType="end"/>
            </w:r>
          </w:hyperlink>
        </w:p>
        <w:p w14:paraId="7C13CA4E" w14:textId="39CD727A" w:rsidR="003D3CBD" w:rsidRPr="00150D95" w:rsidRDefault="003D3CBD" w:rsidP="004F4A97">
          <w:pPr>
            <w:pStyle w:val="TOC3"/>
            <w:tabs>
              <w:tab w:val="right" w:leader="dot" w:pos="9849"/>
            </w:tabs>
            <w:spacing w:line="360" w:lineRule="auto"/>
            <w:jc w:val="left"/>
            <w:rPr>
              <w:rFonts w:ascii="Arial" w:hAnsi="Arial" w:cs="Arial"/>
              <w:b/>
              <w:bCs/>
              <w:noProof/>
              <w:kern w:val="2"/>
              <w:sz w:val="24"/>
              <w:szCs w:val="24"/>
              <w:lang w:val="en-BB" w:eastAsia="en-BB"/>
              <w14:ligatures w14:val="standardContextual"/>
            </w:rPr>
          </w:pPr>
          <w:hyperlink w:anchor="_Toc225450237" w:history="1">
            <w:r w:rsidRPr="00150D95">
              <w:rPr>
                <w:rStyle w:val="Hyperlink"/>
                <w:rFonts w:ascii="Arial" w:hAnsi="Arial" w:cs="Arial"/>
                <w:b/>
                <w:bCs/>
                <w:noProof/>
                <w:sz w:val="24"/>
                <w:szCs w:val="24"/>
              </w:rPr>
              <w:t>Table 3. Liquidity ratios</w:t>
            </w:r>
            <w:r w:rsidRPr="00150D95">
              <w:rPr>
                <w:rFonts w:ascii="Arial" w:hAnsi="Arial" w:cs="Arial"/>
                <w:b/>
                <w:bCs/>
                <w:noProof/>
                <w:webHidden/>
                <w:sz w:val="24"/>
                <w:szCs w:val="24"/>
              </w:rPr>
              <w:tab/>
            </w:r>
            <w:r w:rsidRPr="00150D95">
              <w:rPr>
                <w:rFonts w:ascii="Arial" w:hAnsi="Arial" w:cs="Arial"/>
                <w:b/>
                <w:bCs/>
                <w:noProof/>
                <w:webHidden/>
                <w:sz w:val="24"/>
                <w:szCs w:val="24"/>
              </w:rPr>
              <w:fldChar w:fldCharType="begin"/>
            </w:r>
            <w:r w:rsidRPr="00150D95">
              <w:rPr>
                <w:rFonts w:ascii="Arial" w:hAnsi="Arial" w:cs="Arial"/>
                <w:b/>
                <w:bCs/>
                <w:noProof/>
                <w:webHidden/>
                <w:sz w:val="24"/>
                <w:szCs w:val="24"/>
              </w:rPr>
              <w:instrText xml:space="preserve"> PAGEREF _Toc225450237 \h </w:instrText>
            </w:r>
            <w:r w:rsidRPr="00150D95">
              <w:rPr>
                <w:rFonts w:ascii="Arial" w:hAnsi="Arial" w:cs="Arial"/>
                <w:b/>
                <w:bCs/>
                <w:noProof/>
                <w:webHidden/>
                <w:sz w:val="24"/>
                <w:szCs w:val="24"/>
              </w:rPr>
            </w:r>
            <w:r w:rsidRPr="00150D95">
              <w:rPr>
                <w:rFonts w:ascii="Arial" w:hAnsi="Arial" w:cs="Arial"/>
                <w:b/>
                <w:bCs/>
                <w:noProof/>
                <w:webHidden/>
                <w:sz w:val="24"/>
                <w:szCs w:val="24"/>
              </w:rPr>
              <w:fldChar w:fldCharType="separate"/>
            </w:r>
            <w:r w:rsidRPr="00150D95">
              <w:rPr>
                <w:rFonts w:ascii="Arial" w:hAnsi="Arial" w:cs="Arial"/>
                <w:b/>
                <w:bCs/>
                <w:noProof/>
                <w:webHidden/>
                <w:sz w:val="24"/>
                <w:szCs w:val="24"/>
              </w:rPr>
              <w:t>8</w:t>
            </w:r>
            <w:r w:rsidRPr="00150D95">
              <w:rPr>
                <w:rFonts w:ascii="Arial" w:hAnsi="Arial" w:cs="Arial"/>
                <w:b/>
                <w:bCs/>
                <w:noProof/>
                <w:webHidden/>
                <w:sz w:val="24"/>
                <w:szCs w:val="24"/>
              </w:rPr>
              <w:fldChar w:fldCharType="end"/>
            </w:r>
          </w:hyperlink>
        </w:p>
        <w:p w14:paraId="1E451DDB" w14:textId="32488E2C" w:rsidR="003D3CBD" w:rsidRPr="00150D95" w:rsidRDefault="003D3CBD" w:rsidP="004F4A97">
          <w:pPr>
            <w:pStyle w:val="TOC2"/>
            <w:tabs>
              <w:tab w:val="right" w:leader="dot" w:pos="9849"/>
            </w:tabs>
            <w:spacing w:line="360" w:lineRule="auto"/>
            <w:jc w:val="left"/>
            <w:rPr>
              <w:rFonts w:ascii="Arial" w:hAnsi="Arial" w:cs="Arial"/>
              <w:b/>
              <w:bCs/>
              <w:noProof/>
              <w:kern w:val="2"/>
              <w:sz w:val="24"/>
              <w:szCs w:val="24"/>
              <w:lang w:val="en-BB" w:eastAsia="en-BB"/>
              <w14:ligatures w14:val="standardContextual"/>
            </w:rPr>
          </w:pPr>
          <w:hyperlink w:anchor="_Toc225450238" w:history="1">
            <w:r w:rsidRPr="00150D95">
              <w:rPr>
                <w:rStyle w:val="Hyperlink"/>
                <w:rFonts w:ascii="Arial" w:hAnsi="Arial" w:cs="Arial"/>
                <w:b/>
                <w:bCs/>
                <w:noProof/>
                <w:sz w:val="24"/>
                <w:szCs w:val="24"/>
              </w:rPr>
              <w:t>Efficiency ratios</w:t>
            </w:r>
            <w:r w:rsidRPr="00150D95">
              <w:rPr>
                <w:rFonts w:ascii="Arial" w:hAnsi="Arial" w:cs="Arial"/>
                <w:b/>
                <w:bCs/>
                <w:noProof/>
                <w:webHidden/>
                <w:sz w:val="24"/>
                <w:szCs w:val="24"/>
              </w:rPr>
              <w:tab/>
            </w:r>
            <w:r w:rsidRPr="00150D95">
              <w:rPr>
                <w:rFonts w:ascii="Arial" w:hAnsi="Arial" w:cs="Arial"/>
                <w:b/>
                <w:bCs/>
                <w:noProof/>
                <w:webHidden/>
                <w:sz w:val="24"/>
                <w:szCs w:val="24"/>
              </w:rPr>
              <w:fldChar w:fldCharType="begin"/>
            </w:r>
            <w:r w:rsidRPr="00150D95">
              <w:rPr>
                <w:rFonts w:ascii="Arial" w:hAnsi="Arial" w:cs="Arial"/>
                <w:b/>
                <w:bCs/>
                <w:noProof/>
                <w:webHidden/>
                <w:sz w:val="24"/>
                <w:szCs w:val="24"/>
              </w:rPr>
              <w:instrText xml:space="preserve"> PAGEREF _Toc225450238 \h </w:instrText>
            </w:r>
            <w:r w:rsidRPr="00150D95">
              <w:rPr>
                <w:rFonts w:ascii="Arial" w:hAnsi="Arial" w:cs="Arial"/>
                <w:b/>
                <w:bCs/>
                <w:noProof/>
                <w:webHidden/>
                <w:sz w:val="24"/>
                <w:szCs w:val="24"/>
              </w:rPr>
            </w:r>
            <w:r w:rsidRPr="00150D95">
              <w:rPr>
                <w:rFonts w:ascii="Arial" w:hAnsi="Arial" w:cs="Arial"/>
                <w:b/>
                <w:bCs/>
                <w:noProof/>
                <w:webHidden/>
                <w:sz w:val="24"/>
                <w:szCs w:val="24"/>
              </w:rPr>
              <w:fldChar w:fldCharType="separate"/>
            </w:r>
            <w:r w:rsidRPr="00150D95">
              <w:rPr>
                <w:rFonts w:ascii="Arial" w:hAnsi="Arial" w:cs="Arial"/>
                <w:b/>
                <w:bCs/>
                <w:noProof/>
                <w:webHidden/>
                <w:sz w:val="24"/>
                <w:szCs w:val="24"/>
              </w:rPr>
              <w:t>9</w:t>
            </w:r>
            <w:r w:rsidRPr="00150D95">
              <w:rPr>
                <w:rFonts w:ascii="Arial" w:hAnsi="Arial" w:cs="Arial"/>
                <w:b/>
                <w:bCs/>
                <w:noProof/>
                <w:webHidden/>
                <w:sz w:val="24"/>
                <w:szCs w:val="24"/>
              </w:rPr>
              <w:fldChar w:fldCharType="end"/>
            </w:r>
          </w:hyperlink>
        </w:p>
        <w:p w14:paraId="5C97166D" w14:textId="4DFEA74B" w:rsidR="003D3CBD" w:rsidRPr="00150D95" w:rsidRDefault="003D3CBD" w:rsidP="004F4A97">
          <w:pPr>
            <w:pStyle w:val="TOC3"/>
            <w:tabs>
              <w:tab w:val="right" w:leader="dot" w:pos="9849"/>
            </w:tabs>
            <w:spacing w:line="360" w:lineRule="auto"/>
            <w:jc w:val="left"/>
            <w:rPr>
              <w:rFonts w:ascii="Arial" w:hAnsi="Arial" w:cs="Arial"/>
              <w:b/>
              <w:bCs/>
              <w:noProof/>
              <w:kern w:val="2"/>
              <w:sz w:val="24"/>
              <w:szCs w:val="24"/>
              <w:lang w:val="en-BB" w:eastAsia="en-BB"/>
              <w14:ligatures w14:val="standardContextual"/>
            </w:rPr>
          </w:pPr>
          <w:hyperlink w:anchor="_Toc225450239" w:history="1">
            <w:r w:rsidRPr="00150D95">
              <w:rPr>
                <w:rStyle w:val="Hyperlink"/>
                <w:rFonts w:ascii="Arial" w:hAnsi="Arial" w:cs="Arial"/>
                <w:b/>
                <w:bCs/>
                <w:noProof/>
                <w:sz w:val="24"/>
                <w:szCs w:val="24"/>
              </w:rPr>
              <w:t>Table 4. Efficiency ratios</w:t>
            </w:r>
            <w:r w:rsidRPr="00150D95">
              <w:rPr>
                <w:rFonts w:ascii="Arial" w:hAnsi="Arial" w:cs="Arial"/>
                <w:b/>
                <w:bCs/>
                <w:noProof/>
                <w:webHidden/>
                <w:sz w:val="24"/>
                <w:szCs w:val="24"/>
              </w:rPr>
              <w:tab/>
            </w:r>
            <w:r w:rsidRPr="00150D95">
              <w:rPr>
                <w:rFonts w:ascii="Arial" w:hAnsi="Arial" w:cs="Arial"/>
                <w:b/>
                <w:bCs/>
                <w:noProof/>
                <w:webHidden/>
                <w:sz w:val="24"/>
                <w:szCs w:val="24"/>
              </w:rPr>
              <w:fldChar w:fldCharType="begin"/>
            </w:r>
            <w:r w:rsidRPr="00150D95">
              <w:rPr>
                <w:rFonts w:ascii="Arial" w:hAnsi="Arial" w:cs="Arial"/>
                <w:b/>
                <w:bCs/>
                <w:noProof/>
                <w:webHidden/>
                <w:sz w:val="24"/>
                <w:szCs w:val="24"/>
              </w:rPr>
              <w:instrText xml:space="preserve"> PAGEREF _Toc225450239 \h </w:instrText>
            </w:r>
            <w:r w:rsidRPr="00150D95">
              <w:rPr>
                <w:rFonts w:ascii="Arial" w:hAnsi="Arial" w:cs="Arial"/>
                <w:b/>
                <w:bCs/>
                <w:noProof/>
                <w:webHidden/>
                <w:sz w:val="24"/>
                <w:szCs w:val="24"/>
              </w:rPr>
            </w:r>
            <w:r w:rsidRPr="00150D95">
              <w:rPr>
                <w:rFonts w:ascii="Arial" w:hAnsi="Arial" w:cs="Arial"/>
                <w:b/>
                <w:bCs/>
                <w:noProof/>
                <w:webHidden/>
                <w:sz w:val="24"/>
                <w:szCs w:val="24"/>
              </w:rPr>
              <w:fldChar w:fldCharType="separate"/>
            </w:r>
            <w:r w:rsidRPr="00150D95">
              <w:rPr>
                <w:rFonts w:ascii="Arial" w:hAnsi="Arial" w:cs="Arial"/>
                <w:b/>
                <w:bCs/>
                <w:noProof/>
                <w:webHidden/>
                <w:sz w:val="24"/>
                <w:szCs w:val="24"/>
              </w:rPr>
              <w:t>9</w:t>
            </w:r>
            <w:r w:rsidRPr="00150D95">
              <w:rPr>
                <w:rFonts w:ascii="Arial" w:hAnsi="Arial" w:cs="Arial"/>
                <w:b/>
                <w:bCs/>
                <w:noProof/>
                <w:webHidden/>
                <w:sz w:val="24"/>
                <w:szCs w:val="24"/>
              </w:rPr>
              <w:fldChar w:fldCharType="end"/>
            </w:r>
          </w:hyperlink>
        </w:p>
        <w:p w14:paraId="2B443275" w14:textId="6067B5C7" w:rsidR="003D3CBD" w:rsidRPr="00150D95" w:rsidRDefault="003D3CBD" w:rsidP="004F4A97">
          <w:pPr>
            <w:pStyle w:val="TOC2"/>
            <w:tabs>
              <w:tab w:val="right" w:leader="dot" w:pos="9849"/>
            </w:tabs>
            <w:spacing w:line="360" w:lineRule="auto"/>
            <w:jc w:val="left"/>
            <w:rPr>
              <w:rFonts w:ascii="Arial" w:hAnsi="Arial" w:cs="Arial"/>
              <w:b/>
              <w:bCs/>
              <w:noProof/>
              <w:kern w:val="2"/>
              <w:sz w:val="24"/>
              <w:szCs w:val="24"/>
              <w:lang w:val="en-BB" w:eastAsia="en-BB"/>
              <w14:ligatures w14:val="standardContextual"/>
            </w:rPr>
          </w:pPr>
          <w:hyperlink w:anchor="_Toc225450240" w:history="1">
            <w:r w:rsidRPr="00150D95">
              <w:rPr>
                <w:rStyle w:val="Hyperlink"/>
                <w:rFonts w:ascii="Arial" w:hAnsi="Arial" w:cs="Arial"/>
                <w:b/>
                <w:bCs/>
                <w:noProof/>
                <w:sz w:val="24"/>
                <w:szCs w:val="24"/>
              </w:rPr>
              <w:t>Gearing and investment ratios</w:t>
            </w:r>
            <w:r w:rsidRPr="00150D95">
              <w:rPr>
                <w:rFonts w:ascii="Arial" w:hAnsi="Arial" w:cs="Arial"/>
                <w:b/>
                <w:bCs/>
                <w:noProof/>
                <w:webHidden/>
                <w:sz w:val="24"/>
                <w:szCs w:val="24"/>
              </w:rPr>
              <w:tab/>
            </w:r>
            <w:r w:rsidRPr="00150D95">
              <w:rPr>
                <w:rFonts w:ascii="Arial" w:hAnsi="Arial" w:cs="Arial"/>
                <w:b/>
                <w:bCs/>
                <w:noProof/>
                <w:webHidden/>
                <w:sz w:val="24"/>
                <w:szCs w:val="24"/>
              </w:rPr>
              <w:fldChar w:fldCharType="begin"/>
            </w:r>
            <w:r w:rsidRPr="00150D95">
              <w:rPr>
                <w:rFonts w:ascii="Arial" w:hAnsi="Arial" w:cs="Arial"/>
                <w:b/>
                <w:bCs/>
                <w:noProof/>
                <w:webHidden/>
                <w:sz w:val="24"/>
                <w:szCs w:val="24"/>
              </w:rPr>
              <w:instrText xml:space="preserve"> PAGEREF _Toc225450240 \h </w:instrText>
            </w:r>
            <w:r w:rsidRPr="00150D95">
              <w:rPr>
                <w:rFonts w:ascii="Arial" w:hAnsi="Arial" w:cs="Arial"/>
                <w:b/>
                <w:bCs/>
                <w:noProof/>
                <w:webHidden/>
                <w:sz w:val="24"/>
                <w:szCs w:val="24"/>
              </w:rPr>
            </w:r>
            <w:r w:rsidRPr="00150D95">
              <w:rPr>
                <w:rFonts w:ascii="Arial" w:hAnsi="Arial" w:cs="Arial"/>
                <w:b/>
                <w:bCs/>
                <w:noProof/>
                <w:webHidden/>
                <w:sz w:val="24"/>
                <w:szCs w:val="24"/>
              </w:rPr>
              <w:fldChar w:fldCharType="separate"/>
            </w:r>
            <w:r w:rsidRPr="00150D95">
              <w:rPr>
                <w:rFonts w:ascii="Arial" w:hAnsi="Arial" w:cs="Arial"/>
                <w:b/>
                <w:bCs/>
                <w:noProof/>
                <w:webHidden/>
                <w:sz w:val="24"/>
                <w:szCs w:val="24"/>
              </w:rPr>
              <w:t>10</w:t>
            </w:r>
            <w:r w:rsidRPr="00150D95">
              <w:rPr>
                <w:rFonts w:ascii="Arial" w:hAnsi="Arial" w:cs="Arial"/>
                <w:b/>
                <w:bCs/>
                <w:noProof/>
                <w:webHidden/>
                <w:sz w:val="24"/>
                <w:szCs w:val="24"/>
              </w:rPr>
              <w:fldChar w:fldCharType="end"/>
            </w:r>
          </w:hyperlink>
        </w:p>
        <w:p w14:paraId="72508AB1" w14:textId="21024B28" w:rsidR="003D3CBD" w:rsidRPr="00150D95" w:rsidRDefault="003D3CBD" w:rsidP="004F4A97">
          <w:pPr>
            <w:pStyle w:val="TOC3"/>
            <w:tabs>
              <w:tab w:val="right" w:leader="dot" w:pos="9849"/>
            </w:tabs>
            <w:spacing w:line="360" w:lineRule="auto"/>
            <w:jc w:val="left"/>
            <w:rPr>
              <w:rFonts w:ascii="Arial" w:hAnsi="Arial" w:cs="Arial"/>
              <w:b/>
              <w:bCs/>
              <w:noProof/>
              <w:kern w:val="2"/>
              <w:sz w:val="24"/>
              <w:szCs w:val="24"/>
              <w:lang w:val="en-BB" w:eastAsia="en-BB"/>
              <w14:ligatures w14:val="standardContextual"/>
            </w:rPr>
          </w:pPr>
          <w:hyperlink w:anchor="_Toc225450241" w:history="1">
            <w:r w:rsidRPr="00150D95">
              <w:rPr>
                <w:rStyle w:val="Hyperlink"/>
                <w:rFonts w:ascii="Arial" w:hAnsi="Arial" w:cs="Arial"/>
                <w:b/>
                <w:bCs/>
                <w:noProof/>
                <w:sz w:val="24"/>
                <w:szCs w:val="24"/>
              </w:rPr>
              <w:t>Table 5. Gearing and investment ratios</w:t>
            </w:r>
            <w:r w:rsidRPr="00150D95">
              <w:rPr>
                <w:rFonts w:ascii="Arial" w:hAnsi="Arial" w:cs="Arial"/>
                <w:b/>
                <w:bCs/>
                <w:noProof/>
                <w:webHidden/>
                <w:sz w:val="24"/>
                <w:szCs w:val="24"/>
              </w:rPr>
              <w:tab/>
            </w:r>
            <w:r w:rsidRPr="00150D95">
              <w:rPr>
                <w:rFonts w:ascii="Arial" w:hAnsi="Arial" w:cs="Arial"/>
                <w:b/>
                <w:bCs/>
                <w:noProof/>
                <w:webHidden/>
                <w:sz w:val="24"/>
                <w:szCs w:val="24"/>
              </w:rPr>
              <w:fldChar w:fldCharType="begin"/>
            </w:r>
            <w:r w:rsidRPr="00150D95">
              <w:rPr>
                <w:rFonts w:ascii="Arial" w:hAnsi="Arial" w:cs="Arial"/>
                <w:b/>
                <w:bCs/>
                <w:noProof/>
                <w:webHidden/>
                <w:sz w:val="24"/>
                <w:szCs w:val="24"/>
              </w:rPr>
              <w:instrText xml:space="preserve"> PAGEREF _Toc225450241 \h </w:instrText>
            </w:r>
            <w:r w:rsidRPr="00150D95">
              <w:rPr>
                <w:rFonts w:ascii="Arial" w:hAnsi="Arial" w:cs="Arial"/>
                <w:b/>
                <w:bCs/>
                <w:noProof/>
                <w:webHidden/>
                <w:sz w:val="24"/>
                <w:szCs w:val="24"/>
              </w:rPr>
            </w:r>
            <w:r w:rsidRPr="00150D95">
              <w:rPr>
                <w:rFonts w:ascii="Arial" w:hAnsi="Arial" w:cs="Arial"/>
                <w:b/>
                <w:bCs/>
                <w:noProof/>
                <w:webHidden/>
                <w:sz w:val="24"/>
                <w:szCs w:val="24"/>
              </w:rPr>
              <w:fldChar w:fldCharType="separate"/>
            </w:r>
            <w:r w:rsidRPr="00150D95">
              <w:rPr>
                <w:rFonts w:ascii="Arial" w:hAnsi="Arial" w:cs="Arial"/>
                <w:b/>
                <w:bCs/>
                <w:noProof/>
                <w:webHidden/>
                <w:sz w:val="24"/>
                <w:szCs w:val="24"/>
              </w:rPr>
              <w:t>10</w:t>
            </w:r>
            <w:r w:rsidRPr="00150D95">
              <w:rPr>
                <w:rFonts w:ascii="Arial" w:hAnsi="Arial" w:cs="Arial"/>
                <w:b/>
                <w:bCs/>
                <w:noProof/>
                <w:webHidden/>
                <w:sz w:val="24"/>
                <w:szCs w:val="24"/>
              </w:rPr>
              <w:fldChar w:fldCharType="end"/>
            </w:r>
          </w:hyperlink>
        </w:p>
        <w:p w14:paraId="16E5A07D" w14:textId="4BC844DC" w:rsidR="003D3CBD" w:rsidRPr="00150D95" w:rsidRDefault="003D3CBD" w:rsidP="004F4A97">
          <w:pPr>
            <w:pStyle w:val="TOC2"/>
            <w:tabs>
              <w:tab w:val="right" w:leader="dot" w:pos="9849"/>
            </w:tabs>
            <w:spacing w:line="360" w:lineRule="auto"/>
            <w:jc w:val="left"/>
            <w:rPr>
              <w:rFonts w:ascii="Arial" w:hAnsi="Arial" w:cs="Arial"/>
              <w:b/>
              <w:bCs/>
              <w:noProof/>
              <w:kern w:val="2"/>
              <w:sz w:val="24"/>
              <w:szCs w:val="24"/>
              <w:lang w:val="en-BB" w:eastAsia="en-BB"/>
              <w14:ligatures w14:val="standardContextual"/>
            </w:rPr>
          </w:pPr>
          <w:hyperlink w:anchor="_Toc225450242" w:history="1">
            <w:r w:rsidRPr="00150D95">
              <w:rPr>
                <w:rStyle w:val="Hyperlink"/>
                <w:rFonts w:ascii="Arial" w:hAnsi="Arial" w:cs="Arial"/>
                <w:b/>
                <w:bCs/>
                <w:noProof/>
                <w:sz w:val="24"/>
                <w:szCs w:val="24"/>
              </w:rPr>
              <w:t>Strengths, threats and CFO diagnosis</w:t>
            </w:r>
            <w:r w:rsidRPr="00150D95">
              <w:rPr>
                <w:rFonts w:ascii="Arial" w:hAnsi="Arial" w:cs="Arial"/>
                <w:b/>
                <w:bCs/>
                <w:noProof/>
                <w:webHidden/>
                <w:sz w:val="24"/>
                <w:szCs w:val="24"/>
              </w:rPr>
              <w:tab/>
            </w:r>
            <w:r w:rsidRPr="00150D95">
              <w:rPr>
                <w:rFonts w:ascii="Arial" w:hAnsi="Arial" w:cs="Arial"/>
                <w:b/>
                <w:bCs/>
                <w:noProof/>
                <w:webHidden/>
                <w:sz w:val="24"/>
                <w:szCs w:val="24"/>
              </w:rPr>
              <w:fldChar w:fldCharType="begin"/>
            </w:r>
            <w:r w:rsidRPr="00150D95">
              <w:rPr>
                <w:rFonts w:ascii="Arial" w:hAnsi="Arial" w:cs="Arial"/>
                <w:b/>
                <w:bCs/>
                <w:noProof/>
                <w:webHidden/>
                <w:sz w:val="24"/>
                <w:szCs w:val="24"/>
              </w:rPr>
              <w:instrText xml:space="preserve"> PAGEREF _Toc225450242 \h </w:instrText>
            </w:r>
            <w:r w:rsidRPr="00150D95">
              <w:rPr>
                <w:rFonts w:ascii="Arial" w:hAnsi="Arial" w:cs="Arial"/>
                <w:b/>
                <w:bCs/>
                <w:noProof/>
                <w:webHidden/>
                <w:sz w:val="24"/>
                <w:szCs w:val="24"/>
              </w:rPr>
            </w:r>
            <w:r w:rsidRPr="00150D95">
              <w:rPr>
                <w:rFonts w:ascii="Arial" w:hAnsi="Arial" w:cs="Arial"/>
                <w:b/>
                <w:bCs/>
                <w:noProof/>
                <w:webHidden/>
                <w:sz w:val="24"/>
                <w:szCs w:val="24"/>
              </w:rPr>
              <w:fldChar w:fldCharType="separate"/>
            </w:r>
            <w:r w:rsidRPr="00150D95">
              <w:rPr>
                <w:rFonts w:ascii="Arial" w:hAnsi="Arial" w:cs="Arial"/>
                <w:b/>
                <w:bCs/>
                <w:noProof/>
                <w:webHidden/>
                <w:sz w:val="24"/>
                <w:szCs w:val="24"/>
              </w:rPr>
              <w:t>11</w:t>
            </w:r>
            <w:r w:rsidRPr="00150D95">
              <w:rPr>
                <w:rFonts w:ascii="Arial" w:hAnsi="Arial" w:cs="Arial"/>
                <w:b/>
                <w:bCs/>
                <w:noProof/>
                <w:webHidden/>
                <w:sz w:val="24"/>
                <w:szCs w:val="24"/>
              </w:rPr>
              <w:fldChar w:fldCharType="end"/>
            </w:r>
          </w:hyperlink>
        </w:p>
        <w:p w14:paraId="024A9C61" w14:textId="5E23DD10" w:rsidR="003D3CBD" w:rsidRPr="00150D95" w:rsidRDefault="003D3CBD" w:rsidP="004F4A97">
          <w:pPr>
            <w:pStyle w:val="TOC1"/>
            <w:tabs>
              <w:tab w:val="right" w:leader="dot" w:pos="9849"/>
            </w:tabs>
            <w:spacing w:line="360" w:lineRule="auto"/>
            <w:jc w:val="left"/>
            <w:rPr>
              <w:rFonts w:ascii="Arial" w:hAnsi="Arial" w:cs="Arial"/>
              <w:b/>
              <w:bCs/>
              <w:noProof/>
              <w:kern w:val="2"/>
              <w:sz w:val="24"/>
              <w:szCs w:val="24"/>
              <w:lang w:val="en-BB" w:eastAsia="en-BB"/>
              <w14:ligatures w14:val="standardContextual"/>
            </w:rPr>
          </w:pPr>
          <w:hyperlink w:anchor="_Toc225450243" w:history="1">
            <w:r w:rsidRPr="00150D95">
              <w:rPr>
                <w:rStyle w:val="Hyperlink"/>
                <w:rFonts w:ascii="Arial" w:hAnsi="Arial" w:cs="Arial"/>
                <w:b/>
                <w:bCs/>
                <w:noProof/>
                <w:sz w:val="24"/>
                <w:szCs w:val="24"/>
              </w:rPr>
              <w:t>2. Working Capital Management Analysis</w:t>
            </w:r>
            <w:r w:rsidRPr="00150D95">
              <w:rPr>
                <w:rFonts w:ascii="Arial" w:hAnsi="Arial" w:cs="Arial"/>
                <w:b/>
                <w:bCs/>
                <w:noProof/>
                <w:webHidden/>
                <w:sz w:val="24"/>
                <w:szCs w:val="24"/>
              </w:rPr>
              <w:tab/>
            </w:r>
            <w:r w:rsidRPr="00150D95">
              <w:rPr>
                <w:rFonts w:ascii="Arial" w:hAnsi="Arial" w:cs="Arial"/>
                <w:b/>
                <w:bCs/>
                <w:noProof/>
                <w:webHidden/>
                <w:sz w:val="24"/>
                <w:szCs w:val="24"/>
              </w:rPr>
              <w:fldChar w:fldCharType="begin"/>
            </w:r>
            <w:r w:rsidRPr="00150D95">
              <w:rPr>
                <w:rFonts w:ascii="Arial" w:hAnsi="Arial" w:cs="Arial"/>
                <w:b/>
                <w:bCs/>
                <w:noProof/>
                <w:webHidden/>
                <w:sz w:val="24"/>
                <w:szCs w:val="24"/>
              </w:rPr>
              <w:instrText xml:space="preserve"> PAGEREF _Toc225450243 \h </w:instrText>
            </w:r>
            <w:r w:rsidRPr="00150D95">
              <w:rPr>
                <w:rFonts w:ascii="Arial" w:hAnsi="Arial" w:cs="Arial"/>
                <w:b/>
                <w:bCs/>
                <w:noProof/>
                <w:webHidden/>
                <w:sz w:val="24"/>
                <w:szCs w:val="24"/>
              </w:rPr>
            </w:r>
            <w:r w:rsidRPr="00150D95">
              <w:rPr>
                <w:rFonts w:ascii="Arial" w:hAnsi="Arial" w:cs="Arial"/>
                <w:b/>
                <w:bCs/>
                <w:noProof/>
                <w:webHidden/>
                <w:sz w:val="24"/>
                <w:szCs w:val="24"/>
              </w:rPr>
              <w:fldChar w:fldCharType="separate"/>
            </w:r>
            <w:r w:rsidRPr="00150D95">
              <w:rPr>
                <w:rFonts w:ascii="Arial" w:hAnsi="Arial" w:cs="Arial"/>
                <w:b/>
                <w:bCs/>
                <w:noProof/>
                <w:webHidden/>
                <w:sz w:val="24"/>
                <w:szCs w:val="24"/>
              </w:rPr>
              <w:t>12</w:t>
            </w:r>
            <w:r w:rsidRPr="00150D95">
              <w:rPr>
                <w:rFonts w:ascii="Arial" w:hAnsi="Arial" w:cs="Arial"/>
                <w:b/>
                <w:bCs/>
                <w:noProof/>
                <w:webHidden/>
                <w:sz w:val="24"/>
                <w:szCs w:val="24"/>
              </w:rPr>
              <w:fldChar w:fldCharType="end"/>
            </w:r>
          </w:hyperlink>
        </w:p>
        <w:p w14:paraId="035DD4DD" w14:textId="7BF36DF9" w:rsidR="003D3CBD" w:rsidRPr="00150D95" w:rsidRDefault="003D3CBD" w:rsidP="004F4A97">
          <w:pPr>
            <w:pStyle w:val="TOC2"/>
            <w:tabs>
              <w:tab w:val="right" w:leader="dot" w:pos="9849"/>
            </w:tabs>
            <w:spacing w:line="360" w:lineRule="auto"/>
            <w:jc w:val="left"/>
            <w:rPr>
              <w:rFonts w:ascii="Arial" w:hAnsi="Arial" w:cs="Arial"/>
              <w:b/>
              <w:bCs/>
              <w:noProof/>
              <w:kern w:val="2"/>
              <w:sz w:val="24"/>
              <w:szCs w:val="24"/>
              <w:lang w:val="en-BB" w:eastAsia="en-BB"/>
              <w14:ligatures w14:val="standardContextual"/>
            </w:rPr>
          </w:pPr>
          <w:hyperlink w:anchor="_Toc225450244" w:history="1">
            <w:r w:rsidRPr="00150D95">
              <w:rPr>
                <w:rStyle w:val="Hyperlink"/>
                <w:rFonts w:ascii="Arial" w:hAnsi="Arial" w:cs="Arial"/>
                <w:b/>
                <w:bCs/>
                <w:noProof/>
                <w:sz w:val="24"/>
                <w:szCs w:val="24"/>
              </w:rPr>
              <w:t>Cash conversion cycle and operating liquidity</w:t>
            </w:r>
            <w:r w:rsidRPr="00150D95">
              <w:rPr>
                <w:rFonts w:ascii="Arial" w:hAnsi="Arial" w:cs="Arial"/>
                <w:b/>
                <w:bCs/>
                <w:noProof/>
                <w:webHidden/>
                <w:sz w:val="24"/>
                <w:szCs w:val="24"/>
              </w:rPr>
              <w:tab/>
            </w:r>
            <w:r w:rsidRPr="00150D95">
              <w:rPr>
                <w:rFonts w:ascii="Arial" w:hAnsi="Arial" w:cs="Arial"/>
                <w:b/>
                <w:bCs/>
                <w:noProof/>
                <w:webHidden/>
                <w:sz w:val="24"/>
                <w:szCs w:val="24"/>
              </w:rPr>
              <w:fldChar w:fldCharType="begin"/>
            </w:r>
            <w:r w:rsidRPr="00150D95">
              <w:rPr>
                <w:rFonts w:ascii="Arial" w:hAnsi="Arial" w:cs="Arial"/>
                <w:b/>
                <w:bCs/>
                <w:noProof/>
                <w:webHidden/>
                <w:sz w:val="24"/>
                <w:szCs w:val="24"/>
              </w:rPr>
              <w:instrText xml:space="preserve"> PAGEREF _Toc225450244 \h </w:instrText>
            </w:r>
            <w:r w:rsidRPr="00150D95">
              <w:rPr>
                <w:rFonts w:ascii="Arial" w:hAnsi="Arial" w:cs="Arial"/>
                <w:b/>
                <w:bCs/>
                <w:noProof/>
                <w:webHidden/>
                <w:sz w:val="24"/>
                <w:szCs w:val="24"/>
              </w:rPr>
            </w:r>
            <w:r w:rsidRPr="00150D95">
              <w:rPr>
                <w:rFonts w:ascii="Arial" w:hAnsi="Arial" w:cs="Arial"/>
                <w:b/>
                <w:bCs/>
                <w:noProof/>
                <w:webHidden/>
                <w:sz w:val="24"/>
                <w:szCs w:val="24"/>
              </w:rPr>
              <w:fldChar w:fldCharType="separate"/>
            </w:r>
            <w:r w:rsidRPr="00150D95">
              <w:rPr>
                <w:rFonts w:ascii="Arial" w:hAnsi="Arial" w:cs="Arial"/>
                <w:b/>
                <w:bCs/>
                <w:noProof/>
                <w:webHidden/>
                <w:sz w:val="24"/>
                <w:szCs w:val="24"/>
              </w:rPr>
              <w:t>12</w:t>
            </w:r>
            <w:r w:rsidRPr="00150D95">
              <w:rPr>
                <w:rFonts w:ascii="Arial" w:hAnsi="Arial" w:cs="Arial"/>
                <w:b/>
                <w:bCs/>
                <w:noProof/>
                <w:webHidden/>
                <w:sz w:val="24"/>
                <w:szCs w:val="24"/>
              </w:rPr>
              <w:fldChar w:fldCharType="end"/>
            </w:r>
          </w:hyperlink>
        </w:p>
        <w:p w14:paraId="41BBC86D" w14:textId="4F5FDBBB" w:rsidR="003D3CBD" w:rsidRPr="00150D95" w:rsidRDefault="003D3CBD" w:rsidP="004F4A97">
          <w:pPr>
            <w:pStyle w:val="TOC3"/>
            <w:tabs>
              <w:tab w:val="right" w:leader="dot" w:pos="9849"/>
            </w:tabs>
            <w:spacing w:line="360" w:lineRule="auto"/>
            <w:jc w:val="left"/>
            <w:rPr>
              <w:rFonts w:ascii="Arial" w:hAnsi="Arial" w:cs="Arial"/>
              <w:b/>
              <w:bCs/>
              <w:noProof/>
              <w:kern w:val="2"/>
              <w:sz w:val="24"/>
              <w:szCs w:val="24"/>
              <w:lang w:val="en-BB" w:eastAsia="en-BB"/>
              <w14:ligatures w14:val="standardContextual"/>
            </w:rPr>
          </w:pPr>
          <w:hyperlink w:anchor="_Toc225450245" w:history="1">
            <w:r w:rsidRPr="00150D95">
              <w:rPr>
                <w:rStyle w:val="Hyperlink"/>
                <w:rFonts w:ascii="Arial" w:hAnsi="Arial" w:cs="Arial"/>
                <w:b/>
                <w:bCs/>
                <w:noProof/>
                <w:sz w:val="24"/>
                <w:szCs w:val="24"/>
              </w:rPr>
              <w:t>Table 6. Cash conversion cycle calculations</w:t>
            </w:r>
            <w:r w:rsidRPr="00150D95">
              <w:rPr>
                <w:rFonts w:ascii="Arial" w:hAnsi="Arial" w:cs="Arial"/>
                <w:b/>
                <w:bCs/>
                <w:noProof/>
                <w:webHidden/>
                <w:sz w:val="24"/>
                <w:szCs w:val="24"/>
              </w:rPr>
              <w:tab/>
            </w:r>
            <w:r w:rsidRPr="00150D95">
              <w:rPr>
                <w:rFonts w:ascii="Arial" w:hAnsi="Arial" w:cs="Arial"/>
                <w:b/>
                <w:bCs/>
                <w:noProof/>
                <w:webHidden/>
                <w:sz w:val="24"/>
                <w:szCs w:val="24"/>
              </w:rPr>
              <w:fldChar w:fldCharType="begin"/>
            </w:r>
            <w:r w:rsidRPr="00150D95">
              <w:rPr>
                <w:rFonts w:ascii="Arial" w:hAnsi="Arial" w:cs="Arial"/>
                <w:b/>
                <w:bCs/>
                <w:noProof/>
                <w:webHidden/>
                <w:sz w:val="24"/>
                <w:szCs w:val="24"/>
              </w:rPr>
              <w:instrText xml:space="preserve"> PAGEREF _Toc225450245 \h </w:instrText>
            </w:r>
            <w:r w:rsidRPr="00150D95">
              <w:rPr>
                <w:rFonts w:ascii="Arial" w:hAnsi="Arial" w:cs="Arial"/>
                <w:b/>
                <w:bCs/>
                <w:noProof/>
                <w:webHidden/>
                <w:sz w:val="24"/>
                <w:szCs w:val="24"/>
              </w:rPr>
            </w:r>
            <w:r w:rsidRPr="00150D95">
              <w:rPr>
                <w:rFonts w:ascii="Arial" w:hAnsi="Arial" w:cs="Arial"/>
                <w:b/>
                <w:bCs/>
                <w:noProof/>
                <w:webHidden/>
                <w:sz w:val="24"/>
                <w:szCs w:val="24"/>
              </w:rPr>
              <w:fldChar w:fldCharType="separate"/>
            </w:r>
            <w:r w:rsidRPr="00150D95">
              <w:rPr>
                <w:rFonts w:ascii="Arial" w:hAnsi="Arial" w:cs="Arial"/>
                <w:b/>
                <w:bCs/>
                <w:noProof/>
                <w:webHidden/>
                <w:sz w:val="24"/>
                <w:szCs w:val="24"/>
              </w:rPr>
              <w:t>12</w:t>
            </w:r>
            <w:r w:rsidRPr="00150D95">
              <w:rPr>
                <w:rFonts w:ascii="Arial" w:hAnsi="Arial" w:cs="Arial"/>
                <w:b/>
                <w:bCs/>
                <w:noProof/>
                <w:webHidden/>
                <w:sz w:val="24"/>
                <w:szCs w:val="24"/>
              </w:rPr>
              <w:fldChar w:fldCharType="end"/>
            </w:r>
          </w:hyperlink>
        </w:p>
        <w:p w14:paraId="5C04D986" w14:textId="04CAA238" w:rsidR="003D3CBD" w:rsidRPr="00150D95" w:rsidRDefault="003D3CBD" w:rsidP="004F4A97">
          <w:pPr>
            <w:pStyle w:val="TOC2"/>
            <w:tabs>
              <w:tab w:val="right" w:leader="dot" w:pos="9849"/>
            </w:tabs>
            <w:spacing w:line="360" w:lineRule="auto"/>
            <w:jc w:val="left"/>
            <w:rPr>
              <w:rFonts w:ascii="Arial" w:hAnsi="Arial" w:cs="Arial"/>
              <w:b/>
              <w:bCs/>
              <w:noProof/>
              <w:kern w:val="2"/>
              <w:sz w:val="24"/>
              <w:szCs w:val="24"/>
              <w:lang w:val="en-BB" w:eastAsia="en-BB"/>
              <w14:ligatures w14:val="standardContextual"/>
            </w:rPr>
          </w:pPr>
          <w:hyperlink w:anchor="_Toc225450246" w:history="1">
            <w:r w:rsidRPr="00150D95">
              <w:rPr>
                <w:rStyle w:val="Hyperlink"/>
                <w:rFonts w:ascii="Arial" w:hAnsi="Arial" w:cs="Arial"/>
                <w:b/>
                <w:bCs/>
                <w:noProof/>
                <w:sz w:val="24"/>
                <w:szCs w:val="24"/>
              </w:rPr>
              <w:t>Inventory, receivables and payables trends</w:t>
            </w:r>
            <w:r w:rsidRPr="00150D95">
              <w:rPr>
                <w:rFonts w:ascii="Arial" w:hAnsi="Arial" w:cs="Arial"/>
                <w:b/>
                <w:bCs/>
                <w:noProof/>
                <w:webHidden/>
                <w:sz w:val="24"/>
                <w:szCs w:val="24"/>
              </w:rPr>
              <w:tab/>
            </w:r>
            <w:r w:rsidRPr="00150D95">
              <w:rPr>
                <w:rFonts w:ascii="Arial" w:hAnsi="Arial" w:cs="Arial"/>
                <w:b/>
                <w:bCs/>
                <w:noProof/>
                <w:webHidden/>
                <w:sz w:val="24"/>
                <w:szCs w:val="24"/>
              </w:rPr>
              <w:fldChar w:fldCharType="begin"/>
            </w:r>
            <w:r w:rsidRPr="00150D95">
              <w:rPr>
                <w:rFonts w:ascii="Arial" w:hAnsi="Arial" w:cs="Arial"/>
                <w:b/>
                <w:bCs/>
                <w:noProof/>
                <w:webHidden/>
                <w:sz w:val="24"/>
                <w:szCs w:val="24"/>
              </w:rPr>
              <w:instrText xml:space="preserve"> PAGEREF _Toc225450246 \h </w:instrText>
            </w:r>
            <w:r w:rsidRPr="00150D95">
              <w:rPr>
                <w:rFonts w:ascii="Arial" w:hAnsi="Arial" w:cs="Arial"/>
                <w:b/>
                <w:bCs/>
                <w:noProof/>
                <w:webHidden/>
                <w:sz w:val="24"/>
                <w:szCs w:val="24"/>
              </w:rPr>
            </w:r>
            <w:r w:rsidRPr="00150D95">
              <w:rPr>
                <w:rFonts w:ascii="Arial" w:hAnsi="Arial" w:cs="Arial"/>
                <w:b/>
                <w:bCs/>
                <w:noProof/>
                <w:webHidden/>
                <w:sz w:val="24"/>
                <w:szCs w:val="24"/>
              </w:rPr>
              <w:fldChar w:fldCharType="separate"/>
            </w:r>
            <w:r w:rsidRPr="00150D95">
              <w:rPr>
                <w:rFonts w:ascii="Arial" w:hAnsi="Arial" w:cs="Arial"/>
                <w:b/>
                <w:bCs/>
                <w:noProof/>
                <w:webHidden/>
                <w:sz w:val="24"/>
                <w:szCs w:val="24"/>
              </w:rPr>
              <w:t>12</w:t>
            </w:r>
            <w:r w:rsidRPr="00150D95">
              <w:rPr>
                <w:rFonts w:ascii="Arial" w:hAnsi="Arial" w:cs="Arial"/>
                <w:b/>
                <w:bCs/>
                <w:noProof/>
                <w:webHidden/>
                <w:sz w:val="24"/>
                <w:szCs w:val="24"/>
              </w:rPr>
              <w:fldChar w:fldCharType="end"/>
            </w:r>
          </w:hyperlink>
        </w:p>
        <w:p w14:paraId="4119D5BA" w14:textId="4EADAE8E" w:rsidR="003D3CBD" w:rsidRPr="00150D95" w:rsidRDefault="003D3CBD" w:rsidP="004F4A97">
          <w:pPr>
            <w:pStyle w:val="TOC2"/>
            <w:tabs>
              <w:tab w:val="right" w:leader="dot" w:pos="9849"/>
            </w:tabs>
            <w:spacing w:line="360" w:lineRule="auto"/>
            <w:jc w:val="left"/>
            <w:rPr>
              <w:rFonts w:ascii="Arial" w:hAnsi="Arial" w:cs="Arial"/>
              <w:b/>
              <w:bCs/>
              <w:noProof/>
              <w:kern w:val="2"/>
              <w:sz w:val="24"/>
              <w:szCs w:val="24"/>
              <w:lang w:val="en-BB" w:eastAsia="en-BB"/>
              <w14:ligatures w14:val="standardContextual"/>
            </w:rPr>
          </w:pPr>
          <w:hyperlink w:anchor="_Toc225450247" w:history="1">
            <w:r w:rsidRPr="00150D95">
              <w:rPr>
                <w:rStyle w:val="Hyperlink"/>
                <w:rFonts w:ascii="Arial" w:hAnsi="Arial" w:cs="Arial"/>
                <w:b/>
                <w:bCs/>
                <w:noProof/>
                <w:sz w:val="24"/>
                <w:szCs w:val="24"/>
              </w:rPr>
              <w:t>Recommended working capital reforms</w:t>
            </w:r>
            <w:r w:rsidRPr="00150D95">
              <w:rPr>
                <w:rFonts w:ascii="Arial" w:hAnsi="Arial" w:cs="Arial"/>
                <w:b/>
                <w:bCs/>
                <w:noProof/>
                <w:webHidden/>
                <w:sz w:val="24"/>
                <w:szCs w:val="24"/>
              </w:rPr>
              <w:tab/>
            </w:r>
            <w:r w:rsidRPr="00150D95">
              <w:rPr>
                <w:rFonts w:ascii="Arial" w:hAnsi="Arial" w:cs="Arial"/>
                <w:b/>
                <w:bCs/>
                <w:noProof/>
                <w:webHidden/>
                <w:sz w:val="24"/>
                <w:szCs w:val="24"/>
              </w:rPr>
              <w:fldChar w:fldCharType="begin"/>
            </w:r>
            <w:r w:rsidRPr="00150D95">
              <w:rPr>
                <w:rFonts w:ascii="Arial" w:hAnsi="Arial" w:cs="Arial"/>
                <w:b/>
                <w:bCs/>
                <w:noProof/>
                <w:webHidden/>
                <w:sz w:val="24"/>
                <w:szCs w:val="24"/>
              </w:rPr>
              <w:instrText xml:space="preserve"> PAGEREF _Toc225450247 \h </w:instrText>
            </w:r>
            <w:r w:rsidRPr="00150D95">
              <w:rPr>
                <w:rFonts w:ascii="Arial" w:hAnsi="Arial" w:cs="Arial"/>
                <w:b/>
                <w:bCs/>
                <w:noProof/>
                <w:webHidden/>
                <w:sz w:val="24"/>
                <w:szCs w:val="24"/>
              </w:rPr>
            </w:r>
            <w:r w:rsidRPr="00150D95">
              <w:rPr>
                <w:rFonts w:ascii="Arial" w:hAnsi="Arial" w:cs="Arial"/>
                <w:b/>
                <w:bCs/>
                <w:noProof/>
                <w:webHidden/>
                <w:sz w:val="24"/>
                <w:szCs w:val="24"/>
              </w:rPr>
              <w:fldChar w:fldCharType="separate"/>
            </w:r>
            <w:r w:rsidRPr="00150D95">
              <w:rPr>
                <w:rFonts w:ascii="Arial" w:hAnsi="Arial" w:cs="Arial"/>
                <w:b/>
                <w:bCs/>
                <w:noProof/>
                <w:webHidden/>
                <w:sz w:val="24"/>
                <w:szCs w:val="24"/>
              </w:rPr>
              <w:t>13</w:t>
            </w:r>
            <w:r w:rsidRPr="00150D95">
              <w:rPr>
                <w:rFonts w:ascii="Arial" w:hAnsi="Arial" w:cs="Arial"/>
                <w:b/>
                <w:bCs/>
                <w:noProof/>
                <w:webHidden/>
                <w:sz w:val="24"/>
                <w:szCs w:val="24"/>
              </w:rPr>
              <w:fldChar w:fldCharType="end"/>
            </w:r>
          </w:hyperlink>
        </w:p>
        <w:p w14:paraId="17291791" w14:textId="594841C0" w:rsidR="003D3CBD" w:rsidRPr="00150D95" w:rsidRDefault="003D3CBD" w:rsidP="004F4A97">
          <w:pPr>
            <w:pStyle w:val="TOC2"/>
            <w:tabs>
              <w:tab w:val="right" w:leader="dot" w:pos="9849"/>
            </w:tabs>
            <w:spacing w:line="360" w:lineRule="auto"/>
            <w:jc w:val="left"/>
            <w:rPr>
              <w:rFonts w:ascii="Arial" w:hAnsi="Arial" w:cs="Arial"/>
              <w:b/>
              <w:bCs/>
              <w:noProof/>
              <w:kern w:val="2"/>
              <w:sz w:val="24"/>
              <w:szCs w:val="24"/>
              <w:lang w:val="en-BB" w:eastAsia="en-BB"/>
              <w14:ligatures w14:val="standardContextual"/>
            </w:rPr>
          </w:pPr>
          <w:hyperlink w:anchor="_Toc225450248" w:history="1">
            <w:r w:rsidRPr="00150D95">
              <w:rPr>
                <w:rStyle w:val="Hyperlink"/>
                <w:rFonts w:ascii="Arial" w:hAnsi="Arial" w:cs="Arial"/>
                <w:b/>
                <w:bCs/>
                <w:noProof/>
                <w:sz w:val="24"/>
                <w:szCs w:val="24"/>
              </w:rPr>
              <w:t>Short-term versus long-term financing choices</w:t>
            </w:r>
            <w:r w:rsidRPr="00150D95">
              <w:rPr>
                <w:rFonts w:ascii="Arial" w:hAnsi="Arial" w:cs="Arial"/>
                <w:b/>
                <w:bCs/>
                <w:noProof/>
                <w:webHidden/>
                <w:sz w:val="24"/>
                <w:szCs w:val="24"/>
              </w:rPr>
              <w:tab/>
            </w:r>
            <w:r w:rsidRPr="00150D95">
              <w:rPr>
                <w:rFonts w:ascii="Arial" w:hAnsi="Arial" w:cs="Arial"/>
                <w:b/>
                <w:bCs/>
                <w:noProof/>
                <w:webHidden/>
                <w:sz w:val="24"/>
                <w:szCs w:val="24"/>
              </w:rPr>
              <w:fldChar w:fldCharType="begin"/>
            </w:r>
            <w:r w:rsidRPr="00150D95">
              <w:rPr>
                <w:rFonts w:ascii="Arial" w:hAnsi="Arial" w:cs="Arial"/>
                <w:b/>
                <w:bCs/>
                <w:noProof/>
                <w:webHidden/>
                <w:sz w:val="24"/>
                <w:szCs w:val="24"/>
              </w:rPr>
              <w:instrText xml:space="preserve"> PAGEREF _Toc225450248 \h </w:instrText>
            </w:r>
            <w:r w:rsidRPr="00150D95">
              <w:rPr>
                <w:rFonts w:ascii="Arial" w:hAnsi="Arial" w:cs="Arial"/>
                <w:b/>
                <w:bCs/>
                <w:noProof/>
                <w:webHidden/>
                <w:sz w:val="24"/>
                <w:szCs w:val="24"/>
              </w:rPr>
            </w:r>
            <w:r w:rsidRPr="00150D95">
              <w:rPr>
                <w:rFonts w:ascii="Arial" w:hAnsi="Arial" w:cs="Arial"/>
                <w:b/>
                <w:bCs/>
                <w:noProof/>
                <w:webHidden/>
                <w:sz w:val="24"/>
                <w:szCs w:val="24"/>
              </w:rPr>
              <w:fldChar w:fldCharType="separate"/>
            </w:r>
            <w:r w:rsidRPr="00150D95">
              <w:rPr>
                <w:rFonts w:ascii="Arial" w:hAnsi="Arial" w:cs="Arial"/>
                <w:b/>
                <w:bCs/>
                <w:noProof/>
                <w:webHidden/>
                <w:sz w:val="24"/>
                <w:szCs w:val="24"/>
              </w:rPr>
              <w:t>14</w:t>
            </w:r>
            <w:r w:rsidRPr="00150D95">
              <w:rPr>
                <w:rFonts w:ascii="Arial" w:hAnsi="Arial" w:cs="Arial"/>
                <w:b/>
                <w:bCs/>
                <w:noProof/>
                <w:webHidden/>
                <w:sz w:val="24"/>
                <w:szCs w:val="24"/>
              </w:rPr>
              <w:fldChar w:fldCharType="end"/>
            </w:r>
          </w:hyperlink>
        </w:p>
        <w:p w14:paraId="1E79C4BC" w14:textId="1AD01949" w:rsidR="003D3CBD" w:rsidRPr="00150D95" w:rsidRDefault="003D3CBD" w:rsidP="004F4A97">
          <w:pPr>
            <w:pStyle w:val="TOC1"/>
            <w:tabs>
              <w:tab w:val="right" w:leader="dot" w:pos="9849"/>
            </w:tabs>
            <w:spacing w:line="360" w:lineRule="auto"/>
            <w:jc w:val="left"/>
            <w:rPr>
              <w:rFonts w:ascii="Arial" w:hAnsi="Arial" w:cs="Arial"/>
              <w:b/>
              <w:bCs/>
              <w:noProof/>
              <w:kern w:val="2"/>
              <w:sz w:val="24"/>
              <w:szCs w:val="24"/>
              <w:lang w:val="en-BB" w:eastAsia="en-BB"/>
              <w14:ligatures w14:val="standardContextual"/>
            </w:rPr>
          </w:pPr>
          <w:hyperlink w:anchor="_Toc225450249" w:history="1">
            <w:r w:rsidRPr="00150D95">
              <w:rPr>
                <w:rStyle w:val="Hyperlink"/>
                <w:rFonts w:ascii="Arial" w:hAnsi="Arial" w:cs="Arial"/>
                <w:b/>
                <w:bCs/>
                <w:noProof/>
                <w:sz w:val="24"/>
                <w:szCs w:val="24"/>
              </w:rPr>
              <w:t>3. Strategic Financial Restructuring Plan</w:t>
            </w:r>
            <w:r w:rsidRPr="00150D95">
              <w:rPr>
                <w:rFonts w:ascii="Arial" w:hAnsi="Arial" w:cs="Arial"/>
                <w:b/>
                <w:bCs/>
                <w:noProof/>
                <w:webHidden/>
                <w:sz w:val="24"/>
                <w:szCs w:val="24"/>
              </w:rPr>
              <w:tab/>
            </w:r>
            <w:r w:rsidRPr="00150D95">
              <w:rPr>
                <w:rFonts w:ascii="Arial" w:hAnsi="Arial" w:cs="Arial"/>
                <w:b/>
                <w:bCs/>
                <w:noProof/>
                <w:webHidden/>
                <w:sz w:val="24"/>
                <w:szCs w:val="24"/>
              </w:rPr>
              <w:fldChar w:fldCharType="begin"/>
            </w:r>
            <w:r w:rsidRPr="00150D95">
              <w:rPr>
                <w:rFonts w:ascii="Arial" w:hAnsi="Arial" w:cs="Arial"/>
                <w:b/>
                <w:bCs/>
                <w:noProof/>
                <w:webHidden/>
                <w:sz w:val="24"/>
                <w:szCs w:val="24"/>
              </w:rPr>
              <w:instrText xml:space="preserve"> PAGEREF _Toc225450249 \h </w:instrText>
            </w:r>
            <w:r w:rsidRPr="00150D95">
              <w:rPr>
                <w:rFonts w:ascii="Arial" w:hAnsi="Arial" w:cs="Arial"/>
                <w:b/>
                <w:bCs/>
                <w:noProof/>
                <w:webHidden/>
                <w:sz w:val="24"/>
                <w:szCs w:val="24"/>
              </w:rPr>
            </w:r>
            <w:r w:rsidRPr="00150D95">
              <w:rPr>
                <w:rFonts w:ascii="Arial" w:hAnsi="Arial" w:cs="Arial"/>
                <w:b/>
                <w:bCs/>
                <w:noProof/>
                <w:webHidden/>
                <w:sz w:val="24"/>
                <w:szCs w:val="24"/>
              </w:rPr>
              <w:fldChar w:fldCharType="separate"/>
            </w:r>
            <w:r w:rsidRPr="00150D95">
              <w:rPr>
                <w:rFonts w:ascii="Arial" w:hAnsi="Arial" w:cs="Arial"/>
                <w:b/>
                <w:bCs/>
                <w:noProof/>
                <w:webHidden/>
                <w:sz w:val="24"/>
                <w:szCs w:val="24"/>
              </w:rPr>
              <w:t>14</w:t>
            </w:r>
            <w:r w:rsidRPr="00150D95">
              <w:rPr>
                <w:rFonts w:ascii="Arial" w:hAnsi="Arial" w:cs="Arial"/>
                <w:b/>
                <w:bCs/>
                <w:noProof/>
                <w:webHidden/>
                <w:sz w:val="24"/>
                <w:szCs w:val="24"/>
              </w:rPr>
              <w:fldChar w:fldCharType="end"/>
            </w:r>
          </w:hyperlink>
        </w:p>
        <w:p w14:paraId="407D1678" w14:textId="4C1E9CF2" w:rsidR="003D3CBD" w:rsidRPr="00150D95" w:rsidRDefault="003D3CBD" w:rsidP="004F4A97">
          <w:pPr>
            <w:pStyle w:val="TOC2"/>
            <w:tabs>
              <w:tab w:val="right" w:leader="dot" w:pos="9849"/>
            </w:tabs>
            <w:spacing w:line="360" w:lineRule="auto"/>
            <w:jc w:val="left"/>
            <w:rPr>
              <w:rFonts w:ascii="Arial" w:hAnsi="Arial" w:cs="Arial"/>
              <w:b/>
              <w:bCs/>
              <w:noProof/>
              <w:kern w:val="2"/>
              <w:sz w:val="24"/>
              <w:szCs w:val="24"/>
              <w:lang w:val="en-BB" w:eastAsia="en-BB"/>
              <w14:ligatures w14:val="standardContextual"/>
            </w:rPr>
          </w:pPr>
          <w:hyperlink w:anchor="_Toc225450250" w:history="1">
            <w:r w:rsidRPr="00150D95">
              <w:rPr>
                <w:rStyle w:val="Hyperlink"/>
                <w:rFonts w:ascii="Arial" w:hAnsi="Arial" w:cs="Arial"/>
                <w:b/>
                <w:bCs/>
                <w:noProof/>
                <w:sz w:val="24"/>
                <w:szCs w:val="24"/>
              </w:rPr>
              <w:t>Restructuring logic</w:t>
            </w:r>
            <w:r w:rsidRPr="00150D95">
              <w:rPr>
                <w:rFonts w:ascii="Arial" w:hAnsi="Arial" w:cs="Arial"/>
                <w:b/>
                <w:bCs/>
                <w:noProof/>
                <w:webHidden/>
                <w:sz w:val="24"/>
                <w:szCs w:val="24"/>
              </w:rPr>
              <w:tab/>
            </w:r>
            <w:r w:rsidRPr="00150D95">
              <w:rPr>
                <w:rFonts w:ascii="Arial" w:hAnsi="Arial" w:cs="Arial"/>
                <w:b/>
                <w:bCs/>
                <w:noProof/>
                <w:webHidden/>
                <w:sz w:val="24"/>
                <w:szCs w:val="24"/>
              </w:rPr>
              <w:fldChar w:fldCharType="begin"/>
            </w:r>
            <w:r w:rsidRPr="00150D95">
              <w:rPr>
                <w:rFonts w:ascii="Arial" w:hAnsi="Arial" w:cs="Arial"/>
                <w:b/>
                <w:bCs/>
                <w:noProof/>
                <w:webHidden/>
                <w:sz w:val="24"/>
                <w:szCs w:val="24"/>
              </w:rPr>
              <w:instrText xml:space="preserve"> PAGEREF _Toc225450250 \h </w:instrText>
            </w:r>
            <w:r w:rsidRPr="00150D95">
              <w:rPr>
                <w:rFonts w:ascii="Arial" w:hAnsi="Arial" w:cs="Arial"/>
                <w:b/>
                <w:bCs/>
                <w:noProof/>
                <w:webHidden/>
                <w:sz w:val="24"/>
                <w:szCs w:val="24"/>
              </w:rPr>
            </w:r>
            <w:r w:rsidRPr="00150D95">
              <w:rPr>
                <w:rFonts w:ascii="Arial" w:hAnsi="Arial" w:cs="Arial"/>
                <w:b/>
                <w:bCs/>
                <w:noProof/>
                <w:webHidden/>
                <w:sz w:val="24"/>
                <w:szCs w:val="24"/>
              </w:rPr>
              <w:fldChar w:fldCharType="separate"/>
            </w:r>
            <w:r w:rsidRPr="00150D95">
              <w:rPr>
                <w:rFonts w:ascii="Arial" w:hAnsi="Arial" w:cs="Arial"/>
                <w:b/>
                <w:bCs/>
                <w:noProof/>
                <w:webHidden/>
                <w:sz w:val="24"/>
                <w:szCs w:val="24"/>
              </w:rPr>
              <w:t>14</w:t>
            </w:r>
            <w:r w:rsidRPr="00150D95">
              <w:rPr>
                <w:rFonts w:ascii="Arial" w:hAnsi="Arial" w:cs="Arial"/>
                <w:b/>
                <w:bCs/>
                <w:noProof/>
                <w:webHidden/>
                <w:sz w:val="24"/>
                <w:szCs w:val="24"/>
              </w:rPr>
              <w:fldChar w:fldCharType="end"/>
            </w:r>
          </w:hyperlink>
        </w:p>
        <w:p w14:paraId="19D3DFF3" w14:textId="08A335DB" w:rsidR="003D3CBD" w:rsidRPr="00150D95" w:rsidRDefault="003D3CBD" w:rsidP="004F4A97">
          <w:pPr>
            <w:pStyle w:val="TOC2"/>
            <w:tabs>
              <w:tab w:val="right" w:leader="dot" w:pos="9849"/>
            </w:tabs>
            <w:spacing w:line="360" w:lineRule="auto"/>
            <w:jc w:val="left"/>
            <w:rPr>
              <w:rFonts w:ascii="Arial" w:hAnsi="Arial" w:cs="Arial"/>
              <w:b/>
              <w:bCs/>
              <w:noProof/>
              <w:kern w:val="2"/>
              <w:sz w:val="24"/>
              <w:szCs w:val="24"/>
              <w:lang w:val="en-BB" w:eastAsia="en-BB"/>
              <w14:ligatures w14:val="standardContextual"/>
            </w:rPr>
          </w:pPr>
          <w:hyperlink w:anchor="_Toc225450251" w:history="1">
            <w:r w:rsidRPr="00150D95">
              <w:rPr>
                <w:rStyle w:val="Hyperlink"/>
                <w:rFonts w:ascii="Arial" w:hAnsi="Arial" w:cs="Arial"/>
                <w:b/>
                <w:bCs/>
                <w:noProof/>
                <w:sz w:val="24"/>
                <w:szCs w:val="24"/>
              </w:rPr>
              <w:t>Cost restructuring and operational reset</w:t>
            </w:r>
            <w:r w:rsidRPr="00150D95">
              <w:rPr>
                <w:rFonts w:ascii="Arial" w:hAnsi="Arial" w:cs="Arial"/>
                <w:b/>
                <w:bCs/>
                <w:noProof/>
                <w:webHidden/>
                <w:sz w:val="24"/>
                <w:szCs w:val="24"/>
              </w:rPr>
              <w:tab/>
            </w:r>
            <w:r w:rsidRPr="00150D95">
              <w:rPr>
                <w:rFonts w:ascii="Arial" w:hAnsi="Arial" w:cs="Arial"/>
                <w:b/>
                <w:bCs/>
                <w:noProof/>
                <w:webHidden/>
                <w:sz w:val="24"/>
                <w:szCs w:val="24"/>
              </w:rPr>
              <w:fldChar w:fldCharType="begin"/>
            </w:r>
            <w:r w:rsidRPr="00150D95">
              <w:rPr>
                <w:rFonts w:ascii="Arial" w:hAnsi="Arial" w:cs="Arial"/>
                <w:b/>
                <w:bCs/>
                <w:noProof/>
                <w:webHidden/>
                <w:sz w:val="24"/>
                <w:szCs w:val="24"/>
              </w:rPr>
              <w:instrText xml:space="preserve"> PAGEREF _Toc225450251 \h </w:instrText>
            </w:r>
            <w:r w:rsidRPr="00150D95">
              <w:rPr>
                <w:rFonts w:ascii="Arial" w:hAnsi="Arial" w:cs="Arial"/>
                <w:b/>
                <w:bCs/>
                <w:noProof/>
                <w:webHidden/>
                <w:sz w:val="24"/>
                <w:szCs w:val="24"/>
              </w:rPr>
            </w:r>
            <w:r w:rsidRPr="00150D95">
              <w:rPr>
                <w:rFonts w:ascii="Arial" w:hAnsi="Arial" w:cs="Arial"/>
                <w:b/>
                <w:bCs/>
                <w:noProof/>
                <w:webHidden/>
                <w:sz w:val="24"/>
                <w:szCs w:val="24"/>
              </w:rPr>
              <w:fldChar w:fldCharType="separate"/>
            </w:r>
            <w:r w:rsidRPr="00150D95">
              <w:rPr>
                <w:rFonts w:ascii="Arial" w:hAnsi="Arial" w:cs="Arial"/>
                <w:b/>
                <w:bCs/>
                <w:noProof/>
                <w:webHidden/>
                <w:sz w:val="24"/>
                <w:szCs w:val="24"/>
              </w:rPr>
              <w:t>15</w:t>
            </w:r>
            <w:r w:rsidRPr="00150D95">
              <w:rPr>
                <w:rFonts w:ascii="Arial" w:hAnsi="Arial" w:cs="Arial"/>
                <w:b/>
                <w:bCs/>
                <w:noProof/>
                <w:webHidden/>
                <w:sz w:val="24"/>
                <w:szCs w:val="24"/>
              </w:rPr>
              <w:fldChar w:fldCharType="end"/>
            </w:r>
          </w:hyperlink>
        </w:p>
        <w:p w14:paraId="70432565" w14:textId="0F0548A6" w:rsidR="003D3CBD" w:rsidRPr="00150D95" w:rsidRDefault="003D3CBD" w:rsidP="004F4A97">
          <w:pPr>
            <w:pStyle w:val="TOC2"/>
            <w:tabs>
              <w:tab w:val="right" w:leader="dot" w:pos="9849"/>
            </w:tabs>
            <w:spacing w:line="360" w:lineRule="auto"/>
            <w:jc w:val="left"/>
            <w:rPr>
              <w:rFonts w:ascii="Arial" w:hAnsi="Arial" w:cs="Arial"/>
              <w:b/>
              <w:bCs/>
              <w:noProof/>
              <w:kern w:val="2"/>
              <w:sz w:val="24"/>
              <w:szCs w:val="24"/>
              <w:lang w:val="en-BB" w:eastAsia="en-BB"/>
              <w14:ligatures w14:val="standardContextual"/>
            </w:rPr>
          </w:pPr>
          <w:hyperlink w:anchor="_Toc225450252" w:history="1">
            <w:r w:rsidRPr="00150D95">
              <w:rPr>
                <w:rStyle w:val="Hyperlink"/>
                <w:rFonts w:ascii="Arial" w:hAnsi="Arial" w:cs="Arial"/>
                <w:b/>
                <w:bCs/>
                <w:noProof/>
                <w:sz w:val="24"/>
                <w:szCs w:val="24"/>
              </w:rPr>
              <w:t>Portfolio reallocation rather than indiscriminate expansion</w:t>
            </w:r>
            <w:r w:rsidRPr="00150D95">
              <w:rPr>
                <w:rFonts w:ascii="Arial" w:hAnsi="Arial" w:cs="Arial"/>
                <w:b/>
                <w:bCs/>
                <w:noProof/>
                <w:webHidden/>
                <w:sz w:val="24"/>
                <w:szCs w:val="24"/>
              </w:rPr>
              <w:tab/>
            </w:r>
            <w:r w:rsidRPr="00150D95">
              <w:rPr>
                <w:rFonts w:ascii="Arial" w:hAnsi="Arial" w:cs="Arial"/>
                <w:b/>
                <w:bCs/>
                <w:noProof/>
                <w:webHidden/>
                <w:sz w:val="24"/>
                <w:szCs w:val="24"/>
              </w:rPr>
              <w:fldChar w:fldCharType="begin"/>
            </w:r>
            <w:r w:rsidRPr="00150D95">
              <w:rPr>
                <w:rFonts w:ascii="Arial" w:hAnsi="Arial" w:cs="Arial"/>
                <w:b/>
                <w:bCs/>
                <w:noProof/>
                <w:webHidden/>
                <w:sz w:val="24"/>
                <w:szCs w:val="24"/>
              </w:rPr>
              <w:instrText xml:space="preserve"> PAGEREF _Toc225450252 \h </w:instrText>
            </w:r>
            <w:r w:rsidRPr="00150D95">
              <w:rPr>
                <w:rFonts w:ascii="Arial" w:hAnsi="Arial" w:cs="Arial"/>
                <w:b/>
                <w:bCs/>
                <w:noProof/>
                <w:webHidden/>
                <w:sz w:val="24"/>
                <w:szCs w:val="24"/>
              </w:rPr>
            </w:r>
            <w:r w:rsidRPr="00150D95">
              <w:rPr>
                <w:rFonts w:ascii="Arial" w:hAnsi="Arial" w:cs="Arial"/>
                <w:b/>
                <w:bCs/>
                <w:noProof/>
                <w:webHidden/>
                <w:sz w:val="24"/>
                <w:szCs w:val="24"/>
              </w:rPr>
              <w:fldChar w:fldCharType="separate"/>
            </w:r>
            <w:r w:rsidRPr="00150D95">
              <w:rPr>
                <w:rFonts w:ascii="Arial" w:hAnsi="Arial" w:cs="Arial"/>
                <w:b/>
                <w:bCs/>
                <w:noProof/>
                <w:webHidden/>
                <w:sz w:val="24"/>
                <w:szCs w:val="24"/>
              </w:rPr>
              <w:t>15</w:t>
            </w:r>
            <w:r w:rsidRPr="00150D95">
              <w:rPr>
                <w:rFonts w:ascii="Arial" w:hAnsi="Arial" w:cs="Arial"/>
                <w:b/>
                <w:bCs/>
                <w:noProof/>
                <w:webHidden/>
                <w:sz w:val="24"/>
                <w:szCs w:val="24"/>
              </w:rPr>
              <w:fldChar w:fldCharType="end"/>
            </w:r>
          </w:hyperlink>
        </w:p>
        <w:p w14:paraId="5AFE95C4" w14:textId="778B9B52" w:rsidR="003D3CBD" w:rsidRPr="00150D95" w:rsidRDefault="003D3CBD" w:rsidP="004F4A97">
          <w:pPr>
            <w:pStyle w:val="TOC2"/>
            <w:tabs>
              <w:tab w:val="right" w:leader="dot" w:pos="9849"/>
            </w:tabs>
            <w:spacing w:line="360" w:lineRule="auto"/>
            <w:jc w:val="left"/>
            <w:rPr>
              <w:rFonts w:ascii="Arial" w:hAnsi="Arial" w:cs="Arial"/>
              <w:b/>
              <w:bCs/>
              <w:noProof/>
              <w:kern w:val="2"/>
              <w:sz w:val="24"/>
              <w:szCs w:val="24"/>
              <w:lang w:val="en-BB" w:eastAsia="en-BB"/>
              <w14:ligatures w14:val="standardContextual"/>
            </w:rPr>
          </w:pPr>
          <w:hyperlink w:anchor="_Toc225450253" w:history="1">
            <w:r w:rsidRPr="00150D95">
              <w:rPr>
                <w:rStyle w:val="Hyperlink"/>
                <w:rFonts w:ascii="Arial" w:hAnsi="Arial" w:cs="Arial"/>
                <w:b/>
                <w:bCs/>
                <w:noProof/>
                <w:sz w:val="24"/>
                <w:szCs w:val="24"/>
              </w:rPr>
              <w:t>Capital structure and shareholder value</w:t>
            </w:r>
            <w:r w:rsidRPr="00150D95">
              <w:rPr>
                <w:rFonts w:ascii="Arial" w:hAnsi="Arial" w:cs="Arial"/>
                <w:b/>
                <w:bCs/>
                <w:noProof/>
                <w:webHidden/>
                <w:sz w:val="24"/>
                <w:szCs w:val="24"/>
              </w:rPr>
              <w:tab/>
            </w:r>
            <w:r w:rsidRPr="00150D95">
              <w:rPr>
                <w:rFonts w:ascii="Arial" w:hAnsi="Arial" w:cs="Arial"/>
                <w:b/>
                <w:bCs/>
                <w:noProof/>
                <w:webHidden/>
                <w:sz w:val="24"/>
                <w:szCs w:val="24"/>
              </w:rPr>
              <w:fldChar w:fldCharType="begin"/>
            </w:r>
            <w:r w:rsidRPr="00150D95">
              <w:rPr>
                <w:rFonts w:ascii="Arial" w:hAnsi="Arial" w:cs="Arial"/>
                <w:b/>
                <w:bCs/>
                <w:noProof/>
                <w:webHidden/>
                <w:sz w:val="24"/>
                <w:szCs w:val="24"/>
              </w:rPr>
              <w:instrText xml:space="preserve"> PAGEREF _Toc225450253 \h </w:instrText>
            </w:r>
            <w:r w:rsidRPr="00150D95">
              <w:rPr>
                <w:rFonts w:ascii="Arial" w:hAnsi="Arial" w:cs="Arial"/>
                <w:b/>
                <w:bCs/>
                <w:noProof/>
                <w:webHidden/>
                <w:sz w:val="24"/>
                <w:szCs w:val="24"/>
              </w:rPr>
            </w:r>
            <w:r w:rsidRPr="00150D95">
              <w:rPr>
                <w:rFonts w:ascii="Arial" w:hAnsi="Arial" w:cs="Arial"/>
                <w:b/>
                <w:bCs/>
                <w:noProof/>
                <w:webHidden/>
                <w:sz w:val="24"/>
                <w:szCs w:val="24"/>
              </w:rPr>
              <w:fldChar w:fldCharType="separate"/>
            </w:r>
            <w:r w:rsidRPr="00150D95">
              <w:rPr>
                <w:rFonts w:ascii="Arial" w:hAnsi="Arial" w:cs="Arial"/>
                <w:b/>
                <w:bCs/>
                <w:noProof/>
                <w:webHidden/>
                <w:sz w:val="24"/>
                <w:szCs w:val="24"/>
              </w:rPr>
              <w:t>16</w:t>
            </w:r>
            <w:r w:rsidRPr="00150D95">
              <w:rPr>
                <w:rFonts w:ascii="Arial" w:hAnsi="Arial" w:cs="Arial"/>
                <w:b/>
                <w:bCs/>
                <w:noProof/>
                <w:webHidden/>
                <w:sz w:val="24"/>
                <w:szCs w:val="24"/>
              </w:rPr>
              <w:fldChar w:fldCharType="end"/>
            </w:r>
          </w:hyperlink>
        </w:p>
        <w:p w14:paraId="73C466A1" w14:textId="47A5D59F" w:rsidR="003D3CBD" w:rsidRPr="00150D95" w:rsidRDefault="003D3CBD" w:rsidP="004F4A97">
          <w:pPr>
            <w:pStyle w:val="TOC2"/>
            <w:tabs>
              <w:tab w:val="right" w:leader="dot" w:pos="9849"/>
            </w:tabs>
            <w:spacing w:line="360" w:lineRule="auto"/>
            <w:jc w:val="left"/>
            <w:rPr>
              <w:rFonts w:ascii="Arial" w:hAnsi="Arial" w:cs="Arial"/>
              <w:b/>
              <w:bCs/>
              <w:noProof/>
              <w:kern w:val="2"/>
              <w:sz w:val="24"/>
              <w:szCs w:val="24"/>
              <w:lang w:val="en-BB" w:eastAsia="en-BB"/>
              <w14:ligatures w14:val="standardContextual"/>
            </w:rPr>
          </w:pPr>
          <w:hyperlink w:anchor="_Toc225450254" w:history="1">
            <w:r w:rsidRPr="00150D95">
              <w:rPr>
                <w:rStyle w:val="Hyperlink"/>
                <w:rFonts w:ascii="Arial" w:hAnsi="Arial" w:cs="Arial"/>
                <w:b/>
                <w:bCs/>
                <w:noProof/>
                <w:sz w:val="24"/>
                <w:szCs w:val="24"/>
              </w:rPr>
              <w:t>International financial considerations</w:t>
            </w:r>
            <w:r w:rsidRPr="00150D95">
              <w:rPr>
                <w:rFonts w:ascii="Arial" w:hAnsi="Arial" w:cs="Arial"/>
                <w:b/>
                <w:bCs/>
                <w:noProof/>
                <w:webHidden/>
                <w:sz w:val="24"/>
                <w:szCs w:val="24"/>
              </w:rPr>
              <w:tab/>
            </w:r>
            <w:r w:rsidRPr="00150D95">
              <w:rPr>
                <w:rFonts w:ascii="Arial" w:hAnsi="Arial" w:cs="Arial"/>
                <w:b/>
                <w:bCs/>
                <w:noProof/>
                <w:webHidden/>
                <w:sz w:val="24"/>
                <w:szCs w:val="24"/>
              </w:rPr>
              <w:fldChar w:fldCharType="begin"/>
            </w:r>
            <w:r w:rsidRPr="00150D95">
              <w:rPr>
                <w:rFonts w:ascii="Arial" w:hAnsi="Arial" w:cs="Arial"/>
                <w:b/>
                <w:bCs/>
                <w:noProof/>
                <w:webHidden/>
                <w:sz w:val="24"/>
                <w:szCs w:val="24"/>
              </w:rPr>
              <w:instrText xml:space="preserve"> PAGEREF _Toc225450254 \h </w:instrText>
            </w:r>
            <w:r w:rsidRPr="00150D95">
              <w:rPr>
                <w:rFonts w:ascii="Arial" w:hAnsi="Arial" w:cs="Arial"/>
                <w:b/>
                <w:bCs/>
                <w:noProof/>
                <w:webHidden/>
                <w:sz w:val="24"/>
                <w:szCs w:val="24"/>
              </w:rPr>
            </w:r>
            <w:r w:rsidRPr="00150D95">
              <w:rPr>
                <w:rFonts w:ascii="Arial" w:hAnsi="Arial" w:cs="Arial"/>
                <w:b/>
                <w:bCs/>
                <w:noProof/>
                <w:webHidden/>
                <w:sz w:val="24"/>
                <w:szCs w:val="24"/>
              </w:rPr>
              <w:fldChar w:fldCharType="separate"/>
            </w:r>
            <w:r w:rsidRPr="00150D95">
              <w:rPr>
                <w:rFonts w:ascii="Arial" w:hAnsi="Arial" w:cs="Arial"/>
                <w:b/>
                <w:bCs/>
                <w:noProof/>
                <w:webHidden/>
                <w:sz w:val="24"/>
                <w:szCs w:val="24"/>
              </w:rPr>
              <w:t>16</w:t>
            </w:r>
            <w:r w:rsidRPr="00150D95">
              <w:rPr>
                <w:rFonts w:ascii="Arial" w:hAnsi="Arial" w:cs="Arial"/>
                <w:b/>
                <w:bCs/>
                <w:noProof/>
                <w:webHidden/>
                <w:sz w:val="24"/>
                <w:szCs w:val="24"/>
              </w:rPr>
              <w:fldChar w:fldCharType="end"/>
            </w:r>
          </w:hyperlink>
        </w:p>
        <w:p w14:paraId="50A213F1" w14:textId="0693B95A" w:rsidR="003D3CBD" w:rsidRPr="00150D95" w:rsidRDefault="003D3CBD" w:rsidP="004F4A97">
          <w:pPr>
            <w:pStyle w:val="TOC2"/>
            <w:tabs>
              <w:tab w:val="right" w:leader="dot" w:pos="9849"/>
            </w:tabs>
            <w:spacing w:line="360" w:lineRule="auto"/>
            <w:jc w:val="left"/>
            <w:rPr>
              <w:rFonts w:ascii="Arial" w:hAnsi="Arial" w:cs="Arial"/>
              <w:b/>
              <w:bCs/>
              <w:noProof/>
              <w:kern w:val="2"/>
              <w:sz w:val="24"/>
              <w:szCs w:val="24"/>
              <w:lang w:val="en-BB" w:eastAsia="en-BB"/>
              <w14:ligatures w14:val="standardContextual"/>
            </w:rPr>
          </w:pPr>
          <w:hyperlink w:anchor="_Toc225450255" w:history="1">
            <w:r w:rsidRPr="00150D95">
              <w:rPr>
                <w:rStyle w:val="Hyperlink"/>
                <w:rFonts w:ascii="Arial" w:hAnsi="Arial" w:cs="Arial"/>
                <w:b/>
                <w:bCs/>
                <w:noProof/>
                <w:sz w:val="24"/>
                <w:szCs w:val="24"/>
              </w:rPr>
              <w:t>Ethical, CSR and ESG considerations</w:t>
            </w:r>
            <w:r w:rsidRPr="00150D95">
              <w:rPr>
                <w:rFonts w:ascii="Arial" w:hAnsi="Arial" w:cs="Arial"/>
                <w:b/>
                <w:bCs/>
                <w:noProof/>
                <w:webHidden/>
                <w:sz w:val="24"/>
                <w:szCs w:val="24"/>
              </w:rPr>
              <w:tab/>
            </w:r>
            <w:r w:rsidRPr="00150D95">
              <w:rPr>
                <w:rFonts w:ascii="Arial" w:hAnsi="Arial" w:cs="Arial"/>
                <w:b/>
                <w:bCs/>
                <w:noProof/>
                <w:webHidden/>
                <w:sz w:val="24"/>
                <w:szCs w:val="24"/>
              </w:rPr>
              <w:fldChar w:fldCharType="begin"/>
            </w:r>
            <w:r w:rsidRPr="00150D95">
              <w:rPr>
                <w:rFonts w:ascii="Arial" w:hAnsi="Arial" w:cs="Arial"/>
                <w:b/>
                <w:bCs/>
                <w:noProof/>
                <w:webHidden/>
                <w:sz w:val="24"/>
                <w:szCs w:val="24"/>
              </w:rPr>
              <w:instrText xml:space="preserve"> PAGEREF _Toc225450255 \h </w:instrText>
            </w:r>
            <w:r w:rsidRPr="00150D95">
              <w:rPr>
                <w:rFonts w:ascii="Arial" w:hAnsi="Arial" w:cs="Arial"/>
                <w:b/>
                <w:bCs/>
                <w:noProof/>
                <w:webHidden/>
                <w:sz w:val="24"/>
                <w:szCs w:val="24"/>
              </w:rPr>
            </w:r>
            <w:r w:rsidRPr="00150D95">
              <w:rPr>
                <w:rFonts w:ascii="Arial" w:hAnsi="Arial" w:cs="Arial"/>
                <w:b/>
                <w:bCs/>
                <w:noProof/>
                <w:webHidden/>
                <w:sz w:val="24"/>
                <w:szCs w:val="24"/>
              </w:rPr>
              <w:fldChar w:fldCharType="separate"/>
            </w:r>
            <w:r w:rsidRPr="00150D95">
              <w:rPr>
                <w:rFonts w:ascii="Arial" w:hAnsi="Arial" w:cs="Arial"/>
                <w:b/>
                <w:bCs/>
                <w:noProof/>
                <w:webHidden/>
                <w:sz w:val="24"/>
                <w:szCs w:val="24"/>
              </w:rPr>
              <w:t>17</w:t>
            </w:r>
            <w:r w:rsidRPr="00150D95">
              <w:rPr>
                <w:rFonts w:ascii="Arial" w:hAnsi="Arial" w:cs="Arial"/>
                <w:b/>
                <w:bCs/>
                <w:noProof/>
                <w:webHidden/>
                <w:sz w:val="24"/>
                <w:szCs w:val="24"/>
              </w:rPr>
              <w:fldChar w:fldCharType="end"/>
            </w:r>
          </w:hyperlink>
        </w:p>
        <w:p w14:paraId="74E3DC4A" w14:textId="1487DA58" w:rsidR="003D3CBD" w:rsidRPr="00150D95" w:rsidRDefault="003D3CBD" w:rsidP="004F4A97">
          <w:pPr>
            <w:pStyle w:val="TOC2"/>
            <w:tabs>
              <w:tab w:val="right" w:leader="dot" w:pos="9849"/>
            </w:tabs>
            <w:spacing w:line="360" w:lineRule="auto"/>
            <w:jc w:val="left"/>
            <w:rPr>
              <w:rFonts w:ascii="Arial" w:hAnsi="Arial" w:cs="Arial"/>
              <w:b/>
              <w:bCs/>
              <w:noProof/>
              <w:kern w:val="2"/>
              <w:sz w:val="24"/>
              <w:szCs w:val="24"/>
              <w:lang w:val="en-BB" w:eastAsia="en-BB"/>
              <w14:ligatures w14:val="standardContextual"/>
            </w:rPr>
          </w:pPr>
          <w:hyperlink w:anchor="_Toc225450256" w:history="1">
            <w:r w:rsidRPr="00150D95">
              <w:rPr>
                <w:rStyle w:val="Hyperlink"/>
                <w:rFonts w:ascii="Arial" w:hAnsi="Arial" w:cs="Arial"/>
                <w:b/>
                <w:bCs/>
                <w:noProof/>
                <w:sz w:val="24"/>
                <w:szCs w:val="24"/>
              </w:rPr>
              <w:t>Recommended restructuring package</w:t>
            </w:r>
            <w:r w:rsidRPr="00150D95">
              <w:rPr>
                <w:rFonts w:ascii="Arial" w:hAnsi="Arial" w:cs="Arial"/>
                <w:b/>
                <w:bCs/>
                <w:noProof/>
                <w:webHidden/>
                <w:sz w:val="24"/>
                <w:szCs w:val="24"/>
              </w:rPr>
              <w:tab/>
            </w:r>
            <w:r w:rsidRPr="00150D95">
              <w:rPr>
                <w:rFonts w:ascii="Arial" w:hAnsi="Arial" w:cs="Arial"/>
                <w:b/>
                <w:bCs/>
                <w:noProof/>
                <w:webHidden/>
                <w:sz w:val="24"/>
                <w:szCs w:val="24"/>
              </w:rPr>
              <w:fldChar w:fldCharType="begin"/>
            </w:r>
            <w:r w:rsidRPr="00150D95">
              <w:rPr>
                <w:rFonts w:ascii="Arial" w:hAnsi="Arial" w:cs="Arial"/>
                <w:b/>
                <w:bCs/>
                <w:noProof/>
                <w:webHidden/>
                <w:sz w:val="24"/>
                <w:szCs w:val="24"/>
              </w:rPr>
              <w:instrText xml:space="preserve"> PAGEREF _Toc225450256 \h </w:instrText>
            </w:r>
            <w:r w:rsidRPr="00150D95">
              <w:rPr>
                <w:rFonts w:ascii="Arial" w:hAnsi="Arial" w:cs="Arial"/>
                <w:b/>
                <w:bCs/>
                <w:noProof/>
                <w:webHidden/>
                <w:sz w:val="24"/>
                <w:szCs w:val="24"/>
              </w:rPr>
            </w:r>
            <w:r w:rsidRPr="00150D95">
              <w:rPr>
                <w:rFonts w:ascii="Arial" w:hAnsi="Arial" w:cs="Arial"/>
                <w:b/>
                <w:bCs/>
                <w:noProof/>
                <w:webHidden/>
                <w:sz w:val="24"/>
                <w:szCs w:val="24"/>
              </w:rPr>
              <w:fldChar w:fldCharType="separate"/>
            </w:r>
            <w:r w:rsidRPr="00150D95">
              <w:rPr>
                <w:rFonts w:ascii="Arial" w:hAnsi="Arial" w:cs="Arial"/>
                <w:b/>
                <w:bCs/>
                <w:noProof/>
                <w:webHidden/>
                <w:sz w:val="24"/>
                <w:szCs w:val="24"/>
              </w:rPr>
              <w:t>17</w:t>
            </w:r>
            <w:r w:rsidRPr="00150D95">
              <w:rPr>
                <w:rFonts w:ascii="Arial" w:hAnsi="Arial" w:cs="Arial"/>
                <w:b/>
                <w:bCs/>
                <w:noProof/>
                <w:webHidden/>
                <w:sz w:val="24"/>
                <w:szCs w:val="24"/>
              </w:rPr>
              <w:fldChar w:fldCharType="end"/>
            </w:r>
          </w:hyperlink>
        </w:p>
        <w:p w14:paraId="6486F79F" w14:textId="5D99B3A7" w:rsidR="003D3CBD" w:rsidRPr="00150D95" w:rsidRDefault="003D3CBD" w:rsidP="004F4A97">
          <w:pPr>
            <w:pStyle w:val="TOC1"/>
            <w:tabs>
              <w:tab w:val="right" w:leader="dot" w:pos="9849"/>
            </w:tabs>
            <w:spacing w:line="360" w:lineRule="auto"/>
            <w:jc w:val="left"/>
            <w:rPr>
              <w:rFonts w:ascii="Arial" w:hAnsi="Arial" w:cs="Arial"/>
              <w:b/>
              <w:bCs/>
              <w:noProof/>
              <w:kern w:val="2"/>
              <w:sz w:val="24"/>
              <w:szCs w:val="24"/>
              <w:lang w:val="en-BB" w:eastAsia="en-BB"/>
              <w14:ligatures w14:val="standardContextual"/>
            </w:rPr>
          </w:pPr>
          <w:hyperlink w:anchor="_Toc225450257" w:history="1">
            <w:r w:rsidRPr="00150D95">
              <w:rPr>
                <w:rStyle w:val="Hyperlink"/>
                <w:rFonts w:ascii="Arial" w:hAnsi="Arial" w:cs="Arial"/>
                <w:b/>
                <w:bCs/>
                <w:noProof/>
                <w:sz w:val="24"/>
                <w:szCs w:val="24"/>
              </w:rPr>
              <w:t>4. Investment Appraisal and Capital Budgeting</w:t>
            </w:r>
            <w:r w:rsidRPr="00150D95">
              <w:rPr>
                <w:rFonts w:ascii="Arial" w:hAnsi="Arial" w:cs="Arial"/>
                <w:b/>
                <w:bCs/>
                <w:noProof/>
                <w:webHidden/>
                <w:sz w:val="24"/>
                <w:szCs w:val="24"/>
              </w:rPr>
              <w:tab/>
            </w:r>
            <w:r w:rsidRPr="00150D95">
              <w:rPr>
                <w:rFonts w:ascii="Arial" w:hAnsi="Arial" w:cs="Arial"/>
                <w:b/>
                <w:bCs/>
                <w:noProof/>
                <w:webHidden/>
                <w:sz w:val="24"/>
                <w:szCs w:val="24"/>
              </w:rPr>
              <w:fldChar w:fldCharType="begin"/>
            </w:r>
            <w:r w:rsidRPr="00150D95">
              <w:rPr>
                <w:rFonts w:ascii="Arial" w:hAnsi="Arial" w:cs="Arial"/>
                <w:b/>
                <w:bCs/>
                <w:noProof/>
                <w:webHidden/>
                <w:sz w:val="24"/>
                <w:szCs w:val="24"/>
              </w:rPr>
              <w:instrText xml:space="preserve"> PAGEREF _Toc225450257 \h </w:instrText>
            </w:r>
            <w:r w:rsidRPr="00150D95">
              <w:rPr>
                <w:rFonts w:ascii="Arial" w:hAnsi="Arial" w:cs="Arial"/>
                <w:b/>
                <w:bCs/>
                <w:noProof/>
                <w:webHidden/>
                <w:sz w:val="24"/>
                <w:szCs w:val="24"/>
              </w:rPr>
            </w:r>
            <w:r w:rsidRPr="00150D95">
              <w:rPr>
                <w:rFonts w:ascii="Arial" w:hAnsi="Arial" w:cs="Arial"/>
                <w:b/>
                <w:bCs/>
                <w:noProof/>
                <w:webHidden/>
                <w:sz w:val="24"/>
                <w:szCs w:val="24"/>
              </w:rPr>
              <w:fldChar w:fldCharType="separate"/>
            </w:r>
            <w:r w:rsidRPr="00150D95">
              <w:rPr>
                <w:rFonts w:ascii="Arial" w:hAnsi="Arial" w:cs="Arial"/>
                <w:b/>
                <w:bCs/>
                <w:noProof/>
                <w:webHidden/>
                <w:sz w:val="24"/>
                <w:szCs w:val="24"/>
              </w:rPr>
              <w:t>18</w:t>
            </w:r>
            <w:r w:rsidRPr="00150D95">
              <w:rPr>
                <w:rFonts w:ascii="Arial" w:hAnsi="Arial" w:cs="Arial"/>
                <w:b/>
                <w:bCs/>
                <w:noProof/>
                <w:webHidden/>
                <w:sz w:val="24"/>
                <w:szCs w:val="24"/>
              </w:rPr>
              <w:fldChar w:fldCharType="end"/>
            </w:r>
          </w:hyperlink>
        </w:p>
        <w:p w14:paraId="28D6689A" w14:textId="1B0E36DE" w:rsidR="003D3CBD" w:rsidRPr="00150D95" w:rsidRDefault="003D3CBD" w:rsidP="004F4A97">
          <w:pPr>
            <w:pStyle w:val="TOC2"/>
            <w:tabs>
              <w:tab w:val="right" w:leader="dot" w:pos="9849"/>
            </w:tabs>
            <w:spacing w:line="360" w:lineRule="auto"/>
            <w:jc w:val="left"/>
            <w:rPr>
              <w:rFonts w:ascii="Arial" w:hAnsi="Arial" w:cs="Arial"/>
              <w:b/>
              <w:bCs/>
              <w:noProof/>
              <w:kern w:val="2"/>
              <w:sz w:val="24"/>
              <w:szCs w:val="24"/>
              <w:lang w:val="en-BB" w:eastAsia="en-BB"/>
              <w14:ligatures w14:val="standardContextual"/>
            </w:rPr>
          </w:pPr>
          <w:hyperlink w:anchor="_Toc225450258" w:history="1">
            <w:r w:rsidRPr="00150D95">
              <w:rPr>
                <w:rStyle w:val="Hyperlink"/>
                <w:rFonts w:ascii="Arial" w:hAnsi="Arial" w:cs="Arial"/>
                <w:b/>
                <w:bCs/>
                <w:noProof/>
                <w:sz w:val="24"/>
                <w:szCs w:val="24"/>
              </w:rPr>
              <w:t>Appraisal framework</w:t>
            </w:r>
            <w:r w:rsidRPr="00150D95">
              <w:rPr>
                <w:rFonts w:ascii="Arial" w:hAnsi="Arial" w:cs="Arial"/>
                <w:b/>
                <w:bCs/>
                <w:noProof/>
                <w:webHidden/>
                <w:sz w:val="24"/>
                <w:szCs w:val="24"/>
              </w:rPr>
              <w:tab/>
            </w:r>
            <w:r w:rsidRPr="00150D95">
              <w:rPr>
                <w:rFonts w:ascii="Arial" w:hAnsi="Arial" w:cs="Arial"/>
                <w:b/>
                <w:bCs/>
                <w:noProof/>
                <w:webHidden/>
                <w:sz w:val="24"/>
                <w:szCs w:val="24"/>
              </w:rPr>
              <w:fldChar w:fldCharType="begin"/>
            </w:r>
            <w:r w:rsidRPr="00150D95">
              <w:rPr>
                <w:rFonts w:ascii="Arial" w:hAnsi="Arial" w:cs="Arial"/>
                <w:b/>
                <w:bCs/>
                <w:noProof/>
                <w:webHidden/>
                <w:sz w:val="24"/>
                <w:szCs w:val="24"/>
              </w:rPr>
              <w:instrText xml:space="preserve"> PAGEREF _Toc225450258 \h </w:instrText>
            </w:r>
            <w:r w:rsidRPr="00150D95">
              <w:rPr>
                <w:rFonts w:ascii="Arial" w:hAnsi="Arial" w:cs="Arial"/>
                <w:b/>
                <w:bCs/>
                <w:noProof/>
                <w:webHidden/>
                <w:sz w:val="24"/>
                <w:szCs w:val="24"/>
              </w:rPr>
            </w:r>
            <w:r w:rsidRPr="00150D95">
              <w:rPr>
                <w:rFonts w:ascii="Arial" w:hAnsi="Arial" w:cs="Arial"/>
                <w:b/>
                <w:bCs/>
                <w:noProof/>
                <w:webHidden/>
                <w:sz w:val="24"/>
                <w:szCs w:val="24"/>
              </w:rPr>
              <w:fldChar w:fldCharType="separate"/>
            </w:r>
            <w:r w:rsidRPr="00150D95">
              <w:rPr>
                <w:rFonts w:ascii="Arial" w:hAnsi="Arial" w:cs="Arial"/>
                <w:b/>
                <w:bCs/>
                <w:noProof/>
                <w:webHidden/>
                <w:sz w:val="24"/>
                <w:szCs w:val="24"/>
              </w:rPr>
              <w:t>18</w:t>
            </w:r>
            <w:r w:rsidRPr="00150D95">
              <w:rPr>
                <w:rFonts w:ascii="Arial" w:hAnsi="Arial" w:cs="Arial"/>
                <w:b/>
                <w:bCs/>
                <w:noProof/>
                <w:webHidden/>
                <w:sz w:val="24"/>
                <w:szCs w:val="24"/>
              </w:rPr>
              <w:fldChar w:fldCharType="end"/>
            </w:r>
          </w:hyperlink>
        </w:p>
        <w:p w14:paraId="4477AD9E" w14:textId="545E9280" w:rsidR="003D3CBD" w:rsidRPr="00150D95" w:rsidRDefault="003D3CBD" w:rsidP="004F4A97">
          <w:pPr>
            <w:pStyle w:val="TOC3"/>
            <w:tabs>
              <w:tab w:val="right" w:leader="dot" w:pos="9849"/>
            </w:tabs>
            <w:spacing w:line="360" w:lineRule="auto"/>
            <w:jc w:val="left"/>
            <w:rPr>
              <w:rFonts w:ascii="Arial" w:hAnsi="Arial" w:cs="Arial"/>
              <w:b/>
              <w:bCs/>
              <w:noProof/>
              <w:kern w:val="2"/>
              <w:sz w:val="24"/>
              <w:szCs w:val="24"/>
              <w:lang w:val="en-BB" w:eastAsia="en-BB"/>
              <w14:ligatures w14:val="standardContextual"/>
            </w:rPr>
          </w:pPr>
          <w:hyperlink w:anchor="_Toc225450259" w:history="1">
            <w:r w:rsidRPr="00150D95">
              <w:rPr>
                <w:rStyle w:val="Hyperlink"/>
                <w:rFonts w:ascii="Arial" w:hAnsi="Arial" w:cs="Arial"/>
                <w:b/>
                <w:bCs/>
                <w:noProof/>
                <w:sz w:val="24"/>
                <w:szCs w:val="24"/>
              </w:rPr>
              <w:t>Table 7. Discount factors at 10%</w:t>
            </w:r>
            <w:r w:rsidRPr="00150D95">
              <w:rPr>
                <w:rFonts w:ascii="Arial" w:hAnsi="Arial" w:cs="Arial"/>
                <w:b/>
                <w:bCs/>
                <w:noProof/>
                <w:webHidden/>
                <w:sz w:val="24"/>
                <w:szCs w:val="24"/>
              </w:rPr>
              <w:tab/>
            </w:r>
            <w:r w:rsidRPr="00150D95">
              <w:rPr>
                <w:rFonts w:ascii="Arial" w:hAnsi="Arial" w:cs="Arial"/>
                <w:b/>
                <w:bCs/>
                <w:noProof/>
                <w:webHidden/>
                <w:sz w:val="24"/>
                <w:szCs w:val="24"/>
              </w:rPr>
              <w:fldChar w:fldCharType="begin"/>
            </w:r>
            <w:r w:rsidRPr="00150D95">
              <w:rPr>
                <w:rFonts w:ascii="Arial" w:hAnsi="Arial" w:cs="Arial"/>
                <w:b/>
                <w:bCs/>
                <w:noProof/>
                <w:webHidden/>
                <w:sz w:val="24"/>
                <w:szCs w:val="24"/>
              </w:rPr>
              <w:instrText xml:space="preserve"> PAGEREF _Toc225450259 \h </w:instrText>
            </w:r>
            <w:r w:rsidRPr="00150D95">
              <w:rPr>
                <w:rFonts w:ascii="Arial" w:hAnsi="Arial" w:cs="Arial"/>
                <w:b/>
                <w:bCs/>
                <w:noProof/>
                <w:webHidden/>
                <w:sz w:val="24"/>
                <w:szCs w:val="24"/>
              </w:rPr>
            </w:r>
            <w:r w:rsidRPr="00150D95">
              <w:rPr>
                <w:rFonts w:ascii="Arial" w:hAnsi="Arial" w:cs="Arial"/>
                <w:b/>
                <w:bCs/>
                <w:noProof/>
                <w:webHidden/>
                <w:sz w:val="24"/>
                <w:szCs w:val="24"/>
              </w:rPr>
              <w:fldChar w:fldCharType="separate"/>
            </w:r>
            <w:r w:rsidRPr="00150D95">
              <w:rPr>
                <w:rFonts w:ascii="Arial" w:hAnsi="Arial" w:cs="Arial"/>
                <w:b/>
                <w:bCs/>
                <w:noProof/>
                <w:webHidden/>
                <w:sz w:val="24"/>
                <w:szCs w:val="24"/>
              </w:rPr>
              <w:t>18</w:t>
            </w:r>
            <w:r w:rsidRPr="00150D95">
              <w:rPr>
                <w:rFonts w:ascii="Arial" w:hAnsi="Arial" w:cs="Arial"/>
                <w:b/>
                <w:bCs/>
                <w:noProof/>
                <w:webHidden/>
                <w:sz w:val="24"/>
                <w:szCs w:val="24"/>
              </w:rPr>
              <w:fldChar w:fldCharType="end"/>
            </w:r>
          </w:hyperlink>
        </w:p>
        <w:p w14:paraId="3E4C5FCA" w14:textId="38E57804" w:rsidR="003D3CBD" w:rsidRPr="00150D95" w:rsidRDefault="003D3CBD" w:rsidP="004F4A97">
          <w:pPr>
            <w:pStyle w:val="TOC3"/>
            <w:tabs>
              <w:tab w:val="right" w:leader="dot" w:pos="9849"/>
            </w:tabs>
            <w:spacing w:line="360" w:lineRule="auto"/>
            <w:jc w:val="left"/>
            <w:rPr>
              <w:rFonts w:ascii="Arial" w:hAnsi="Arial" w:cs="Arial"/>
              <w:b/>
              <w:bCs/>
              <w:noProof/>
              <w:kern w:val="2"/>
              <w:sz w:val="24"/>
              <w:szCs w:val="24"/>
              <w:lang w:val="en-BB" w:eastAsia="en-BB"/>
              <w14:ligatures w14:val="standardContextual"/>
            </w:rPr>
          </w:pPr>
          <w:hyperlink w:anchor="_Toc225450260" w:history="1">
            <w:r w:rsidRPr="00150D95">
              <w:rPr>
                <w:rStyle w:val="Hyperlink"/>
                <w:rFonts w:ascii="Arial" w:hAnsi="Arial" w:cs="Arial"/>
                <w:b/>
                <w:bCs/>
                <w:noProof/>
                <w:sz w:val="24"/>
                <w:szCs w:val="24"/>
              </w:rPr>
              <w:t>Table 8. Present value of cash inflows by project (£m)</w:t>
            </w:r>
            <w:r w:rsidRPr="00150D95">
              <w:rPr>
                <w:rFonts w:ascii="Arial" w:hAnsi="Arial" w:cs="Arial"/>
                <w:b/>
                <w:bCs/>
                <w:noProof/>
                <w:webHidden/>
                <w:sz w:val="24"/>
                <w:szCs w:val="24"/>
              </w:rPr>
              <w:tab/>
            </w:r>
            <w:r w:rsidRPr="00150D95">
              <w:rPr>
                <w:rFonts w:ascii="Arial" w:hAnsi="Arial" w:cs="Arial"/>
                <w:b/>
                <w:bCs/>
                <w:noProof/>
                <w:webHidden/>
                <w:sz w:val="24"/>
                <w:szCs w:val="24"/>
              </w:rPr>
              <w:fldChar w:fldCharType="begin"/>
            </w:r>
            <w:r w:rsidRPr="00150D95">
              <w:rPr>
                <w:rFonts w:ascii="Arial" w:hAnsi="Arial" w:cs="Arial"/>
                <w:b/>
                <w:bCs/>
                <w:noProof/>
                <w:webHidden/>
                <w:sz w:val="24"/>
                <w:szCs w:val="24"/>
              </w:rPr>
              <w:instrText xml:space="preserve"> PAGEREF _Toc225450260 \h </w:instrText>
            </w:r>
            <w:r w:rsidRPr="00150D95">
              <w:rPr>
                <w:rFonts w:ascii="Arial" w:hAnsi="Arial" w:cs="Arial"/>
                <w:b/>
                <w:bCs/>
                <w:noProof/>
                <w:webHidden/>
                <w:sz w:val="24"/>
                <w:szCs w:val="24"/>
              </w:rPr>
            </w:r>
            <w:r w:rsidRPr="00150D95">
              <w:rPr>
                <w:rFonts w:ascii="Arial" w:hAnsi="Arial" w:cs="Arial"/>
                <w:b/>
                <w:bCs/>
                <w:noProof/>
                <w:webHidden/>
                <w:sz w:val="24"/>
                <w:szCs w:val="24"/>
              </w:rPr>
              <w:fldChar w:fldCharType="separate"/>
            </w:r>
            <w:r w:rsidRPr="00150D95">
              <w:rPr>
                <w:rFonts w:ascii="Arial" w:hAnsi="Arial" w:cs="Arial"/>
                <w:b/>
                <w:bCs/>
                <w:noProof/>
                <w:webHidden/>
                <w:sz w:val="24"/>
                <w:szCs w:val="24"/>
              </w:rPr>
              <w:t>18</w:t>
            </w:r>
            <w:r w:rsidRPr="00150D95">
              <w:rPr>
                <w:rFonts w:ascii="Arial" w:hAnsi="Arial" w:cs="Arial"/>
                <w:b/>
                <w:bCs/>
                <w:noProof/>
                <w:webHidden/>
                <w:sz w:val="24"/>
                <w:szCs w:val="24"/>
              </w:rPr>
              <w:fldChar w:fldCharType="end"/>
            </w:r>
          </w:hyperlink>
        </w:p>
        <w:p w14:paraId="1303969C" w14:textId="084F3645" w:rsidR="003D3CBD" w:rsidRPr="00150D95" w:rsidRDefault="003D3CBD" w:rsidP="004F4A97">
          <w:pPr>
            <w:pStyle w:val="TOC2"/>
            <w:tabs>
              <w:tab w:val="right" w:leader="dot" w:pos="9849"/>
            </w:tabs>
            <w:spacing w:line="360" w:lineRule="auto"/>
            <w:jc w:val="left"/>
            <w:rPr>
              <w:rFonts w:ascii="Arial" w:hAnsi="Arial" w:cs="Arial"/>
              <w:b/>
              <w:bCs/>
              <w:noProof/>
              <w:kern w:val="2"/>
              <w:sz w:val="24"/>
              <w:szCs w:val="24"/>
              <w:lang w:val="en-BB" w:eastAsia="en-BB"/>
              <w14:ligatures w14:val="standardContextual"/>
            </w:rPr>
          </w:pPr>
          <w:hyperlink w:anchor="_Toc225450261" w:history="1">
            <w:r w:rsidRPr="00150D95">
              <w:rPr>
                <w:rStyle w:val="Hyperlink"/>
                <w:rFonts w:ascii="Arial" w:hAnsi="Arial" w:cs="Arial"/>
                <w:b/>
                <w:bCs/>
                <w:noProof/>
                <w:sz w:val="24"/>
                <w:szCs w:val="24"/>
              </w:rPr>
              <w:t>Payback Period</w:t>
            </w:r>
            <w:r w:rsidRPr="00150D95">
              <w:rPr>
                <w:rFonts w:ascii="Arial" w:hAnsi="Arial" w:cs="Arial"/>
                <w:b/>
                <w:bCs/>
                <w:noProof/>
                <w:webHidden/>
                <w:sz w:val="24"/>
                <w:szCs w:val="24"/>
              </w:rPr>
              <w:tab/>
            </w:r>
            <w:r w:rsidRPr="00150D95">
              <w:rPr>
                <w:rFonts w:ascii="Arial" w:hAnsi="Arial" w:cs="Arial"/>
                <w:b/>
                <w:bCs/>
                <w:noProof/>
                <w:webHidden/>
                <w:sz w:val="24"/>
                <w:szCs w:val="24"/>
              </w:rPr>
              <w:fldChar w:fldCharType="begin"/>
            </w:r>
            <w:r w:rsidRPr="00150D95">
              <w:rPr>
                <w:rFonts w:ascii="Arial" w:hAnsi="Arial" w:cs="Arial"/>
                <w:b/>
                <w:bCs/>
                <w:noProof/>
                <w:webHidden/>
                <w:sz w:val="24"/>
                <w:szCs w:val="24"/>
              </w:rPr>
              <w:instrText xml:space="preserve"> PAGEREF _Toc225450261 \h </w:instrText>
            </w:r>
            <w:r w:rsidRPr="00150D95">
              <w:rPr>
                <w:rFonts w:ascii="Arial" w:hAnsi="Arial" w:cs="Arial"/>
                <w:b/>
                <w:bCs/>
                <w:noProof/>
                <w:webHidden/>
                <w:sz w:val="24"/>
                <w:szCs w:val="24"/>
              </w:rPr>
            </w:r>
            <w:r w:rsidRPr="00150D95">
              <w:rPr>
                <w:rFonts w:ascii="Arial" w:hAnsi="Arial" w:cs="Arial"/>
                <w:b/>
                <w:bCs/>
                <w:noProof/>
                <w:webHidden/>
                <w:sz w:val="24"/>
                <w:szCs w:val="24"/>
              </w:rPr>
              <w:fldChar w:fldCharType="separate"/>
            </w:r>
            <w:r w:rsidRPr="00150D95">
              <w:rPr>
                <w:rFonts w:ascii="Arial" w:hAnsi="Arial" w:cs="Arial"/>
                <w:b/>
                <w:bCs/>
                <w:noProof/>
                <w:webHidden/>
                <w:sz w:val="24"/>
                <w:szCs w:val="24"/>
              </w:rPr>
              <w:t>18</w:t>
            </w:r>
            <w:r w:rsidRPr="00150D95">
              <w:rPr>
                <w:rFonts w:ascii="Arial" w:hAnsi="Arial" w:cs="Arial"/>
                <w:b/>
                <w:bCs/>
                <w:noProof/>
                <w:webHidden/>
                <w:sz w:val="24"/>
                <w:szCs w:val="24"/>
              </w:rPr>
              <w:fldChar w:fldCharType="end"/>
            </w:r>
          </w:hyperlink>
        </w:p>
        <w:p w14:paraId="0BB5AA6E" w14:textId="2BF14CCE" w:rsidR="003D3CBD" w:rsidRPr="00150D95" w:rsidRDefault="003D3CBD" w:rsidP="004F4A97">
          <w:pPr>
            <w:pStyle w:val="TOC2"/>
            <w:tabs>
              <w:tab w:val="right" w:leader="dot" w:pos="9849"/>
            </w:tabs>
            <w:spacing w:line="360" w:lineRule="auto"/>
            <w:jc w:val="left"/>
            <w:rPr>
              <w:rFonts w:ascii="Arial" w:hAnsi="Arial" w:cs="Arial"/>
              <w:b/>
              <w:bCs/>
              <w:noProof/>
              <w:kern w:val="2"/>
              <w:sz w:val="24"/>
              <w:szCs w:val="24"/>
              <w:lang w:val="en-BB" w:eastAsia="en-BB"/>
              <w14:ligatures w14:val="standardContextual"/>
            </w:rPr>
          </w:pPr>
          <w:hyperlink w:anchor="_Toc225450262" w:history="1">
            <w:r w:rsidRPr="00150D95">
              <w:rPr>
                <w:rStyle w:val="Hyperlink"/>
                <w:rFonts w:ascii="Arial" w:hAnsi="Arial" w:cs="Arial"/>
                <w:b/>
                <w:bCs/>
                <w:noProof/>
                <w:sz w:val="24"/>
                <w:szCs w:val="24"/>
              </w:rPr>
              <w:t>Accounting Rate of Return</w:t>
            </w:r>
            <w:r w:rsidRPr="00150D95">
              <w:rPr>
                <w:rFonts w:ascii="Arial" w:hAnsi="Arial" w:cs="Arial"/>
                <w:b/>
                <w:bCs/>
                <w:noProof/>
                <w:webHidden/>
                <w:sz w:val="24"/>
                <w:szCs w:val="24"/>
              </w:rPr>
              <w:tab/>
            </w:r>
            <w:r w:rsidRPr="00150D95">
              <w:rPr>
                <w:rFonts w:ascii="Arial" w:hAnsi="Arial" w:cs="Arial"/>
                <w:b/>
                <w:bCs/>
                <w:noProof/>
                <w:webHidden/>
                <w:sz w:val="24"/>
                <w:szCs w:val="24"/>
              </w:rPr>
              <w:fldChar w:fldCharType="begin"/>
            </w:r>
            <w:r w:rsidRPr="00150D95">
              <w:rPr>
                <w:rFonts w:ascii="Arial" w:hAnsi="Arial" w:cs="Arial"/>
                <w:b/>
                <w:bCs/>
                <w:noProof/>
                <w:webHidden/>
                <w:sz w:val="24"/>
                <w:szCs w:val="24"/>
              </w:rPr>
              <w:instrText xml:space="preserve"> PAGEREF _Toc225450262 \h </w:instrText>
            </w:r>
            <w:r w:rsidRPr="00150D95">
              <w:rPr>
                <w:rFonts w:ascii="Arial" w:hAnsi="Arial" w:cs="Arial"/>
                <w:b/>
                <w:bCs/>
                <w:noProof/>
                <w:webHidden/>
                <w:sz w:val="24"/>
                <w:szCs w:val="24"/>
              </w:rPr>
            </w:r>
            <w:r w:rsidRPr="00150D95">
              <w:rPr>
                <w:rFonts w:ascii="Arial" w:hAnsi="Arial" w:cs="Arial"/>
                <w:b/>
                <w:bCs/>
                <w:noProof/>
                <w:webHidden/>
                <w:sz w:val="24"/>
                <w:szCs w:val="24"/>
              </w:rPr>
              <w:fldChar w:fldCharType="separate"/>
            </w:r>
            <w:r w:rsidRPr="00150D95">
              <w:rPr>
                <w:rFonts w:ascii="Arial" w:hAnsi="Arial" w:cs="Arial"/>
                <w:b/>
                <w:bCs/>
                <w:noProof/>
                <w:webHidden/>
                <w:sz w:val="24"/>
                <w:szCs w:val="24"/>
              </w:rPr>
              <w:t>19</w:t>
            </w:r>
            <w:r w:rsidRPr="00150D95">
              <w:rPr>
                <w:rFonts w:ascii="Arial" w:hAnsi="Arial" w:cs="Arial"/>
                <w:b/>
                <w:bCs/>
                <w:noProof/>
                <w:webHidden/>
                <w:sz w:val="24"/>
                <w:szCs w:val="24"/>
              </w:rPr>
              <w:fldChar w:fldCharType="end"/>
            </w:r>
          </w:hyperlink>
        </w:p>
        <w:p w14:paraId="5357E393" w14:textId="4CBBF2A1" w:rsidR="003D3CBD" w:rsidRPr="00150D95" w:rsidRDefault="003D3CBD" w:rsidP="004F4A97">
          <w:pPr>
            <w:pStyle w:val="TOC2"/>
            <w:tabs>
              <w:tab w:val="right" w:leader="dot" w:pos="9849"/>
            </w:tabs>
            <w:spacing w:line="360" w:lineRule="auto"/>
            <w:jc w:val="left"/>
            <w:rPr>
              <w:rFonts w:ascii="Arial" w:hAnsi="Arial" w:cs="Arial"/>
              <w:b/>
              <w:bCs/>
              <w:noProof/>
              <w:kern w:val="2"/>
              <w:sz w:val="24"/>
              <w:szCs w:val="24"/>
              <w:lang w:val="en-BB" w:eastAsia="en-BB"/>
              <w14:ligatures w14:val="standardContextual"/>
            </w:rPr>
          </w:pPr>
          <w:hyperlink w:anchor="_Toc225450263" w:history="1">
            <w:r w:rsidRPr="00150D95">
              <w:rPr>
                <w:rStyle w:val="Hyperlink"/>
                <w:rFonts w:ascii="Arial" w:hAnsi="Arial" w:cs="Arial"/>
                <w:b/>
                <w:bCs/>
                <w:noProof/>
                <w:sz w:val="24"/>
                <w:szCs w:val="24"/>
              </w:rPr>
              <w:t>Net Present Value and Profitability Index</w:t>
            </w:r>
            <w:r w:rsidRPr="00150D95">
              <w:rPr>
                <w:rFonts w:ascii="Arial" w:hAnsi="Arial" w:cs="Arial"/>
                <w:b/>
                <w:bCs/>
                <w:noProof/>
                <w:webHidden/>
                <w:sz w:val="24"/>
                <w:szCs w:val="24"/>
              </w:rPr>
              <w:tab/>
            </w:r>
            <w:r w:rsidRPr="00150D95">
              <w:rPr>
                <w:rFonts w:ascii="Arial" w:hAnsi="Arial" w:cs="Arial"/>
                <w:b/>
                <w:bCs/>
                <w:noProof/>
                <w:webHidden/>
                <w:sz w:val="24"/>
                <w:szCs w:val="24"/>
              </w:rPr>
              <w:fldChar w:fldCharType="begin"/>
            </w:r>
            <w:r w:rsidRPr="00150D95">
              <w:rPr>
                <w:rFonts w:ascii="Arial" w:hAnsi="Arial" w:cs="Arial"/>
                <w:b/>
                <w:bCs/>
                <w:noProof/>
                <w:webHidden/>
                <w:sz w:val="24"/>
                <w:szCs w:val="24"/>
              </w:rPr>
              <w:instrText xml:space="preserve"> PAGEREF _Toc225450263 \h </w:instrText>
            </w:r>
            <w:r w:rsidRPr="00150D95">
              <w:rPr>
                <w:rFonts w:ascii="Arial" w:hAnsi="Arial" w:cs="Arial"/>
                <w:b/>
                <w:bCs/>
                <w:noProof/>
                <w:webHidden/>
                <w:sz w:val="24"/>
                <w:szCs w:val="24"/>
              </w:rPr>
            </w:r>
            <w:r w:rsidRPr="00150D95">
              <w:rPr>
                <w:rFonts w:ascii="Arial" w:hAnsi="Arial" w:cs="Arial"/>
                <w:b/>
                <w:bCs/>
                <w:noProof/>
                <w:webHidden/>
                <w:sz w:val="24"/>
                <w:szCs w:val="24"/>
              </w:rPr>
              <w:fldChar w:fldCharType="separate"/>
            </w:r>
            <w:r w:rsidRPr="00150D95">
              <w:rPr>
                <w:rFonts w:ascii="Arial" w:hAnsi="Arial" w:cs="Arial"/>
                <w:b/>
                <w:bCs/>
                <w:noProof/>
                <w:webHidden/>
                <w:sz w:val="24"/>
                <w:szCs w:val="24"/>
              </w:rPr>
              <w:t>19</w:t>
            </w:r>
            <w:r w:rsidRPr="00150D95">
              <w:rPr>
                <w:rFonts w:ascii="Arial" w:hAnsi="Arial" w:cs="Arial"/>
                <w:b/>
                <w:bCs/>
                <w:noProof/>
                <w:webHidden/>
                <w:sz w:val="24"/>
                <w:szCs w:val="24"/>
              </w:rPr>
              <w:fldChar w:fldCharType="end"/>
            </w:r>
          </w:hyperlink>
        </w:p>
        <w:p w14:paraId="6DC25F48" w14:textId="03947F8E" w:rsidR="003D3CBD" w:rsidRPr="00150D95" w:rsidRDefault="003D3CBD" w:rsidP="004F4A97">
          <w:pPr>
            <w:pStyle w:val="TOC2"/>
            <w:tabs>
              <w:tab w:val="right" w:leader="dot" w:pos="9849"/>
            </w:tabs>
            <w:spacing w:line="360" w:lineRule="auto"/>
            <w:jc w:val="left"/>
            <w:rPr>
              <w:rFonts w:ascii="Arial" w:hAnsi="Arial" w:cs="Arial"/>
              <w:b/>
              <w:bCs/>
              <w:noProof/>
              <w:kern w:val="2"/>
              <w:sz w:val="24"/>
              <w:szCs w:val="24"/>
              <w:lang w:val="en-BB" w:eastAsia="en-BB"/>
              <w14:ligatures w14:val="standardContextual"/>
            </w:rPr>
          </w:pPr>
          <w:hyperlink w:anchor="_Toc225450264" w:history="1">
            <w:r w:rsidRPr="00150D95">
              <w:rPr>
                <w:rStyle w:val="Hyperlink"/>
                <w:rFonts w:ascii="Arial" w:hAnsi="Arial" w:cs="Arial"/>
                <w:b/>
                <w:bCs/>
                <w:noProof/>
                <w:sz w:val="24"/>
                <w:szCs w:val="24"/>
              </w:rPr>
              <w:t>Internal Rate of Return</w:t>
            </w:r>
            <w:r w:rsidRPr="00150D95">
              <w:rPr>
                <w:rFonts w:ascii="Arial" w:hAnsi="Arial" w:cs="Arial"/>
                <w:b/>
                <w:bCs/>
                <w:noProof/>
                <w:webHidden/>
                <w:sz w:val="24"/>
                <w:szCs w:val="24"/>
              </w:rPr>
              <w:tab/>
            </w:r>
            <w:r w:rsidRPr="00150D95">
              <w:rPr>
                <w:rFonts w:ascii="Arial" w:hAnsi="Arial" w:cs="Arial"/>
                <w:b/>
                <w:bCs/>
                <w:noProof/>
                <w:webHidden/>
                <w:sz w:val="24"/>
                <w:szCs w:val="24"/>
              </w:rPr>
              <w:fldChar w:fldCharType="begin"/>
            </w:r>
            <w:r w:rsidRPr="00150D95">
              <w:rPr>
                <w:rFonts w:ascii="Arial" w:hAnsi="Arial" w:cs="Arial"/>
                <w:b/>
                <w:bCs/>
                <w:noProof/>
                <w:webHidden/>
                <w:sz w:val="24"/>
                <w:szCs w:val="24"/>
              </w:rPr>
              <w:instrText xml:space="preserve"> PAGEREF _Toc225450264 \h </w:instrText>
            </w:r>
            <w:r w:rsidRPr="00150D95">
              <w:rPr>
                <w:rFonts w:ascii="Arial" w:hAnsi="Arial" w:cs="Arial"/>
                <w:b/>
                <w:bCs/>
                <w:noProof/>
                <w:webHidden/>
                <w:sz w:val="24"/>
                <w:szCs w:val="24"/>
              </w:rPr>
            </w:r>
            <w:r w:rsidRPr="00150D95">
              <w:rPr>
                <w:rFonts w:ascii="Arial" w:hAnsi="Arial" w:cs="Arial"/>
                <w:b/>
                <w:bCs/>
                <w:noProof/>
                <w:webHidden/>
                <w:sz w:val="24"/>
                <w:szCs w:val="24"/>
              </w:rPr>
              <w:fldChar w:fldCharType="separate"/>
            </w:r>
            <w:r w:rsidRPr="00150D95">
              <w:rPr>
                <w:rFonts w:ascii="Arial" w:hAnsi="Arial" w:cs="Arial"/>
                <w:b/>
                <w:bCs/>
                <w:noProof/>
                <w:webHidden/>
                <w:sz w:val="24"/>
                <w:szCs w:val="24"/>
              </w:rPr>
              <w:t>20</w:t>
            </w:r>
            <w:r w:rsidRPr="00150D95">
              <w:rPr>
                <w:rFonts w:ascii="Arial" w:hAnsi="Arial" w:cs="Arial"/>
                <w:b/>
                <w:bCs/>
                <w:noProof/>
                <w:webHidden/>
                <w:sz w:val="24"/>
                <w:szCs w:val="24"/>
              </w:rPr>
              <w:fldChar w:fldCharType="end"/>
            </w:r>
          </w:hyperlink>
        </w:p>
        <w:p w14:paraId="54CE480A" w14:textId="32C22BF8" w:rsidR="003D3CBD" w:rsidRPr="00150D95" w:rsidRDefault="003D3CBD" w:rsidP="004F4A97">
          <w:pPr>
            <w:pStyle w:val="TOC3"/>
            <w:tabs>
              <w:tab w:val="right" w:leader="dot" w:pos="9849"/>
            </w:tabs>
            <w:spacing w:line="360" w:lineRule="auto"/>
            <w:jc w:val="left"/>
            <w:rPr>
              <w:rFonts w:ascii="Arial" w:hAnsi="Arial" w:cs="Arial"/>
              <w:b/>
              <w:bCs/>
              <w:noProof/>
              <w:kern w:val="2"/>
              <w:sz w:val="24"/>
              <w:szCs w:val="24"/>
              <w:lang w:val="en-BB" w:eastAsia="en-BB"/>
              <w14:ligatures w14:val="standardContextual"/>
            </w:rPr>
          </w:pPr>
          <w:hyperlink w:anchor="_Toc225450265" w:history="1">
            <w:r w:rsidRPr="00150D95">
              <w:rPr>
                <w:rStyle w:val="Hyperlink"/>
                <w:rFonts w:ascii="Arial" w:hAnsi="Arial" w:cs="Arial"/>
                <w:b/>
                <w:bCs/>
                <w:noProof/>
                <w:sz w:val="24"/>
                <w:szCs w:val="24"/>
              </w:rPr>
              <w:t>Table 9. Investment appraisal summary</w:t>
            </w:r>
            <w:r w:rsidRPr="00150D95">
              <w:rPr>
                <w:rFonts w:ascii="Arial" w:hAnsi="Arial" w:cs="Arial"/>
                <w:b/>
                <w:bCs/>
                <w:noProof/>
                <w:webHidden/>
                <w:sz w:val="24"/>
                <w:szCs w:val="24"/>
              </w:rPr>
              <w:tab/>
            </w:r>
            <w:r w:rsidRPr="00150D95">
              <w:rPr>
                <w:rFonts w:ascii="Arial" w:hAnsi="Arial" w:cs="Arial"/>
                <w:b/>
                <w:bCs/>
                <w:noProof/>
                <w:webHidden/>
                <w:sz w:val="24"/>
                <w:szCs w:val="24"/>
              </w:rPr>
              <w:fldChar w:fldCharType="begin"/>
            </w:r>
            <w:r w:rsidRPr="00150D95">
              <w:rPr>
                <w:rFonts w:ascii="Arial" w:hAnsi="Arial" w:cs="Arial"/>
                <w:b/>
                <w:bCs/>
                <w:noProof/>
                <w:webHidden/>
                <w:sz w:val="24"/>
                <w:szCs w:val="24"/>
              </w:rPr>
              <w:instrText xml:space="preserve"> PAGEREF _Toc225450265 \h </w:instrText>
            </w:r>
            <w:r w:rsidRPr="00150D95">
              <w:rPr>
                <w:rFonts w:ascii="Arial" w:hAnsi="Arial" w:cs="Arial"/>
                <w:b/>
                <w:bCs/>
                <w:noProof/>
                <w:webHidden/>
                <w:sz w:val="24"/>
                <w:szCs w:val="24"/>
              </w:rPr>
            </w:r>
            <w:r w:rsidRPr="00150D95">
              <w:rPr>
                <w:rFonts w:ascii="Arial" w:hAnsi="Arial" w:cs="Arial"/>
                <w:b/>
                <w:bCs/>
                <w:noProof/>
                <w:webHidden/>
                <w:sz w:val="24"/>
                <w:szCs w:val="24"/>
              </w:rPr>
              <w:fldChar w:fldCharType="separate"/>
            </w:r>
            <w:r w:rsidRPr="00150D95">
              <w:rPr>
                <w:rFonts w:ascii="Arial" w:hAnsi="Arial" w:cs="Arial"/>
                <w:b/>
                <w:bCs/>
                <w:noProof/>
                <w:webHidden/>
                <w:sz w:val="24"/>
                <w:szCs w:val="24"/>
              </w:rPr>
              <w:t>20</w:t>
            </w:r>
            <w:r w:rsidRPr="00150D95">
              <w:rPr>
                <w:rFonts w:ascii="Arial" w:hAnsi="Arial" w:cs="Arial"/>
                <w:b/>
                <w:bCs/>
                <w:noProof/>
                <w:webHidden/>
                <w:sz w:val="24"/>
                <w:szCs w:val="24"/>
              </w:rPr>
              <w:fldChar w:fldCharType="end"/>
            </w:r>
          </w:hyperlink>
        </w:p>
        <w:p w14:paraId="08AE7D48" w14:textId="3222FAF2" w:rsidR="003D3CBD" w:rsidRPr="00150D95" w:rsidRDefault="003D3CBD" w:rsidP="004F4A97">
          <w:pPr>
            <w:pStyle w:val="TOC2"/>
            <w:tabs>
              <w:tab w:val="right" w:leader="dot" w:pos="9849"/>
            </w:tabs>
            <w:spacing w:line="360" w:lineRule="auto"/>
            <w:jc w:val="left"/>
            <w:rPr>
              <w:rFonts w:ascii="Arial" w:hAnsi="Arial" w:cs="Arial"/>
              <w:b/>
              <w:bCs/>
              <w:noProof/>
              <w:kern w:val="2"/>
              <w:sz w:val="24"/>
              <w:szCs w:val="24"/>
              <w:lang w:val="en-BB" w:eastAsia="en-BB"/>
              <w14:ligatures w14:val="standardContextual"/>
            </w:rPr>
          </w:pPr>
          <w:hyperlink w:anchor="_Toc225450266" w:history="1">
            <w:r w:rsidRPr="00150D95">
              <w:rPr>
                <w:rStyle w:val="Hyperlink"/>
                <w:rFonts w:ascii="Arial" w:hAnsi="Arial" w:cs="Arial"/>
                <w:b/>
                <w:bCs/>
                <w:noProof/>
                <w:sz w:val="24"/>
                <w:szCs w:val="24"/>
              </w:rPr>
              <w:t>Project recommendation and link to Tesla’s financial performance</w:t>
            </w:r>
            <w:r w:rsidRPr="00150D95">
              <w:rPr>
                <w:rFonts w:ascii="Arial" w:hAnsi="Arial" w:cs="Arial"/>
                <w:b/>
                <w:bCs/>
                <w:noProof/>
                <w:webHidden/>
                <w:sz w:val="24"/>
                <w:szCs w:val="24"/>
              </w:rPr>
              <w:tab/>
            </w:r>
            <w:r w:rsidRPr="00150D95">
              <w:rPr>
                <w:rFonts w:ascii="Arial" w:hAnsi="Arial" w:cs="Arial"/>
                <w:b/>
                <w:bCs/>
                <w:noProof/>
                <w:webHidden/>
                <w:sz w:val="24"/>
                <w:szCs w:val="24"/>
              </w:rPr>
              <w:fldChar w:fldCharType="begin"/>
            </w:r>
            <w:r w:rsidRPr="00150D95">
              <w:rPr>
                <w:rFonts w:ascii="Arial" w:hAnsi="Arial" w:cs="Arial"/>
                <w:b/>
                <w:bCs/>
                <w:noProof/>
                <w:webHidden/>
                <w:sz w:val="24"/>
                <w:szCs w:val="24"/>
              </w:rPr>
              <w:instrText xml:space="preserve"> PAGEREF _Toc225450266 \h </w:instrText>
            </w:r>
            <w:r w:rsidRPr="00150D95">
              <w:rPr>
                <w:rFonts w:ascii="Arial" w:hAnsi="Arial" w:cs="Arial"/>
                <w:b/>
                <w:bCs/>
                <w:noProof/>
                <w:webHidden/>
                <w:sz w:val="24"/>
                <w:szCs w:val="24"/>
              </w:rPr>
            </w:r>
            <w:r w:rsidRPr="00150D95">
              <w:rPr>
                <w:rFonts w:ascii="Arial" w:hAnsi="Arial" w:cs="Arial"/>
                <w:b/>
                <w:bCs/>
                <w:noProof/>
                <w:webHidden/>
                <w:sz w:val="24"/>
                <w:szCs w:val="24"/>
              </w:rPr>
              <w:fldChar w:fldCharType="separate"/>
            </w:r>
            <w:r w:rsidRPr="00150D95">
              <w:rPr>
                <w:rFonts w:ascii="Arial" w:hAnsi="Arial" w:cs="Arial"/>
                <w:b/>
                <w:bCs/>
                <w:noProof/>
                <w:webHidden/>
                <w:sz w:val="24"/>
                <w:szCs w:val="24"/>
              </w:rPr>
              <w:t>21</w:t>
            </w:r>
            <w:r w:rsidRPr="00150D95">
              <w:rPr>
                <w:rFonts w:ascii="Arial" w:hAnsi="Arial" w:cs="Arial"/>
                <w:b/>
                <w:bCs/>
                <w:noProof/>
                <w:webHidden/>
                <w:sz w:val="24"/>
                <w:szCs w:val="24"/>
              </w:rPr>
              <w:fldChar w:fldCharType="end"/>
            </w:r>
          </w:hyperlink>
        </w:p>
        <w:p w14:paraId="2908D7DF" w14:textId="7A9CE4B3" w:rsidR="003D3CBD" w:rsidRPr="00150D95" w:rsidRDefault="003D3CBD" w:rsidP="004F4A97">
          <w:pPr>
            <w:pStyle w:val="TOC2"/>
            <w:tabs>
              <w:tab w:val="right" w:leader="dot" w:pos="9849"/>
            </w:tabs>
            <w:spacing w:line="360" w:lineRule="auto"/>
            <w:jc w:val="left"/>
            <w:rPr>
              <w:rFonts w:ascii="Arial" w:hAnsi="Arial" w:cs="Arial"/>
              <w:b/>
              <w:bCs/>
              <w:noProof/>
              <w:kern w:val="2"/>
              <w:sz w:val="24"/>
              <w:szCs w:val="24"/>
              <w:lang w:val="en-BB" w:eastAsia="en-BB"/>
              <w14:ligatures w14:val="standardContextual"/>
            </w:rPr>
          </w:pPr>
          <w:hyperlink w:anchor="_Toc225450267" w:history="1">
            <w:r w:rsidRPr="00150D95">
              <w:rPr>
                <w:rStyle w:val="Hyperlink"/>
                <w:rFonts w:ascii="Arial" w:hAnsi="Arial" w:cs="Arial"/>
                <w:b/>
                <w:bCs/>
                <w:noProof/>
                <w:sz w:val="24"/>
                <w:szCs w:val="24"/>
              </w:rPr>
              <w:t>Capital rationing under a £100 million ceiling</w:t>
            </w:r>
            <w:r w:rsidRPr="00150D95">
              <w:rPr>
                <w:rFonts w:ascii="Arial" w:hAnsi="Arial" w:cs="Arial"/>
                <w:b/>
                <w:bCs/>
                <w:noProof/>
                <w:webHidden/>
                <w:sz w:val="24"/>
                <w:szCs w:val="24"/>
              </w:rPr>
              <w:tab/>
            </w:r>
            <w:r w:rsidRPr="00150D95">
              <w:rPr>
                <w:rFonts w:ascii="Arial" w:hAnsi="Arial" w:cs="Arial"/>
                <w:b/>
                <w:bCs/>
                <w:noProof/>
                <w:webHidden/>
                <w:sz w:val="24"/>
                <w:szCs w:val="24"/>
              </w:rPr>
              <w:fldChar w:fldCharType="begin"/>
            </w:r>
            <w:r w:rsidRPr="00150D95">
              <w:rPr>
                <w:rFonts w:ascii="Arial" w:hAnsi="Arial" w:cs="Arial"/>
                <w:b/>
                <w:bCs/>
                <w:noProof/>
                <w:webHidden/>
                <w:sz w:val="24"/>
                <w:szCs w:val="24"/>
              </w:rPr>
              <w:instrText xml:space="preserve"> PAGEREF _Toc225450267 \h </w:instrText>
            </w:r>
            <w:r w:rsidRPr="00150D95">
              <w:rPr>
                <w:rFonts w:ascii="Arial" w:hAnsi="Arial" w:cs="Arial"/>
                <w:b/>
                <w:bCs/>
                <w:noProof/>
                <w:webHidden/>
                <w:sz w:val="24"/>
                <w:szCs w:val="24"/>
              </w:rPr>
            </w:r>
            <w:r w:rsidRPr="00150D95">
              <w:rPr>
                <w:rFonts w:ascii="Arial" w:hAnsi="Arial" w:cs="Arial"/>
                <w:b/>
                <w:bCs/>
                <w:noProof/>
                <w:webHidden/>
                <w:sz w:val="24"/>
                <w:szCs w:val="24"/>
              </w:rPr>
              <w:fldChar w:fldCharType="separate"/>
            </w:r>
            <w:r w:rsidRPr="00150D95">
              <w:rPr>
                <w:rFonts w:ascii="Arial" w:hAnsi="Arial" w:cs="Arial"/>
                <w:b/>
                <w:bCs/>
                <w:noProof/>
                <w:webHidden/>
                <w:sz w:val="24"/>
                <w:szCs w:val="24"/>
              </w:rPr>
              <w:t>22</w:t>
            </w:r>
            <w:r w:rsidRPr="00150D95">
              <w:rPr>
                <w:rFonts w:ascii="Arial" w:hAnsi="Arial" w:cs="Arial"/>
                <w:b/>
                <w:bCs/>
                <w:noProof/>
                <w:webHidden/>
                <w:sz w:val="24"/>
                <w:szCs w:val="24"/>
              </w:rPr>
              <w:fldChar w:fldCharType="end"/>
            </w:r>
          </w:hyperlink>
        </w:p>
        <w:p w14:paraId="534E6000" w14:textId="14B08A26" w:rsidR="003D3CBD" w:rsidRPr="00150D95" w:rsidRDefault="003D3CBD" w:rsidP="004F4A97">
          <w:pPr>
            <w:pStyle w:val="TOC1"/>
            <w:tabs>
              <w:tab w:val="right" w:leader="dot" w:pos="9849"/>
            </w:tabs>
            <w:spacing w:line="360" w:lineRule="auto"/>
            <w:jc w:val="left"/>
            <w:rPr>
              <w:rFonts w:ascii="Arial" w:hAnsi="Arial" w:cs="Arial"/>
              <w:b/>
              <w:bCs/>
              <w:noProof/>
              <w:kern w:val="2"/>
              <w:sz w:val="24"/>
              <w:szCs w:val="24"/>
              <w:lang w:val="en-BB" w:eastAsia="en-BB"/>
              <w14:ligatures w14:val="standardContextual"/>
            </w:rPr>
          </w:pPr>
          <w:hyperlink w:anchor="_Toc225450268" w:history="1">
            <w:r w:rsidRPr="00150D95">
              <w:rPr>
                <w:rStyle w:val="Hyperlink"/>
                <w:rFonts w:ascii="Arial" w:hAnsi="Arial" w:cs="Arial"/>
                <w:b/>
                <w:bCs/>
                <w:noProof/>
                <w:sz w:val="24"/>
                <w:szCs w:val="24"/>
              </w:rPr>
              <w:t>Conclusion</w:t>
            </w:r>
            <w:r w:rsidRPr="00150D95">
              <w:rPr>
                <w:rFonts w:ascii="Arial" w:hAnsi="Arial" w:cs="Arial"/>
                <w:b/>
                <w:bCs/>
                <w:noProof/>
                <w:webHidden/>
                <w:sz w:val="24"/>
                <w:szCs w:val="24"/>
              </w:rPr>
              <w:tab/>
            </w:r>
            <w:r w:rsidRPr="00150D95">
              <w:rPr>
                <w:rFonts w:ascii="Arial" w:hAnsi="Arial" w:cs="Arial"/>
                <w:b/>
                <w:bCs/>
                <w:noProof/>
                <w:webHidden/>
                <w:sz w:val="24"/>
                <w:szCs w:val="24"/>
              </w:rPr>
              <w:fldChar w:fldCharType="begin"/>
            </w:r>
            <w:r w:rsidRPr="00150D95">
              <w:rPr>
                <w:rFonts w:ascii="Arial" w:hAnsi="Arial" w:cs="Arial"/>
                <w:b/>
                <w:bCs/>
                <w:noProof/>
                <w:webHidden/>
                <w:sz w:val="24"/>
                <w:szCs w:val="24"/>
              </w:rPr>
              <w:instrText xml:space="preserve"> PAGEREF _Toc225450268 \h </w:instrText>
            </w:r>
            <w:r w:rsidRPr="00150D95">
              <w:rPr>
                <w:rFonts w:ascii="Arial" w:hAnsi="Arial" w:cs="Arial"/>
                <w:b/>
                <w:bCs/>
                <w:noProof/>
                <w:webHidden/>
                <w:sz w:val="24"/>
                <w:szCs w:val="24"/>
              </w:rPr>
            </w:r>
            <w:r w:rsidRPr="00150D95">
              <w:rPr>
                <w:rFonts w:ascii="Arial" w:hAnsi="Arial" w:cs="Arial"/>
                <w:b/>
                <w:bCs/>
                <w:noProof/>
                <w:webHidden/>
                <w:sz w:val="24"/>
                <w:szCs w:val="24"/>
              </w:rPr>
              <w:fldChar w:fldCharType="separate"/>
            </w:r>
            <w:r w:rsidRPr="00150D95">
              <w:rPr>
                <w:rFonts w:ascii="Arial" w:hAnsi="Arial" w:cs="Arial"/>
                <w:b/>
                <w:bCs/>
                <w:noProof/>
                <w:webHidden/>
                <w:sz w:val="24"/>
                <w:szCs w:val="24"/>
              </w:rPr>
              <w:t>22</w:t>
            </w:r>
            <w:r w:rsidRPr="00150D95">
              <w:rPr>
                <w:rFonts w:ascii="Arial" w:hAnsi="Arial" w:cs="Arial"/>
                <w:b/>
                <w:bCs/>
                <w:noProof/>
                <w:webHidden/>
                <w:sz w:val="24"/>
                <w:szCs w:val="24"/>
              </w:rPr>
              <w:fldChar w:fldCharType="end"/>
            </w:r>
          </w:hyperlink>
        </w:p>
        <w:p w14:paraId="00C5BF9D" w14:textId="39564365" w:rsidR="003D3CBD" w:rsidRPr="00150D95" w:rsidRDefault="003D3CBD" w:rsidP="004F4A97">
          <w:pPr>
            <w:pStyle w:val="TOC1"/>
            <w:tabs>
              <w:tab w:val="right" w:leader="dot" w:pos="9849"/>
            </w:tabs>
            <w:spacing w:line="360" w:lineRule="auto"/>
            <w:jc w:val="left"/>
            <w:rPr>
              <w:rFonts w:ascii="Arial" w:hAnsi="Arial" w:cs="Arial"/>
              <w:b/>
              <w:bCs/>
              <w:noProof/>
              <w:kern w:val="2"/>
              <w:sz w:val="24"/>
              <w:szCs w:val="24"/>
              <w:lang w:val="en-BB" w:eastAsia="en-BB"/>
              <w14:ligatures w14:val="standardContextual"/>
            </w:rPr>
          </w:pPr>
          <w:hyperlink w:anchor="_Toc225450269" w:history="1">
            <w:r w:rsidRPr="00150D95">
              <w:rPr>
                <w:rStyle w:val="Hyperlink"/>
                <w:rFonts w:ascii="Arial" w:hAnsi="Arial" w:cs="Arial"/>
                <w:b/>
                <w:bCs/>
                <w:noProof/>
                <w:sz w:val="24"/>
                <w:szCs w:val="24"/>
              </w:rPr>
              <w:t>References</w:t>
            </w:r>
            <w:r w:rsidRPr="00150D95">
              <w:rPr>
                <w:rFonts w:ascii="Arial" w:hAnsi="Arial" w:cs="Arial"/>
                <w:b/>
                <w:bCs/>
                <w:noProof/>
                <w:webHidden/>
                <w:sz w:val="24"/>
                <w:szCs w:val="24"/>
              </w:rPr>
              <w:tab/>
            </w:r>
            <w:r w:rsidRPr="00150D95">
              <w:rPr>
                <w:rFonts w:ascii="Arial" w:hAnsi="Arial" w:cs="Arial"/>
                <w:b/>
                <w:bCs/>
                <w:noProof/>
                <w:webHidden/>
                <w:sz w:val="24"/>
                <w:szCs w:val="24"/>
              </w:rPr>
              <w:fldChar w:fldCharType="begin"/>
            </w:r>
            <w:r w:rsidRPr="00150D95">
              <w:rPr>
                <w:rFonts w:ascii="Arial" w:hAnsi="Arial" w:cs="Arial"/>
                <w:b/>
                <w:bCs/>
                <w:noProof/>
                <w:webHidden/>
                <w:sz w:val="24"/>
                <w:szCs w:val="24"/>
              </w:rPr>
              <w:instrText xml:space="preserve"> PAGEREF _Toc225450269 \h </w:instrText>
            </w:r>
            <w:r w:rsidRPr="00150D95">
              <w:rPr>
                <w:rFonts w:ascii="Arial" w:hAnsi="Arial" w:cs="Arial"/>
                <w:b/>
                <w:bCs/>
                <w:noProof/>
                <w:webHidden/>
                <w:sz w:val="24"/>
                <w:szCs w:val="24"/>
              </w:rPr>
            </w:r>
            <w:r w:rsidRPr="00150D95">
              <w:rPr>
                <w:rFonts w:ascii="Arial" w:hAnsi="Arial" w:cs="Arial"/>
                <w:b/>
                <w:bCs/>
                <w:noProof/>
                <w:webHidden/>
                <w:sz w:val="24"/>
                <w:szCs w:val="24"/>
              </w:rPr>
              <w:fldChar w:fldCharType="separate"/>
            </w:r>
            <w:r w:rsidRPr="00150D95">
              <w:rPr>
                <w:rFonts w:ascii="Arial" w:hAnsi="Arial" w:cs="Arial"/>
                <w:b/>
                <w:bCs/>
                <w:noProof/>
                <w:webHidden/>
                <w:sz w:val="24"/>
                <w:szCs w:val="24"/>
              </w:rPr>
              <w:t>23</w:t>
            </w:r>
            <w:r w:rsidRPr="00150D95">
              <w:rPr>
                <w:rFonts w:ascii="Arial" w:hAnsi="Arial" w:cs="Arial"/>
                <w:b/>
                <w:bCs/>
                <w:noProof/>
                <w:webHidden/>
                <w:sz w:val="24"/>
                <w:szCs w:val="24"/>
              </w:rPr>
              <w:fldChar w:fldCharType="end"/>
            </w:r>
          </w:hyperlink>
        </w:p>
        <w:p w14:paraId="3D5494D2" w14:textId="4A55F790" w:rsidR="003D3CBD" w:rsidRPr="00150D95" w:rsidRDefault="003D3CBD" w:rsidP="004F4A97">
          <w:pPr>
            <w:pStyle w:val="TOC1"/>
            <w:tabs>
              <w:tab w:val="right" w:leader="dot" w:pos="9849"/>
            </w:tabs>
            <w:spacing w:line="360" w:lineRule="auto"/>
            <w:jc w:val="left"/>
            <w:rPr>
              <w:rFonts w:ascii="Arial" w:hAnsi="Arial" w:cs="Arial"/>
              <w:b/>
              <w:bCs/>
              <w:noProof/>
              <w:kern w:val="2"/>
              <w:sz w:val="24"/>
              <w:szCs w:val="24"/>
              <w:lang w:val="en-BB" w:eastAsia="en-BB"/>
              <w14:ligatures w14:val="standardContextual"/>
            </w:rPr>
          </w:pPr>
          <w:hyperlink w:anchor="_Toc225450270" w:history="1">
            <w:r w:rsidRPr="00150D95">
              <w:rPr>
                <w:rStyle w:val="Hyperlink"/>
                <w:rFonts w:ascii="Arial" w:hAnsi="Arial" w:cs="Arial"/>
                <w:b/>
                <w:bCs/>
                <w:noProof/>
                <w:sz w:val="24"/>
                <w:szCs w:val="24"/>
              </w:rPr>
              <w:t>Appendix A. Core financial data and ratio formulas</w:t>
            </w:r>
            <w:r w:rsidRPr="00150D95">
              <w:rPr>
                <w:rFonts w:ascii="Arial" w:hAnsi="Arial" w:cs="Arial"/>
                <w:b/>
                <w:bCs/>
                <w:noProof/>
                <w:webHidden/>
                <w:sz w:val="24"/>
                <w:szCs w:val="24"/>
              </w:rPr>
              <w:tab/>
            </w:r>
            <w:r w:rsidRPr="00150D95">
              <w:rPr>
                <w:rFonts w:ascii="Arial" w:hAnsi="Arial" w:cs="Arial"/>
                <w:b/>
                <w:bCs/>
                <w:noProof/>
                <w:webHidden/>
                <w:sz w:val="24"/>
                <w:szCs w:val="24"/>
              </w:rPr>
              <w:fldChar w:fldCharType="begin"/>
            </w:r>
            <w:r w:rsidRPr="00150D95">
              <w:rPr>
                <w:rFonts w:ascii="Arial" w:hAnsi="Arial" w:cs="Arial"/>
                <w:b/>
                <w:bCs/>
                <w:noProof/>
                <w:webHidden/>
                <w:sz w:val="24"/>
                <w:szCs w:val="24"/>
              </w:rPr>
              <w:instrText xml:space="preserve"> PAGEREF _Toc225450270 \h </w:instrText>
            </w:r>
            <w:r w:rsidRPr="00150D95">
              <w:rPr>
                <w:rFonts w:ascii="Arial" w:hAnsi="Arial" w:cs="Arial"/>
                <w:b/>
                <w:bCs/>
                <w:noProof/>
                <w:webHidden/>
                <w:sz w:val="24"/>
                <w:szCs w:val="24"/>
              </w:rPr>
            </w:r>
            <w:r w:rsidRPr="00150D95">
              <w:rPr>
                <w:rFonts w:ascii="Arial" w:hAnsi="Arial" w:cs="Arial"/>
                <w:b/>
                <w:bCs/>
                <w:noProof/>
                <w:webHidden/>
                <w:sz w:val="24"/>
                <w:szCs w:val="24"/>
              </w:rPr>
              <w:fldChar w:fldCharType="separate"/>
            </w:r>
            <w:r w:rsidRPr="00150D95">
              <w:rPr>
                <w:rFonts w:ascii="Arial" w:hAnsi="Arial" w:cs="Arial"/>
                <w:b/>
                <w:bCs/>
                <w:noProof/>
                <w:webHidden/>
                <w:sz w:val="24"/>
                <w:szCs w:val="24"/>
              </w:rPr>
              <w:t>25</w:t>
            </w:r>
            <w:r w:rsidRPr="00150D95">
              <w:rPr>
                <w:rFonts w:ascii="Arial" w:hAnsi="Arial" w:cs="Arial"/>
                <w:b/>
                <w:bCs/>
                <w:noProof/>
                <w:webHidden/>
                <w:sz w:val="24"/>
                <w:szCs w:val="24"/>
              </w:rPr>
              <w:fldChar w:fldCharType="end"/>
            </w:r>
          </w:hyperlink>
        </w:p>
        <w:p w14:paraId="70DE0B43" w14:textId="3385AF07" w:rsidR="003D3CBD" w:rsidRPr="00150D95" w:rsidRDefault="003D3CBD" w:rsidP="004F4A97">
          <w:pPr>
            <w:pStyle w:val="TOC1"/>
            <w:tabs>
              <w:tab w:val="right" w:leader="dot" w:pos="9849"/>
            </w:tabs>
            <w:spacing w:line="360" w:lineRule="auto"/>
            <w:jc w:val="left"/>
            <w:rPr>
              <w:rFonts w:ascii="Arial" w:hAnsi="Arial" w:cs="Arial"/>
              <w:b/>
              <w:bCs/>
              <w:noProof/>
              <w:kern w:val="2"/>
              <w:sz w:val="24"/>
              <w:szCs w:val="24"/>
              <w:lang w:val="en-BB" w:eastAsia="en-BB"/>
              <w14:ligatures w14:val="standardContextual"/>
            </w:rPr>
          </w:pPr>
          <w:hyperlink w:anchor="_Toc225450271" w:history="1">
            <w:r w:rsidRPr="00150D95">
              <w:rPr>
                <w:rStyle w:val="Hyperlink"/>
                <w:rFonts w:ascii="Arial" w:hAnsi="Arial" w:cs="Arial"/>
                <w:b/>
                <w:bCs/>
                <w:noProof/>
                <w:sz w:val="24"/>
                <w:szCs w:val="24"/>
              </w:rPr>
              <w:t>Appendix B. Detailed ratio tables and YoY analysis</w:t>
            </w:r>
            <w:r w:rsidRPr="00150D95">
              <w:rPr>
                <w:rFonts w:ascii="Arial" w:hAnsi="Arial" w:cs="Arial"/>
                <w:b/>
                <w:bCs/>
                <w:noProof/>
                <w:webHidden/>
                <w:sz w:val="24"/>
                <w:szCs w:val="24"/>
              </w:rPr>
              <w:tab/>
            </w:r>
            <w:r w:rsidRPr="00150D95">
              <w:rPr>
                <w:rFonts w:ascii="Arial" w:hAnsi="Arial" w:cs="Arial"/>
                <w:b/>
                <w:bCs/>
                <w:noProof/>
                <w:webHidden/>
                <w:sz w:val="24"/>
                <w:szCs w:val="24"/>
              </w:rPr>
              <w:fldChar w:fldCharType="begin"/>
            </w:r>
            <w:r w:rsidRPr="00150D95">
              <w:rPr>
                <w:rFonts w:ascii="Arial" w:hAnsi="Arial" w:cs="Arial"/>
                <w:b/>
                <w:bCs/>
                <w:noProof/>
                <w:webHidden/>
                <w:sz w:val="24"/>
                <w:szCs w:val="24"/>
              </w:rPr>
              <w:instrText xml:space="preserve"> PAGEREF _Toc225450271 \h </w:instrText>
            </w:r>
            <w:r w:rsidRPr="00150D95">
              <w:rPr>
                <w:rFonts w:ascii="Arial" w:hAnsi="Arial" w:cs="Arial"/>
                <w:b/>
                <w:bCs/>
                <w:noProof/>
                <w:webHidden/>
                <w:sz w:val="24"/>
                <w:szCs w:val="24"/>
              </w:rPr>
            </w:r>
            <w:r w:rsidRPr="00150D95">
              <w:rPr>
                <w:rFonts w:ascii="Arial" w:hAnsi="Arial" w:cs="Arial"/>
                <w:b/>
                <w:bCs/>
                <w:noProof/>
                <w:webHidden/>
                <w:sz w:val="24"/>
                <w:szCs w:val="24"/>
              </w:rPr>
              <w:fldChar w:fldCharType="separate"/>
            </w:r>
            <w:r w:rsidRPr="00150D95">
              <w:rPr>
                <w:rFonts w:ascii="Arial" w:hAnsi="Arial" w:cs="Arial"/>
                <w:b/>
                <w:bCs/>
                <w:noProof/>
                <w:webHidden/>
                <w:sz w:val="24"/>
                <w:szCs w:val="24"/>
              </w:rPr>
              <w:t>25</w:t>
            </w:r>
            <w:r w:rsidRPr="00150D95">
              <w:rPr>
                <w:rFonts w:ascii="Arial" w:hAnsi="Arial" w:cs="Arial"/>
                <w:b/>
                <w:bCs/>
                <w:noProof/>
                <w:webHidden/>
                <w:sz w:val="24"/>
                <w:szCs w:val="24"/>
              </w:rPr>
              <w:fldChar w:fldCharType="end"/>
            </w:r>
          </w:hyperlink>
        </w:p>
        <w:p w14:paraId="1162FFE1" w14:textId="33F1933E" w:rsidR="003D3CBD" w:rsidRPr="00150D95" w:rsidRDefault="003D3CBD" w:rsidP="004F4A97">
          <w:pPr>
            <w:pStyle w:val="TOC1"/>
            <w:tabs>
              <w:tab w:val="right" w:leader="dot" w:pos="9849"/>
            </w:tabs>
            <w:spacing w:line="360" w:lineRule="auto"/>
            <w:jc w:val="left"/>
            <w:rPr>
              <w:rFonts w:ascii="Arial" w:hAnsi="Arial" w:cs="Arial"/>
              <w:b/>
              <w:bCs/>
              <w:noProof/>
              <w:kern w:val="2"/>
              <w:sz w:val="24"/>
              <w:szCs w:val="24"/>
              <w:lang w:val="en-BB" w:eastAsia="en-BB"/>
              <w14:ligatures w14:val="standardContextual"/>
            </w:rPr>
          </w:pPr>
          <w:hyperlink w:anchor="_Toc225450272" w:history="1">
            <w:r w:rsidRPr="00150D95">
              <w:rPr>
                <w:rStyle w:val="Hyperlink"/>
                <w:rFonts w:ascii="Arial" w:hAnsi="Arial" w:cs="Arial"/>
                <w:b/>
                <w:bCs/>
                <w:noProof/>
                <w:sz w:val="24"/>
                <w:szCs w:val="24"/>
              </w:rPr>
              <w:t>Appendix C. Working capital calculations</w:t>
            </w:r>
            <w:r w:rsidRPr="00150D95">
              <w:rPr>
                <w:rFonts w:ascii="Arial" w:hAnsi="Arial" w:cs="Arial"/>
                <w:b/>
                <w:bCs/>
                <w:noProof/>
                <w:webHidden/>
                <w:sz w:val="24"/>
                <w:szCs w:val="24"/>
              </w:rPr>
              <w:tab/>
            </w:r>
            <w:r w:rsidRPr="00150D95">
              <w:rPr>
                <w:rFonts w:ascii="Arial" w:hAnsi="Arial" w:cs="Arial"/>
                <w:b/>
                <w:bCs/>
                <w:noProof/>
                <w:webHidden/>
                <w:sz w:val="24"/>
                <w:szCs w:val="24"/>
              </w:rPr>
              <w:fldChar w:fldCharType="begin"/>
            </w:r>
            <w:r w:rsidRPr="00150D95">
              <w:rPr>
                <w:rFonts w:ascii="Arial" w:hAnsi="Arial" w:cs="Arial"/>
                <w:b/>
                <w:bCs/>
                <w:noProof/>
                <w:webHidden/>
                <w:sz w:val="24"/>
                <w:szCs w:val="24"/>
              </w:rPr>
              <w:instrText xml:space="preserve"> PAGEREF _Toc225450272 \h </w:instrText>
            </w:r>
            <w:r w:rsidRPr="00150D95">
              <w:rPr>
                <w:rFonts w:ascii="Arial" w:hAnsi="Arial" w:cs="Arial"/>
                <w:b/>
                <w:bCs/>
                <w:noProof/>
                <w:webHidden/>
                <w:sz w:val="24"/>
                <w:szCs w:val="24"/>
              </w:rPr>
            </w:r>
            <w:r w:rsidRPr="00150D95">
              <w:rPr>
                <w:rFonts w:ascii="Arial" w:hAnsi="Arial" w:cs="Arial"/>
                <w:b/>
                <w:bCs/>
                <w:noProof/>
                <w:webHidden/>
                <w:sz w:val="24"/>
                <w:szCs w:val="24"/>
              </w:rPr>
              <w:fldChar w:fldCharType="separate"/>
            </w:r>
            <w:r w:rsidRPr="00150D95">
              <w:rPr>
                <w:rFonts w:ascii="Arial" w:hAnsi="Arial" w:cs="Arial"/>
                <w:b/>
                <w:bCs/>
                <w:noProof/>
                <w:webHidden/>
                <w:sz w:val="24"/>
                <w:szCs w:val="24"/>
              </w:rPr>
              <w:t>26</w:t>
            </w:r>
            <w:r w:rsidRPr="00150D95">
              <w:rPr>
                <w:rFonts w:ascii="Arial" w:hAnsi="Arial" w:cs="Arial"/>
                <w:b/>
                <w:bCs/>
                <w:noProof/>
                <w:webHidden/>
                <w:sz w:val="24"/>
                <w:szCs w:val="24"/>
              </w:rPr>
              <w:fldChar w:fldCharType="end"/>
            </w:r>
          </w:hyperlink>
        </w:p>
        <w:p w14:paraId="1DFF1C01" w14:textId="0AFBFD19" w:rsidR="003D3CBD" w:rsidRPr="00150D95" w:rsidRDefault="003D3CBD" w:rsidP="004F4A97">
          <w:pPr>
            <w:pStyle w:val="TOC1"/>
            <w:tabs>
              <w:tab w:val="right" w:leader="dot" w:pos="9849"/>
            </w:tabs>
            <w:spacing w:line="360" w:lineRule="auto"/>
            <w:jc w:val="left"/>
            <w:rPr>
              <w:rFonts w:ascii="Arial" w:hAnsi="Arial" w:cs="Arial"/>
              <w:b/>
              <w:bCs/>
              <w:noProof/>
              <w:kern w:val="2"/>
              <w:sz w:val="24"/>
              <w:szCs w:val="24"/>
              <w:lang w:val="en-BB" w:eastAsia="en-BB"/>
              <w14:ligatures w14:val="standardContextual"/>
            </w:rPr>
          </w:pPr>
          <w:hyperlink w:anchor="_Toc225450273" w:history="1">
            <w:r w:rsidRPr="00150D95">
              <w:rPr>
                <w:rStyle w:val="Hyperlink"/>
                <w:rFonts w:ascii="Arial" w:hAnsi="Arial" w:cs="Arial"/>
                <w:b/>
                <w:bCs/>
                <w:noProof/>
                <w:sz w:val="24"/>
                <w:szCs w:val="24"/>
              </w:rPr>
              <w:t>Appendix D. Investment appraisal workings</w:t>
            </w:r>
            <w:r w:rsidRPr="00150D95">
              <w:rPr>
                <w:rFonts w:ascii="Arial" w:hAnsi="Arial" w:cs="Arial"/>
                <w:b/>
                <w:bCs/>
                <w:noProof/>
                <w:webHidden/>
                <w:sz w:val="24"/>
                <w:szCs w:val="24"/>
              </w:rPr>
              <w:tab/>
            </w:r>
            <w:r w:rsidRPr="00150D95">
              <w:rPr>
                <w:rFonts w:ascii="Arial" w:hAnsi="Arial" w:cs="Arial"/>
                <w:b/>
                <w:bCs/>
                <w:noProof/>
                <w:webHidden/>
                <w:sz w:val="24"/>
                <w:szCs w:val="24"/>
              </w:rPr>
              <w:fldChar w:fldCharType="begin"/>
            </w:r>
            <w:r w:rsidRPr="00150D95">
              <w:rPr>
                <w:rFonts w:ascii="Arial" w:hAnsi="Arial" w:cs="Arial"/>
                <w:b/>
                <w:bCs/>
                <w:noProof/>
                <w:webHidden/>
                <w:sz w:val="24"/>
                <w:szCs w:val="24"/>
              </w:rPr>
              <w:instrText xml:space="preserve"> PAGEREF _Toc225450273 \h </w:instrText>
            </w:r>
            <w:r w:rsidRPr="00150D95">
              <w:rPr>
                <w:rFonts w:ascii="Arial" w:hAnsi="Arial" w:cs="Arial"/>
                <w:b/>
                <w:bCs/>
                <w:noProof/>
                <w:webHidden/>
                <w:sz w:val="24"/>
                <w:szCs w:val="24"/>
              </w:rPr>
            </w:r>
            <w:r w:rsidRPr="00150D95">
              <w:rPr>
                <w:rFonts w:ascii="Arial" w:hAnsi="Arial" w:cs="Arial"/>
                <w:b/>
                <w:bCs/>
                <w:noProof/>
                <w:webHidden/>
                <w:sz w:val="24"/>
                <w:szCs w:val="24"/>
              </w:rPr>
              <w:fldChar w:fldCharType="separate"/>
            </w:r>
            <w:r w:rsidRPr="00150D95">
              <w:rPr>
                <w:rFonts w:ascii="Arial" w:hAnsi="Arial" w:cs="Arial"/>
                <w:b/>
                <w:bCs/>
                <w:noProof/>
                <w:webHidden/>
                <w:sz w:val="24"/>
                <w:szCs w:val="24"/>
              </w:rPr>
              <w:t>26</w:t>
            </w:r>
            <w:r w:rsidRPr="00150D95">
              <w:rPr>
                <w:rFonts w:ascii="Arial" w:hAnsi="Arial" w:cs="Arial"/>
                <w:b/>
                <w:bCs/>
                <w:noProof/>
                <w:webHidden/>
                <w:sz w:val="24"/>
                <w:szCs w:val="24"/>
              </w:rPr>
              <w:fldChar w:fldCharType="end"/>
            </w:r>
          </w:hyperlink>
        </w:p>
        <w:p w14:paraId="6748FD1A" w14:textId="5EE20DDB" w:rsidR="003D3CBD" w:rsidRPr="00150D95" w:rsidRDefault="003D3CBD" w:rsidP="004F4A97">
          <w:pPr>
            <w:spacing w:line="360" w:lineRule="auto"/>
            <w:jc w:val="left"/>
            <w:rPr>
              <w:rFonts w:ascii="Arial" w:hAnsi="Arial" w:cs="Arial"/>
              <w:b/>
              <w:bCs/>
              <w:sz w:val="24"/>
              <w:szCs w:val="24"/>
            </w:rPr>
          </w:pPr>
          <w:r w:rsidRPr="00150D95">
            <w:rPr>
              <w:rFonts w:ascii="Arial" w:hAnsi="Arial" w:cs="Arial"/>
              <w:b/>
              <w:bCs/>
              <w:sz w:val="24"/>
              <w:szCs w:val="24"/>
              <w:lang w:val="en-GB"/>
            </w:rPr>
            <w:fldChar w:fldCharType="end"/>
          </w:r>
        </w:p>
      </w:sdtContent>
    </w:sdt>
    <w:p w14:paraId="6AB2A8CE" w14:textId="067F6B2D" w:rsidR="00EB6BA2" w:rsidRPr="004F4A97" w:rsidRDefault="00EB6BA2" w:rsidP="004F4A97">
      <w:pPr>
        <w:tabs>
          <w:tab w:val="right" w:pos="8787"/>
        </w:tabs>
        <w:spacing w:line="360" w:lineRule="auto"/>
        <w:jc w:val="left"/>
        <w:rPr>
          <w:rFonts w:ascii="Arial" w:hAnsi="Arial" w:cs="Arial"/>
          <w:b/>
          <w:bCs/>
          <w:sz w:val="24"/>
          <w:szCs w:val="24"/>
        </w:rPr>
      </w:pPr>
    </w:p>
    <w:p w14:paraId="6302E3F7" w14:textId="77777777" w:rsidR="00EB6BA2" w:rsidRPr="004F4A97" w:rsidRDefault="00EB6BA2" w:rsidP="004F4A97">
      <w:pPr>
        <w:spacing w:line="360" w:lineRule="auto"/>
        <w:jc w:val="left"/>
        <w:rPr>
          <w:rFonts w:ascii="Arial" w:hAnsi="Arial" w:cs="Arial"/>
          <w:sz w:val="24"/>
          <w:szCs w:val="24"/>
        </w:rPr>
      </w:pPr>
    </w:p>
    <w:p w14:paraId="00F0619C" w14:textId="77777777" w:rsidR="00EB6BA2" w:rsidRPr="004F4A97" w:rsidRDefault="00000000" w:rsidP="004F4A97">
      <w:pPr>
        <w:spacing w:line="360" w:lineRule="auto"/>
        <w:jc w:val="left"/>
        <w:rPr>
          <w:rFonts w:ascii="Arial" w:hAnsi="Arial" w:cs="Arial"/>
          <w:sz w:val="24"/>
          <w:szCs w:val="24"/>
        </w:rPr>
      </w:pPr>
      <w:r w:rsidRPr="004F4A97">
        <w:rPr>
          <w:rFonts w:ascii="Arial" w:hAnsi="Arial" w:cs="Arial"/>
          <w:sz w:val="24"/>
          <w:szCs w:val="24"/>
        </w:rPr>
        <w:br w:type="page"/>
      </w:r>
    </w:p>
    <w:p w14:paraId="0A12F1CA" w14:textId="77777777" w:rsidR="00490980" w:rsidRPr="004F4A97" w:rsidRDefault="00490980" w:rsidP="004F4A97">
      <w:pPr>
        <w:pStyle w:val="Heading1"/>
        <w:spacing w:line="360" w:lineRule="auto"/>
        <w:jc w:val="left"/>
        <w:rPr>
          <w:rFonts w:ascii="Arial" w:hAnsi="Arial" w:cs="Arial"/>
          <w:sz w:val="24"/>
          <w:szCs w:val="24"/>
        </w:rPr>
      </w:pPr>
    </w:p>
    <w:p w14:paraId="20DD6036" w14:textId="50F2B4E7" w:rsidR="00EB6BA2" w:rsidRPr="004F4A97" w:rsidRDefault="00000000" w:rsidP="009E5697">
      <w:pPr>
        <w:pStyle w:val="Heading1"/>
        <w:spacing w:line="360" w:lineRule="auto"/>
        <w:jc w:val="left"/>
        <w:rPr>
          <w:rFonts w:ascii="Arial" w:hAnsi="Arial" w:cs="Arial"/>
          <w:sz w:val="24"/>
          <w:szCs w:val="24"/>
        </w:rPr>
      </w:pPr>
      <w:bookmarkStart w:id="0" w:name="_Toc225450229"/>
      <w:r w:rsidRPr="004F4A97">
        <w:rPr>
          <w:rFonts w:ascii="Arial" w:hAnsi="Arial" w:cs="Arial"/>
          <w:sz w:val="24"/>
          <w:szCs w:val="24"/>
        </w:rPr>
        <w:t>Introduction</w:t>
      </w:r>
      <w:bookmarkEnd w:id="0"/>
    </w:p>
    <w:p w14:paraId="7403CD95" w14:textId="77777777" w:rsidR="00490980" w:rsidRPr="004F4A97" w:rsidRDefault="00490980" w:rsidP="009E5697">
      <w:pPr>
        <w:spacing w:line="360" w:lineRule="auto"/>
        <w:jc w:val="left"/>
        <w:rPr>
          <w:rFonts w:ascii="Arial" w:hAnsi="Arial" w:cs="Arial"/>
          <w:sz w:val="24"/>
          <w:szCs w:val="24"/>
        </w:rPr>
      </w:pPr>
    </w:p>
    <w:p w14:paraId="67C0B67B" w14:textId="77777777" w:rsidR="00EB6BA2" w:rsidRPr="004F4A97" w:rsidRDefault="00000000" w:rsidP="00224F40">
      <w:pPr>
        <w:spacing w:line="360" w:lineRule="auto"/>
        <w:jc w:val="left"/>
        <w:rPr>
          <w:rFonts w:ascii="Arial" w:hAnsi="Arial" w:cs="Arial"/>
          <w:sz w:val="24"/>
          <w:szCs w:val="24"/>
        </w:rPr>
      </w:pPr>
      <w:proofErr w:type="gramStart"/>
      <w:r w:rsidRPr="004F4A97">
        <w:rPr>
          <w:rFonts w:ascii="Arial" w:hAnsi="Arial" w:cs="Arial"/>
          <w:sz w:val="24"/>
          <w:szCs w:val="24"/>
        </w:rPr>
        <w:t>Tesla,</w:t>
      </w:r>
      <w:proofErr w:type="gramEnd"/>
      <w:r w:rsidRPr="004F4A97">
        <w:rPr>
          <w:rFonts w:ascii="Arial" w:hAnsi="Arial" w:cs="Arial"/>
          <w:sz w:val="24"/>
          <w:szCs w:val="24"/>
        </w:rPr>
        <w:t xml:space="preserve"> Inc. is one of the most influential firms in the global electric vehicle market, but it is no longer operating in the unusually </w:t>
      </w:r>
      <w:proofErr w:type="spellStart"/>
      <w:r w:rsidRPr="004F4A97">
        <w:rPr>
          <w:rFonts w:ascii="Arial" w:hAnsi="Arial" w:cs="Arial"/>
          <w:sz w:val="24"/>
          <w:szCs w:val="24"/>
        </w:rPr>
        <w:t>favourable</w:t>
      </w:r>
      <w:proofErr w:type="spellEnd"/>
      <w:r w:rsidRPr="004F4A97">
        <w:rPr>
          <w:rFonts w:ascii="Arial" w:hAnsi="Arial" w:cs="Arial"/>
          <w:sz w:val="24"/>
          <w:szCs w:val="24"/>
        </w:rPr>
        <w:t xml:space="preserve"> commercial conditions that </w:t>
      </w:r>
      <w:proofErr w:type="spellStart"/>
      <w:r w:rsidRPr="004F4A97">
        <w:rPr>
          <w:rFonts w:ascii="Arial" w:hAnsi="Arial" w:cs="Arial"/>
          <w:sz w:val="24"/>
          <w:szCs w:val="24"/>
        </w:rPr>
        <w:t>characterised</w:t>
      </w:r>
      <w:proofErr w:type="spellEnd"/>
      <w:r w:rsidRPr="004F4A97">
        <w:rPr>
          <w:rFonts w:ascii="Arial" w:hAnsi="Arial" w:cs="Arial"/>
          <w:sz w:val="24"/>
          <w:szCs w:val="24"/>
        </w:rPr>
        <w:t xml:space="preserve"> the early years of EV adoption. The International Energy Agency reported that global electric car sales exceeded 17 million units in 2024, representing more than one-fifth of all car sales, and projected that sales would surpass 20 million in 2025 (IEA, 2025a; IEA, 2025b). The strategic implication is that the market opportunity remains structurally attractive, yet the competitive environment has become materially harsher. Greater scale has invited more entrants, more aggressive pricing, stronger industrial policy intervention and higher customer expectations around affordability, software capability and charging ecosystems.</w:t>
      </w:r>
    </w:p>
    <w:p w14:paraId="6725813C" w14:textId="77777777" w:rsidR="00EB6BA2" w:rsidRPr="004F4A97" w:rsidRDefault="00000000" w:rsidP="00224F40">
      <w:pPr>
        <w:spacing w:line="360" w:lineRule="auto"/>
        <w:jc w:val="left"/>
        <w:rPr>
          <w:rFonts w:ascii="Arial" w:hAnsi="Arial" w:cs="Arial"/>
          <w:sz w:val="24"/>
          <w:szCs w:val="24"/>
        </w:rPr>
      </w:pPr>
      <w:r w:rsidRPr="004F4A97">
        <w:rPr>
          <w:rFonts w:ascii="Arial" w:hAnsi="Arial" w:cs="Arial"/>
          <w:sz w:val="24"/>
          <w:szCs w:val="24"/>
        </w:rPr>
        <w:t>In this context, the role of the Chief Financial Officer extends beyond stewardship and compliance. A modern CFO must allocate capital across competing projects, preserve liquidity, evaluate restructuring options, safeguard balance-sheet flexibility and ensure that growth remains value-accretive rather than merely volume-driven. For Tesla, that responsibility is especially important because the company combines manufacturing intensity, technology risk, global currency exposure and sustainability claims within a single corporate platform (Tesla, 2026a). Financial decisions therefore shape not only earnings quality but also operational resilience and strategic credibility.</w:t>
      </w:r>
    </w:p>
    <w:p w14:paraId="24DBB636" w14:textId="77777777" w:rsidR="00EB6BA2" w:rsidRPr="004F4A97" w:rsidRDefault="00000000" w:rsidP="00224F40">
      <w:pPr>
        <w:spacing w:line="360" w:lineRule="auto"/>
        <w:jc w:val="left"/>
        <w:rPr>
          <w:rFonts w:ascii="Arial" w:hAnsi="Arial" w:cs="Arial"/>
          <w:sz w:val="24"/>
          <w:szCs w:val="24"/>
        </w:rPr>
      </w:pPr>
      <w:r w:rsidRPr="004F4A97">
        <w:rPr>
          <w:rFonts w:ascii="Arial" w:hAnsi="Arial" w:cs="Arial"/>
          <w:sz w:val="24"/>
          <w:szCs w:val="24"/>
        </w:rPr>
        <w:t xml:space="preserve">The objective of this report is to assess Tesla’s financial performance over the five-year period from 2021 to 2025, diagnose the main strengths and threats within its financial architecture, evaluate working capital management, propose a restructuring </w:t>
      </w:r>
      <w:proofErr w:type="spellStart"/>
      <w:r w:rsidRPr="004F4A97">
        <w:rPr>
          <w:rFonts w:ascii="Arial" w:hAnsi="Arial" w:cs="Arial"/>
          <w:sz w:val="24"/>
          <w:szCs w:val="24"/>
        </w:rPr>
        <w:t>programme</w:t>
      </w:r>
      <w:proofErr w:type="spellEnd"/>
      <w:r w:rsidRPr="004F4A97">
        <w:rPr>
          <w:rFonts w:ascii="Arial" w:hAnsi="Arial" w:cs="Arial"/>
          <w:sz w:val="24"/>
          <w:szCs w:val="24"/>
        </w:rPr>
        <w:t xml:space="preserve">, and appraise three investment opportunities using payback period, ARR, NPV, PI and IRR. The central CFO question running through the analysis is straightforward: given Tesla’s recent decline in profitability but continued liquidity strength, where should scarce capital be preserved, redirected or withheld </w:t>
      </w:r>
      <w:proofErr w:type="gramStart"/>
      <w:r w:rsidRPr="004F4A97">
        <w:rPr>
          <w:rFonts w:ascii="Arial" w:hAnsi="Arial" w:cs="Arial"/>
          <w:sz w:val="24"/>
          <w:szCs w:val="24"/>
        </w:rPr>
        <w:t>in order to</w:t>
      </w:r>
      <w:proofErr w:type="gramEnd"/>
      <w:r w:rsidRPr="004F4A97">
        <w:rPr>
          <w:rFonts w:ascii="Arial" w:hAnsi="Arial" w:cs="Arial"/>
          <w:sz w:val="24"/>
          <w:szCs w:val="24"/>
        </w:rPr>
        <w:t xml:space="preserve"> </w:t>
      </w:r>
      <w:proofErr w:type="spellStart"/>
      <w:r w:rsidRPr="004F4A97">
        <w:rPr>
          <w:rFonts w:ascii="Arial" w:hAnsi="Arial" w:cs="Arial"/>
          <w:sz w:val="24"/>
          <w:szCs w:val="24"/>
        </w:rPr>
        <w:t>maximise</w:t>
      </w:r>
      <w:proofErr w:type="spellEnd"/>
      <w:r w:rsidRPr="004F4A97">
        <w:rPr>
          <w:rFonts w:ascii="Arial" w:hAnsi="Arial" w:cs="Arial"/>
          <w:sz w:val="24"/>
          <w:szCs w:val="24"/>
        </w:rPr>
        <w:t xml:space="preserve"> long-term shareholder value?</w:t>
      </w:r>
    </w:p>
    <w:p w14:paraId="0D217B14" w14:textId="77777777" w:rsidR="00490980" w:rsidRPr="004F4A97" w:rsidRDefault="00490980" w:rsidP="009E5697">
      <w:pPr>
        <w:spacing w:line="360" w:lineRule="auto"/>
        <w:ind w:firstLine="340"/>
        <w:jc w:val="left"/>
        <w:rPr>
          <w:rFonts w:ascii="Arial" w:hAnsi="Arial" w:cs="Arial"/>
          <w:sz w:val="24"/>
          <w:szCs w:val="24"/>
        </w:rPr>
      </w:pPr>
    </w:p>
    <w:p w14:paraId="7857E224" w14:textId="77777777" w:rsidR="00490980" w:rsidRPr="004F4A97" w:rsidRDefault="00490980" w:rsidP="009E5697">
      <w:pPr>
        <w:spacing w:line="360" w:lineRule="auto"/>
        <w:ind w:firstLine="340"/>
        <w:jc w:val="left"/>
        <w:rPr>
          <w:rFonts w:ascii="Arial" w:hAnsi="Arial" w:cs="Arial"/>
          <w:sz w:val="24"/>
          <w:szCs w:val="24"/>
        </w:rPr>
      </w:pPr>
    </w:p>
    <w:p w14:paraId="1BEA002C" w14:textId="77777777" w:rsidR="00EB6BA2" w:rsidRPr="004F4A97" w:rsidRDefault="00000000" w:rsidP="009E5697">
      <w:pPr>
        <w:pStyle w:val="Heading1"/>
        <w:spacing w:line="360" w:lineRule="auto"/>
        <w:jc w:val="left"/>
        <w:rPr>
          <w:rFonts w:ascii="Arial" w:hAnsi="Arial" w:cs="Arial"/>
          <w:sz w:val="24"/>
          <w:szCs w:val="24"/>
        </w:rPr>
      </w:pPr>
      <w:bookmarkStart w:id="1" w:name="_Toc225450230"/>
      <w:r w:rsidRPr="004F4A97">
        <w:rPr>
          <w:rFonts w:ascii="Arial" w:hAnsi="Arial" w:cs="Arial"/>
          <w:sz w:val="24"/>
          <w:szCs w:val="24"/>
        </w:rPr>
        <w:lastRenderedPageBreak/>
        <w:t>1. Financial Health Check</w:t>
      </w:r>
      <w:bookmarkEnd w:id="1"/>
    </w:p>
    <w:p w14:paraId="7B15678E" w14:textId="77777777" w:rsidR="00EB6BA2" w:rsidRPr="004F4A97" w:rsidRDefault="00000000" w:rsidP="009E5697">
      <w:pPr>
        <w:pStyle w:val="Heading2"/>
        <w:spacing w:after="60" w:line="360" w:lineRule="auto"/>
        <w:jc w:val="left"/>
        <w:rPr>
          <w:rFonts w:ascii="Arial" w:hAnsi="Arial" w:cs="Arial"/>
          <w:sz w:val="24"/>
          <w:szCs w:val="24"/>
        </w:rPr>
      </w:pPr>
      <w:bookmarkStart w:id="2" w:name="_Toc225448327"/>
      <w:bookmarkStart w:id="3" w:name="_Toc225450231"/>
      <w:r w:rsidRPr="004F4A97">
        <w:rPr>
          <w:rFonts w:ascii="Arial" w:hAnsi="Arial" w:cs="Arial"/>
          <w:sz w:val="24"/>
          <w:szCs w:val="24"/>
        </w:rPr>
        <w:t>Methodological note</w:t>
      </w:r>
      <w:bookmarkEnd w:id="2"/>
      <w:bookmarkEnd w:id="3"/>
    </w:p>
    <w:p w14:paraId="7F32AF0A" w14:textId="77777777" w:rsidR="00EB6BA2" w:rsidRPr="004F4A97" w:rsidRDefault="00000000" w:rsidP="00224F40">
      <w:pPr>
        <w:spacing w:line="360" w:lineRule="auto"/>
        <w:jc w:val="left"/>
        <w:rPr>
          <w:rFonts w:ascii="Arial" w:hAnsi="Arial" w:cs="Arial"/>
          <w:sz w:val="24"/>
          <w:szCs w:val="24"/>
        </w:rPr>
      </w:pPr>
      <w:r w:rsidRPr="004F4A97">
        <w:rPr>
          <w:rFonts w:ascii="Arial" w:hAnsi="Arial" w:cs="Arial"/>
          <w:sz w:val="24"/>
          <w:szCs w:val="24"/>
        </w:rPr>
        <w:t xml:space="preserve">The financial analysis is based on Tesla’s audited annual reports for 2021 to 2025. Ratio calculations are derived principally from the income statement, balance sheet and cash flow statement, using year-end balances for consistency across the five-year panel. This is an intentional simplification suitable for the module brief. Where a market-based measure such as the P/E ratio would depend on external price data rather than the annual reports, EPS is </w:t>
      </w:r>
      <w:proofErr w:type="spellStart"/>
      <w:r w:rsidRPr="004F4A97">
        <w:rPr>
          <w:rFonts w:ascii="Arial" w:hAnsi="Arial" w:cs="Arial"/>
          <w:sz w:val="24"/>
          <w:szCs w:val="24"/>
        </w:rPr>
        <w:t>prioritised</w:t>
      </w:r>
      <w:proofErr w:type="spellEnd"/>
      <w:r w:rsidRPr="004F4A97">
        <w:rPr>
          <w:rFonts w:ascii="Arial" w:hAnsi="Arial" w:cs="Arial"/>
          <w:sz w:val="24"/>
          <w:szCs w:val="24"/>
        </w:rPr>
        <w:t xml:space="preserve"> because it remains fully anchored in the published financial statements. The purpose of the ratio analysis is not merely to describe historic performance; it is to identify whether Tesla’s current financial trajectory supports further expansion or instead calls for capital restraint (Tesla, 2022a; Tesla, 2026a).</w:t>
      </w:r>
    </w:p>
    <w:p w14:paraId="590520B9" w14:textId="77777777" w:rsidR="00490980" w:rsidRPr="004F4A97" w:rsidRDefault="00490980" w:rsidP="009E5697">
      <w:pPr>
        <w:spacing w:line="360" w:lineRule="auto"/>
        <w:ind w:firstLine="340"/>
        <w:jc w:val="left"/>
        <w:rPr>
          <w:rFonts w:ascii="Arial" w:hAnsi="Arial" w:cs="Arial"/>
          <w:sz w:val="24"/>
          <w:szCs w:val="24"/>
        </w:rPr>
      </w:pPr>
    </w:p>
    <w:p w14:paraId="4EC9C1B0" w14:textId="2D186038" w:rsidR="003D3CBD" w:rsidRPr="004F4A97" w:rsidRDefault="00000000" w:rsidP="009E5697">
      <w:pPr>
        <w:pStyle w:val="Heading3"/>
        <w:spacing w:line="360" w:lineRule="auto"/>
        <w:jc w:val="left"/>
        <w:rPr>
          <w:rFonts w:ascii="Arial" w:hAnsi="Arial" w:cs="Arial"/>
        </w:rPr>
      </w:pPr>
      <w:bookmarkStart w:id="4" w:name="_Toc225448328"/>
      <w:bookmarkStart w:id="5" w:name="_Toc225450232"/>
      <w:r w:rsidRPr="004F4A97">
        <w:rPr>
          <w:rFonts w:ascii="Arial" w:hAnsi="Arial" w:cs="Arial"/>
        </w:rPr>
        <w:t>Table 1. Core financial data used for ratio analysis (US$ million)</w:t>
      </w:r>
      <w:bookmarkEnd w:id="4"/>
      <w:bookmarkEnd w:id="5"/>
    </w:p>
    <w:tbl>
      <w:tblPr>
        <w:tblStyle w:val="TableGrid"/>
        <w:tblW w:w="10606" w:type="dxa"/>
        <w:jc w:val="center"/>
        <w:tblLook w:val="04A0" w:firstRow="1" w:lastRow="0" w:firstColumn="1" w:lastColumn="0" w:noHBand="0" w:noVBand="1"/>
      </w:tblPr>
      <w:tblGrid>
        <w:gridCol w:w="761"/>
        <w:gridCol w:w="1141"/>
        <w:gridCol w:w="954"/>
        <w:gridCol w:w="1028"/>
        <w:gridCol w:w="981"/>
        <w:gridCol w:w="1088"/>
        <w:gridCol w:w="1168"/>
        <w:gridCol w:w="761"/>
        <w:gridCol w:w="895"/>
        <w:gridCol w:w="895"/>
        <w:gridCol w:w="934"/>
      </w:tblGrid>
      <w:tr w:rsidR="00EB6BA2" w:rsidRPr="004F4A97" w14:paraId="64512CCB" w14:textId="77777777" w:rsidTr="009E5697">
        <w:trPr>
          <w:jc w:val="center"/>
        </w:trPr>
        <w:tc>
          <w:tcPr>
            <w:tcW w:w="747" w:type="dxa"/>
            <w:shd w:val="clear" w:color="auto" w:fill="D9EAF7"/>
            <w:tcMar>
              <w:top w:w="100" w:type="dxa"/>
              <w:left w:w="90" w:type="dxa"/>
              <w:bottom w:w="100" w:type="dxa"/>
              <w:right w:w="90" w:type="dxa"/>
            </w:tcMar>
            <w:vAlign w:val="center"/>
          </w:tcPr>
          <w:p w14:paraId="6F9A40E3"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Year</w:t>
            </w:r>
          </w:p>
        </w:tc>
        <w:tc>
          <w:tcPr>
            <w:tcW w:w="1120" w:type="dxa"/>
            <w:shd w:val="clear" w:color="auto" w:fill="D9EAF7"/>
            <w:tcMar>
              <w:top w:w="100" w:type="dxa"/>
              <w:left w:w="90" w:type="dxa"/>
              <w:bottom w:w="100" w:type="dxa"/>
              <w:right w:w="90" w:type="dxa"/>
            </w:tcMar>
            <w:vAlign w:val="center"/>
          </w:tcPr>
          <w:p w14:paraId="0BB8292C"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Revenue</w:t>
            </w:r>
          </w:p>
        </w:tc>
        <w:tc>
          <w:tcPr>
            <w:tcW w:w="937" w:type="dxa"/>
            <w:shd w:val="clear" w:color="auto" w:fill="D9EAF7"/>
            <w:tcMar>
              <w:top w:w="100" w:type="dxa"/>
              <w:left w:w="90" w:type="dxa"/>
              <w:bottom w:w="100" w:type="dxa"/>
              <w:right w:w="90" w:type="dxa"/>
            </w:tcMar>
            <w:vAlign w:val="center"/>
          </w:tcPr>
          <w:p w14:paraId="33103542"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Net income</w:t>
            </w:r>
          </w:p>
        </w:tc>
        <w:tc>
          <w:tcPr>
            <w:tcW w:w="1009" w:type="dxa"/>
            <w:shd w:val="clear" w:color="auto" w:fill="D9EAF7"/>
            <w:tcMar>
              <w:top w:w="100" w:type="dxa"/>
              <w:left w:w="90" w:type="dxa"/>
              <w:bottom w:w="100" w:type="dxa"/>
              <w:right w:w="90" w:type="dxa"/>
            </w:tcMar>
            <w:vAlign w:val="center"/>
          </w:tcPr>
          <w:p w14:paraId="0FD7E844"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Total assets</w:t>
            </w:r>
          </w:p>
        </w:tc>
        <w:tc>
          <w:tcPr>
            <w:tcW w:w="963" w:type="dxa"/>
            <w:shd w:val="clear" w:color="auto" w:fill="D9EAF7"/>
            <w:tcMar>
              <w:top w:w="100" w:type="dxa"/>
              <w:left w:w="90" w:type="dxa"/>
              <w:bottom w:w="100" w:type="dxa"/>
              <w:right w:w="90" w:type="dxa"/>
            </w:tcMar>
            <w:vAlign w:val="center"/>
          </w:tcPr>
          <w:p w14:paraId="68F63086"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Current assets</w:t>
            </w:r>
          </w:p>
        </w:tc>
        <w:tc>
          <w:tcPr>
            <w:tcW w:w="1068" w:type="dxa"/>
            <w:shd w:val="clear" w:color="auto" w:fill="D9EAF7"/>
            <w:tcMar>
              <w:top w:w="100" w:type="dxa"/>
              <w:left w:w="90" w:type="dxa"/>
              <w:bottom w:w="100" w:type="dxa"/>
              <w:right w:w="90" w:type="dxa"/>
            </w:tcMar>
            <w:vAlign w:val="center"/>
          </w:tcPr>
          <w:p w14:paraId="47B06AE2"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Current liabilities</w:t>
            </w:r>
          </w:p>
        </w:tc>
        <w:tc>
          <w:tcPr>
            <w:tcW w:w="1146" w:type="dxa"/>
            <w:shd w:val="clear" w:color="auto" w:fill="D9EAF7"/>
            <w:tcMar>
              <w:top w:w="100" w:type="dxa"/>
              <w:left w:w="90" w:type="dxa"/>
              <w:bottom w:w="100" w:type="dxa"/>
              <w:right w:w="90" w:type="dxa"/>
            </w:tcMar>
            <w:vAlign w:val="center"/>
          </w:tcPr>
          <w:p w14:paraId="560130A6"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Inventory</w:t>
            </w:r>
          </w:p>
        </w:tc>
        <w:tc>
          <w:tcPr>
            <w:tcW w:w="748" w:type="dxa"/>
            <w:shd w:val="clear" w:color="auto" w:fill="D9EAF7"/>
            <w:tcMar>
              <w:top w:w="100" w:type="dxa"/>
              <w:left w:w="90" w:type="dxa"/>
              <w:bottom w:w="100" w:type="dxa"/>
              <w:right w:w="90" w:type="dxa"/>
            </w:tcMar>
            <w:vAlign w:val="center"/>
          </w:tcPr>
          <w:p w14:paraId="06B43443"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Debt</w:t>
            </w:r>
          </w:p>
        </w:tc>
        <w:tc>
          <w:tcPr>
            <w:tcW w:w="879" w:type="dxa"/>
            <w:shd w:val="clear" w:color="auto" w:fill="D9EAF7"/>
            <w:tcMar>
              <w:top w:w="100" w:type="dxa"/>
              <w:left w:w="90" w:type="dxa"/>
              <w:bottom w:w="100" w:type="dxa"/>
              <w:right w:w="90" w:type="dxa"/>
            </w:tcMar>
            <w:vAlign w:val="center"/>
          </w:tcPr>
          <w:p w14:paraId="4A45ADA7"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Equity</w:t>
            </w:r>
          </w:p>
        </w:tc>
        <w:tc>
          <w:tcPr>
            <w:tcW w:w="879" w:type="dxa"/>
            <w:shd w:val="clear" w:color="auto" w:fill="D9EAF7"/>
            <w:tcMar>
              <w:top w:w="100" w:type="dxa"/>
              <w:left w:w="90" w:type="dxa"/>
              <w:bottom w:w="100" w:type="dxa"/>
              <w:right w:w="90" w:type="dxa"/>
            </w:tcMar>
            <w:vAlign w:val="center"/>
          </w:tcPr>
          <w:p w14:paraId="6E23CC29"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OCF</w:t>
            </w:r>
          </w:p>
        </w:tc>
        <w:tc>
          <w:tcPr>
            <w:tcW w:w="1110" w:type="dxa"/>
            <w:shd w:val="clear" w:color="auto" w:fill="D9EAF7"/>
            <w:tcMar>
              <w:top w:w="100" w:type="dxa"/>
              <w:left w:w="90" w:type="dxa"/>
              <w:bottom w:w="100" w:type="dxa"/>
              <w:right w:w="90" w:type="dxa"/>
            </w:tcMar>
            <w:vAlign w:val="center"/>
          </w:tcPr>
          <w:p w14:paraId="6E5C41B2"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Capex</w:t>
            </w:r>
          </w:p>
        </w:tc>
      </w:tr>
      <w:tr w:rsidR="00EB6BA2" w:rsidRPr="004F4A97" w14:paraId="42A15733" w14:textId="77777777" w:rsidTr="009E5697">
        <w:trPr>
          <w:jc w:val="center"/>
        </w:trPr>
        <w:tc>
          <w:tcPr>
            <w:tcW w:w="747" w:type="dxa"/>
            <w:tcMar>
              <w:top w:w="90" w:type="dxa"/>
              <w:left w:w="80" w:type="dxa"/>
              <w:bottom w:w="90" w:type="dxa"/>
              <w:right w:w="80" w:type="dxa"/>
            </w:tcMar>
            <w:vAlign w:val="center"/>
          </w:tcPr>
          <w:p w14:paraId="19304D94"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2,021</w:t>
            </w:r>
          </w:p>
        </w:tc>
        <w:tc>
          <w:tcPr>
            <w:tcW w:w="1120" w:type="dxa"/>
            <w:tcMar>
              <w:top w:w="90" w:type="dxa"/>
              <w:left w:w="80" w:type="dxa"/>
              <w:bottom w:w="90" w:type="dxa"/>
              <w:right w:w="80" w:type="dxa"/>
            </w:tcMar>
            <w:vAlign w:val="center"/>
          </w:tcPr>
          <w:p w14:paraId="6D1CD478"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53,823</w:t>
            </w:r>
          </w:p>
        </w:tc>
        <w:tc>
          <w:tcPr>
            <w:tcW w:w="937" w:type="dxa"/>
            <w:tcMar>
              <w:top w:w="90" w:type="dxa"/>
              <w:left w:w="80" w:type="dxa"/>
              <w:bottom w:w="90" w:type="dxa"/>
              <w:right w:w="80" w:type="dxa"/>
            </w:tcMar>
            <w:vAlign w:val="center"/>
          </w:tcPr>
          <w:p w14:paraId="060FF828"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5,519</w:t>
            </w:r>
          </w:p>
        </w:tc>
        <w:tc>
          <w:tcPr>
            <w:tcW w:w="1009" w:type="dxa"/>
            <w:tcMar>
              <w:top w:w="90" w:type="dxa"/>
              <w:left w:w="80" w:type="dxa"/>
              <w:bottom w:w="90" w:type="dxa"/>
              <w:right w:w="80" w:type="dxa"/>
            </w:tcMar>
            <w:vAlign w:val="center"/>
          </w:tcPr>
          <w:p w14:paraId="2DAFD40C"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62,131</w:t>
            </w:r>
          </w:p>
        </w:tc>
        <w:tc>
          <w:tcPr>
            <w:tcW w:w="963" w:type="dxa"/>
            <w:tcMar>
              <w:top w:w="90" w:type="dxa"/>
              <w:left w:w="80" w:type="dxa"/>
              <w:bottom w:w="90" w:type="dxa"/>
              <w:right w:w="80" w:type="dxa"/>
            </w:tcMar>
            <w:vAlign w:val="center"/>
          </w:tcPr>
          <w:p w14:paraId="4D66AF11"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27,100</w:t>
            </w:r>
          </w:p>
        </w:tc>
        <w:tc>
          <w:tcPr>
            <w:tcW w:w="1068" w:type="dxa"/>
            <w:tcMar>
              <w:top w:w="90" w:type="dxa"/>
              <w:left w:w="80" w:type="dxa"/>
              <w:bottom w:w="90" w:type="dxa"/>
              <w:right w:w="80" w:type="dxa"/>
            </w:tcMar>
            <w:vAlign w:val="center"/>
          </w:tcPr>
          <w:p w14:paraId="77570FCA"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19,705</w:t>
            </w:r>
          </w:p>
        </w:tc>
        <w:tc>
          <w:tcPr>
            <w:tcW w:w="1146" w:type="dxa"/>
            <w:tcMar>
              <w:top w:w="90" w:type="dxa"/>
              <w:left w:w="80" w:type="dxa"/>
              <w:bottom w:w="90" w:type="dxa"/>
              <w:right w:w="80" w:type="dxa"/>
            </w:tcMar>
            <w:vAlign w:val="center"/>
          </w:tcPr>
          <w:p w14:paraId="6205B8CF"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5,757</w:t>
            </w:r>
          </w:p>
        </w:tc>
        <w:tc>
          <w:tcPr>
            <w:tcW w:w="748" w:type="dxa"/>
            <w:tcMar>
              <w:top w:w="90" w:type="dxa"/>
              <w:left w:w="80" w:type="dxa"/>
              <w:bottom w:w="90" w:type="dxa"/>
              <w:right w:w="80" w:type="dxa"/>
            </w:tcMar>
            <w:vAlign w:val="center"/>
          </w:tcPr>
          <w:p w14:paraId="108FC3EE"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6,834</w:t>
            </w:r>
          </w:p>
        </w:tc>
        <w:tc>
          <w:tcPr>
            <w:tcW w:w="879" w:type="dxa"/>
            <w:tcMar>
              <w:top w:w="90" w:type="dxa"/>
              <w:left w:w="80" w:type="dxa"/>
              <w:bottom w:w="90" w:type="dxa"/>
              <w:right w:w="80" w:type="dxa"/>
            </w:tcMar>
            <w:vAlign w:val="center"/>
          </w:tcPr>
          <w:p w14:paraId="765C360F"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30,189</w:t>
            </w:r>
          </w:p>
        </w:tc>
        <w:tc>
          <w:tcPr>
            <w:tcW w:w="879" w:type="dxa"/>
            <w:tcMar>
              <w:top w:w="90" w:type="dxa"/>
              <w:left w:w="80" w:type="dxa"/>
              <w:bottom w:w="90" w:type="dxa"/>
              <w:right w:w="80" w:type="dxa"/>
            </w:tcMar>
            <w:vAlign w:val="center"/>
          </w:tcPr>
          <w:p w14:paraId="4A92CAEB"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11,497</w:t>
            </w:r>
          </w:p>
        </w:tc>
        <w:tc>
          <w:tcPr>
            <w:tcW w:w="1110" w:type="dxa"/>
            <w:tcMar>
              <w:top w:w="90" w:type="dxa"/>
              <w:left w:w="80" w:type="dxa"/>
              <w:bottom w:w="90" w:type="dxa"/>
              <w:right w:w="80" w:type="dxa"/>
            </w:tcMar>
            <w:vAlign w:val="center"/>
          </w:tcPr>
          <w:p w14:paraId="7C7F81BE"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6,482</w:t>
            </w:r>
          </w:p>
        </w:tc>
      </w:tr>
      <w:tr w:rsidR="00EB6BA2" w:rsidRPr="004F4A97" w14:paraId="1A54BC20" w14:textId="77777777" w:rsidTr="009E5697">
        <w:trPr>
          <w:jc w:val="center"/>
        </w:trPr>
        <w:tc>
          <w:tcPr>
            <w:tcW w:w="747" w:type="dxa"/>
            <w:tcMar>
              <w:top w:w="90" w:type="dxa"/>
              <w:left w:w="80" w:type="dxa"/>
              <w:bottom w:w="90" w:type="dxa"/>
              <w:right w:w="80" w:type="dxa"/>
            </w:tcMar>
            <w:vAlign w:val="center"/>
          </w:tcPr>
          <w:p w14:paraId="429B1F10"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2,022</w:t>
            </w:r>
          </w:p>
        </w:tc>
        <w:tc>
          <w:tcPr>
            <w:tcW w:w="1120" w:type="dxa"/>
            <w:tcMar>
              <w:top w:w="90" w:type="dxa"/>
              <w:left w:w="80" w:type="dxa"/>
              <w:bottom w:w="90" w:type="dxa"/>
              <w:right w:w="80" w:type="dxa"/>
            </w:tcMar>
            <w:vAlign w:val="center"/>
          </w:tcPr>
          <w:p w14:paraId="540372FE"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81,462</w:t>
            </w:r>
          </w:p>
        </w:tc>
        <w:tc>
          <w:tcPr>
            <w:tcW w:w="937" w:type="dxa"/>
            <w:tcMar>
              <w:top w:w="90" w:type="dxa"/>
              <w:left w:w="80" w:type="dxa"/>
              <w:bottom w:w="90" w:type="dxa"/>
              <w:right w:w="80" w:type="dxa"/>
            </w:tcMar>
            <w:vAlign w:val="center"/>
          </w:tcPr>
          <w:p w14:paraId="235F4D5F"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12,556</w:t>
            </w:r>
          </w:p>
        </w:tc>
        <w:tc>
          <w:tcPr>
            <w:tcW w:w="1009" w:type="dxa"/>
            <w:tcMar>
              <w:top w:w="90" w:type="dxa"/>
              <w:left w:w="80" w:type="dxa"/>
              <w:bottom w:w="90" w:type="dxa"/>
              <w:right w:w="80" w:type="dxa"/>
            </w:tcMar>
            <w:vAlign w:val="center"/>
          </w:tcPr>
          <w:p w14:paraId="1A27F9D9"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82,338</w:t>
            </w:r>
          </w:p>
        </w:tc>
        <w:tc>
          <w:tcPr>
            <w:tcW w:w="963" w:type="dxa"/>
            <w:tcMar>
              <w:top w:w="90" w:type="dxa"/>
              <w:left w:w="80" w:type="dxa"/>
              <w:bottom w:w="90" w:type="dxa"/>
              <w:right w:w="80" w:type="dxa"/>
            </w:tcMar>
            <w:vAlign w:val="center"/>
          </w:tcPr>
          <w:p w14:paraId="0AA8C67D"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40,917</w:t>
            </w:r>
          </w:p>
        </w:tc>
        <w:tc>
          <w:tcPr>
            <w:tcW w:w="1068" w:type="dxa"/>
            <w:tcMar>
              <w:top w:w="90" w:type="dxa"/>
              <w:left w:w="80" w:type="dxa"/>
              <w:bottom w:w="90" w:type="dxa"/>
              <w:right w:w="80" w:type="dxa"/>
            </w:tcMar>
            <w:vAlign w:val="center"/>
          </w:tcPr>
          <w:p w14:paraId="07D355EC"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26,709</w:t>
            </w:r>
          </w:p>
        </w:tc>
        <w:tc>
          <w:tcPr>
            <w:tcW w:w="1146" w:type="dxa"/>
            <w:tcMar>
              <w:top w:w="90" w:type="dxa"/>
              <w:left w:w="80" w:type="dxa"/>
              <w:bottom w:w="90" w:type="dxa"/>
              <w:right w:w="80" w:type="dxa"/>
            </w:tcMar>
            <w:vAlign w:val="center"/>
          </w:tcPr>
          <w:p w14:paraId="5193EE2A"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12,839</w:t>
            </w:r>
          </w:p>
        </w:tc>
        <w:tc>
          <w:tcPr>
            <w:tcW w:w="748" w:type="dxa"/>
            <w:tcMar>
              <w:top w:w="90" w:type="dxa"/>
              <w:left w:w="80" w:type="dxa"/>
              <w:bottom w:w="90" w:type="dxa"/>
              <w:right w:w="80" w:type="dxa"/>
            </w:tcMar>
            <w:vAlign w:val="center"/>
          </w:tcPr>
          <w:p w14:paraId="33249A46"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3,099</w:t>
            </w:r>
          </w:p>
        </w:tc>
        <w:tc>
          <w:tcPr>
            <w:tcW w:w="879" w:type="dxa"/>
            <w:tcMar>
              <w:top w:w="90" w:type="dxa"/>
              <w:left w:w="80" w:type="dxa"/>
              <w:bottom w:w="90" w:type="dxa"/>
              <w:right w:w="80" w:type="dxa"/>
            </w:tcMar>
            <w:vAlign w:val="center"/>
          </w:tcPr>
          <w:p w14:paraId="1E3F412E"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44,704</w:t>
            </w:r>
          </w:p>
        </w:tc>
        <w:tc>
          <w:tcPr>
            <w:tcW w:w="879" w:type="dxa"/>
            <w:tcMar>
              <w:top w:w="90" w:type="dxa"/>
              <w:left w:w="80" w:type="dxa"/>
              <w:bottom w:w="90" w:type="dxa"/>
              <w:right w:w="80" w:type="dxa"/>
            </w:tcMar>
            <w:vAlign w:val="center"/>
          </w:tcPr>
          <w:p w14:paraId="7BB43BB4"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14,724</w:t>
            </w:r>
          </w:p>
        </w:tc>
        <w:tc>
          <w:tcPr>
            <w:tcW w:w="1110" w:type="dxa"/>
            <w:tcMar>
              <w:top w:w="90" w:type="dxa"/>
              <w:left w:w="80" w:type="dxa"/>
              <w:bottom w:w="90" w:type="dxa"/>
              <w:right w:w="80" w:type="dxa"/>
            </w:tcMar>
            <w:vAlign w:val="center"/>
          </w:tcPr>
          <w:p w14:paraId="4C6358DC"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7,158</w:t>
            </w:r>
          </w:p>
        </w:tc>
      </w:tr>
      <w:tr w:rsidR="00EB6BA2" w:rsidRPr="004F4A97" w14:paraId="5059F18B" w14:textId="77777777" w:rsidTr="009E5697">
        <w:trPr>
          <w:jc w:val="center"/>
        </w:trPr>
        <w:tc>
          <w:tcPr>
            <w:tcW w:w="747" w:type="dxa"/>
            <w:tcMar>
              <w:top w:w="90" w:type="dxa"/>
              <w:left w:w="80" w:type="dxa"/>
              <w:bottom w:w="90" w:type="dxa"/>
              <w:right w:w="80" w:type="dxa"/>
            </w:tcMar>
            <w:vAlign w:val="center"/>
          </w:tcPr>
          <w:p w14:paraId="3FC1E70D"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2,023</w:t>
            </w:r>
          </w:p>
        </w:tc>
        <w:tc>
          <w:tcPr>
            <w:tcW w:w="1120" w:type="dxa"/>
            <w:tcMar>
              <w:top w:w="90" w:type="dxa"/>
              <w:left w:w="80" w:type="dxa"/>
              <w:bottom w:w="90" w:type="dxa"/>
              <w:right w:w="80" w:type="dxa"/>
            </w:tcMar>
            <w:vAlign w:val="center"/>
          </w:tcPr>
          <w:p w14:paraId="0CC9A5E2"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96,773</w:t>
            </w:r>
          </w:p>
        </w:tc>
        <w:tc>
          <w:tcPr>
            <w:tcW w:w="937" w:type="dxa"/>
            <w:tcMar>
              <w:top w:w="90" w:type="dxa"/>
              <w:left w:w="80" w:type="dxa"/>
              <w:bottom w:w="90" w:type="dxa"/>
              <w:right w:w="80" w:type="dxa"/>
            </w:tcMar>
            <w:vAlign w:val="center"/>
          </w:tcPr>
          <w:p w14:paraId="2EED7F82"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14,997</w:t>
            </w:r>
          </w:p>
        </w:tc>
        <w:tc>
          <w:tcPr>
            <w:tcW w:w="1009" w:type="dxa"/>
            <w:tcMar>
              <w:top w:w="90" w:type="dxa"/>
              <w:left w:w="80" w:type="dxa"/>
              <w:bottom w:w="90" w:type="dxa"/>
              <w:right w:w="80" w:type="dxa"/>
            </w:tcMar>
            <w:vAlign w:val="center"/>
          </w:tcPr>
          <w:p w14:paraId="68415EBD"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106,618</w:t>
            </w:r>
          </w:p>
        </w:tc>
        <w:tc>
          <w:tcPr>
            <w:tcW w:w="963" w:type="dxa"/>
            <w:tcMar>
              <w:top w:w="90" w:type="dxa"/>
              <w:left w:w="80" w:type="dxa"/>
              <w:bottom w:w="90" w:type="dxa"/>
              <w:right w:w="80" w:type="dxa"/>
            </w:tcMar>
            <w:vAlign w:val="center"/>
          </w:tcPr>
          <w:p w14:paraId="2EDC6190"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49,616</w:t>
            </w:r>
          </w:p>
        </w:tc>
        <w:tc>
          <w:tcPr>
            <w:tcW w:w="1068" w:type="dxa"/>
            <w:tcMar>
              <w:top w:w="90" w:type="dxa"/>
              <w:left w:w="80" w:type="dxa"/>
              <w:bottom w:w="90" w:type="dxa"/>
              <w:right w:w="80" w:type="dxa"/>
            </w:tcMar>
            <w:vAlign w:val="center"/>
          </w:tcPr>
          <w:p w14:paraId="5797902D"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28,748</w:t>
            </w:r>
          </w:p>
        </w:tc>
        <w:tc>
          <w:tcPr>
            <w:tcW w:w="1146" w:type="dxa"/>
            <w:tcMar>
              <w:top w:w="90" w:type="dxa"/>
              <w:left w:w="80" w:type="dxa"/>
              <w:bottom w:w="90" w:type="dxa"/>
              <w:right w:w="80" w:type="dxa"/>
            </w:tcMar>
            <w:vAlign w:val="center"/>
          </w:tcPr>
          <w:p w14:paraId="6C82F765"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13,626</w:t>
            </w:r>
          </w:p>
        </w:tc>
        <w:tc>
          <w:tcPr>
            <w:tcW w:w="748" w:type="dxa"/>
            <w:tcMar>
              <w:top w:w="90" w:type="dxa"/>
              <w:left w:w="80" w:type="dxa"/>
              <w:bottom w:w="90" w:type="dxa"/>
              <w:right w:w="80" w:type="dxa"/>
            </w:tcMar>
            <w:vAlign w:val="center"/>
          </w:tcPr>
          <w:p w14:paraId="7759D0DA"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5,230</w:t>
            </w:r>
          </w:p>
        </w:tc>
        <w:tc>
          <w:tcPr>
            <w:tcW w:w="879" w:type="dxa"/>
            <w:tcMar>
              <w:top w:w="90" w:type="dxa"/>
              <w:left w:w="80" w:type="dxa"/>
              <w:bottom w:w="90" w:type="dxa"/>
              <w:right w:w="80" w:type="dxa"/>
            </w:tcMar>
            <w:vAlign w:val="center"/>
          </w:tcPr>
          <w:p w14:paraId="4BAE4271"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62,634</w:t>
            </w:r>
          </w:p>
        </w:tc>
        <w:tc>
          <w:tcPr>
            <w:tcW w:w="879" w:type="dxa"/>
            <w:tcMar>
              <w:top w:w="90" w:type="dxa"/>
              <w:left w:w="80" w:type="dxa"/>
              <w:bottom w:w="90" w:type="dxa"/>
              <w:right w:w="80" w:type="dxa"/>
            </w:tcMar>
            <w:vAlign w:val="center"/>
          </w:tcPr>
          <w:p w14:paraId="7737BDA4"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13,256</w:t>
            </w:r>
          </w:p>
        </w:tc>
        <w:tc>
          <w:tcPr>
            <w:tcW w:w="1110" w:type="dxa"/>
            <w:tcMar>
              <w:top w:w="90" w:type="dxa"/>
              <w:left w:w="80" w:type="dxa"/>
              <w:bottom w:w="90" w:type="dxa"/>
              <w:right w:w="80" w:type="dxa"/>
            </w:tcMar>
            <w:vAlign w:val="center"/>
          </w:tcPr>
          <w:p w14:paraId="30733F8E"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8,898</w:t>
            </w:r>
          </w:p>
        </w:tc>
      </w:tr>
      <w:tr w:rsidR="00EB6BA2" w:rsidRPr="004F4A97" w14:paraId="59AE5027" w14:textId="77777777" w:rsidTr="009E5697">
        <w:trPr>
          <w:jc w:val="center"/>
        </w:trPr>
        <w:tc>
          <w:tcPr>
            <w:tcW w:w="747" w:type="dxa"/>
            <w:tcMar>
              <w:top w:w="90" w:type="dxa"/>
              <w:left w:w="80" w:type="dxa"/>
              <w:bottom w:w="90" w:type="dxa"/>
              <w:right w:w="80" w:type="dxa"/>
            </w:tcMar>
            <w:vAlign w:val="center"/>
          </w:tcPr>
          <w:p w14:paraId="25943BDD"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2,024</w:t>
            </w:r>
          </w:p>
        </w:tc>
        <w:tc>
          <w:tcPr>
            <w:tcW w:w="1120" w:type="dxa"/>
            <w:tcMar>
              <w:top w:w="90" w:type="dxa"/>
              <w:left w:w="80" w:type="dxa"/>
              <w:bottom w:w="90" w:type="dxa"/>
              <w:right w:w="80" w:type="dxa"/>
            </w:tcMar>
            <w:vAlign w:val="center"/>
          </w:tcPr>
          <w:p w14:paraId="42C94302"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97,690</w:t>
            </w:r>
          </w:p>
        </w:tc>
        <w:tc>
          <w:tcPr>
            <w:tcW w:w="937" w:type="dxa"/>
            <w:tcMar>
              <w:top w:w="90" w:type="dxa"/>
              <w:left w:w="80" w:type="dxa"/>
              <w:bottom w:w="90" w:type="dxa"/>
              <w:right w:w="80" w:type="dxa"/>
            </w:tcMar>
            <w:vAlign w:val="center"/>
          </w:tcPr>
          <w:p w14:paraId="3E1C86A2"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7,091</w:t>
            </w:r>
          </w:p>
        </w:tc>
        <w:tc>
          <w:tcPr>
            <w:tcW w:w="1009" w:type="dxa"/>
            <w:tcMar>
              <w:top w:w="90" w:type="dxa"/>
              <w:left w:w="80" w:type="dxa"/>
              <w:bottom w:w="90" w:type="dxa"/>
              <w:right w:w="80" w:type="dxa"/>
            </w:tcMar>
            <w:vAlign w:val="center"/>
          </w:tcPr>
          <w:p w14:paraId="6765C5B2"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122,070</w:t>
            </w:r>
          </w:p>
        </w:tc>
        <w:tc>
          <w:tcPr>
            <w:tcW w:w="963" w:type="dxa"/>
            <w:tcMar>
              <w:top w:w="90" w:type="dxa"/>
              <w:left w:w="80" w:type="dxa"/>
              <w:bottom w:w="90" w:type="dxa"/>
              <w:right w:w="80" w:type="dxa"/>
            </w:tcMar>
            <w:vAlign w:val="center"/>
          </w:tcPr>
          <w:p w14:paraId="465E3D7E"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58,360</w:t>
            </w:r>
          </w:p>
        </w:tc>
        <w:tc>
          <w:tcPr>
            <w:tcW w:w="1068" w:type="dxa"/>
            <w:tcMar>
              <w:top w:w="90" w:type="dxa"/>
              <w:left w:w="80" w:type="dxa"/>
              <w:bottom w:w="90" w:type="dxa"/>
              <w:right w:w="80" w:type="dxa"/>
            </w:tcMar>
            <w:vAlign w:val="center"/>
          </w:tcPr>
          <w:p w14:paraId="2869DFF8"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28,821</w:t>
            </w:r>
          </w:p>
        </w:tc>
        <w:tc>
          <w:tcPr>
            <w:tcW w:w="1146" w:type="dxa"/>
            <w:tcMar>
              <w:top w:w="90" w:type="dxa"/>
              <w:left w:w="80" w:type="dxa"/>
              <w:bottom w:w="90" w:type="dxa"/>
              <w:right w:w="80" w:type="dxa"/>
            </w:tcMar>
            <w:vAlign w:val="center"/>
          </w:tcPr>
          <w:p w14:paraId="00C1F4BB"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12,017</w:t>
            </w:r>
          </w:p>
        </w:tc>
        <w:tc>
          <w:tcPr>
            <w:tcW w:w="748" w:type="dxa"/>
            <w:tcMar>
              <w:top w:w="90" w:type="dxa"/>
              <w:left w:w="80" w:type="dxa"/>
              <w:bottom w:w="90" w:type="dxa"/>
              <w:right w:w="80" w:type="dxa"/>
            </w:tcMar>
            <w:vAlign w:val="center"/>
          </w:tcPr>
          <w:p w14:paraId="2BD64FEC"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8,213</w:t>
            </w:r>
          </w:p>
        </w:tc>
        <w:tc>
          <w:tcPr>
            <w:tcW w:w="879" w:type="dxa"/>
            <w:tcMar>
              <w:top w:w="90" w:type="dxa"/>
              <w:left w:w="80" w:type="dxa"/>
              <w:bottom w:w="90" w:type="dxa"/>
              <w:right w:w="80" w:type="dxa"/>
            </w:tcMar>
            <w:vAlign w:val="center"/>
          </w:tcPr>
          <w:p w14:paraId="57C4EE18"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72,913</w:t>
            </w:r>
          </w:p>
        </w:tc>
        <w:tc>
          <w:tcPr>
            <w:tcW w:w="879" w:type="dxa"/>
            <w:tcMar>
              <w:top w:w="90" w:type="dxa"/>
              <w:left w:w="80" w:type="dxa"/>
              <w:bottom w:w="90" w:type="dxa"/>
              <w:right w:w="80" w:type="dxa"/>
            </w:tcMar>
            <w:vAlign w:val="center"/>
          </w:tcPr>
          <w:p w14:paraId="38EF0080"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14,923</w:t>
            </w:r>
          </w:p>
        </w:tc>
        <w:tc>
          <w:tcPr>
            <w:tcW w:w="1110" w:type="dxa"/>
            <w:tcMar>
              <w:top w:w="90" w:type="dxa"/>
              <w:left w:w="80" w:type="dxa"/>
              <w:bottom w:w="90" w:type="dxa"/>
              <w:right w:w="80" w:type="dxa"/>
            </w:tcMar>
            <w:vAlign w:val="center"/>
          </w:tcPr>
          <w:p w14:paraId="43F2EE57"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11,339</w:t>
            </w:r>
          </w:p>
        </w:tc>
      </w:tr>
      <w:tr w:rsidR="00EB6BA2" w:rsidRPr="004F4A97" w14:paraId="30146558" w14:textId="77777777" w:rsidTr="009E5697">
        <w:trPr>
          <w:jc w:val="center"/>
        </w:trPr>
        <w:tc>
          <w:tcPr>
            <w:tcW w:w="747" w:type="dxa"/>
            <w:tcMar>
              <w:top w:w="90" w:type="dxa"/>
              <w:left w:w="80" w:type="dxa"/>
              <w:bottom w:w="90" w:type="dxa"/>
              <w:right w:w="80" w:type="dxa"/>
            </w:tcMar>
            <w:vAlign w:val="center"/>
          </w:tcPr>
          <w:p w14:paraId="0F45CC20"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2,025</w:t>
            </w:r>
          </w:p>
        </w:tc>
        <w:tc>
          <w:tcPr>
            <w:tcW w:w="1120" w:type="dxa"/>
            <w:tcMar>
              <w:top w:w="90" w:type="dxa"/>
              <w:left w:w="80" w:type="dxa"/>
              <w:bottom w:w="90" w:type="dxa"/>
              <w:right w:w="80" w:type="dxa"/>
            </w:tcMar>
            <w:vAlign w:val="center"/>
          </w:tcPr>
          <w:p w14:paraId="03B4A6F2"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94,827</w:t>
            </w:r>
          </w:p>
        </w:tc>
        <w:tc>
          <w:tcPr>
            <w:tcW w:w="937" w:type="dxa"/>
            <w:tcMar>
              <w:top w:w="90" w:type="dxa"/>
              <w:left w:w="80" w:type="dxa"/>
              <w:bottom w:w="90" w:type="dxa"/>
              <w:right w:w="80" w:type="dxa"/>
            </w:tcMar>
            <w:vAlign w:val="center"/>
          </w:tcPr>
          <w:p w14:paraId="447531AF"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3,794</w:t>
            </w:r>
          </w:p>
        </w:tc>
        <w:tc>
          <w:tcPr>
            <w:tcW w:w="1009" w:type="dxa"/>
            <w:tcMar>
              <w:top w:w="90" w:type="dxa"/>
              <w:left w:w="80" w:type="dxa"/>
              <w:bottom w:w="90" w:type="dxa"/>
              <w:right w:w="80" w:type="dxa"/>
            </w:tcMar>
            <w:vAlign w:val="center"/>
          </w:tcPr>
          <w:p w14:paraId="5EFFE103"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137,806</w:t>
            </w:r>
          </w:p>
        </w:tc>
        <w:tc>
          <w:tcPr>
            <w:tcW w:w="963" w:type="dxa"/>
            <w:tcMar>
              <w:top w:w="90" w:type="dxa"/>
              <w:left w:w="80" w:type="dxa"/>
              <w:bottom w:w="90" w:type="dxa"/>
              <w:right w:w="80" w:type="dxa"/>
            </w:tcMar>
            <w:vAlign w:val="center"/>
          </w:tcPr>
          <w:p w14:paraId="19681326"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68,642</w:t>
            </w:r>
          </w:p>
        </w:tc>
        <w:tc>
          <w:tcPr>
            <w:tcW w:w="1068" w:type="dxa"/>
            <w:tcMar>
              <w:top w:w="90" w:type="dxa"/>
              <w:left w:w="80" w:type="dxa"/>
              <w:bottom w:w="90" w:type="dxa"/>
              <w:right w:w="80" w:type="dxa"/>
            </w:tcMar>
            <w:vAlign w:val="center"/>
          </w:tcPr>
          <w:p w14:paraId="48B3513A"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31,714</w:t>
            </w:r>
          </w:p>
        </w:tc>
        <w:tc>
          <w:tcPr>
            <w:tcW w:w="1146" w:type="dxa"/>
            <w:tcMar>
              <w:top w:w="90" w:type="dxa"/>
              <w:left w:w="80" w:type="dxa"/>
              <w:bottom w:w="90" w:type="dxa"/>
              <w:right w:w="80" w:type="dxa"/>
            </w:tcMar>
            <w:vAlign w:val="center"/>
          </w:tcPr>
          <w:p w14:paraId="223FEF4B"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12,392</w:t>
            </w:r>
          </w:p>
        </w:tc>
        <w:tc>
          <w:tcPr>
            <w:tcW w:w="748" w:type="dxa"/>
            <w:tcMar>
              <w:top w:w="90" w:type="dxa"/>
              <w:left w:w="80" w:type="dxa"/>
              <w:bottom w:w="90" w:type="dxa"/>
              <w:right w:w="80" w:type="dxa"/>
            </w:tcMar>
            <w:vAlign w:val="center"/>
          </w:tcPr>
          <w:p w14:paraId="09CBE631"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8,376</w:t>
            </w:r>
          </w:p>
        </w:tc>
        <w:tc>
          <w:tcPr>
            <w:tcW w:w="879" w:type="dxa"/>
            <w:tcMar>
              <w:top w:w="90" w:type="dxa"/>
              <w:left w:w="80" w:type="dxa"/>
              <w:bottom w:w="90" w:type="dxa"/>
              <w:right w:w="80" w:type="dxa"/>
            </w:tcMar>
            <w:vAlign w:val="center"/>
          </w:tcPr>
          <w:p w14:paraId="6E4AA663"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82,137</w:t>
            </w:r>
          </w:p>
        </w:tc>
        <w:tc>
          <w:tcPr>
            <w:tcW w:w="879" w:type="dxa"/>
            <w:tcMar>
              <w:top w:w="90" w:type="dxa"/>
              <w:left w:w="80" w:type="dxa"/>
              <w:bottom w:w="90" w:type="dxa"/>
              <w:right w:w="80" w:type="dxa"/>
            </w:tcMar>
            <w:vAlign w:val="center"/>
          </w:tcPr>
          <w:p w14:paraId="40DE13D5"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14,747</w:t>
            </w:r>
          </w:p>
        </w:tc>
        <w:tc>
          <w:tcPr>
            <w:tcW w:w="1110" w:type="dxa"/>
            <w:tcMar>
              <w:top w:w="90" w:type="dxa"/>
              <w:left w:w="80" w:type="dxa"/>
              <w:bottom w:w="90" w:type="dxa"/>
              <w:right w:w="80" w:type="dxa"/>
            </w:tcMar>
            <w:vAlign w:val="center"/>
          </w:tcPr>
          <w:p w14:paraId="22ABB390"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8,527</w:t>
            </w:r>
          </w:p>
        </w:tc>
      </w:tr>
    </w:tbl>
    <w:p w14:paraId="5CE35F96" w14:textId="77777777" w:rsidR="003D3CBD" w:rsidRPr="004F4A97" w:rsidRDefault="003D3CBD" w:rsidP="009E5697">
      <w:pPr>
        <w:spacing w:line="360" w:lineRule="auto"/>
        <w:jc w:val="left"/>
        <w:rPr>
          <w:rFonts w:ascii="Arial" w:hAnsi="Arial" w:cs="Arial"/>
          <w:sz w:val="24"/>
          <w:szCs w:val="24"/>
        </w:rPr>
      </w:pPr>
    </w:p>
    <w:p w14:paraId="1980A621" w14:textId="69D64A0A"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Source: calculations based on Tesla annual reports for 2021-2025.</w:t>
      </w:r>
    </w:p>
    <w:p w14:paraId="77720C90"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noProof/>
          <w:sz w:val="24"/>
          <w:szCs w:val="24"/>
        </w:rPr>
        <w:lastRenderedPageBreak/>
        <w:drawing>
          <wp:inline distT="0" distB="0" distL="0" distR="0" wp14:anchorId="2AEE033C" wp14:editId="07FEF1B6">
            <wp:extent cx="5852160" cy="3511296"/>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evenue_netincome.png"/>
                    <pic:cNvPicPr/>
                  </pic:nvPicPr>
                  <pic:blipFill>
                    <a:blip r:embed="rId9"/>
                    <a:stretch>
                      <a:fillRect/>
                    </a:stretch>
                  </pic:blipFill>
                  <pic:spPr>
                    <a:xfrm>
                      <a:off x="0" y="0"/>
                      <a:ext cx="5852160" cy="3511296"/>
                    </a:xfrm>
                    <a:prstGeom prst="rect">
                      <a:avLst/>
                    </a:prstGeom>
                  </pic:spPr>
                </pic:pic>
              </a:graphicData>
            </a:graphic>
          </wp:inline>
        </w:drawing>
      </w:r>
    </w:p>
    <w:p w14:paraId="6D58E293"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Figure 1. Revenue continued to expand into 2024, but net income deteriorated sharply in 2024-2025.</w:t>
      </w:r>
    </w:p>
    <w:p w14:paraId="05F921C2" w14:textId="77777777" w:rsidR="00EB6BA2" w:rsidRPr="004F4A97" w:rsidRDefault="00000000" w:rsidP="009E5697">
      <w:pPr>
        <w:pStyle w:val="Heading2"/>
        <w:spacing w:after="60" w:line="360" w:lineRule="auto"/>
        <w:jc w:val="left"/>
        <w:rPr>
          <w:rFonts w:ascii="Arial" w:hAnsi="Arial" w:cs="Arial"/>
          <w:sz w:val="24"/>
          <w:szCs w:val="24"/>
        </w:rPr>
      </w:pPr>
      <w:bookmarkStart w:id="6" w:name="_Toc225448329"/>
      <w:bookmarkStart w:id="7" w:name="_Toc225450233"/>
      <w:r w:rsidRPr="004F4A97">
        <w:rPr>
          <w:rFonts w:ascii="Arial" w:hAnsi="Arial" w:cs="Arial"/>
          <w:sz w:val="24"/>
          <w:szCs w:val="24"/>
        </w:rPr>
        <w:t>Overall financial interpretation</w:t>
      </w:r>
      <w:bookmarkEnd w:id="6"/>
      <w:bookmarkEnd w:id="7"/>
    </w:p>
    <w:p w14:paraId="4190C8CC"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Tesla’s five-year financial profile divides into two clearly different phases. Between 2021 and 2023, the company scaled rapidly: revenue grew from $53.8 billion to $96.8 billion, net income increased from $5.5 billion to $15.0 billion, and equity more than doubled. Between 2024 and 2025, however, the quality of that expansion weakened. Revenue rose only marginally in 2024 and then fell in 2025, while net income dropped to $7.1 billion and then $3.8 billion. The CFO significance is immediate: Tesla is not facing a demand collapse severe enough to undermine liquidity, but it is facing a return-on-capital problem severe enough to reshape investment policy.</w:t>
      </w:r>
    </w:p>
    <w:p w14:paraId="6A741239"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The expansion in total assets from $62.1 billion in 2021 to $137.8 billion in 2025 demonstrates that Tesla kept investing through the cycle. That can be rational if the company is building an asset base that will produce future excess returns. Yet the later ratios indicate that this has become harder to defend. The key strategic challenge is therefore not whether Tesla can continue to grow physically, but whether each additional dollar of assets still generates acceptable earnings and cash return relative to its opportunity cost.</w:t>
      </w:r>
    </w:p>
    <w:p w14:paraId="01EC05EE" w14:textId="77777777" w:rsidR="00EB6BA2" w:rsidRPr="004F4A97" w:rsidRDefault="00000000" w:rsidP="009E5697">
      <w:pPr>
        <w:pStyle w:val="Heading2"/>
        <w:spacing w:after="60" w:line="360" w:lineRule="auto"/>
        <w:jc w:val="left"/>
        <w:rPr>
          <w:rFonts w:ascii="Arial" w:hAnsi="Arial" w:cs="Arial"/>
          <w:sz w:val="24"/>
          <w:szCs w:val="24"/>
        </w:rPr>
      </w:pPr>
      <w:bookmarkStart w:id="8" w:name="_Toc225448330"/>
      <w:bookmarkStart w:id="9" w:name="_Toc225450234"/>
      <w:r w:rsidRPr="004F4A97">
        <w:rPr>
          <w:rFonts w:ascii="Arial" w:hAnsi="Arial" w:cs="Arial"/>
          <w:sz w:val="24"/>
          <w:szCs w:val="24"/>
        </w:rPr>
        <w:lastRenderedPageBreak/>
        <w:t>Profitability ratios</w:t>
      </w:r>
      <w:bookmarkEnd w:id="8"/>
      <w:bookmarkEnd w:id="9"/>
    </w:p>
    <w:p w14:paraId="56AC1A2E" w14:textId="77777777" w:rsidR="00EB6BA2" w:rsidRPr="004F4A97" w:rsidRDefault="00000000" w:rsidP="009E5697">
      <w:pPr>
        <w:pStyle w:val="Heading3"/>
        <w:spacing w:line="360" w:lineRule="auto"/>
        <w:jc w:val="left"/>
        <w:rPr>
          <w:rFonts w:ascii="Arial" w:hAnsi="Arial" w:cs="Arial"/>
        </w:rPr>
      </w:pPr>
      <w:bookmarkStart w:id="10" w:name="_Toc225448331"/>
      <w:bookmarkStart w:id="11" w:name="_Toc225450235"/>
      <w:r w:rsidRPr="004F4A97">
        <w:rPr>
          <w:rFonts w:ascii="Arial" w:hAnsi="Arial" w:cs="Arial"/>
        </w:rPr>
        <w:t>Table 2. Profitability and cash-generation ratios</w:t>
      </w:r>
      <w:bookmarkEnd w:id="10"/>
      <w:bookmarkEnd w:id="11"/>
    </w:p>
    <w:tbl>
      <w:tblPr>
        <w:tblStyle w:val="TableGrid"/>
        <w:tblW w:w="0" w:type="auto"/>
        <w:jc w:val="center"/>
        <w:tblLook w:val="04A0" w:firstRow="1" w:lastRow="0" w:firstColumn="1" w:lastColumn="0" w:noHBand="0" w:noVBand="1"/>
      </w:tblPr>
      <w:tblGrid>
        <w:gridCol w:w="1408"/>
        <w:gridCol w:w="1408"/>
        <w:gridCol w:w="1408"/>
        <w:gridCol w:w="1408"/>
        <w:gridCol w:w="1408"/>
        <w:gridCol w:w="1408"/>
        <w:gridCol w:w="1408"/>
      </w:tblGrid>
      <w:tr w:rsidR="00EB6BA2" w:rsidRPr="004F4A97" w14:paraId="5A08F9FC" w14:textId="77777777">
        <w:trPr>
          <w:jc w:val="center"/>
        </w:trPr>
        <w:tc>
          <w:tcPr>
            <w:tcW w:w="1408" w:type="dxa"/>
            <w:shd w:val="clear" w:color="auto" w:fill="D9EAF7"/>
            <w:tcMar>
              <w:top w:w="90" w:type="dxa"/>
              <w:left w:w="90" w:type="dxa"/>
              <w:bottom w:w="90" w:type="dxa"/>
              <w:right w:w="90" w:type="dxa"/>
            </w:tcMar>
          </w:tcPr>
          <w:p w14:paraId="237542B0"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Ratio</w:t>
            </w:r>
          </w:p>
        </w:tc>
        <w:tc>
          <w:tcPr>
            <w:tcW w:w="1408" w:type="dxa"/>
            <w:shd w:val="clear" w:color="auto" w:fill="D9EAF7"/>
            <w:tcMar>
              <w:top w:w="90" w:type="dxa"/>
              <w:left w:w="90" w:type="dxa"/>
              <w:bottom w:w="90" w:type="dxa"/>
              <w:right w:w="90" w:type="dxa"/>
            </w:tcMar>
          </w:tcPr>
          <w:p w14:paraId="648C1A99"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2021</w:t>
            </w:r>
          </w:p>
        </w:tc>
        <w:tc>
          <w:tcPr>
            <w:tcW w:w="1408" w:type="dxa"/>
            <w:shd w:val="clear" w:color="auto" w:fill="D9EAF7"/>
            <w:tcMar>
              <w:top w:w="90" w:type="dxa"/>
              <w:left w:w="90" w:type="dxa"/>
              <w:bottom w:w="90" w:type="dxa"/>
              <w:right w:w="90" w:type="dxa"/>
            </w:tcMar>
          </w:tcPr>
          <w:p w14:paraId="6DE5566A"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2022</w:t>
            </w:r>
          </w:p>
        </w:tc>
        <w:tc>
          <w:tcPr>
            <w:tcW w:w="1408" w:type="dxa"/>
            <w:shd w:val="clear" w:color="auto" w:fill="D9EAF7"/>
            <w:tcMar>
              <w:top w:w="90" w:type="dxa"/>
              <w:left w:w="90" w:type="dxa"/>
              <w:bottom w:w="90" w:type="dxa"/>
              <w:right w:w="90" w:type="dxa"/>
            </w:tcMar>
          </w:tcPr>
          <w:p w14:paraId="123123DC"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2023</w:t>
            </w:r>
          </w:p>
        </w:tc>
        <w:tc>
          <w:tcPr>
            <w:tcW w:w="1408" w:type="dxa"/>
            <w:shd w:val="clear" w:color="auto" w:fill="D9EAF7"/>
            <w:tcMar>
              <w:top w:w="90" w:type="dxa"/>
              <w:left w:w="90" w:type="dxa"/>
              <w:bottom w:w="90" w:type="dxa"/>
              <w:right w:w="90" w:type="dxa"/>
            </w:tcMar>
          </w:tcPr>
          <w:p w14:paraId="02397270"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2024</w:t>
            </w:r>
          </w:p>
        </w:tc>
        <w:tc>
          <w:tcPr>
            <w:tcW w:w="1408" w:type="dxa"/>
            <w:shd w:val="clear" w:color="auto" w:fill="D9EAF7"/>
            <w:tcMar>
              <w:top w:w="90" w:type="dxa"/>
              <w:left w:w="90" w:type="dxa"/>
              <w:bottom w:w="90" w:type="dxa"/>
              <w:right w:w="90" w:type="dxa"/>
            </w:tcMar>
          </w:tcPr>
          <w:p w14:paraId="70E7D90C"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2025</w:t>
            </w:r>
          </w:p>
        </w:tc>
        <w:tc>
          <w:tcPr>
            <w:tcW w:w="1408" w:type="dxa"/>
            <w:shd w:val="clear" w:color="auto" w:fill="D9EAF7"/>
            <w:tcMar>
              <w:top w:w="90" w:type="dxa"/>
              <w:left w:w="90" w:type="dxa"/>
              <w:bottom w:w="90" w:type="dxa"/>
              <w:right w:w="90" w:type="dxa"/>
            </w:tcMar>
          </w:tcPr>
          <w:p w14:paraId="097EA191"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YoY signal</w:t>
            </w:r>
          </w:p>
        </w:tc>
      </w:tr>
      <w:tr w:rsidR="00EB6BA2" w:rsidRPr="004F4A97" w14:paraId="657B2BCA" w14:textId="77777777">
        <w:trPr>
          <w:jc w:val="center"/>
        </w:trPr>
        <w:tc>
          <w:tcPr>
            <w:tcW w:w="1408" w:type="dxa"/>
            <w:tcMar>
              <w:top w:w="90" w:type="dxa"/>
              <w:left w:w="90" w:type="dxa"/>
              <w:bottom w:w="90" w:type="dxa"/>
              <w:right w:w="90" w:type="dxa"/>
            </w:tcMar>
          </w:tcPr>
          <w:p w14:paraId="256B2F3C"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Net profit margin %</w:t>
            </w:r>
          </w:p>
        </w:tc>
        <w:tc>
          <w:tcPr>
            <w:tcW w:w="1408" w:type="dxa"/>
            <w:tcMar>
              <w:top w:w="90" w:type="dxa"/>
              <w:left w:w="90" w:type="dxa"/>
              <w:bottom w:w="90" w:type="dxa"/>
              <w:right w:w="90" w:type="dxa"/>
            </w:tcMar>
          </w:tcPr>
          <w:p w14:paraId="1BFFDFD9"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10.3</w:t>
            </w:r>
          </w:p>
        </w:tc>
        <w:tc>
          <w:tcPr>
            <w:tcW w:w="1408" w:type="dxa"/>
            <w:tcMar>
              <w:top w:w="90" w:type="dxa"/>
              <w:left w:w="90" w:type="dxa"/>
              <w:bottom w:w="90" w:type="dxa"/>
              <w:right w:w="90" w:type="dxa"/>
            </w:tcMar>
          </w:tcPr>
          <w:p w14:paraId="423B5383"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15.4</w:t>
            </w:r>
          </w:p>
        </w:tc>
        <w:tc>
          <w:tcPr>
            <w:tcW w:w="1408" w:type="dxa"/>
            <w:tcMar>
              <w:top w:w="90" w:type="dxa"/>
              <w:left w:w="90" w:type="dxa"/>
              <w:bottom w:w="90" w:type="dxa"/>
              <w:right w:w="90" w:type="dxa"/>
            </w:tcMar>
          </w:tcPr>
          <w:p w14:paraId="78FF8D98"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15.5</w:t>
            </w:r>
          </w:p>
        </w:tc>
        <w:tc>
          <w:tcPr>
            <w:tcW w:w="1408" w:type="dxa"/>
            <w:tcMar>
              <w:top w:w="90" w:type="dxa"/>
              <w:left w:w="90" w:type="dxa"/>
              <w:bottom w:w="90" w:type="dxa"/>
              <w:right w:w="90" w:type="dxa"/>
            </w:tcMar>
          </w:tcPr>
          <w:p w14:paraId="7EE80B95"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7.3</w:t>
            </w:r>
          </w:p>
        </w:tc>
        <w:tc>
          <w:tcPr>
            <w:tcW w:w="1408" w:type="dxa"/>
            <w:tcMar>
              <w:top w:w="90" w:type="dxa"/>
              <w:left w:w="90" w:type="dxa"/>
              <w:bottom w:w="90" w:type="dxa"/>
              <w:right w:w="90" w:type="dxa"/>
            </w:tcMar>
          </w:tcPr>
          <w:p w14:paraId="27114DA3"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4.0</w:t>
            </w:r>
          </w:p>
        </w:tc>
        <w:tc>
          <w:tcPr>
            <w:tcW w:w="1408" w:type="dxa"/>
            <w:tcMar>
              <w:top w:w="90" w:type="dxa"/>
              <w:left w:w="90" w:type="dxa"/>
              <w:bottom w:w="90" w:type="dxa"/>
              <w:right w:w="90" w:type="dxa"/>
            </w:tcMar>
          </w:tcPr>
          <w:p w14:paraId="5DDC3F74"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10.3 -&gt; 15.5 -&gt; 4.0</w:t>
            </w:r>
          </w:p>
        </w:tc>
      </w:tr>
      <w:tr w:rsidR="00EB6BA2" w:rsidRPr="004F4A97" w14:paraId="515E844B" w14:textId="77777777">
        <w:trPr>
          <w:jc w:val="center"/>
        </w:trPr>
        <w:tc>
          <w:tcPr>
            <w:tcW w:w="1408" w:type="dxa"/>
            <w:tcMar>
              <w:top w:w="90" w:type="dxa"/>
              <w:left w:w="90" w:type="dxa"/>
              <w:bottom w:w="90" w:type="dxa"/>
              <w:right w:w="90" w:type="dxa"/>
            </w:tcMar>
          </w:tcPr>
          <w:p w14:paraId="414BDEBE"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ROA %</w:t>
            </w:r>
          </w:p>
        </w:tc>
        <w:tc>
          <w:tcPr>
            <w:tcW w:w="1408" w:type="dxa"/>
            <w:tcMar>
              <w:top w:w="90" w:type="dxa"/>
              <w:left w:w="90" w:type="dxa"/>
              <w:bottom w:w="90" w:type="dxa"/>
              <w:right w:w="90" w:type="dxa"/>
            </w:tcMar>
          </w:tcPr>
          <w:p w14:paraId="16ACEA41"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8.9</w:t>
            </w:r>
          </w:p>
        </w:tc>
        <w:tc>
          <w:tcPr>
            <w:tcW w:w="1408" w:type="dxa"/>
            <w:tcMar>
              <w:top w:w="90" w:type="dxa"/>
              <w:left w:w="90" w:type="dxa"/>
              <w:bottom w:w="90" w:type="dxa"/>
              <w:right w:w="90" w:type="dxa"/>
            </w:tcMar>
          </w:tcPr>
          <w:p w14:paraId="02A3812E"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15.2</w:t>
            </w:r>
          </w:p>
        </w:tc>
        <w:tc>
          <w:tcPr>
            <w:tcW w:w="1408" w:type="dxa"/>
            <w:tcMar>
              <w:top w:w="90" w:type="dxa"/>
              <w:left w:w="90" w:type="dxa"/>
              <w:bottom w:w="90" w:type="dxa"/>
              <w:right w:w="90" w:type="dxa"/>
            </w:tcMar>
          </w:tcPr>
          <w:p w14:paraId="559F72B7"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14.1</w:t>
            </w:r>
          </w:p>
        </w:tc>
        <w:tc>
          <w:tcPr>
            <w:tcW w:w="1408" w:type="dxa"/>
            <w:tcMar>
              <w:top w:w="90" w:type="dxa"/>
              <w:left w:w="90" w:type="dxa"/>
              <w:bottom w:w="90" w:type="dxa"/>
              <w:right w:w="90" w:type="dxa"/>
            </w:tcMar>
          </w:tcPr>
          <w:p w14:paraId="6100A861"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5.8</w:t>
            </w:r>
          </w:p>
        </w:tc>
        <w:tc>
          <w:tcPr>
            <w:tcW w:w="1408" w:type="dxa"/>
            <w:tcMar>
              <w:top w:w="90" w:type="dxa"/>
              <w:left w:w="90" w:type="dxa"/>
              <w:bottom w:w="90" w:type="dxa"/>
              <w:right w:w="90" w:type="dxa"/>
            </w:tcMar>
          </w:tcPr>
          <w:p w14:paraId="7148702B"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2.8</w:t>
            </w:r>
          </w:p>
        </w:tc>
        <w:tc>
          <w:tcPr>
            <w:tcW w:w="1408" w:type="dxa"/>
            <w:tcMar>
              <w:top w:w="90" w:type="dxa"/>
              <w:left w:w="90" w:type="dxa"/>
              <w:bottom w:w="90" w:type="dxa"/>
              <w:right w:w="90" w:type="dxa"/>
            </w:tcMar>
          </w:tcPr>
          <w:p w14:paraId="03042726"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8.9 -&gt; 15.3 -&gt; 2.8</w:t>
            </w:r>
          </w:p>
        </w:tc>
      </w:tr>
      <w:tr w:rsidR="00EB6BA2" w:rsidRPr="004F4A97" w14:paraId="251B1179" w14:textId="77777777">
        <w:trPr>
          <w:jc w:val="center"/>
        </w:trPr>
        <w:tc>
          <w:tcPr>
            <w:tcW w:w="1408" w:type="dxa"/>
            <w:tcMar>
              <w:top w:w="90" w:type="dxa"/>
              <w:left w:w="90" w:type="dxa"/>
              <w:bottom w:w="90" w:type="dxa"/>
              <w:right w:w="90" w:type="dxa"/>
            </w:tcMar>
          </w:tcPr>
          <w:p w14:paraId="32060086"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ROE %</w:t>
            </w:r>
          </w:p>
        </w:tc>
        <w:tc>
          <w:tcPr>
            <w:tcW w:w="1408" w:type="dxa"/>
            <w:tcMar>
              <w:top w:w="90" w:type="dxa"/>
              <w:left w:w="90" w:type="dxa"/>
              <w:bottom w:w="90" w:type="dxa"/>
              <w:right w:w="90" w:type="dxa"/>
            </w:tcMar>
          </w:tcPr>
          <w:p w14:paraId="2B4EE5E7"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18.3</w:t>
            </w:r>
          </w:p>
        </w:tc>
        <w:tc>
          <w:tcPr>
            <w:tcW w:w="1408" w:type="dxa"/>
            <w:tcMar>
              <w:top w:w="90" w:type="dxa"/>
              <w:left w:w="90" w:type="dxa"/>
              <w:bottom w:w="90" w:type="dxa"/>
              <w:right w:w="90" w:type="dxa"/>
            </w:tcMar>
          </w:tcPr>
          <w:p w14:paraId="0CD6A4DD"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28.1</w:t>
            </w:r>
          </w:p>
        </w:tc>
        <w:tc>
          <w:tcPr>
            <w:tcW w:w="1408" w:type="dxa"/>
            <w:tcMar>
              <w:top w:w="90" w:type="dxa"/>
              <w:left w:w="90" w:type="dxa"/>
              <w:bottom w:w="90" w:type="dxa"/>
              <w:right w:w="90" w:type="dxa"/>
            </w:tcMar>
          </w:tcPr>
          <w:p w14:paraId="217F72E0"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23.9</w:t>
            </w:r>
          </w:p>
        </w:tc>
        <w:tc>
          <w:tcPr>
            <w:tcW w:w="1408" w:type="dxa"/>
            <w:tcMar>
              <w:top w:w="90" w:type="dxa"/>
              <w:left w:w="90" w:type="dxa"/>
              <w:bottom w:w="90" w:type="dxa"/>
              <w:right w:w="90" w:type="dxa"/>
            </w:tcMar>
          </w:tcPr>
          <w:p w14:paraId="3166C4E2"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9.7</w:t>
            </w:r>
          </w:p>
        </w:tc>
        <w:tc>
          <w:tcPr>
            <w:tcW w:w="1408" w:type="dxa"/>
            <w:tcMar>
              <w:top w:w="90" w:type="dxa"/>
              <w:left w:w="90" w:type="dxa"/>
              <w:bottom w:w="90" w:type="dxa"/>
              <w:right w:w="90" w:type="dxa"/>
            </w:tcMar>
          </w:tcPr>
          <w:p w14:paraId="4E9BCCD8"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4.6</w:t>
            </w:r>
          </w:p>
        </w:tc>
        <w:tc>
          <w:tcPr>
            <w:tcW w:w="1408" w:type="dxa"/>
            <w:tcMar>
              <w:top w:w="90" w:type="dxa"/>
              <w:left w:w="90" w:type="dxa"/>
              <w:bottom w:w="90" w:type="dxa"/>
              <w:right w:w="90" w:type="dxa"/>
            </w:tcMar>
          </w:tcPr>
          <w:p w14:paraId="4A0E63E4"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18.3 -&gt; 28.1 -&gt; 4.6</w:t>
            </w:r>
          </w:p>
        </w:tc>
      </w:tr>
      <w:tr w:rsidR="00EB6BA2" w:rsidRPr="004F4A97" w14:paraId="6D678A22" w14:textId="77777777">
        <w:trPr>
          <w:jc w:val="center"/>
        </w:trPr>
        <w:tc>
          <w:tcPr>
            <w:tcW w:w="1408" w:type="dxa"/>
            <w:tcMar>
              <w:top w:w="90" w:type="dxa"/>
              <w:left w:w="90" w:type="dxa"/>
              <w:bottom w:w="90" w:type="dxa"/>
              <w:right w:w="90" w:type="dxa"/>
            </w:tcMar>
          </w:tcPr>
          <w:p w14:paraId="1A7A1B29"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OCF margin %</w:t>
            </w:r>
          </w:p>
        </w:tc>
        <w:tc>
          <w:tcPr>
            <w:tcW w:w="1408" w:type="dxa"/>
            <w:tcMar>
              <w:top w:w="90" w:type="dxa"/>
              <w:left w:w="90" w:type="dxa"/>
              <w:bottom w:w="90" w:type="dxa"/>
              <w:right w:w="90" w:type="dxa"/>
            </w:tcMar>
          </w:tcPr>
          <w:p w14:paraId="5970C351"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21.4</w:t>
            </w:r>
          </w:p>
        </w:tc>
        <w:tc>
          <w:tcPr>
            <w:tcW w:w="1408" w:type="dxa"/>
            <w:tcMar>
              <w:top w:w="90" w:type="dxa"/>
              <w:left w:w="90" w:type="dxa"/>
              <w:bottom w:w="90" w:type="dxa"/>
              <w:right w:w="90" w:type="dxa"/>
            </w:tcMar>
          </w:tcPr>
          <w:p w14:paraId="5601E8F2"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18.1</w:t>
            </w:r>
          </w:p>
        </w:tc>
        <w:tc>
          <w:tcPr>
            <w:tcW w:w="1408" w:type="dxa"/>
            <w:tcMar>
              <w:top w:w="90" w:type="dxa"/>
              <w:left w:w="90" w:type="dxa"/>
              <w:bottom w:w="90" w:type="dxa"/>
              <w:right w:w="90" w:type="dxa"/>
            </w:tcMar>
          </w:tcPr>
          <w:p w14:paraId="225262AF"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13.7</w:t>
            </w:r>
          </w:p>
        </w:tc>
        <w:tc>
          <w:tcPr>
            <w:tcW w:w="1408" w:type="dxa"/>
            <w:tcMar>
              <w:top w:w="90" w:type="dxa"/>
              <w:left w:w="90" w:type="dxa"/>
              <w:bottom w:w="90" w:type="dxa"/>
              <w:right w:w="90" w:type="dxa"/>
            </w:tcMar>
          </w:tcPr>
          <w:p w14:paraId="4DA09416"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15.3</w:t>
            </w:r>
          </w:p>
        </w:tc>
        <w:tc>
          <w:tcPr>
            <w:tcW w:w="1408" w:type="dxa"/>
            <w:tcMar>
              <w:top w:w="90" w:type="dxa"/>
              <w:left w:w="90" w:type="dxa"/>
              <w:bottom w:w="90" w:type="dxa"/>
              <w:right w:w="90" w:type="dxa"/>
            </w:tcMar>
          </w:tcPr>
          <w:p w14:paraId="245DF8E5"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15.6</w:t>
            </w:r>
          </w:p>
        </w:tc>
        <w:tc>
          <w:tcPr>
            <w:tcW w:w="1408" w:type="dxa"/>
            <w:tcMar>
              <w:top w:w="90" w:type="dxa"/>
              <w:left w:w="90" w:type="dxa"/>
              <w:bottom w:w="90" w:type="dxa"/>
              <w:right w:w="90" w:type="dxa"/>
            </w:tcMar>
          </w:tcPr>
          <w:p w14:paraId="4422280E"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21.4 -&gt; 13.7 -&gt; 15.6</w:t>
            </w:r>
          </w:p>
        </w:tc>
      </w:tr>
    </w:tbl>
    <w:p w14:paraId="0F7CEE0D" w14:textId="77777777" w:rsidR="00490980" w:rsidRPr="004F4A97" w:rsidRDefault="00490980" w:rsidP="009E5697">
      <w:pPr>
        <w:spacing w:line="360" w:lineRule="auto"/>
        <w:jc w:val="left"/>
        <w:rPr>
          <w:rFonts w:ascii="Arial" w:hAnsi="Arial" w:cs="Arial"/>
          <w:sz w:val="24"/>
          <w:szCs w:val="24"/>
        </w:rPr>
      </w:pPr>
    </w:p>
    <w:p w14:paraId="382B2D84" w14:textId="13D28D21"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 xml:space="preserve">Net profit margin is calculated as net income divided by revenue. Tesla’s margin rose from 10.3% in 2021 to 15.5% in 2023 before falling to 7.3% in 2024 and 4.0% in 2025. The arithmetic is clear: 2025 net profit margin = 3,794 / 94,827 x 100 = 4.0%. From a CFO perspective, this is the most significant single warning sign in the report because it indicates that commercial scale is no longer translating into proportional profit. Tesla still </w:t>
      </w:r>
      <w:proofErr w:type="gramStart"/>
      <w:r w:rsidRPr="004F4A97">
        <w:rPr>
          <w:rFonts w:ascii="Arial" w:hAnsi="Arial" w:cs="Arial"/>
          <w:sz w:val="24"/>
          <w:szCs w:val="24"/>
        </w:rPr>
        <w:t>commands</w:t>
      </w:r>
      <w:proofErr w:type="gramEnd"/>
      <w:r w:rsidRPr="004F4A97">
        <w:rPr>
          <w:rFonts w:ascii="Arial" w:hAnsi="Arial" w:cs="Arial"/>
          <w:sz w:val="24"/>
          <w:szCs w:val="24"/>
        </w:rPr>
        <w:t xml:space="preserve"> large revenues, but the company is surrendering too much of each sales dollar through lower automotive pricing, a higher operating expense base and weaker non-operating outcomes, including foreign exchange effects disclosed in the 2025 annual report (Tesla, 2026a).</w:t>
      </w:r>
    </w:p>
    <w:p w14:paraId="6B7E01D5"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Return on assets and return on equity reinforce the same diagnosis. ROA peaked at 15.3% in 2022 and fell to 2.8% by 2025. ROE moved from 28.1% in 2022 to only 4.6% in 2025. This is strategically important because Tesla’s capital base continued to expand while earnings power weakened. In other words, the company is not merely less profitable; it is less efficient at converting an enlarged asset and equity platform into returns. The CFO implication is that future investment approvals cannot rely on the argument that 'scale today will solve margins tomorrow' unless management can demonstrate a credible route back above the cost of capital.</w:t>
      </w:r>
    </w:p>
    <w:p w14:paraId="5C194343"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lastRenderedPageBreak/>
        <w:t>Operating cash flow margin remained healthier than net margin, fluctuating between 13.7% and 21.4%, which indicates that Tesla’s earnings quality has not collapsed in the way seen in distressed businesses. That distinction matters. The company still generates cash from operations and therefore has time to restructure. However, cash resilience should not be mistaken for strategic success. When operating cash flow holds up while accounting profitability falls, the CFO must ask whether working capital timing, non-cash add-backs or deferred obligations are masking a more structural erosion in operating economics. The appropriate response is disciplined capital allocation rather than complacency.</w:t>
      </w:r>
    </w:p>
    <w:p w14:paraId="503636FB" w14:textId="77777777" w:rsidR="00EB6BA2" w:rsidRPr="004F4A97" w:rsidRDefault="00000000" w:rsidP="009E5697">
      <w:pPr>
        <w:pStyle w:val="Heading2"/>
        <w:spacing w:after="60" w:line="360" w:lineRule="auto"/>
        <w:jc w:val="left"/>
        <w:rPr>
          <w:rFonts w:ascii="Arial" w:hAnsi="Arial" w:cs="Arial"/>
          <w:sz w:val="24"/>
          <w:szCs w:val="24"/>
        </w:rPr>
      </w:pPr>
      <w:bookmarkStart w:id="12" w:name="_Toc225448332"/>
      <w:bookmarkStart w:id="13" w:name="_Toc225450236"/>
      <w:r w:rsidRPr="004F4A97">
        <w:rPr>
          <w:rFonts w:ascii="Arial" w:hAnsi="Arial" w:cs="Arial"/>
          <w:sz w:val="24"/>
          <w:szCs w:val="24"/>
        </w:rPr>
        <w:t>Liquidity ratios</w:t>
      </w:r>
      <w:bookmarkEnd w:id="12"/>
      <w:bookmarkEnd w:id="13"/>
    </w:p>
    <w:p w14:paraId="4AE82CA0" w14:textId="77777777" w:rsidR="00EB6BA2" w:rsidRPr="004F4A97" w:rsidRDefault="00000000" w:rsidP="009E5697">
      <w:pPr>
        <w:pStyle w:val="Heading3"/>
        <w:spacing w:line="360" w:lineRule="auto"/>
        <w:jc w:val="left"/>
        <w:rPr>
          <w:rFonts w:ascii="Arial" w:hAnsi="Arial" w:cs="Arial"/>
        </w:rPr>
      </w:pPr>
      <w:bookmarkStart w:id="14" w:name="_Toc225448333"/>
      <w:bookmarkStart w:id="15" w:name="_Toc225450237"/>
      <w:r w:rsidRPr="004F4A97">
        <w:rPr>
          <w:rFonts w:ascii="Arial" w:hAnsi="Arial" w:cs="Arial"/>
        </w:rPr>
        <w:t>Table 3. Liquidity ratios</w:t>
      </w:r>
      <w:bookmarkEnd w:id="14"/>
      <w:bookmarkEnd w:id="15"/>
    </w:p>
    <w:tbl>
      <w:tblPr>
        <w:tblStyle w:val="TableGrid"/>
        <w:tblW w:w="0" w:type="auto"/>
        <w:jc w:val="center"/>
        <w:tblLook w:val="04A0" w:firstRow="1" w:lastRow="0" w:firstColumn="1" w:lastColumn="0" w:noHBand="0" w:noVBand="1"/>
      </w:tblPr>
      <w:tblGrid>
        <w:gridCol w:w="1408"/>
        <w:gridCol w:w="1408"/>
        <w:gridCol w:w="1408"/>
        <w:gridCol w:w="1408"/>
        <w:gridCol w:w="1408"/>
        <w:gridCol w:w="1408"/>
        <w:gridCol w:w="1582"/>
      </w:tblGrid>
      <w:tr w:rsidR="00EB6BA2" w:rsidRPr="004F4A97" w14:paraId="65C2A6E1" w14:textId="77777777">
        <w:trPr>
          <w:jc w:val="center"/>
        </w:trPr>
        <w:tc>
          <w:tcPr>
            <w:tcW w:w="1408" w:type="dxa"/>
            <w:shd w:val="clear" w:color="auto" w:fill="D9EAF7"/>
          </w:tcPr>
          <w:p w14:paraId="4804D01D"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Ratio</w:t>
            </w:r>
          </w:p>
        </w:tc>
        <w:tc>
          <w:tcPr>
            <w:tcW w:w="1408" w:type="dxa"/>
            <w:shd w:val="clear" w:color="auto" w:fill="D9EAF7"/>
          </w:tcPr>
          <w:p w14:paraId="7BB0C824"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2021</w:t>
            </w:r>
          </w:p>
        </w:tc>
        <w:tc>
          <w:tcPr>
            <w:tcW w:w="1408" w:type="dxa"/>
            <w:shd w:val="clear" w:color="auto" w:fill="D9EAF7"/>
          </w:tcPr>
          <w:p w14:paraId="47FB0497"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2022</w:t>
            </w:r>
          </w:p>
        </w:tc>
        <w:tc>
          <w:tcPr>
            <w:tcW w:w="1408" w:type="dxa"/>
            <w:shd w:val="clear" w:color="auto" w:fill="D9EAF7"/>
          </w:tcPr>
          <w:p w14:paraId="03EBE3E9"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2023</w:t>
            </w:r>
          </w:p>
        </w:tc>
        <w:tc>
          <w:tcPr>
            <w:tcW w:w="1408" w:type="dxa"/>
            <w:shd w:val="clear" w:color="auto" w:fill="D9EAF7"/>
          </w:tcPr>
          <w:p w14:paraId="0B9306F6"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2024</w:t>
            </w:r>
          </w:p>
        </w:tc>
        <w:tc>
          <w:tcPr>
            <w:tcW w:w="1408" w:type="dxa"/>
            <w:shd w:val="clear" w:color="auto" w:fill="D9EAF7"/>
          </w:tcPr>
          <w:p w14:paraId="227ED061"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2025</w:t>
            </w:r>
          </w:p>
        </w:tc>
        <w:tc>
          <w:tcPr>
            <w:tcW w:w="1408" w:type="dxa"/>
            <w:shd w:val="clear" w:color="auto" w:fill="D9EAF7"/>
          </w:tcPr>
          <w:p w14:paraId="760CD7E0"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CFO reading</w:t>
            </w:r>
          </w:p>
        </w:tc>
      </w:tr>
      <w:tr w:rsidR="00EB6BA2" w:rsidRPr="004F4A97" w14:paraId="3AD2279B" w14:textId="77777777">
        <w:trPr>
          <w:jc w:val="center"/>
        </w:trPr>
        <w:tc>
          <w:tcPr>
            <w:tcW w:w="1408" w:type="dxa"/>
            <w:tcMar>
              <w:top w:w="90" w:type="dxa"/>
              <w:left w:w="90" w:type="dxa"/>
              <w:bottom w:w="90" w:type="dxa"/>
              <w:right w:w="90" w:type="dxa"/>
            </w:tcMar>
          </w:tcPr>
          <w:p w14:paraId="77890557"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Current ratio</w:t>
            </w:r>
          </w:p>
        </w:tc>
        <w:tc>
          <w:tcPr>
            <w:tcW w:w="1408" w:type="dxa"/>
            <w:tcMar>
              <w:top w:w="90" w:type="dxa"/>
              <w:left w:w="90" w:type="dxa"/>
              <w:bottom w:w="90" w:type="dxa"/>
              <w:right w:w="90" w:type="dxa"/>
            </w:tcMar>
          </w:tcPr>
          <w:p w14:paraId="5E9EC141" w14:textId="3CE0C8C8"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1.38</w:t>
            </w:r>
            <w:r w:rsidR="00512679">
              <w:rPr>
                <w:rFonts w:ascii="Arial" w:hAnsi="Arial" w:cs="Arial"/>
                <w:sz w:val="24"/>
                <w:szCs w:val="24"/>
              </w:rPr>
              <w:t>:1</w:t>
            </w:r>
          </w:p>
        </w:tc>
        <w:tc>
          <w:tcPr>
            <w:tcW w:w="1408" w:type="dxa"/>
            <w:tcMar>
              <w:top w:w="90" w:type="dxa"/>
              <w:left w:w="90" w:type="dxa"/>
              <w:bottom w:w="90" w:type="dxa"/>
              <w:right w:w="90" w:type="dxa"/>
            </w:tcMar>
          </w:tcPr>
          <w:p w14:paraId="0B68D520" w14:textId="4BE2989D"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1.53</w:t>
            </w:r>
            <w:r w:rsidR="00512679">
              <w:rPr>
                <w:rFonts w:ascii="Arial" w:hAnsi="Arial" w:cs="Arial"/>
                <w:sz w:val="24"/>
                <w:szCs w:val="24"/>
              </w:rPr>
              <w:t>:1</w:t>
            </w:r>
          </w:p>
        </w:tc>
        <w:tc>
          <w:tcPr>
            <w:tcW w:w="1408" w:type="dxa"/>
            <w:tcMar>
              <w:top w:w="90" w:type="dxa"/>
              <w:left w:w="90" w:type="dxa"/>
              <w:bottom w:w="90" w:type="dxa"/>
              <w:right w:w="90" w:type="dxa"/>
            </w:tcMar>
          </w:tcPr>
          <w:p w14:paraId="4FC4DF6D" w14:textId="229BD402"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1.73</w:t>
            </w:r>
            <w:r w:rsidR="00512679">
              <w:rPr>
                <w:rFonts w:ascii="Arial" w:hAnsi="Arial" w:cs="Arial"/>
                <w:sz w:val="24"/>
                <w:szCs w:val="24"/>
              </w:rPr>
              <w:t>:1</w:t>
            </w:r>
          </w:p>
        </w:tc>
        <w:tc>
          <w:tcPr>
            <w:tcW w:w="1408" w:type="dxa"/>
            <w:tcMar>
              <w:top w:w="90" w:type="dxa"/>
              <w:left w:w="90" w:type="dxa"/>
              <w:bottom w:w="90" w:type="dxa"/>
              <w:right w:w="90" w:type="dxa"/>
            </w:tcMar>
          </w:tcPr>
          <w:p w14:paraId="4EBC3848" w14:textId="44CFC0D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2.02</w:t>
            </w:r>
            <w:r w:rsidR="00512679">
              <w:rPr>
                <w:rFonts w:ascii="Arial" w:hAnsi="Arial" w:cs="Arial"/>
                <w:sz w:val="24"/>
                <w:szCs w:val="24"/>
              </w:rPr>
              <w:t>:1</w:t>
            </w:r>
          </w:p>
        </w:tc>
        <w:tc>
          <w:tcPr>
            <w:tcW w:w="1408" w:type="dxa"/>
            <w:tcMar>
              <w:top w:w="90" w:type="dxa"/>
              <w:left w:w="90" w:type="dxa"/>
              <w:bottom w:w="90" w:type="dxa"/>
              <w:right w:w="90" w:type="dxa"/>
            </w:tcMar>
          </w:tcPr>
          <w:p w14:paraId="25C7FA46" w14:textId="54F68B70"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2.16</w:t>
            </w:r>
            <w:r w:rsidR="00512679">
              <w:rPr>
                <w:rFonts w:ascii="Arial" w:hAnsi="Arial" w:cs="Arial"/>
                <w:sz w:val="24"/>
                <w:szCs w:val="24"/>
              </w:rPr>
              <w:t>:1</w:t>
            </w:r>
          </w:p>
        </w:tc>
        <w:tc>
          <w:tcPr>
            <w:tcW w:w="1408" w:type="dxa"/>
            <w:tcMar>
              <w:top w:w="90" w:type="dxa"/>
              <w:left w:w="90" w:type="dxa"/>
              <w:bottom w:w="90" w:type="dxa"/>
              <w:right w:w="90" w:type="dxa"/>
            </w:tcMar>
          </w:tcPr>
          <w:p w14:paraId="03D91A49"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Coverage strengthened materially</w:t>
            </w:r>
          </w:p>
        </w:tc>
      </w:tr>
      <w:tr w:rsidR="00EB6BA2" w:rsidRPr="004F4A97" w14:paraId="12A7B44A" w14:textId="77777777">
        <w:trPr>
          <w:jc w:val="center"/>
        </w:trPr>
        <w:tc>
          <w:tcPr>
            <w:tcW w:w="1408" w:type="dxa"/>
            <w:tcMar>
              <w:top w:w="90" w:type="dxa"/>
              <w:left w:w="90" w:type="dxa"/>
              <w:bottom w:w="90" w:type="dxa"/>
              <w:right w:w="90" w:type="dxa"/>
            </w:tcMar>
          </w:tcPr>
          <w:p w14:paraId="2B462AEB"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Quick ratio</w:t>
            </w:r>
          </w:p>
        </w:tc>
        <w:tc>
          <w:tcPr>
            <w:tcW w:w="1408" w:type="dxa"/>
            <w:tcMar>
              <w:top w:w="90" w:type="dxa"/>
              <w:left w:w="90" w:type="dxa"/>
              <w:bottom w:w="90" w:type="dxa"/>
              <w:right w:w="90" w:type="dxa"/>
            </w:tcMar>
          </w:tcPr>
          <w:p w14:paraId="3DE94965"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1.08</w:t>
            </w:r>
          </w:p>
        </w:tc>
        <w:tc>
          <w:tcPr>
            <w:tcW w:w="1408" w:type="dxa"/>
            <w:tcMar>
              <w:top w:w="90" w:type="dxa"/>
              <w:left w:w="90" w:type="dxa"/>
              <w:bottom w:w="90" w:type="dxa"/>
              <w:right w:w="90" w:type="dxa"/>
            </w:tcMar>
          </w:tcPr>
          <w:p w14:paraId="39B1813B"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1.05</w:t>
            </w:r>
          </w:p>
        </w:tc>
        <w:tc>
          <w:tcPr>
            <w:tcW w:w="1408" w:type="dxa"/>
            <w:tcMar>
              <w:top w:w="90" w:type="dxa"/>
              <w:left w:w="90" w:type="dxa"/>
              <w:bottom w:w="90" w:type="dxa"/>
              <w:right w:w="90" w:type="dxa"/>
            </w:tcMar>
          </w:tcPr>
          <w:p w14:paraId="69B79098"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1.25</w:t>
            </w:r>
          </w:p>
        </w:tc>
        <w:tc>
          <w:tcPr>
            <w:tcW w:w="1408" w:type="dxa"/>
            <w:tcMar>
              <w:top w:w="90" w:type="dxa"/>
              <w:left w:w="90" w:type="dxa"/>
              <w:bottom w:w="90" w:type="dxa"/>
              <w:right w:w="90" w:type="dxa"/>
            </w:tcMar>
          </w:tcPr>
          <w:p w14:paraId="42330118"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1.61</w:t>
            </w:r>
          </w:p>
        </w:tc>
        <w:tc>
          <w:tcPr>
            <w:tcW w:w="1408" w:type="dxa"/>
            <w:tcMar>
              <w:top w:w="90" w:type="dxa"/>
              <w:left w:w="90" w:type="dxa"/>
              <w:bottom w:w="90" w:type="dxa"/>
              <w:right w:w="90" w:type="dxa"/>
            </w:tcMar>
          </w:tcPr>
          <w:p w14:paraId="39BDC272"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1.77</w:t>
            </w:r>
          </w:p>
        </w:tc>
        <w:tc>
          <w:tcPr>
            <w:tcW w:w="1408" w:type="dxa"/>
            <w:tcMar>
              <w:top w:w="90" w:type="dxa"/>
              <w:left w:w="90" w:type="dxa"/>
              <w:bottom w:w="90" w:type="dxa"/>
              <w:right w:w="90" w:type="dxa"/>
            </w:tcMar>
          </w:tcPr>
          <w:p w14:paraId="3FD96941"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 xml:space="preserve">Liquidity improved even </w:t>
            </w:r>
            <w:proofErr w:type="gramStart"/>
            <w:r w:rsidRPr="004F4A97">
              <w:rPr>
                <w:rFonts w:ascii="Arial" w:hAnsi="Arial" w:cs="Arial"/>
                <w:sz w:val="24"/>
                <w:szCs w:val="24"/>
              </w:rPr>
              <w:t>ex</w:t>
            </w:r>
            <w:proofErr w:type="gramEnd"/>
            <w:r w:rsidRPr="004F4A97">
              <w:rPr>
                <w:rFonts w:ascii="Arial" w:hAnsi="Arial" w:cs="Arial"/>
                <w:sz w:val="24"/>
                <w:szCs w:val="24"/>
              </w:rPr>
              <w:t>-inventory</w:t>
            </w:r>
          </w:p>
        </w:tc>
      </w:tr>
    </w:tbl>
    <w:p w14:paraId="161C1C91" w14:textId="77777777" w:rsidR="00490980" w:rsidRPr="004F4A97" w:rsidRDefault="00490980" w:rsidP="009E5697">
      <w:pPr>
        <w:spacing w:line="360" w:lineRule="auto"/>
        <w:jc w:val="left"/>
        <w:rPr>
          <w:rFonts w:ascii="Arial" w:hAnsi="Arial" w:cs="Arial"/>
          <w:sz w:val="24"/>
          <w:szCs w:val="24"/>
        </w:rPr>
      </w:pPr>
    </w:p>
    <w:p w14:paraId="46BC2DE9" w14:textId="2AD62280"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 xml:space="preserve">Tesla’s liquidity position improved </w:t>
      </w:r>
      <w:proofErr w:type="gramStart"/>
      <w:r w:rsidRPr="004F4A97">
        <w:rPr>
          <w:rFonts w:ascii="Arial" w:hAnsi="Arial" w:cs="Arial"/>
          <w:sz w:val="24"/>
          <w:szCs w:val="24"/>
        </w:rPr>
        <w:t>across</w:t>
      </w:r>
      <w:proofErr w:type="gramEnd"/>
      <w:r w:rsidRPr="004F4A97">
        <w:rPr>
          <w:rFonts w:ascii="Arial" w:hAnsi="Arial" w:cs="Arial"/>
          <w:sz w:val="24"/>
          <w:szCs w:val="24"/>
        </w:rPr>
        <w:t xml:space="preserve"> the period. The current ratio rose from 1.38</w:t>
      </w:r>
      <w:r w:rsidR="00512679">
        <w:rPr>
          <w:rFonts w:ascii="Arial" w:hAnsi="Arial" w:cs="Arial"/>
          <w:sz w:val="24"/>
          <w:szCs w:val="24"/>
        </w:rPr>
        <w:t>:1</w:t>
      </w:r>
      <w:r w:rsidRPr="004F4A97">
        <w:rPr>
          <w:rFonts w:ascii="Arial" w:hAnsi="Arial" w:cs="Arial"/>
          <w:sz w:val="24"/>
          <w:szCs w:val="24"/>
        </w:rPr>
        <w:t xml:space="preserve"> in 2021 to 2.16</w:t>
      </w:r>
      <w:r w:rsidR="00512679">
        <w:rPr>
          <w:rFonts w:ascii="Arial" w:hAnsi="Arial" w:cs="Arial"/>
          <w:sz w:val="24"/>
          <w:szCs w:val="24"/>
        </w:rPr>
        <w:t>:1</w:t>
      </w:r>
      <w:r w:rsidRPr="004F4A97">
        <w:rPr>
          <w:rFonts w:ascii="Arial" w:hAnsi="Arial" w:cs="Arial"/>
          <w:sz w:val="24"/>
          <w:szCs w:val="24"/>
        </w:rPr>
        <w:t xml:space="preserve"> in 2025, while the quick ratio increased from 1.08 to 1.77. The 2025 quick ratio is calculated as (68,642 - 12,392) / 31,714 = 1.77. On the surface, that is a reassuring outcome: Tesla can cover short-term obligations without needing to </w:t>
      </w:r>
      <w:proofErr w:type="spellStart"/>
      <w:r w:rsidRPr="004F4A97">
        <w:rPr>
          <w:rFonts w:ascii="Arial" w:hAnsi="Arial" w:cs="Arial"/>
          <w:sz w:val="24"/>
          <w:szCs w:val="24"/>
        </w:rPr>
        <w:t>monetise</w:t>
      </w:r>
      <w:proofErr w:type="spellEnd"/>
      <w:r w:rsidRPr="004F4A97">
        <w:rPr>
          <w:rFonts w:ascii="Arial" w:hAnsi="Arial" w:cs="Arial"/>
          <w:sz w:val="24"/>
          <w:szCs w:val="24"/>
        </w:rPr>
        <w:t xml:space="preserve"> all inventory. Yet the CFO interpretation should be more nuanced. Stronger liquidity arriving at the same time as lower profitability may imply that the firm is carrying a larger precautionary current-asset buffer because it is uncertain about external conditions or capital needs. In that scenario, liquidity is a defensive asset, not evidence of superior productivity.</w:t>
      </w:r>
    </w:p>
    <w:p w14:paraId="3C3A11DF"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 xml:space="preserve">The strategic </w:t>
      </w:r>
      <w:proofErr w:type="gramStart"/>
      <w:r w:rsidRPr="004F4A97">
        <w:rPr>
          <w:rFonts w:ascii="Arial" w:hAnsi="Arial" w:cs="Arial"/>
          <w:sz w:val="24"/>
          <w:szCs w:val="24"/>
        </w:rPr>
        <w:t>decision consequence</w:t>
      </w:r>
      <w:proofErr w:type="gramEnd"/>
      <w:r w:rsidRPr="004F4A97">
        <w:rPr>
          <w:rFonts w:ascii="Arial" w:hAnsi="Arial" w:cs="Arial"/>
          <w:sz w:val="24"/>
          <w:szCs w:val="24"/>
        </w:rPr>
        <w:t xml:space="preserve"> is that Tesla does not need emergency balance-sheet repair. It has financial room to choose, not merely react. This is valuable because it means </w:t>
      </w:r>
      <w:r w:rsidRPr="004F4A97">
        <w:rPr>
          <w:rFonts w:ascii="Arial" w:hAnsi="Arial" w:cs="Arial"/>
          <w:sz w:val="24"/>
          <w:szCs w:val="24"/>
        </w:rPr>
        <w:lastRenderedPageBreak/>
        <w:t xml:space="preserve">restructuring can be undertaken from a position of solvency. At the same time, the company must resist treating abundant liquidity as a </w:t>
      </w:r>
      <w:proofErr w:type="spellStart"/>
      <w:r w:rsidRPr="004F4A97">
        <w:rPr>
          <w:rFonts w:ascii="Arial" w:hAnsi="Arial" w:cs="Arial"/>
          <w:sz w:val="24"/>
          <w:szCs w:val="24"/>
        </w:rPr>
        <w:t>licence</w:t>
      </w:r>
      <w:proofErr w:type="spellEnd"/>
      <w:r w:rsidRPr="004F4A97">
        <w:rPr>
          <w:rFonts w:ascii="Arial" w:hAnsi="Arial" w:cs="Arial"/>
          <w:sz w:val="24"/>
          <w:szCs w:val="24"/>
        </w:rPr>
        <w:t xml:space="preserve"> for mediocre projects. In a lower-margin phase, excess cash should either be retained as optionality or allocated to clearly superior opportunities. The fact that the balance sheet is liquid increases the responsibility to be selective, not the freedom to be lax.</w:t>
      </w:r>
    </w:p>
    <w:p w14:paraId="1ACC63C4" w14:textId="77777777" w:rsidR="00EB6BA2" w:rsidRPr="004F4A97" w:rsidRDefault="00000000" w:rsidP="009E5697">
      <w:pPr>
        <w:pStyle w:val="Heading2"/>
        <w:spacing w:after="60" w:line="360" w:lineRule="auto"/>
        <w:jc w:val="left"/>
        <w:rPr>
          <w:rFonts w:ascii="Arial" w:hAnsi="Arial" w:cs="Arial"/>
          <w:sz w:val="24"/>
          <w:szCs w:val="24"/>
        </w:rPr>
      </w:pPr>
      <w:bookmarkStart w:id="16" w:name="_Toc225448334"/>
      <w:bookmarkStart w:id="17" w:name="_Toc225450238"/>
      <w:r w:rsidRPr="004F4A97">
        <w:rPr>
          <w:rFonts w:ascii="Arial" w:hAnsi="Arial" w:cs="Arial"/>
          <w:sz w:val="24"/>
          <w:szCs w:val="24"/>
        </w:rPr>
        <w:t>Efficiency ratios</w:t>
      </w:r>
      <w:bookmarkEnd w:id="16"/>
      <w:bookmarkEnd w:id="17"/>
    </w:p>
    <w:p w14:paraId="2E1C222F" w14:textId="77777777" w:rsidR="00EB6BA2" w:rsidRPr="004F4A97" w:rsidRDefault="00000000" w:rsidP="009E5697">
      <w:pPr>
        <w:pStyle w:val="Heading3"/>
        <w:spacing w:line="360" w:lineRule="auto"/>
        <w:jc w:val="left"/>
        <w:rPr>
          <w:rFonts w:ascii="Arial" w:hAnsi="Arial" w:cs="Arial"/>
        </w:rPr>
      </w:pPr>
      <w:bookmarkStart w:id="18" w:name="_Toc225448335"/>
      <w:bookmarkStart w:id="19" w:name="_Toc225450239"/>
      <w:r w:rsidRPr="004F4A97">
        <w:rPr>
          <w:rFonts w:ascii="Arial" w:hAnsi="Arial" w:cs="Arial"/>
        </w:rPr>
        <w:t>Table 4. Efficiency ratios</w:t>
      </w:r>
      <w:bookmarkEnd w:id="18"/>
      <w:bookmarkEnd w:id="19"/>
    </w:p>
    <w:tbl>
      <w:tblPr>
        <w:tblStyle w:val="TableGrid"/>
        <w:tblW w:w="0" w:type="auto"/>
        <w:jc w:val="center"/>
        <w:tblLook w:val="04A0" w:firstRow="1" w:lastRow="0" w:firstColumn="1" w:lastColumn="0" w:noHBand="0" w:noVBand="1"/>
      </w:tblPr>
      <w:tblGrid>
        <w:gridCol w:w="1408"/>
        <w:gridCol w:w="1408"/>
        <w:gridCol w:w="1408"/>
        <w:gridCol w:w="1408"/>
        <w:gridCol w:w="1408"/>
        <w:gridCol w:w="1408"/>
        <w:gridCol w:w="1408"/>
      </w:tblGrid>
      <w:tr w:rsidR="00EB6BA2" w:rsidRPr="004F4A97" w14:paraId="2A97D327" w14:textId="77777777">
        <w:trPr>
          <w:jc w:val="center"/>
        </w:trPr>
        <w:tc>
          <w:tcPr>
            <w:tcW w:w="1408" w:type="dxa"/>
            <w:shd w:val="clear" w:color="auto" w:fill="D9EAF7"/>
          </w:tcPr>
          <w:p w14:paraId="08581F99"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Ratio</w:t>
            </w:r>
          </w:p>
        </w:tc>
        <w:tc>
          <w:tcPr>
            <w:tcW w:w="1408" w:type="dxa"/>
            <w:shd w:val="clear" w:color="auto" w:fill="D9EAF7"/>
          </w:tcPr>
          <w:p w14:paraId="37C0DEBD"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2021</w:t>
            </w:r>
          </w:p>
        </w:tc>
        <w:tc>
          <w:tcPr>
            <w:tcW w:w="1408" w:type="dxa"/>
            <w:shd w:val="clear" w:color="auto" w:fill="D9EAF7"/>
          </w:tcPr>
          <w:p w14:paraId="7D2DCE4D"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2022</w:t>
            </w:r>
          </w:p>
        </w:tc>
        <w:tc>
          <w:tcPr>
            <w:tcW w:w="1408" w:type="dxa"/>
            <w:shd w:val="clear" w:color="auto" w:fill="D9EAF7"/>
          </w:tcPr>
          <w:p w14:paraId="6150516A"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2023</w:t>
            </w:r>
          </w:p>
        </w:tc>
        <w:tc>
          <w:tcPr>
            <w:tcW w:w="1408" w:type="dxa"/>
            <w:shd w:val="clear" w:color="auto" w:fill="D9EAF7"/>
          </w:tcPr>
          <w:p w14:paraId="615029A5"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2024</w:t>
            </w:r>
          </w:p>
        </w:tc>
        <w:tc>
          <w:tcPr>
            <w:tcW w:w="1408" w:type="dxa"/>
            <w:shd w:val="clear" w:color="auto" w:fill="D9EAF7"/>
          </w:tcPr>
          <w:p w14:paraId="5B5A8C7C"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2025</w:t>
            </w:r>
          </w:p>
        </w:tc>
        <w:tc>
          <w:tcPr>
            <w:tcW w:w="1408" w:type="dxa"/>
            <w:shd w:val="clear" w:color="auto" w:fill="D9EAF7"/>
          </w:tcPr>
          <w:p w14:paraId="3BCC6051"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Strategic meaning</w:t>
            </w:r>
          </w:p>
        </w:tc>
      </w:tr>
      <w:tr w:rsidR="00EB6BA2" w:rsidRPr="004F4A97" w14:paraId="29E51D8F" w14:textId="77777777">
        <w:trPr>
          <w:jc w:val="center"/>
        </w:trPr>
        <w:tc>
          <w:tcPr>
            <w:tcW w:w="1408" w:type="dxa"/>
            <w:tcMar>
              <w:top w:w="90" w:type="dxa"/>
              <w:left w:w="90" w:type="dxa"/>
              <w:bottom w:w="90" w:type="dxa"/>
              <w:right w:w="90" w:type="dxa"/>
            </w:tcMar>
          </w:tcPr>
          <w:p w14:paraId="1D8C3CD6"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Inventory turnover</w:t>
            </w:r>
          </w:p>
        </w:tc>
        <w:tc>
          <w:tcPr>
            <w:tcW w:w="1408" w:type="dxa"/>
            <w:tcMar>
              <w:top w:w="90" w:type="dxa"/>
              <w:left w:w="90" w:type="dxa"/>
              <w:bottom w:w="90" w:type="dxa"/>
              <w:right w:w="90" w:type="dxa"/>
            </w:tcMar>
          </w:tcPr>
          <w:p w14:paraId="2806A407"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6.99</w:t>
            </w:r>
          </w:p>
        </w:tc>
        <w:tc>
          <w:tcPr>
            <w:tcW w:w="1408" w:type="dxa"/>
            <w:tcMar>
              <w:top w:w="90" w:type="dxa"/>
              <w:left w:w="90" w:type="dxa"/>
              <w:bottom w:w="90" w:type="dxa"/>
              <w:right w:w="90" w:type="dxa"/>
            </w:tcMar>
          </w:tcPr>
          <w:p w14:paraId="21CF628F"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4.72</w:t>
            </w:r>
          </w:p>
        </w:tc>
        <w:tc>
          <w:tcPr>
            <w:tcW w:w="1408" w:type="dxa"/>
            <w:tcMar>
              <w:top w:w="90" w:type="dxa"/>
              <w:left w:w="90" w:type="dxa"/>
              <w:bottom w:w="90" w:type="dxa"/>
              <w:right w:w="90" w:type="dxa"/>
            </w:tcMar>
          </w:tcPr>
          <w:p w14:paraId="2C04BC67"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5.81</w:t>
            </w:r>
          </w:p>
        </w:tc>
        <w:tc>
          <w:tcPr>
            <w:tcW w:w="1408" w:type="dxa"/>
            <w:tcMar>
              <w:top w:w="90" w:type="dxa"/>
              <w:left w:w="90" w:type="dxa"/>
              <w:bottom w:w="90" w:type="dxa"/>
              <w:right w:w="90" w:type="dxa"/>
            </w:tcMar>
          </w:tcPr>
          <w:p w14:paraId="4CBC7496"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6.68</w:t>
            </w:r>
          </w:p>
        </w:tc>
        <w:tc>
          <w:tcPr>
            <w:tcW w:w="1408" w:type="dxa"/>
            <w:tcMar>
              <w:top w:w="90" w:type="dxa"/>
              <w:left w:w="90" w:type="dxa"/>
              <w:bottom w:w="90" w:type="dxa"/>
              <w:right w:w="90" w:type="dxa"/>
            </w:tcMar>
          </w:tcPr>
          <w:p w14:paraId="74D18F08"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6.27</w:t>
            </w:r>
          </w:p>
        </w:tc>
        <w:tc>
          <w:tcPr>
            <w:tcW w:w="1408" w:type="dxa"/>
            <w:tcMar>
              <w:top w:w="90" w:type="dxa"/>
              <w:left w:w="90" w:type="dxa"/>
              <w:bottom w:w="90" w:type="dxa"/>
              <w:right w:w="90" w:type="dxa"/>
            </w:tcMar>
          </w:tcPr>
          <w:p w14:paraId="26691F5E"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Demand is no longer outrunning supply</w:t>
            </w:r>
          </w:p>
        </w:tc>
      </w:tr>
      <w:tr w:rsidR="00EB6BA2" w:rsidRPr="004F4A97" w14:paraId="4F64733B" w14:textId="77777777">
        <w:trPr>
          <w:jc w:val="center"/>
        </w:trPr>
        <w:tc>
          <w:tcPr>
            <w:tcW w:w="1408" w:type="dxa"/>
            <w:tcMar>
              <w:top w:w="90" w:type="dxa"/>
              <w:left w:w="90" w:type="dxa"/>
              <w:bottom w:w="90" w:type="dxa"/>
              <w:right w:w="90" w:type="dxa"/>
            </w:tcMar>
          </w:tcPr>
          <w:p w14:paraId="55ABCA91"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Asset turnover</w:t>
            </w:r>
          </w:p>
        </w:tc>
        <w:tc>
          <w:tcPr>
            <w:tcW w:w="1408" w:type="dxa"/>
            <w:tcMar>
              <w:top w:w="90" w:type="dxa"/>
              <w:left w:w="90" w:type="dxa"/>
              <w:bottom w:w="90" w:type="dxa"/>
              <w:right w:w="90" w:type="dxa"/>
            </w:tcMar>
          </w:tcPr>
          <w:p w14:paraId="3A8711CA"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0.87</w:t>
            </w:r>
          </w:p>
        </w:tc>
        <w:tc>
          <w:tcPr>
            <w:tcW w:w="1408" w:type="dxa"/>
            <w:tcMar>
              <w:top w:w="90" w:type="dxa"/>
              <w:left w:w="90" w:type="dxa"/>
              <w:bottom w:w="90" w:type="dxa"/>
              <w:right w:w="90" w:type="dxa"/>
            </w:tcMar>
          </w:tcPr>
          <w:p w14:paraId="6AC2488C"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0.99</w:t>
            </w:r>
          </w:p>
        </w:tc>
        <w:tc>
          <w:tcPr>
            <w:tcW w:w="1408" w:type="dxa"/>
            <w:tcMar>
              <w:top w:w="90" w:type="dxa"/>
              <w:left w:w="90" w:type="dxa"/>
              <w:bottom w:w="90" w:type="dxa"/>
              <w:right w:w="90" w:type="dxa"/>
            </w:tcMar>
          </w:tcPr>
          <w:p w14:paraId="3A661EB7"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0.91</w:t>
            </w:r>
          </w:p>
        </w:tc>
        <w:tc>
          <w:tcPr>
            <w:tcW w:w="1408" w:type="dxa"/>
            <w:tcMar>
              <w:top w:w="90" w:type="dxa"/>
              <w:left w:w="90" w:type="dxa"/>
              <w:bottom w:w="90" w:type="dxa"/>
              <w:right w:w="90" w:type="dxa"/>
            </w:tcMar>
          </w:tcPr>
          <w:p w14:paraId="7AB535FB"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0.80</w:t>
            </w:r>
          </w:p>
        </w:tc>
        <w:tc>
          <w:tcPr>
            <w:tcW w:w="1408" w:type="dxa"/>
            <w:tcMar>
              <w:top w:w="90" w:type="dxa"/>
              <w:left w:w="90" w:type="dxa"/>
              <w:bottom w:w="90" w:type="dxa"/>
              <w:right w:w="90" w:type="dxa"/>
            </w:tcMar>
          </w:tcPr>
          <w:p w14:paraId="14E4E6C8"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0.69</w:t>
            </w:r>
          </w:p>
        </w:tc>
        <w:tc>
          <w:tcPr>
            <w:tcW w:w="1408" w:type="dxa"/>
            <w:tcMar>
              <w:top w:w="90" w:type="dxa"/>
              <w:left w:w="90" w:type="dxa"/>
              <w:bottom w:w="90" w:type="dxa"/>
              <w:right w:w="90" w:type="dxa"/>
            </w:tcMar>
          </w:tcPr>
          <w:p w14:paraId="2C763F3B"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Asset base growing faster than sales</w:t>
            </w:r>
          </w:p>
        </w:tc>
      </w:tr>
    </w:tbl>
    <w:p w14:paraId="5F3D3747" w14:textId="77777777" w:rsidR="00490980" w:rsidRPr="004F4A97" w:rsidRDefault="00490980" w:rsidP="009E5697">
      <w:pPr>
        <w:spacing w:line="360" w:lineRule="auto"/>
        <w:jc w:val="left"/>
        <w:rPr>
          <w:rFonts w:ascii="Arial" w:hAnsi="Arial" w:cs="Arial"/>
          <w:sz w:val="24"/>
          <w:szCs w:val="24"/>
        </w:rPr>
      </w:pPr>
    </w:p>
    <w:p w14:paraId="5BA56C22" w14:textId="231B093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 xml:space="preserve">Inventory turnover, measured here as cost of revenues divided by inventory, fell from 7.0 times in 2021 to 4.7 times in 2022, recovered to 6.7 times in 2024 and softened again to 6.3 times in 2025. The data do not indicate a catastrophic inventory build-up, but they do indicate that Tesla is no longer operating in a chronic </w:t>
      </w:r>
      <w:proofErr w:type="gramStart"/>
      <w:r w:rsidRPr="004F4A97">
        <w:rPr>
          <w:rFonts w:ascii="Arial" w:hAnsi="Arial" w:cs="Arial"/>
          <w:sz w:val="24"/>
          <w:szCs w:val="24"/>
        </w:rPr>
        <w:t>under-supplied</w:t>
      </w:r>
      <w:proofErr w:type="gramEnd"/>
      <w:r w:rsidRPr="004F4A97">
        <w:rPr>
          <w:rFonts w:ascii="Arial" w:hAnsi="Arial" w:cs="Arial"/>
          <w:sz w:val="24"/>
          <w:szCs w:val="24"/>
        </w:rPr>
        <w:t xml:space="preserve"> condition. That changes CFO priorities. When demand exceeds supply, inventory is mainly an operational throughput problem. When competitive pressure rises, inventory becomes both a cash problem and a pricing risk because older stock may need to be discounted to clear.</w:t>
      </w:r>
    </w:p>
    <w:p w14:paraId="74323C0D"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 xml:space="preserve">Asset turnover shows a clearer deterioration, moving from 0.99 in 2022 to 0.69 in 2025. This means each dollar of assets is generating less revenue than before. The ‘so what’ from a CFO standpoint is decisive: if asset turnover continues to weaken, incremental capex should become harder to approve. </w:t>
      </w:r>
      <w:proofErr w:type="gramStart"/>
      <w:r w:rsidRPr="004F4A97">
        <w:rPr>
          <w:rFonts w:ascii="Arial" w:hAnsi="Arial" w:cs="Arial"/>
          <w:sz w:val="24"/>
          <w:szCs w:val="24"/>
        </w:rPr>
        <w:t>Weak asset</w:t>
      </w:r>
      <w:proofErr w:type="gramEnd"/>
      <w:r w:rsidRPr="004F4A97">
        <w:rPr>
          <w:rFonts w:ascii="Arial" w:hAnsi="Arial" w:cs="Arial"/>
          <w:sz w:val="24"/>
          <w:szCs w:val="24"/>
        </w:rPr>
        <w:t xml:space="preserve"> productivity reduces the margin for error in future capital budgeting because management is already </w:t>
      </w:r>
      <w:proofErr w:type="gramStart"/>
      <w:r w:rsidRPr="004F4A97">
        <w:rPr>
          <w:rFonts w:ascii="Arial" w:hAnsi="Arial" w:cs="Arial"/>
          <w:sz w:val="24"/>
          <w:szCs w:val="24"/>
        </w:rPr>
        <w:t>asking</w:t>
      </w:r>
      <w:proofErr w:type="gramEnd"/>
      <w:r w:rsidRPr="004F4A97">
        <w:rPr>
          <w:rFonts w:ascii="Arial" w:hAnsi="Arial" w:cs="Arial"/>
          <w:sz w:val="24"/>
          <w:szCs w:val="24"/>
        </w:rPr>
        <w:t xml:space="preserve"> a larger asset base to carry </w:t>
      </w:r>
      <w:r w:rsidRPr="004F4A97">
        <w:rPr>
          <w:rFonts w:ascii="Arial" w:hAnsi="Arial" w:cs="Arial"/>
          <w:sz w:val="24"/>
          <w:szCs w:val="24"/>
        </w:rPr>
        <w:lastRenderedPageBreak/>
        <w:t>weaker returns. This is why the later investment appraisal section adopts a strict value threshold.</w:t>
      </w:r>
    </w:p>
    <w:p w14:paraId="4636A78C" w14:textId="77777777" w:rsidR="00EB6BA2" w:rsidRPr="004F4A97" w:rsidRDefault="00000000" w:rsidP="009E5697">
      <w:pPr>
        <w:pStyle w:val="Heading2"/>
        <w:spacing w:after="60" w:line="360" w:lineRule="auto"/>
        <w:jc w:val="left"/>
        <w:rPr>
          <w:rFonts w:ascii="Arial" w:hAnsi="Arial" w:cs="Arial"/>
          <w:sz w:val="24"/>
          <w:szCs w:val="24"/>
        </w:rPr>
      </w:pPr>
      <w:bookmarkStart w:id="20" w:name="_Toc225448336"/>
      <w:bookmarkStart w:id="21" w:name="_Toc225450240"/>
      <w:r w:rsidRPr="004F4A97">
        <w:rPr>
          <w:rFonts w:ascii="Arial" w:hAnsi="Arial" w:cs="Arial"/>
          <w:sz w:val="24"/>
          <w:szCs w:val="24"/>
        </w:rPr>
        <w:t>Gearing and investment ratios</w:t>
      </w:r>
      <w:bookmarkEnd w:id="20"/>
      <w:bookmarkEnd w:id="21"/>
    </w:p>
    <w:p w14:paraId="39C68432" w14:textId="77777777" w:rsidR="00EB6BA2" w:rsidRPr="004F4A97" w:rsidRDefault="00000000" w:rsidP="009E5697">
      <w:pPr>
        <w:pStyle w:val="Heading3"/>
        <w:spacing w:line="360" w:lineRule="auto"/>
        <w:jc w:val="left"/>
        <w:rPr>
          <w:rFonts w:ascii="Arial" w:hAnsi="Arial" w:cs="Arial"/>
        </w:rPr>
      </w:pPr>
      <w:bookmarkStart w:id="22" w:name="_Toc225448337"/>
      <w:bookmarkStart w:id="23" w:name="_Toc225450241"/>
      <w:r w:rsidRPr="004F4A97">
        <w:rPr>
          <w:rFonts w:ascii="Arial" w:hAnsi="Arial" w:cs="Arial"/>
        </w:rPr>
        <w:t>Table 5. Gearing and investment ratios</w:t>
      </w:r>
      <w:bookmarkEnd w:id="22"/>
      <w:bookmarkEnd w:id="23"/>
    </w:p>
    <w:tbl>
      <w:tblPr>
        <w:tblStyle w:val="TableGrid"/>
        <w:tblW w:w="0" w:type="auto"/>
        <w:jc w:val="center"/>
        <w:tblLook w:val="04A0" w:firstRow="1" w:lastRow="0" w:firstColumn="1" w:lastColumn="0" w:noHBand="0" w:noVBand="1"/>
      </w:tblPr>
      <w:tblGrid>
        <w:gridCol w:w="1408"/>
        <w:gridCol w:w="1408"/>
        <w:gridCol w:w="1407"/>
        <w:gridCol w:w="1407"/>
        <w:gridCol w:w="1407"/>
        <w:gridCol w:w="1407"/>
        <w:gridCol w:w="1631"/>
      </w:tblGrid>
      <w:tr w:rsidR="00EB6BA2" w:rsidRPr="004F4A97" w14:paraId="0AED4826" w14:textId="77777777">
        <w:trPr>
          <w:jc w:val="center"/>
        </w:trPr>
        <w:tc>
          <w:tcPr>
            <w:tcW w:w="1408" w:type="dxa"/>
            <w:shd w:val="clear" w:color="auto" w:fill="D9EAF7"/>
          </w:tcPr>
          <w:p w14:paraId="0FCA3FF1"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Ratio</w:t>
            </w:r>
          </w:p>
        </w:tc>
        <w:tc>
          <w:tcPr>
            <w:tcW w:w="1408" w:type="dxa"/>
            <w:shd w:val="clear" w:color="auto" w:fill="D9EAF7"/>
          </w:tcPr>
          <w:p w14:paraId="5D03C8DB"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2021</w:t>
            </w:r>
          </w:p>
        </w:tc>
        <w:tc>
          <w:tcPr>
            <w:tcW w:w="1408" w:type="dxa"/>
            <w:shd w:val="clear" w:color="auto" w:fill="D9EAF7"/>
          </w:tcPr>
          <w:p w14:paraId="753D5E42"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2022</w:t>
            </w:r>
          </w:p>
        </w:tc>
        <w:tc>
          <w:tcPr>
            <w:tcW w:w="1408" w:type="dxa"/>
            <w:shd w:val="clear" w:color="auto" w:fill="D9EAF7"/>
          </w:tcPr>
          <w:p w14:paraId="4E560EF9"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2023</w:t>
            </w:r>
          </w:p>
        </w:tc>
        <w:tc>
          <w:tcPr>
            <w:tcW w:w="1408" w:type="dxa"/>
            <w:shd w:val="clear" w:color="auto" w:fill="D9EAF7"/>
          </w:tcPr>
          <w:p w14:paraId="5689502E"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2024</w:t>
            </w:r>
          </w:p>
        </w:tc>
        <w:tc>
          <w:tcPr>
            <w:tcW w:w="1408" w:type="dxa"/>
            <w:shd w:val="clear" w:color="auto" w:fill="D9EAF7"/>
          </w:tcPr>
          <w:p w14:paraId="6CD5D9DD"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2025</w:t>
            </w:r>
          </w:p>
        </w:tc>
        <w:tc>
          <w:tcPr>
            <w:tcW w:w="1408" w:type="dxa"/>
            <w:shd w:val="clear" w:color="auto" w:fill="D9EAF7"/>
          </w:tcPr>
          <w:p w14:paraId="6313D55D"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Interpretation</w:t>
            </w:r>
          </w:p>
        </w:tc>
      </w:tr>
      <w:tr w:rsidR="00EB6BA2" w:rsidRPr="004F4A97" w14:paraId="19C33F66" w14:textId="77777777">
        <w:trPr>
          <w:jc w:val="center"/>
        </w:trPr>
        <w:tc>
          <w:tcPr>
            <w:tcW w:w="1408" w:type="dxa"/>
            <w:tcMar>
              <w:top w:w="90" w:type="dxa"/>
              <w:left w:w="90" w:type="dxa"/>
              <w:bottom w:w="90" w:type="dxa"/>
              <w:right w:w="90" w:type="dxa"/>
            </w:tcMar>
          </w:tcPr>
          <w:p w14:paraId="4BF59AD8"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Debt-to-equity</w:t>
            </w:r>
          </w:p>
        </w:tc>
        <w:tc>
          <w:tcPr>
            <w:tcW w:w="1408" w:type="dxa"/>
            <w:tcMar>
              <w:top w:w="90" w:type="dxa"/>
              <w:left w:w="90" w:type="dxa"/>
              <w:bottom w:w="90" w:type="dxa"/>
              <w:right w:w="90" w:type="dxa"/>
            </w:tcMar>
          </w:tcPr>
          <w:p w14:paraId="28421D6C"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0.23</w:t>
            </w:r>
          </w:p>
        </w:tc>
        <w:tc>
          <w:tcPr>
            <w:tcW w:w="1408" w:type="dxa"/>
            <w:tcMar>
              <w:top w:w="90" w:type="dxa"/>
              <w:left w:w="90" w:type="dxa"/>
              <w:bottom w:w="90" w:type="dxa"/>
              <w:right w:w="90" w:type="dxa"/>
            </w:tcMar>
          </w:tcPr>
          <w:p w14:paraId="0B6F809E"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0.07</w:t>
            </w:r>
          </w:p>
        </w:tc>
        <w:tc>
          <w:tcPr>
            <w:tcW w:w="1408" w:type="dxa"/>
            <w:tcMar>
              <w:top w:w="90" w:type="dxa"/>
              <w:left w:w="90" w:type="dxa"/>
              <w:bottom w:w="90" w:type="dxa"/>
              <w:right w:w="90" w:type="dxa"/>
            </w:tcMar>
          </w:tcPr>
          <w:p w14:paraId="4FA5F2B5"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0.08</w:t>
            </w:r>
          </w:p>
        </w:tc>
        <w:tc>
          <w:tcPr>
            <w:tcW w:w="1408" w:type="dxa"/>
            <w:tcMar>
              <w:top w:w="90" w:type="dxa"/>
              <w:left w:w="90" w:type="dxa"/>
              <w:bottom w:w="90" w:type="dxa"/>
              <w:right w:w="90" w:type="dxa"/>
            </w:tcMar>
          </w:tcPr>
          <w:p w14:paraId="2C5CE445"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0.11</w:t>
            </w:r>
          </w:p>
        </w:tc>
        <w:tc>
          <w:tcPr>
            <w:tcW w:w="1408" w:type="dxa"/>
            <w:tcMar>
              <w:top w:w="90" w:type="dxa"/>
              <w:left w:w="90" w:type="dxa"/>
              <w:bottom w:w="90" w:type="dxa"/>
              <w:right w:w="90" w:type="dxa"/>
            </w:tcMar>
          </w:tcPr>
          <w:p w14:paraId="02ADEEBB"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0.10</w:t>
            </w:r>
          </w:p>
        </w:tc>
        <w:tc>
          <w:tcPr>
            <w:tcW w:w="1408" w:type="dxa"/>
            <w:tcMar>
              <w:top w:w="90" w:type="dxa"/>
              <w:left w:w="90" w:type="dxa"/>
              <w:bottom w:w="90" w:type="dxa"/>
              <w:right w:w="90" w:type="dxa"/>
            </w:tcMar>
          </w:tcPr>
          <w:p w14:paraId="65AC303B"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Conservative leverage preserved</w:t>
            </w:r>
          </w:p>
        </w:tc>
      </w:tr>
      <w:tr w:rsidR="00EB6BA2" w:rsidRPr="004F4A97" w14:paraId="2E4658C0" w14:textId="77777777">
        <w:trPr>
          <w:jc w:val="center"/>
        </w:trPr>
        <w:tc>
          <w:tcPr>
            <w:tcW w:w="1408" w:type="dxa"/>
            <w:tcMar>
              <w:top w:w="90" w:type="dxa"/>
              <w:left w:w="90" w:type="dxa"/>
              <w:bottom w:w="90" w:type="dxa"/>
              <w:right w:w="90" w:type="dxa"/>
            </w:tcMar>
          </w:tcPr>
          <w:p w14:paraId="7263EF1D"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Diluted EPS ($)</w:t>
            </w:r>
          </w:p>
        </w:tc>
        <w:tc>
          <w:tcPr>
            <w:tcW w:w="1408" w:type="dxa"/>
            <w:tcMar>
              <w:top w:w="90" w:type="dxa"/>
              <w:left w:w="90" w:type="dxa"/>
              <w:bottom w:w="90" w:type="dxa"/>
              <w:right w:w="90" w:type="dxa"/>
            </w:tcMar>
          </w:tcPr>
          <w:p w14:paraId="7ED91B2D"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1.63</w:t>
            </w:r>
          </w:p>
        </w:tc>
        <w:tc>
          <w:tcPr>
            <w:tcW w:w="1408" w:type="dxa"/>
            <w:tcMar>
              <w:top w:w="90" w:type="dxa"/>
              <w:left w:w="90" w:type="dxa"/>
              <w:bottom w:w="90" w:type="dxa"/>
              <w:right w:w="90" w:type="dxa"/>
            </w:tcMar>
          </w:tcPr>
          <w:p w14:paraId="69F48010"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3.62</w:t>
            </w:r>
          </w:p>
        </w:tc>
        <w:tc>
          <w:tcPr>
            <w:tcW w:w="1408" w:type="dxa"/>
            <w:tcMar>
              <w:top w:w="90" w:type="dxa"/>
              <w:left w:w="90" w:type="dxa"/>
              <w:bottom w:w="90" w:type="dxa"/>
              <w:right w:w="90" w:type="dxa"/>
            </w:tcMar>
          </w:tcPr>
          <w:p w14:paraId="63E1C33F"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4.30</w:t>
            </w:r>
          </w:p>
        </w:tc>
        <w:tc>
          <w:tcPr>
            <w:tcW w:w="1408" w:type="dxa"/>
            <w:tcMar>
              <w:top w:w="90" w:type="dxa"/>
              <w:left w:w="90" w:type="dxa"/>
              <w:bottom w:w="90" w:type="dxa"/>
              <w:right w:w="90" w:type="dxa"/>
            </w:tcMar>
          </w:tcPr>
          <w:p w14:paraId="670C3521"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2.04</w:t>
            </w:r>
          </w:p>
        </w:tc>
        <w:tc>
          <w:tcPr>
            <w:tcW w:w="1408" w:type="dxa"/>
            <w:tcMar>
              <w:top w:w="90" w:type="dxa"/>
              <w:left w:w="90" w:type="dxa"/>
              <w:bottom w:w="90" w:type="dxa"/>
              <w:right w:w="90" w:type="dxa"/>
            </w:tcMar>
          </w:tcPr>
          <w:p w14:paraId="5A5F2CBF"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1.08</w:t>
            </w:r>
          </w:p>
        </w:tc>
        <w:tc>
          <w:tcPr>
            <w:tcW w:w="1408" w:type="dxa"/>
            <w:tcMar>
              <w:top w:w="90" w:type="dxa"/>
              <w:left w:w="90" w:type="dxa"/>
              <w:bottom w:w="90" w:type="dxa"/>
              <w:right w:w="90" w:type="dxa"/>
            </w:tcMar>
          </w:tcPr>
          <w:p w14:paraId="10447B99"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Shareholder earnings momentum reversed</w:t>
            </w:r>
          </w:p>
        </w:tc>
      </w:tr>
    </w:tbl>
    <w:p w14:paraId="17EA7A31" w14:textId="77777777" w:rsidR="00170E24" w:rsidRPr="004F4A97" w:rsidRDefault="00170E24" w:rsidP="009E5697">
      <w:pPr>
        <w:spacing w:line="360" w:lineRule="auto"/>
        <w:jc w:val="left"/>
        <w:rPr>
          <w:rFonts w:ascii="Arial" w:hAnsi="Arial" w:cs="Arial"/>
          <w:sz w:val="24"/>
          <w:szCs w:val="24"/>
        </w:rPr>
      </w:pPr>
    </w:p>
    <w:p w14:paraId="5BC7921E" w14:textId="08AE0B0C"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Tesla’s debt-to-equity ratio fell sharply after 2021 and remained low thereafter, closing 2025 at about 0.10. This is unusually conservative for a capital-intensive manufacturing business and is a strategic strength. It means Tesla has not leveraged itself into fragility. The company can still borrow selectively if it identifies a high-quality, cash-generative project. Yet low gearing also changes the standard by which projects should be judged. Because Tesla is not under pressure to invest simply to survive, any increase in leverage must be justified by superior economics rather than by habit or optimism.</w:t>
      </w:r>
    </w:p>
    <w:p w14:paraId="123D76F9"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Diluted EPS increased strongly through 2023 and then reversed. The fact that EPS more than halved between 2023 and 2025 matters for investor credibility because the equity story no longer rests on uninterrupted earnings acceleration. For the CFO, this creates a governance challenge: investor communication must move away from a pure growth narrative toward a returns, discipline and segment-mix narrative. The company can still argue for long-term value creation, but only if it demonstrates that capital is being redirected toward higher-quality earnings streams rather than absorbing deteriorating economics in the core automotive business.</w:t>
      </w:r>
    </w:p>
    <w:p w14:paraId="5B09DB6A"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noProof/>
          <w:sz w:val="24"/>
          <w:szCs w:val="24"/>
        </w:rPr>
        <w:lastRenderedPageBreak/>
        <w:drawing>
          <wp:inline distT="0" distB="0" distL="0" distR="0" wp14:anchorId="5A8B8F95" wp14:editId="3710375F">
            <wp:extent cx="5852160" cy="3511296"/>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atio_trends.png"/>
                    <pic:cNvPicPr/>
                  </pic:nvPicPr>
                  <pic:blipFill>
                    <a:blip r:embed="rId10"/>
                    <a:stretch>
                      <a:fillRect/>
                    </a:stretch>
                  </pic:blipFill>
                  <pic:spPr>
                    <a:xfrm>
                      <a:off x="0" y="0"/>
                      <a:ext cx="5852160" cy="3511296"/>
                    </a:xfrm>
                    <a:prstGeom prst="rect">
                      <a:avLst/>
                    </a:prstGeom>
                  </pic:spPr>
                </pic:pic>
              </a:graphicData>
            </a:graphic>
          </wp:inline>
        </w:drawing>
      </w:r>
    </w:p>
    <w:p w14:paraId="24334AC0"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Figure 2. Profitability weakened while liquidity improved, implying resilience without commensurate value creation.</w:t>
      </w:r>
    </w:p>
    <w:p w14:paraId="5EC76809" w14:textId="77777777" w:rsidR="00EB6BA2" w:rsidRPr="004F4A97" w:rsidRDefault="00000000" w:rsidP="009E5697">
      <w:pPr>
        <w:pStyle w:val="Heading2"/>
        <w:spacing w:after="60" w:line="360" w:lineRule="auto"/>
        <w:jc w:val="left"/>
        <w:rPr>
          <w:rFonts w:ascii="Arial" w:hAnsi="Arial" w:cs="Arial"/>
          <w:sz w:val="24"/>
          <w:szCs w:val="24"/>
        </w:rPr>
      </w:pPr>
      <w:bookmarkStart w:id="24" w:name="_Toc225448338"/>
      <w:bookmarkStart w:id="25" w:name="_Toc225450242"/>
      <w:r w:rsidRPr="004F4A97">
        <w:rPr>
          <w:rFonts w:ascii="Arial" w:hAnsi="Arial" w:cs="Arial"/>
          <w:sz w:val="24"/>
          <w:szCs w:val="24"/>
        </w:rPr>
        <w:t>Strengths, threats and CFO diagnosis</w:t>
      </w:r>
      <w:bookmarkEnd w:id="24"/>
      <w:bookmarkEnd w:id="25"/>
    </w:p>
    <w:p w14:paraId="22EF1BA1"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The strongest features of Tesla’s financial position are its liquidity, its positive operating cash flow, and its still-conservative leverage. These factors create strategic optionality. Tesla has enough financial capacity to restructure from strength, preserve flexibility and avoid value-destructive emergency actions. In practical CFO terms, the company can decide to pause, sequence or cancel projects without triggering a funding crisis.</w:t>
      </w:r>
    </w:p>
    <w:p w14:paraId="4A03BAB7"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The main threats are margin compression, declining asset productivity, weakening returns on equity and a widening gap between physical scale and economic return. These trends point toward a maturing business model that must now be managed for disciplined capital efficiency rather than for unqualified expansion. The core diagnosis, therefore, is not 'financial distress' but 'financial dilution of value creation'. That diagnosis has major consequences: working capital needs to become tighter, restructuring must be selective, and investment hurdle rates must be enforced rigorously.</w:t>
      </w:r>
    </w:p>
    <w:p w14:paraId="0C1EE669" w14:textId="77777777" w:rsidR="00EB6BA2" w:rsidRPr="004F4A97" w:rsidRDefault="00000000" w:rsidP="009E5697">
      <w:pPr>
        <w:pStyle w:val="Heading1"/>
        <w:spacing w:line="360" w:lineRule="auto"/>
        <w:jc w:val="left"/>
        <w:rPr>
          <w:rFonts w:ascii="Arial" w:hAnsi="Arial" w:cs="Arial"/>
          <w:sz w:val="24"/>
          <w:szCs w:val="24"/>
        </w:rPr>
      </w:pPr>
      <w:bookmarkStart w:id="26" w:name="_Toc225450243"/>
      <w:r w:rsidRPr="004F4A97">
        <w:rPr>
          <w:rFonts w:ascii="Arial" w:hAnsi="Arial" w:cs="Arial"/>
          <w:sz w:val="24"/>
          <w:szCs w:val="24"/>
        </w:rPr>
        <w:lastRenderedPageBreak/>
        <w:t>2. Working Capital Management Analysis</w:t>
      </w:r>
      <w:bookmarkEnd w:id="26"/>
    </w:p>
    <w:p w14:paraId="1879FB26" w14:textId="77777777" w:rsidR="00EB6BA2" w:rsidRPr="004F4A97" w:rsidRDefault="00000000" w:rsidP="009E5697">
      <w:pPr>
        <w:pStyle w:val="Heading2"/>
        <w:spacing w:after="60" w:line="360" w:lineRule="auto"/>
        <w:jc w:val="left"/>
        <w:rPr>
          <w:rFonts w:ascii="Arial" w:hAnsi="Arial" w:cs="Arial"/>
          <w:sz w:val="24"/>
          <w:szCs w:val="24"/>
        </w:rPr>
      </w:pPr>
      <w:bookmarkStart w:id="27" w:name="_Toc225448340"/>
      <w:bookmarkStart w:id="28" w:name="_Toc225450244"/>
      <w:r w:rsidRPr="004F4A97">
        <w:rPr>
          <w:rFonts w:ascii="Arial" w:hAnsi="Arial" w:cs="Arial"/>
          <w:sz w:val="24"/>
          <w:szCs w:val="24"/>
        </w:rPr>
        <w:t>Cash conversion cycle and operating liquidity</w:t>
      </w:r>
      <w:bookmarkEnd w:id="27"/>
      <w:bookmarkEnd w:id="28"/>
    </w:p>
    <w:p w14:paraId="1AA4B2B4" w14:textId="77777777" w:rsidR="00EB6BA2" w:rsidRPr="004F4A97" w:rsidRDefault="00000000" w:rsidP="009E5697">
      <w:pPr>
        <w:pStyle w:val="Heading3"/>
        <w:spacing w:line="360" w:lineRule="auto"/>
        <w:jc w:val="left"/>
        <w:rPr>
          <w:rFonts w:ascii="Arial" w:hAnsi="Arial" w:cs="Arial"/>
        </w:rPr>
      </w:pPr>
      <w:bookmarkStart w:id="29" w:name="_Toc225448341"/>
      <w:bookmarkStart w:id="30" w:name="_Toc225450245"/>
      <w:r w:rsidRPr="004F4A97">
        <w:rPr>
          <w:rFonts w:ascii="Arial" w:hAnsi="Arial" w:cs="Arial"/>
        </w:rPr>
        <w:t>Table 6. Cash conversion cycle calculations</w:t>
      </w:r>
      <w:bookmarkEnd w:id="29"/>
      <w:bookmarkEnd w:id="30"/>
    </w:p>
    <w:tbl>
      <w:tblPr>
        <w:tblStyle w:val="TableGrid"/>
        <w:tblW w:w="0" w:type="auto"/>
        <w:jc w:val="center"/>
        <w:tblLook w:val="04A0" w:firstRow="1" w:lastRow="0" w:firstColumn="1" w:lastColumn="0" w:noHBand="0" w:noVBand="1"/>
      </w:tblPr>
      <w:tblGrid>
        <w:gridCol w:w="1972"/>
        <w:gridCol w:w="1972"/>
        <w:gridCol w:w="1972"/>
        <w:gridCol w:w="1972"/>
        <w:gridCol w:w="1972"/>
      </w:tblGrid>
      <w:tr w:rsidR="00EB6BA2" w:rsidRPr="004F4A97" w14:paraId="1AB0C1FD" w14:textId="77777777">
        <w:trPr>
          <w:jc w:val="center"/>
        </w:trPr>
        <w:tc>
          <w:tcPr>
            <w:tcW w:w="1972" w:type="dxa"/>
            <w:shd w:val="clear" w:color="auto" w:fill="D9EAF7"/>
          </w:tcPr>
          <w:p w14:paraId="3B686B53"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Year</w:t>
            </w:r>
          </w:p>
        </w:tc>
        <w:tc>
          <w:tcPr>
            <w:tcW w:w="1972" w:type="dxa"/>
            <w:shd w:val="clear" w:color="auto" w:fill="D9EAF7"/>
          </w:tcPr>
          <w:p w14:paraId="2FEA1104"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DIO</w:t>
            </w:r>
          </w:p>
        </w:tc>
        <w:tc>
          <w:tcPr>
            <w:tcW w:w="1972" w:type="dxa"/>
            <w:shd w:val="clear" w:color="auto" w:fill="D9EAF7"/>
          </w:tcPr>
          <w:p w14:paraId="419B9354"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DSO</w:t>
            </w:r>
          </w:p>
        </w:tc>
        <w:tc>
          <w:tcPr>
            <w:tcW w:w="1972" w:type="dxa"/>
            <w:shd w:val="clear" w:color="auto" w:fill="D9EAF7"/>
          </w:tcPr>
          <w:p w14:paraId="086FE54C"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DPO</w:t>
            </w:r>
          </w:p>
        </w:tc>
        <w:tc>
          <w:tcPr>
            <w:tcW w:w="1972" w:type="dxa"/>
            <w:shd w:val="clear" w:color="auto" w:fill="D9EAF7"/>
          </w:tcPr>
          <w:p w14:paraId="47BC37AD"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CCC</w:t>
            </w:r>
          </w:p>
        </w:tc>
      </w:tr>
      <w:tr w:rsidR="00EB6BA2" w:rsidRPr="004F4A97" w14:paraId="3137F30D" w14:textId="77777777">
        <w:trPr>
          <w:jc w:val="center"/>
        </w:trPr>
        <w:tc>
          <w:tcPr>
            <w:tcW w:w="1972" w:type="dxa"/>
            <w:tcMar>
              <w:top w:w="90" w:type="dxa"/>
              <w:left w:w="90" w:type="dxa"/>
              <w:bottom w:w="90" w:type="dxa"/>
              <w:right w:w="90" w:type="dxa"/>
            </w:tcMar>
          </w:tcPr>
          <w:p w14:paraId="0A0ECE18"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2021</w:t>
            </w:r>
          </w:p>
        </w:tc>
        <w:tc>
          <w:tcPr>
            <w:tcW w:w="1972" w:type="dxa"/>
            <w:tcMar>
              <w:top w:w="90" w:type="dxa"/>
              <w:left w:w="90" w:type="dxa"/>
              <w:bottom w:w="90" w:type="dxa"/>
              <w:right w:w="90" w:type="dxa"/>
            </w:tcMar>
          </w:tcPr>
          <w:p w14:paraId="7505379F"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52.2</w:t>
            </w:r>
          </w:p>
        </w:tc>
        <w:tc>
          <w:tcPr>
            <w:tcW w:w="1972" w:type="dxa"/>
            <w:tcMar>
              <w:top w:w="90" w:type="dxa"/>
              <w:left w:w="90" w:type="dxa"/>
              <w:bottom w:w="90" w:type="dxa"/>
              <w:right w:w="90" w:type="dxa"/>
            </w:tcMar>
          </w:tcPr>
          <w:p w14:paraId="6433C4D9"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12.8</w:t>
            </w:r>
          </w:p>
        </w:tc>
        <w:tc>
          <w:tcPr>
            <w:tcW w:w="1972" w:type="dxa"/>
            <w:tcMar>
              <w:top w:w="90" w:type="dxa"/>
              <w:left w:w="90" w:type="dxa"/>
              <w:bottom w:w="90" w:type="dxa"/>
              <w:right w:w="90" w:type="dxa"/>
            </w:tcMar>
          </w:tcPr>
          <w:p w14:paraId="31139CDD"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91.0</w:t>
            </w:r>
          </w:p>
        </w:tc>
        <w:tc>
          <w:tcPr>
            <w:tcW w:w="1972" w:type="dxa"/>
            <w:tcMar>
              <w:top w:w="90" w:type="dxa"/>
              <w:left w:w="90" w:type="dxa"/>
              <w:bottom w:w="90" w:type="dxa"/>
              <w:right w:w="90" w:type="dxa"/>
            </w:tcMar>
          </w:tcPr>
          <w:p w14:paraId="58759091"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-25.9</w:t>
            </w:r>
          </w:p>
        </w:tc>
      </w:tr>
      <w:tr w:rsidR="00EB6BA2" w:rsidRPr="004F4A97" w14:paraId="124416FA" w14:textId="77777777">
        <w:trPr>
          <w:jc w:val="center"/>
        </w:trPr>
        <w:tc>
          <w:tcPr>
            <w:tcW w:w="1972" w:type="dxa"/>
            <w:tcMar>
              <w:top w:w="90" w:type="dxa"/>
              <w:left w:w="90" w:type="dxa"/>
              <w:bottom w:w="90" w:type="dxa"/>
              <w:right w:w="90" w:type="dxa"/>
            </w:tcMar>
          </w:tcPr>
          <w:p w14:paraId="4A741489"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2022</w:t>
            </w:r>
          </w:p>
        </w:tc>
        <w:tc>
          <w:tcPr>
            <w:tcW w:w="1972" w:type="dxa"/>
            <w:tcMar>
              <w:top w:w="90" w:type="dxa"/>
              <w:left w:w="90" w:type="dxa"/>
              <w:bottom w:w="90" w:type="dxa"/>
              <w:right w:w="90" w:type="dxa"/>
            </w:tcMar>
          </w:tcPr>
          <w:p w14:paraId="6244AB4D"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77.3</w:t>
            </w:r>
          </w:p>
        </w:tc>
        <w:tc>
          <w:tcPr>
            <w:tcW w:w="1972" w:type="dxa"/>
            <w:tcMar>
              <w:top w:w="90" w:type="dxa"/>
              <w:left w:w="90" w:type="dxa"/>
              <w:bottom w:w="90" w:type="dxa"/>
              <w:right w:w="90" w:type="dxa"/>
            </w:tcMar>
          </w:tcPr>
          <w:p w14:paraId="7F6C9983"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13.2</w:t>
            </w:r>
          </w:p>
        </w:tc>
        <w:tc>
          <w:tcPr>
            <w:tcW w:w="1972" w:type="dxa"/>
            <w:tcMar>
              <w:top w:w="90" w:type="dxa"/>
              <w:left w:w="90" w:type="dxa"/>
              <w:bottom w:w="90" w:type="dxa"/>
              <w:right w:w="90" w:type="dxa"/>
            </w:tcMar>
          </w:tcPr>
          <w:p w14:paraId="044A300D"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91.9</w:t>
            </w:r>
          </w:p>
        </w:tc>
        <w:tc>
          <w:tcPr>
            <w:tcW w:w="1972" w:type="dxa"/>
            <w:tcMar>
              <w:top w:w="90" w:type="dxa"/>
              <w:left w:w="90" w:type="dxa"/>
              <w:bottom w:w="90" w:type="dxa"/>
              <w:right w:w="90" w:type="dxa"/>
            </w:tcMar>
          </w:tcPr>
          <w:p w14:paraId="2D222722"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-1.3</w:t>
            </w:r>
          </w:p>
        </w:tc>
      </w:tr>
      <w:tr w:rsidR="00EB6BA2" w:rsidRPr="004F4A97" w14:paraId="0932CF1B" w14:textId="77777777">
        <w:trPr>
          <w:jc w:val="center"/>
        </w:trPr>
        <w:tc>
          <w:tcPr>
            <w:tcW w:w="1972" w:type="dxa"/>
            <w:tcMar>
              <w:top w:w="90" w:type="dxa"/>
              <w:left w:w="90" w:type="dxa"/>
              <w:bottom w:w="90" w:type="dxa"/>
              <w:right w:w="90" w:type="dxa"/>
            </w:tcMar>
          </w:tcPr>
          <w:p w14:paraId="59321D35"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2023</w:t>
            </w:r>
          </w:p>
        </w:tc>
        <w:tc>
          <w:tcPr>
            <w:tcW w:w="1972" w:type="dxa"/>
            <w:tcMar>
              <w:top w:w="90" w:type="dxa"/>
              <w:left w:w="90" w:type="dxa"/>
              <w:bottom w:w="90" w:type="dxa"/>
              <w:right w:w="90" w:type="dxa"/>
            </w:tcMar>
          </w:tcPr>
          <w:p w14:paraId="7297506B"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62.9</w:t>
            </w:r>
          </w:p>
        </w:tc>
        <w:tc>
          <w:tcPr>
            <w:tcW w:w="1972" w:type="dxa"/>
            <w:tcMar>
              <w:top w:w="90" w:type="dxa"/>
              <w:left w:w="90" w:type="dxa"/>
              <w:bottom w:w="90" w:type="dxa"/>
              <w:right w:w="90" w:type="dxa"/>
            </w:tcMar>
          </w:tcPr>
          <w:p w14:paraId="31F514BB"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13.3</w:t>
            </w:r>
          </w:p>
        </w:tc>
        <w:tc>
          <w:tcPr>
            <w:tcW w:w="1972" w:type="dxa"/>
            <w:tcMar>
              <w:top w:w="90" w:type="dxa"/>
              <w:left w:w="90" w:type="dxa"/>
              <w:bottom w:w="90" w:type="dxa"/>
              <w:right w:w="90" w:type="dxa"/>
            </w:tcMar>
          </w:tcPr>
          <w:p w14:paraId="22290727"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75.6</w:t>
            </w:r>
          </w:p>
        </w:tc>
        <w:tc>
          <w:tcPr>
            <w:tcW w:w="1972" w:type="dxa"/>
            <w:tcMar>
              <w:top w:w="90" w:type="dxa"/>
              <w:left w:w="90" w:type="dxa"/>
              <w:bottom w:w="90" w:type="dxa"/>
              <w:right w:w="90" w:type="dxa"/>
            </w:tcMar>
          </w:tcPr>
          <w:p w14:paraId="1B042602"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0.5</w:t>
            </w:r>
          </w:p>
        </w:tc>
      </w:tr>
      <w:tr w:rsidR="00EB6BA2" w:rsidRPr="004F4A97" w14:paraId="329CBD62" w14:textId="77777777">
        <w:trPr>
          <w:jc w:val="center"/>
        </w:trPr>
        <w:tc>
          <w:tcPr>
            <w:tcW w:w="1972" w:type="dxa"/>
            <w:tcMar>
              <w:top w:w="90" w:type="dxa"/>
              <w:left w:w="90" w:type="dxa"/>
              <w:bottom w:w="90" w:type="dxa"/>
              <w:right w:w="90" w:type="dxa"/>
            </w:tcMar>
          </w:tcPr>
          <w:p w14:paraId="7D3FF102"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2024</w:t>
            </w:r>
          </w:p>
        </w:tc>
        <w:tc>
          <w:tcPr>
            <w:tcW w:w="1972" w:type="dxa"/>
            <w:tcMar>
              <w:top w:w="90" w:type="dxa"/>
              <w:left w:w="90" w:type="dxa"/>
              <w:bottom w:w="90" w:type="dxa"/>
              <w:right w:w="90" w:type="dxa"/>
            </w:tcMar>
          </w:tcPr>
          <w:p w14:paraId="190DCE65"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54.7</w:t>
            </w:r>
          </w:p>
        </w:tc>
        <w:tc>
          <w:tcPr>
            <w:tcW w:w="1972" w:type="dxa"/>
            <w:tcMar>
              <w:top w:w="90" w:type="dxa"/>
              <w:left w:w="90" w:type="dxa"/>
              <w:bottom w:w="90" w:type="dxa"/>
              <w:right w:w="90" w:type="dxa"/>
            </w:tcMar>
          </w:tcPr>
          <w:p w14:paraId="41B3A520"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16.5</w:t>
            </w:r>
          </w:p>
        </w:tc>
        <w:tc>
          <w:tcPr>
            <w:tcW w:w="1972" w:type="dxa"/>
            <w:tcMar>
              <w:top w:w="90" w:type="dxa"/>
              <w:left w:w="90" w:type="dxa"/>
              <w:bottom w:w="90" w:type="dxa"/>
              <w:right w:w="90" w:type="dxa"/>
            </w:tcMar>
          </w:tcPr>
          <w:p w14:paraId="23D28B74"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56.7</w:t>
            </w:r>
          </w:p>
        </w:tc>
        <w:tc>
          <w:tcPr>
            <w:tcW w:w="1972" w:type="dxa"/>
            <w:tcMar>
              <w:top w:w="90" w:type="dxa"/>
              <w:left w:w="90" w:type="dxa"/>
              <w:bottom w:w="90" w:type="dxa"/>
              <w:right w:w="90" w:type="dxa"/>
            </w:tcMar>
          </w:tcPr>
          <w:p w14:paraId="5F3C97E9"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14.4</w:t>
            </w:r>
          </w:p>
        </w:tc>
      </w:tr>
      <w:tr w:rsidR="00EB6BA2" w:rsidRPr="004F4A97" w14:paraId="4DBD42E0" w14:textId="77777777">
        <w:trPr>
          <w:jc w:val="center"/>
        </w:trPr>
        <w:tc>
          <w:tcPr>
            <w:tcW w:w="1972" w:type="dxa"/>
            <w:tcMar>
              <w:top w:w="90" w:type="dxa"/>
              <w:left w:w="90" w:type="dxa"/>
              <w:bottom w:w="90" w:type="dxa"/>
              <w:right w:w="90" w:type="dxa"/>
            </w:tcMar>
          </w:tcPr>
          <w:p w14:paraId="421A161E"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2025</w:t>
            </w:r>
          </w:p>
        </w:tc>
        <w:tc>
          <w:tcPr>
            <w:tcW w:w="1972" w:type="dxa"/>
            <w:tcMar>
              <w:top w:w="90" w:type="dxa"/>
              <w:left w:w="90" w:type="dxa"/>
              <w:bottom w:w="90" w:type="dxa"/>
              <w:right w:w="90" w:type="dxa"/>
            </w:tcMar>
          </w:tcPr>
          <w:p w14:paraId="7DCF5B9B"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58.2</w:t>
            </w:r>
          </w:p>
        </w:tc>
        <w:tc>
          <w:tcPr>
            <w:tcW w:w="1972" w:type="dxa"/>
            <w:tcMar>
              <w:top w:w="90" w:type="dxa"/>
              <w:left w:w="90" w:type="dxa"/>
              <w:bottom w:w="90" w:type="dxa"/>
              <w:right w:w="90" w:type="dxa"/>
            </w:tcMar>
          </w:tcPr>
          <w:p w14:paraId="16FA39EE"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17.6</w:t>
            </w:r>
          </w:p>
        </w:tc>
        <w:tc>
          <w:tcPr>
            <w:tcW w:w="1972" w:type="dxa"/>
            <w:tcMar>
              <w:top w:w="90" w:type="dxa"/>
              <w:left w:w="90" w:type="dxa"/>
              <w:bottom w:w="90" w:type="dxa"/>
              <w:right w:w="90" w:type="dxa"/>
            </w:tcMar>
          </w:tcPr>
          <w:p w14:paraId="188D133D"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62.8</w:t>
            </w:r>
          </w:p>
        </w:tc>
        <w:tc>
          <w:tcPr>
            <w:tcW w:w="1972" w:type="dxa"/>
            <w:tcMar>
              <w:top w:w="90" w:type="dxa"/>
              <w:left w:w="90" w:type="dxa"/>
              <w:bottom w:w="90" w:type="dxa"/>
              <w:right w:w="90" w:type="dxa"/>
            </w:tcMar>
          </w:tcPr>
          <w:p w14:paraId="7727D257"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13.0</w:t>
            </w:r>
          </w:p>
        </w:tc>
      </w:tr>
    </w:tbl>
    <w:p w14:paraId="67A5CA18" w14:textId="77777777" w:rsidR="003D3CBD" w:rsidRPr="004F4A97" w:rsidRDefault="003D3CBD" w:rsidP="009E5697">
      <w:pPr>
        <w:spacing w:line="360" w:lineRule="auto"/>
        <w:jc w:val="left"/>
        <w:rPr>
          <w:rFonts w:ascii="Arial" w:hAnsi="Arial" w:cs="Arial"/>
          <w:sz w:val="24"/>
          <w:szCs w:val="24"/>
        </w:rPr>
      </w:pPr>
    </w:p>
    <w:p w14:paraId="70BB5B2C" w14:textId="7029A3E6"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The cash conversion cycle is calculated as days inventory outstanding plus days sales outstanding minus days payables outstanding. Tesla’s cycle moved from 11.3 days in 2021 to near-breakeven in 2022, before lengthening to 13.0 days by 2025. Using 2025 figures, DIO = 12,392 / 77,733 x 365</w:t>
      </w:r>
      <w:r w:rsidR="00A8424F">
        <w:rPr>
          <w:rFonts w:ascii="Arial" w:hAnsi="Arial" w:cs="Arial"/>
          <w:sz w:val="24"/>
          <w:szCs w:val="24"/>
        </w:rPr>
        <w:t>days</w:t>
      </w:r>
      <w:r w:rsidRPr="004F4A97">
        <w:rPr>
          <w:rFonts w:ascii="Arial" w:hAnsi="Arial" w:cs="Arial"/>
          <w:sz w:val="24"/>
          <w:szCs w:val="24"/>
        </w:rPr>
        <w:t xml:space="preserve"> = 58.2 days; DSO = 4,576 / 94,827 x 365</w:t>
      </w:r>
      <w:r w:rsidR="00A8424F">
        <w:rPr>
          <w:rFonts w:ascii="Arial" w:hAnsi="Arial" w:cs="Arial"/>
          <w:sz w:val="24"/>
          <w:szCs w:val="24"/>
        </w:rPr>
        <w:t>days</w:t>
      </w:r>
      <w:r w:rsidRPr="004F4A97">
        <w:rPr>
          <w:rFonts w:ascii="Arial" w:hAnsi="Arial" w:cs="Arial"/>
          <w:sz w:val="24"/>
          <w:szCs w:val="24"/>
        </w:rPr>
        <w:t xml:space="preserve"> = 17.6 days; DPO = 13,367 / 77,733 x 365</w:t>
      </w:r>
      <w:r w:rsidR="00A8424F">
        <w:rPr>
          <w:rFonts w:ascii="Arial" w:hAnsi="Arial" w:cs="Arial"/>
          <w:sz w:val="24"/>
          <w:szCs w:val="24"/>
        </w:rPr>
        <w:t>days</w:t>
      </w:r>
      <w:r w:rsidRPr="004F4A97">
        <w:rPr>
          <w:rFonts w:ascii="Arial" w:hAnsi="Arial" w:cs="Arial"/>
          <w:sz w:val="24"/>
          <w:szCs w:val="24"/>
        </w:rPr>
        <w:t xml:space="preserve"> = 62.8 days; therefore CCC = 58.2 + 17.6 - 62.8 = 13.0 days. This is still manageable by industrial standards, but it is directionally less </w:t>
      </w:r>
      <w:proofErr w:type="spellStart"/>
      <w:r w:rsidRPr="004F4A97">
        <w:rPr>
          <w:rFonts w:ascii="Arial" w:hAnsi="Arial" w:cs="Arial"/>
          <w:sz w:val="24"/>
          <w:szCs w:val="24"/>
        </w:rPr>
        <w:t>favourable</w:t>
      </w:r>
      <w:proofErr w:type="spellEnd"/>
      <w:r w:rsidRPr="004F4A97">
        <w:rPr>
          <w:rFonts w:ascii="Arial" w:hAnsi="Arial" w:cs="Arial"/>
          <w:sz w:val="24"/>
          <w:szCs w:val="24"/>
        </w:rPr>
        <w:t xml:space="preserve"> than the 2022 position. The company is tying up more cash in day-to-day operations than it did when growth was stronger.</w:t>
      </w:r>
    </w:p>
    <w:p w14:paraId="5EA591FB"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 xml:space="preserve">The most important movement is not in receivables, which remained low relative to revenue, but in the relationship between inventory and payables. Tesla’s supplier financing effect was strongest in 2022, when DPO exceeded the combined burden of DIO and DSO. That benefit </w:t>
      </w:r>
      <w:proofErr w:type="gramStart"/>
      <w:r w:rsidRPr="004F4A97">
        <w:rPr>
          <w:rFonts w:ascii="Arial" w:hAnsi="Arial" w:cs="Arial"/>
          <w:sz w:val="24"/>
          <w:szCs w:val="24"/>
        </w:rPr>
        <w:t>reduced</w:t>
      </w:r>
      <w:proofErr w:type="gramEnd"/>
      <w:r w:rsidRPr="004F4A97">
        <w:rPr>
          <w:rFonts w:ascii="Arial" w:hAnsi="Arial" w:cs="Arial"/>
          <w:sz w:val="24"/>
          <w:szCs w:val="24"/>
        </w:rPr>
        <w:t xml:space="preserve"> materially thereafter. The CFO meaning is that Tesla lost part of the natural financing advantage that had previously helped protect cash generation during scale-up. In a lower-margin environment, that loss of spontaneous finance matters more.</w:t>
      </w:r>
    </w:p>
    <w:p w14:paraId="10DE32B6" w14:textId="77777777" w:rsidR="00EB6BA2" w:rsidRPr="004F4A97" w:rsidRDefault="00000000" w:rsidP="009E5697">
      <w:pPr>
        <w:pStyle w:val="Heading2"/>
        <w:spacing w:after="60" w:line="360" w:lineRule="auto"/>
        <w:jc w:val="left"/>
        <w:rPr>
          <w:rFonts w:ascii="Arial" w:hAnsi="Arial" w:cs="Arial"/>
          <w:sz w:val="24"/>
          <w:szCs w:val="24"/>
        </w:rPr>
      </w:pPr>
      <w:bookmarkStart w:id="31" w:name="_Toc225448342"/>
      <w:bookmarkStart w:id="32" w:name="_Toc225450246"/>
      <w:r w:rsidRPr="004F4A97">
        <w:rPr>
          <w:rFonts w:ascii="Arial" w:hAnsi="Arial" w:cs="Arial"/>
          <w:sz w:val="24"/>
          <w:szCs w:val="24"/>
        </w:rPr>
        <w:t>Inventory, receivables and payables trends</w:t>
      </w:r>
      <w:bookmarkEnd w:id="31"/>
      <w:bookmarkEnd w:id="32"/>
    </w:p>
    <w:p w14:paraId="374C3281"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 xml:space="preserve">Inventory almost doubled between 2021 and 2022 and remained elevated thereafter. Although Tesla did not report an uncontrolled inventory spiral, the later years show that the firm was no longer selling </w:t>
      </w:r>
      <w:proofErr w:type="gramStart"/>
      <w:r w:rsidRPr="004F4A97">
        <w:rPr>
          <w:rFonts w:ascii="Arial" w:hAnsi="Arial" w:cs="Arial"/>
          <w:sz w:val="24"/>
          <w:szCs w:val="24"/>
        </w:rPr>
        <w:t>into</w:t>
      </w:r>
      <w:proofErr w:type="gramEnd"/>
      <w:r w:rsidRPr="004F4A97">
        <w:rPr>
          <w:rFonts w:ascii="Arial" w:hAnsi="Arial" w:cs="Arial"/>
          <w:sz w:val="24"/>
          <w:szCs w:val="24"/>
        </w:rPr>
        <w:t xml:space="preserve"> a market where every unit could command premium economics. This has a direct strategic consequence. Inventory in an EV business is not </w:t>
      </w:r>
      <w:r w:rsidRPr="004F4A97">
        <w:rPr>
          <w:rFonts w:ascii="Arial" w:hAnsi="Arial" w:cs="Arial"/>
          <w:sz w:val="24"/>
          <w:szCs w:val="24"/>
        </w:rPr>
        <w:lastRenderedPageBreak/>
        <w:t>neutral: specifications evolve quickly, incentives change, and discounting pressure can translate stock into margin erosion. The CFO should therefore view inventory policy as part of pricing strategy, not merely warehouse management.</w:t>
      </w:r>
    </w:p>
    <w:p w14:paraId="013A5629"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Accounts receivable rose from $1.9 billion in 2021 to $4.6 billion in 2025, but DSO remained relatively modest because revenue also increased. This suggests that collection discipline has not broken down. Nevertheless, the drift upward from around 13 days to nearly 18 days still deserves attention, particularly as Tesla expands its financing, energy and services activities, where customer payment structures can be less immediate than direct vehicle cash sales. The correct CFO response is early analytics rather than late intervention: segment-level ageing, counterparty scoring and tighter rebate recovery monitoring.</w:t>
      </w:r>
    </w:p>
    <w:p w14:paraId="36080776"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 xml:space="preserve">Accounts payable increased materially between 2021 and 2023, supporting cash generation, but then fell in 2024 before partially recovering in 2025. A shortening of payable days means Tesla funded more of its operating cycle with its own cash. This can happen for benign reasons, such as faster settlement for strategic suppliers, but it can also indicate weaker negotiating leverage or a deliberate decision to </w:t>
      </w:r>
      <w:proofErr w:type="spellStart"/>
      <w:r w:rsidRPr="004F4A97">
        <w:rPr>
          <w:rFonts w:ascii="Arial" w:hAnsi="Arial" w:cs="Arial"/>
          <w:sz w:val="24"/>
          <w:szCs w:val="24"/>
        </w:rPr>
        <w:t>stabilise</w:t>
      </w:r>
      <w:proofErr w:type="spellEnd"/>
      <w:r w:rsidRPr="004F4A97">
        <w:rPr>
          <w:rFonts w:ascii="Arial" w:hAnsi="Arial" w:cs="Arial"/>
          <w:sz w:val="24"/>
          <w:szCs w:val="24"/>
        </w:rPr>
        <w:t xml:space="preserve"> the supply chain. The strategic issue is that once profitability falls, self-financing the operating cycle becomes more costly in </w:t>
      </w:r>
      <w:proofErr w:type="gramStart"/>
      <w:r w:rsidRPr="004F4A97">
        <w:rPr>
          <w:rFonts w:ascii="Arial" w:hAnsi="Arial" w:cs="Arial"/>
          <w:sz w:val="24"/>
          <w:szCs w:val="24"/>
        </w:rPr>
        <w:t>opportunity terms</w:t>
      </w:r>
      <w:proofErr w:type="gramEnd"/>
      <w:r w:rsidRPr="004F4A97">
        <w:rPr>
          <w:rFonts w:ascii="Arial" w:hAnsi="Arial" w:cs="Arial"/>
          <w:sz w:val="24"/>
          <w:szCs w:val="24"/>
        </w:rPr>
        <w:t>.</w:t>
      </w:r>
    </w:p>
    <w:p w14:paraId="6D1305EB" w14:textId="77777777" w:rsidR="00EB6BA2" w:rsidRPr="004F4A97" w:rsidRDefault="00000000" w:rsidP="009E5697">
      <w:pPr>
        <w:pStyle w:val="Heading2"/>
        <w:spacing w:after="60" w:line="360" w:lineRule="auto"/>
        <w:jc w:val="left"/>
        <w:rPr>
          <w:rFonts w:ascii="Arial" w:hAnsi="Arial" w:cs="Arial"/>
          <w:sz w:val="24"/>
          <w:szCs w:val="24"/>
        </w:rPr>
      </w:pPr>
      <w:bookmarkStart w:id="33" w:name="_Toc225448343"/>
      <w:bookmarkStart w:id="34" w:name="_Toc225450247"/>
      <w:r w:rsidRPr="004F4A97">
        <w:rPr>
          <w:rFonts w:ascii="Arial" w:hAnsi="Arial" w:cs="Arial"/>
          <w:sz w:val="24"/>
          <w:szCs w:val="24"/>
        </w:rPr>
        <w:t>Recommended working capital reforms</w:t>
      </w:r>
      <w:bookmarkEnd w:id="33"/>
      <w:bookmarkEnd w:id="34"/>
    </w:p>
    <w:p w14:paraId="0DD6FBB0"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 xml:space="preserve">First, Tesla should move from broad output </w:t>
      </w:r>
      <w:proofErr w:type="spellStart"/>
      <w:r w:rsidRPr="004F4A97">
        <w:rPr>
          <w:rFonts w:ascii="Arial" w:hAnsi="Arial" w:cs="Arial"/>
          <w:sz w:val="24"/>
          <w:szCs w:val="24"/>
        </w:rPr>
        <w:t>maximisation</w:t>
      </w:r>
      <w:proofErr w:type="spellEnd"/>
      <w:r w:rsidRPr="004F4A97">
        <w:rPr>
          <w:rFonts w:ascii="Arial" w:hAnsi="Arial" w:cs="Arial"/>
          <w:sz w:val="24"/>
          <w:szCs w:val="24"/>
        </w:rPr>
        <w:t xml:space="preserve"> to tighter demand-linked production planning by geography and model family. The point is not simply to cut inventory; it is to reduce mismatch inventory that later requires price concessions. A CFO should support this with monthly gross-margin-at-risk dashboards that combine inventory ageing, incentive exposure and forecast variance.</w:t>
      </w:r>
    </w:p>
    <w:p w14:paraId="0B825766"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 xml:space="preserve">Second, supplier terms should be managed more strategically. Tesla is large enough to </w:t>
      </w:r>
      <w:proofErr w:type="spellStart"/>
      <w:r w:rsidRPr="004F4A97">
        <w:rPr>
          <w:rFonts w:ascii="Arial" w:hAnsi="Arial" w:cs="Arial"/>
          <w:sz w:val="24"/>
          <w:szCs w:val="24"/>
        </w:rPr>
        <w:t>formalise</w:t>
      </w:r>
      <w:proofErr w:type="spellEnd"/>
      <w:r w:rsidRPr="004F4A97">
        <w:rPr>
          <w:rFonts w:ascii="Arial" w:hAnsi="Arial" w:cs="Arial"/>
          <w:sz w:val="24"/>
          <w:szCs w:val="24"/>
        </w:rPr>
        <w:t xml:space="preserve"> supplier-finance arrangements, dynamic discounting and tiered settlement frameworks that protect key suppliers while extending average payable economics. The objective is not to transfer distress down the supply chain; it is to recover efficient trade-credit usage without impairing continuity of supply or reputational standing.</w:t>
      </w:r>
    </w:p>
    <w:p w14:paraId="225F89F8"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 xml:space="preserve">Third, receivables discipline should be sharpened in the non-automotive segments. Government rebates, financing receivables and energy-project billing can all slow cash </w:t>
      </w:r>
      <w:proofErr w:type="spellStart"/>
      <w:r w:rsidRPr="004F4A97">
        <w:rPr>
          <w:rFonts w:ascii="Arial" w:hAnsi="Arial" w:cs="Arial"/>
          <w:sz w:val="24"/>
          <w:szCs w:val="24"/>
        </w:rPr>
        <w:t>realisation</w:t>
      </w:r>
      <w:proofErr w:type="spellEnd"/>
      <w:r w:rsidRPr="004F4A97">
        <w:rPr>
          <w:rFonts w:ascii="Arial" w:hAnsi="Arial" w:cs="Arial"/>
          <w:sz w:val="24"/>
          <w:szCs w:val="24"/>
        </w:rPr>
        <w:t xml:space="preserve"> even when headline sales look healthy. A CFO-led collections </w:t>
      </w:r>
      <w:proofErr w:type="spellStart"/>
      <w:r w:rsidRPr="004F4A97">
        <w:rPr>
          <w:rFonts w:ascii="Arial" w:hAnsi="Arial" w:cs="Arial"/>
          <w:sz w:val="24"/>
          <w:szCs w:val="24"/>
        </w:rPr>
        <w:t>programme</w:t>
      </w:r>
      <w:proofErr w:type="spellEnd"/>
      <w:r w:rsidRPr="004F4A97">
        <w:rPr>
          <w:rFonts w:ascii="Arial" w:hAnsi="Arial" w:cs="Arial"/>
          <w:sz w:val="24"/>
          <w:szCs w:val="24"/>
        </w:rPr>
        <w:t xml:space="preserve"> should </w:t>
      </w:r>
      <w:r w:rsidRPr="004F4A97">
        <w:rPr>
          <w:rFonts w:ascii="Arial" w:hAnsi="Arial" w:cs="Arial"/>
          <w:sz w:val="24"/>
          <w:szCs w:val="24"/>
        </w:rPr>
        <w:lastRenderedPageBreak/>
        <w:t>therefore distinguish between consumer automotive receipts, business-to-business energy receivables and regulatory-credit balances.</w:t>
      </w:r>
    </w:p>
    <w:p w14:paraId="463CC57C"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Fourth, surplus liquidity should not be allowed to obscure working capital inefficiency. Tesla can absorb a 13-day cycle, but that is not the same as saying a 13-day cycle is optimal. Releasing cash from operations is preferable to funding a structurally slower cycle with external borrowing, especially when the company’s return on equity has already fallen below levels that justify relaxed discipline.</w:t>
      </w:r>
    </w:p>
    <w:p w14:paraId="24711072" w14:textId="77777777" w:rsidR="00EB6BA2" w:rsidRPr="004F4A97" w:rsidRDefault="00000000" w:rsidP="009E5697">
      <w:pPr>
        <w:pStyle w:val="Heading2"/>
        <w:spacing w:after="60" w:line="360" w:lineRule="auto"/>
        <w:jc w:val="left"/>
        <w:rPr>
          <w:rFonts w:ascii="Arial" w:hAnsi="Arial" w:cs="Arial"/>
          <w:sz w:val="24"/>
          <w:szCs w:val="24"/>
        </w:rPr>
      </w:pPr>
      <w:bookmarkStart w:id="35" w:name="_Toc225448344"/>
      <w:bookmarkStart w:id="36" w:name="_Toc225450248"/>
      <w:r w:rsidRPr="004F4A97">
        <w:rPr>
          <w:rFonts w:ascii="Arial" w:hAnsi="Arial" w:cs="Arial"/>
          <w:sz w:val="24"/>
          <w:szCs w:val="24"/>
        </w:rPr>
        <w:t>Short-term versus long-term financing choices</w:t>
      </w:r>
      <w:bookmarkEnd w:id="35"/>
      <w:bookmarkEnd w:id="36"/>
    </w:p>
    <w:p w14:paraId="2090BC8F"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Short-term financing, such as revolving credit, supplier credit and other current facilities, is appropriate for seasonal or temporary working capital needs. Its advantages are flexibility and a typically lower nominal cost in normal markets. Its disadvantages are refinancing risk and sensitivity to shifts in rates or lender sentiment. Long-term financing, by contrast, provides stability and better aligns with structural asset needs, but it may be more expensive and can reduce flexibility if raised excessively.</w:t>
      </w:r>
    </w:p>
    <w:p w14:paraId="6B9E76F0"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For Tesla, the better policy is to reserve long-term financing for strategic capex and to treat short-term finance as a liquidity backstop rather than as a permanent substitute for operational discipline. The company does not need to borrow simply because it can. Its financial statements indicate that internal cash generation remains strong enough to fund ordinary working capital, provided the operating cycle is tightened. The 'so what' is that the highest-value working capital reform is managerial, not financial: cash should be released from the cycle before it is raised from the market.</w:t>
      </w:r>
    </w:p>
    <w:p w14:paraId="3945CFD9" w14:textId="77777777" w:rsidR="00EB6BA2" w:rsidRPr="004F4A97" w:rsidRDefault="00000000" w:rsidP="009E5697">
      <w:pPr>
        <w:pStyle w:val="Heading1"/>
        <w:spacing w:line="360" w:lineRule="auto"/>
        <w:jc w:val="left"/>
        <w:rPr>
          <w:rFonts w:ascii="Arial" w:hAnsi="Arial" w:cs="Arial"/>
          <w:sz w:val="24"/>
          <w:szCs w:val="24"/>
        </w:rPr>
      </w:pPr>
      <w:bookmarkStart w:id="37" w:name="_Toc225450249"/>
      <w:r w:rsidRPr="004F4A97">
        <w:rPr>
          <w:rFonts w:ascii="Arial" w:hAnsi="Arial" w:cs="Arial"/>
          <w:sz w:val="24"/>
          <w:szCs w:val="24"/>
        </w:rPr>
        <w:t>3. Strategic Financial Restructuring Plan</w:t>
      </w:r>
      <w:bookmarkEnd w:id="37"/>
    </w:p>
    <w:p w14:paraId="464378A5" w14:textId="77777777" w:rsidR="00EB6BA2" w:rsidRPr="004F4A97" w:rsidRDefault="00000000" w:rsidP="009E5697">
      <w:pPr>
        <w:pStyle w:val="Heading2"/>
        <w:spacing w:after="60" w:line="360" w:lineRule="auto"/>
        <w:jc w:val="left"/>
        <w:rPr>
          <w:rFonts w:ascii="Arial" w:hAnsi="Arial" w:cs="Arial"/>
          <w:sz w:val="24"/>
          <w:szCs w:val="24"/>
        </w:rPr>
      </w:pPr>
      <w:bookmarkStart w:id="38" w:name="_Toc225448346"/>
      <w:bookmarkStart w:id="39" w:name="_Toc225450250"/>
      <w:r w:rsidRPr="004F4A97">
        <w:rPr>
          <w:rFonts w:ascii="Arial" w:hAnsi="Arial" w:cs="Arial"/>
          <w:sz w:val="24"/>
          <w:szCs w:val="24"/>
        </w:rPr>
        <w:t>Restructuring logic</w:t>
      </w:r>
      <w:bookmarkEnd w:id="38"/>
      <w:bookmarkEnd w:id="39"/>
    </w:p>
    <w:p w14:paraId="2578305A"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 xml:space="preserve">Tesla does not require crisis restructuring. It requires strategic restructuring designed to raise the return on a large existing capital base. That distinction matters because the tools are different. A distressed company restructures to restore solvency. Tesla should restructure to restore economic quality: higher margins, better capital productivity, stronger segment mix and more disciplined deployment of liquidity. The restructuring plan proposed here therefore </w:t>
      </w:r>
      <w:proofErr w:type="spellStart"/>
      <w:r w:rsidRPr="004F4A97">
        <w:rPr>
          <w:rFonts w:ascii="Arial" w:hAnsi="Arial" w:cs="Arial"/>
          <w:sz w:val="24"/>
          <w:szCs w:val="24"/>
        </w:rPr>
        <w:t>centres</w:t>
      </w:r>
      <w:proofErr w:type="spellEnd"/>
      <w:r w:rsidRPr="004F4A97">
        <w:rPr>
          <w:rFonts w:ascii="Arial" w:hAnsi="Arial" w:cs="Arial"/>
          <w:sz w:val="24"/>
          <w:szCs w:val="24"/>
        </w:rPr>
        <w:t xml:space="preserve"> on cost restructuring, portfolio reallocation, selective balance-sheet </w:t>
      </w:r>
      <w:proofErr w:type="spellStart"/>
      <w:r w:rsidRPr="004F4A97">
        <w:rPr>
          <w:rFonts w:ascii="Arial" w:hAnsi="Arial" w:cs="Arial"/>
          <w:sz w:val="24"/>
          <w:szCs w:val="24"/>
        </w:rPr>
        <w:lastRenderedPageBreak/>
        <w:t>optimisation</w:t>
      </w:r>
      <w:proofErr w:type="spellEnd"/>
      <w:r w:rsidRPr="004F4A97">
        <w:rPr>
          <w:rFonts w:ascii="Arial" w:hAnsi="Arial" w:cs="Arial"/>
          <w:sz w:val="24"/>
          <w:szCs w:val="24"/>
        </w:rPr>
        <w:t xml:space="preserve"> and international risk management rather than debt workouts or emergency disposals.</w:t>
      </w:r>
    </w:p>
    <w:p w14:paraId="0EE3C171" w14:textId="77777777" w:rsidR="00EB6BA2" w:rsidRPr="004F4A97" w:rsidRDefault="00000000" w:rsidP="009E5697">
      <w:pPr>
        <w:pStyle w:val="Heading2"/>
        <w:spacing w:after="60" w:line="360" w:lineRule="auto"/>
        <w:jc w:val="left"/>
        <w:rPr>
          <w:rFonts w:ascii="Arial" w:hAnsi="Arial" w:cs="Arial"/>
          <w:sz w:val="24"/>
          <w:szCs w:val="24"/>
        </w:rPr>
      </w:pPr>
      <w:bookmarkStart w:id="40" w:name="_Toc225448347"/>
      <w:bookmarkStart w:id="41" w:name="_Toc225450251"/>
      <w:r w:rsidRPr="004F4A97">
        <w:rPr>
          <w:rFonts w:ascii="Arial" w:hAnsi="Arial" w:cs="Arial"/>
          <w:sz w:val="24"/>
          <w:szCs w:val="24"/>
        </w:rPr>
        <w:t>Cost restructuring and operational reset</w:t>
      </w:r>
      <w:bookmarkEnd w:id="40"/>
      <w:bookmarkEnd w:id="41"/>
    </w:p>
    <w:p w14:paraId="5280D03C"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 xml:space="preserve">The </w:t>
      </w:r>
      <w:proofErr w:type="gramStart"/>
      <w:r w:rsidRPr="004F4A97">
        <w:rPr>
          <w:rFonts w:ascii="Arial" w:hAnsi="Arial" w:cs="Arial"/>
          <w:sz w:val="24"/>
          <w:szCs w:val="24"/>
        </w:rPr>
        <w:t>first priority</w:t>
      </w:r>
      <w:proofErr w:type="gramEnd"/>
      <w:r w:rsidRPr="004F4A97">
        <w:rPr>
          <w:rFonts w:ascii="Arial" w:hAnsi="Arial" w:cs="Arial"/>
          <w:sz w:val="24"/>
          <w:szCs w:val="24"/>
        </w:rPr>
        <w:t xml:space="preserve"> is a zero-based review of operating expenditure. Tesla’s 2025 annual report shows research and development expense rising to $6.4 billion, or 7% of revenue, while SG&amp;A also increased in absolute terms (Tesla, 2026a). Continued investment in AI and new products may be strategically justified, but the CFO cannot allow every growth narrative to remain insulated from return scrutiny. The correct approach is to preserve genuinely strategic R&amp;D while removing duplicated support costs, low-yield overhead and costs that expanded during the high-growth period without corresponding present-day benefit.</w:t>
      </w:r>
    </w:p>
    <w:p w14:paraId="32C172E0"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 xml:space="preserve">This is not an argument for blunt austerity. Over-cutting would risk damaging the innovation pipeline and service quality. Instead, the CFO should impose a 'value density' test: each major cost line should be assessed according to whether it protects margin, accelerates scalable revenue or reduces future cash outflow. Costs that do none of these should be challenged. The </w:t>
      </w:r>
      <w:proofErr w:type="gramStart"/>
      <w:r w:rsidRPr="004F4A97">
        <w:rPr>
          <w:rFonts w:ascii="Arial" w:hAnsi="Arial" w:cs="Arial"/>
          <w:sz w:val="24"/>
          <w:szCs w:val="24"/>
        </w:rPr>
        <w:t>shareholder-value</w:t>
      </w:r>
      <w:proofErr w:type="gramEnd"/>
      <w:r w:rsidRPr="004F4A97">
        <w:rPr>
          <w:rFonts w:ascii="Arial" w:hAnsi="Arial" w:cs="Arial"/>
          <w:sz w:val="24"/>
          <w:szCs w:val="24"/>
        </w:rPr>
        <w:t xml:space="preserve"> rationale is straightforward: when net profit margin falls to 4%, small improvements in the operating-cost base can have a disproportionately positive effect on earnings recovery.</w:t>
      </w:r>
    </w:p>
    <w:p w14:paraId="4260D67D" w14:textId="77777777" w:rsidR="00EB6BA2" w:rsidRPr="004F4A97" w:rsidRDefault="00000000" w:rsidP="009E5697">
      <w:pPr>
        <w:pStyle w:val="Heading2"/>
        <w:spacing w:after="60" w:line="360" w:lineRule="auto"/>
        <w:jc w:val="left"/>
        <w:rPr>
          <w:rFonts w:ascii="Arial" w:hAnsi="Arial" w:cs="Arial"/>
          <w:sz w:val="24"/>
          <w:szCs w:val="24"/>
        </w:rPr>
      </w:pPr>
      <w:bookmarkStart w:id="42" w:name="_Toc225448348"/>
      <w:bookmarkStart w:id="43" w:name="_Toc225450252"/>
      <w:r w:rsidRPr="004F4A97">
        <w:rPr>
          <w:rFonts w:ascii="Arial" w:hAnsi="Arial" w:cs="Arial"/>
          <w:sz w:val="24"/>
          <w:szCs w:val="24"/>
        </w:rPr>
        <w:t>Portfolio reallocation rather than indiscriminate expansion</w:t>
      </w:r>
      <w:bookmarkEnd w:id="42"/>
      <w:bookmarkEnd w:id="43"/>
    </w:p>
    <w:p w14:paraId="18114E75"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 xml:space="preserve">The annual reports show that Tesla’s energy generation and storage segment has become economically more attractive over time, while automotive profitability has come under heavier pressure (Tesla, 2025a; Tesla, 2026a). From a CFO perspective, the correct restructuring response is not to abandon automotive scale, but to </w:t>
      </w:r>
      <w:proofErr w:type="gramStart"/>
      <w:r w:rsidRPr="004F4A97">
        <w:rPr>
          <w:rFonts w:ascii="Arial" w:hAnsi="Arial" w:cs="Arial"/>
          <w:sz w:val="24"/>
          <w:szCs w:val="24"/>
        </w:rPr>
        <w:t>stop treating</w:t>
      </w:r>
      <w:proofErr w:type="gramEnd"/>
      <w:r w:rsidRPr="004F4A97">
        <w:rPr>
          <w:rFonts w:ascii="Arial" w:hAnsi="Arial" w:cs="Arial"/>
          <w:sz w:val="24"/>
          <w:szCs w:val="24"/>
        </w:rPr>
        <w:t xml:space="preserve"> every automotive expansion opportunity as strategically equivalent. Incremental capital should be rationed more tightly in lower-return vehicle capacity and </w:t>
      </w:r>
      <w:proofErr w:type="spellStart"/>
      <w:r w:rsidRPr="004F4A97">
        <w:rPr>
          <w:rFonts w:ascii="Arial" w:hAnsi="Arial" w:cs="Arial"/>
          <w:sz w:val="24"/>
          <w:szCs w:val="24"/>
        </w:rPr>
        <w:t>channelled</w:t>
      </w:r>
      <w:proofErr w:type="spellEnd"/>
      <w:r w:rsidRPr="004F4A97">
        <w:rPr>
          <w:rFonts w:ascii="Arial" w:hAnsi="Arial" w:cs="Arial"/>
          <w:sz w:val="24"/>
          <w:szCs w:val="24"/>
        </w:rPr>
        <w:t xml:space="preserve"> more decisively into businesses where margins, recurring revenue characteristics or infrastructure-like cash flows are stronger.</w:t>
      </w:r>
    </w:p>
    <w:p w14:paraId="6AFB9832"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 xml:space="preserve">This is effectively a portfolio restructuring decision. It increases shareholder value by improving the quality of future earnings and lowers strategic dependence on one increasingly competitive profit pool. The key point is that diversification becomes financially meaningful only when it changes the return profile of the group. A CFO should therefore </w:t>
      </w:r>
      <w:proofErr w:type="spellStart"/>
      <w:r w:rsidRPr="004F4A97">
        <w:rPr>
          <w:rFonts w:ascii="Arial" w:hAnsi="Arial" w:cs="Arial"/>
          <w:sz w:val="24"/>
          <w:szCs w:val="24"/>
        </w:rPr>
        <w:t>prioritise</w:t>
      </w:r>
      <w:proofErr w:type="spellEnd"/>
      <w:r w:rsidRPr="004F4A97">
        <w:rPr>
          <w:rFonts w:ascii="Arial" w:hAnsi="Arial" w:cs="Arial"/>
          <w:sz w:val="24"/>
          <w:szCs w:val="24"/>
        </w:rPr>
        <w:t xml:space="preserve"> segments that improve the mix of earnings, not merely the breadth of activities.</w:t>
      </w:r>
    </w:p>
    <w:p w14:paraId="510AB11F" w14:textId="77777777" w:rsidR="00EB6BA2" w:rsidRPr="004F4A97" w:rsidRDefault="00000000" w:rsidP="009E5697">
      <w:pPr>
        <w:pStyle w:val="Heading2"/>
        <w:spacing w:after="60" w:line="360" w:lineRule="auto"/>
        <w:jc w:val="left"/>
        <w:rPr>
          <w:rFonts w:ascii="Arial" w:hAnsi="Arial" w:cs="Arial"/>
          <w:sz w:val="24"/>
          <w:szCs w:val="24"/>
        </w:rPr>
      </w:pPr>
      <w:bookmarkStart w:id="44" w:name="_Toc225448349"/>
      <w:bookmarkStart w:id="45" w:name="_Toc225450253"/>
      <w:r w:rsidRPr="004F4A97">
        <w:rPr>
          <w:rFonts w:ascii="Arial" w:hAnsi="Arial" w:cs="Arial"/>
          <w:sz w:val="24"/>
          <w:szCs w:val="24"/>
        </w:rPr>
        <w:lastRenderedPageBreak/>
        <w:t>Capital structure and shareholder value</w:t>
      </w:r>
      <w:bookmarkEnd w:id="44"/>
      <w:bookmarkEnd w:id="45"/>
    </w:p>
    <w:p w14:paraId="2239CEF3"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Tesla’s conservative leverage means an equity injection is unnecessary and would likely be dilutive given the company’s still-substantial liquidity. A broad-based increase in corporate debt is also not justified while profitability remains under pressure. However, selective debt financing can be economically sensible for ring-fenced, cash-generative investments such as certain energy storage deployments. The benefit of this approach is that it preserves corporate flexibility while allowing the firm to match funding structure to project cash-flow characteristics.</w:t>
      </w:r>
    </w:p>
    <w:p w14:paraId="1EC50E35"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 xml:space="preserve">The direct </w:t>
      </w:r>
      <w:proofErr w:type="gramStart"/>
      <w:r w:rsidRPr="004F4A97">
        <w:rPr>
          <w:rFonts w:ascii="Arial" w:hAnsi="Arial" w:cs="Arial"/>
          <w:sz w:val="24"/>
          <w:szCs w:val="24"/>
        </w:rPr>
        <w:t>shareholder-value</w:t>
      </w:r>
      <w:proofErr w:type="gramEnd"/>
      <w:r w:rsidRPr="004F4A97">
        <w:rPr>
          <w:rFonts w:ascii="Arial" w:hAnsi="Arial" w:cs="Arial"/>
          <w:sz w:val="24"/>
          <w:szCs w:val="24"/>
        </w:rPr>
        <w:t xml:space="preserve"> implication is twofold. First, avoiding unnecessary equity issuance protects existing investors from dilution at a time when EPS has already weakened. Second, resisting indiscriminate leverage protects Tesla from loading financial risk onto an operating model that is already facing margin compression. Operational flexibility is itself a form of value, especially in a sector where policy, subsidies and trade rules can shift rapidly.</w:t>
      </w:r>
    </w:p>
    <w:p w14:paraId="08BEB723" w14:textId="77777777" w:rsidR="00EB6BA2" w:rsidRPr="004F4A97" w:rsidRDefault="00000000" w:rsidP="009E5697">
      <w:pPr>
        <w:pStyle w:val="Heading2"/>
        <w:spacing w:after="60" w:line="360" w:lineRule="auto"/>
        <w:jc w:val="left"/>
        <w:rPr>
          <w:rFonts w:ascii="Arial" w:hAnsi="Arial" w:cs="Arial"/>
          <w:sz w:val="24"/>
          <w:szCs w:val="24"/>
        </w:rPr>
      </w:pPr>
      <w:bookmarkStart w:id="46" w:name="_Toc225448350"/>
      <w:bookmarkStart w:id="47" w:name="_Toc225450254"/>
      <w:r w:rsidRPr="004F4A97">
        <w:rPr>
          <w:rFonts w:ascii="Arial" w:hAnsi="Arial" w:cs="Arial"/>
          <w:sz w:val="24"/>
          <w:szCs w:val="24"/>
        </w:rPr>
        <w:t>International financial considerations</w:t>
      </w:r>
      <w:bookmarkEnd w:id="46"/>
      <w:bookmarkEnd w:id="47"/>
    </w:p>
    <w:p w14:paraId="17846FD1"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Currency risk is material because Tesla sells and sources globally. The 2025 annual report explicitly notes that the company does not typically hedge all intercompany currency exposures and can therefore experience significant fluctuations in foreign-exchange gains and losses (Tesla, 2026a). The CFO implication is that FX management cannot remain a peripheral treasury function. More natural hedging should be achieved by matching currency of cost and revenue where feasible, while selective financial hedging should be used where volatility is large enough to distort project economics or annual earnings comparability.</w:t>
      </w:r>
    </w:p>
    <w:p w14:paraId="4EC25DF2"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 xml:space="preserve">Inflation and trade policy should also be embedded into restructuring decisions. Raw-material costs, </w:t>
      </w:r>
      <w:proofErr w:type="spellStart"/>
      <w:r w:rsidRPr="004F4A97">
        <w:rPr>
          <w:rFonts w:ascii="Arial" w:hAnsi="Arial" w:cs="Arial"/>
          <w:sz w:val="24"/>
          <w:szCs w:val="24"/>
        </w:rPr>
        <w:t>labour</w:t>
      </w:r>
      <w:proofErr w:type="spellEnd"/>
      <w:r w:rsidRPr="004F4A97">
        <w:rPr>
          <w:rFonts w:ascii="Arial" w:hAnsi="Arial" w:cs="Arial"/>
          <w:sz w:val="24"/>
          <w:szCs w:val="24"/>
        </w:rPr>
        <w:t xml:space="preserve"> costs, tariff shifts and local-content rules can all alter the economics of EV manufacturing. The strategic response is not only </w:t>
      </w:r>
      <w:proofErr w:type="spellStart"/>
      <w:r w:rsidRPr="004F4A97">
        <w:rPr>
          <w:rFonts w:ascii="Arial" w:hAnsi="Arial" w:cs="Arial"/>
          <w:sz w:val="24"/>
          <w:szCs w:val="24"/>
        </w:rPr>
        <w:t>localisation</w:t>
      </w:r>
      <w:proofErr w:type="spellEnd"/>
      <w:r w:rsidRPr="004F4A97">
        <w:rPr>
          <w:rFonts w:ascii="Arial" w:hAnsi="Arial" w:cs="Arial"/>
          <w:sz w:val="24"/>
          <w:szCs w:val="24"/>
        </w:rPr>
        <w:t xml:space="preserve"> for political </w:t>
      </w:r>
      <w:proofErr w:type="spellStart"/>
      <w:r w:rsidRPr="004F4A97">
        <w:rPr>
          <w:rFonts w:ascii="Arial" w:hAnsi="Arial" w:cs="Arial"/>
          <w:sz w:val="24"/>
          <w:szCs w:val="24"/>
        </w:rPr>
        <w:t>signalling</w:t>
      </w:r>
      <w:proofErr w:type="spellEnd"/>
      <w:r w:rsidRPr="004F4A97">
        <w:rPr>
          <w:rFonts w:ascii="Arial" w:hAnsi="Arial" w:cs="Arial"/>
          <w:sz w:val="24"/>
          <w:szCs w:val="24"/>
        </w:rPr>
        <w:t xml:space="preserve">, but </w:t>
      </w:r>
      <w:proofErr w:type="spellStart"/>
      <w:r w:rsidRPr="004F4A97">
        <w:rPr>
          <w:rFonts w:ascii="Arial" w:hAnsi="Arial" w:cs="Arial"/>
          <w:sz w:val="24"/>
          <w:szCs w:val="24"/>
        </w:rPr>
        <w:t>localisation</w:t>
      </w:r>
      <w:proofErr w:type="spellEnd"/>
      <w:r w:rsidRPr="004F4A97">
        <w:rPr>
          <w:rFonts w:ascii="Arial" w:hAnsi="Arial" w:cs="Arial"/>
          <w:sz w:val="24"/>
          <w:szCs w:val="24"/>
        </w:rPr>
        <w:t xml:space="preserve"> where it reduces cost volatility and protects margin. Any new factory or supply-chain commitment should therefore be assessed under inflation-adjusted and tariff-sensitive scenarios, rather than under a single static base case.</w:t>
      </w:r>
    </w:p>
    <w:p w14:paraId="119AEF86"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 xml:space="preserve">Taxation remains relevant because multinational cash flows can be weakened by inefficient legal-entity design, poor transfer-pricing governance or trapped cash positions. The CFO should pursue compliant tax efficiency, not aggressive tax engineering. In the present environment of public scrutiny and ESG-linked investor expectations, a restructuring plan </w:t>
      </w:r>
      <w:r w:rsidRPr="004F4A97">
        <w:rPr>
          <w:rFonts w:ascii="Arial" w:hAnsi="Arial" w:cs="Arial"/>
          <w:sz w:val="24"/>
          <w:szCs w:val="24"/>
        </w:rPr>
        <w:lastRenderedPageBreak/>
        <w:t>that appears financially clever but ethically opportunistic can destroy more value reputationally than it creates financially.</w:t>
      </w:r>
    </w:p>
    <w:p w14:paraId="7FE39CA7" w14:textId="77777777" w:rsidR="00EB6BA2" w:rsidRPr="004F4A97" w:rsidRDefault="00000000" w:rsidP="009E5697">
      <w:pPr>
        <w:pStyle w:val="Heading2"/>
        <w:spacing w:after="60" w:line="360" w:lineRule="auto"/>
        <w:jc w:val="left"/>
        <w:rPr>
          <w:rFonts w:ascii="Arial" w:hAnsi="Arial" w:cs="Arial"/>
          <w:sz w:val="24"/>
          <w:szCs w:val="24"/>
        </w:rPr>
      </w:pPr>
      <w:bookmarkStart w:id="48" w:name="_Toc225448351"/>
      <w:bookmarkStart w:id="49" w:name="_Toc225450255"/>
      <w:r w:rsidRPr="004F4A97">
        <w:rPr>
          <w:rFonts w:ascii="Arial" w:hAnsi="Arial" w:cs="Arial"/>
          <w:sz w:val="24"/>
          <w:szCs w:val="24"/>
        </w:rPr>
        <w:t>Ethical, CSR and ESG considerations</w:t>
      </w:r>
      <w:bookmarkEnd w:id="48"/>
      <w:bookmarkEnd w:id="49"/>
    </w:p>
    <w:p w14:paraId="59FD9C9E"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 xml:space="preserve">Tesla’s sustainability narrative is commercially valuable and strategically sensitive. The company’s impact reporting continues to </w:t>
      </w:r>
      <w:proofErr w:type="spellStart"/>
      <w:r w:rsidRPr="004F4A97">
        <w:rPr>
          <w:rFonts w:ascii="Arial" w:hAnsi="Arial" w:cs="Arial"/>
          <w:sz w:val="24"/>
          <w:szCs w:val="24"/>
        </w:rPr>
        <w:t>emphasise</w:t>
      </w:r>
      <w:proofErr w:type="spellEnd"/>
      <w:r w:rsidRPr="004F4A97">
        <w:rPr>
          <w:rFonts w:ascii="Arial" w:hAnsi="Arial" w:cs="Arial"/>
          <w:sz w:val="24"/>
          <w:szCs w:val="24"/>
        </w:rPr>
        <w:t xml:space="preserve"> customer emissions avoidance, battery-supply governance and broader environmental benefits (Tesla, 2025c). A credible restructuring plan must therefore preserve ethical legitimacy. This means </w:t>
      </w:r>
      <w:proofErr w:type="spellStart"/>
      <w:r w:rsidRPr="004F4A97">
        <w:rPr>
          <w:rFonts w:ascii="Arial" w:hAnsi="Arial" w:cs="Arial"/>
          <w:sz w:val="24"/>
          <w:szCs w:val="24"/>
        </w:rPr>
        <w:t>labour</w:t>
      </w:r>
      <w:proofErr w:type="spellEnd"/>
      <w:r w:rsidRPr="004F4A97">
        <w:rPr>
          <w:rFonts w:ascii="Arial" w:hAnsi="Arial" w:cs="Arial"/>
          <w:sz w:val="24"/>
          <w:szCs w:val="24"/>
        </w:rPr>
        <w:t xml:space="preserve"> adjustments should be handled with appropriate transparency and fairness; supplier negotiation should not collapse into coercive cash extraction; and battery-material sourcing should remain aligned with conflict-minerals and modern-slavery expectations (Tesla, 2025d; Tesla, 2025e).</w:t>
      </w:r>
    </w:p>
    <w:p w14:paraId="716E2D3E"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From a CFO viewpoint, ESG is not a separate moral essay attached to finance; it is part of risk-adjusted value creation. If restructuring improves the next quarter’s margin by increasing long-term reputational, regulatory or supply-chain risk, then the apparent gain is overstated. The right financial logic is therefore ethically informed: preserve flexibility, improve returns and maintain legitimacy simultaneously.</w:t>
      </w:r>
    </w:p>
    <w:p w14:paraId="2ACA872E" w14:textId="77777777" w:rsidR="00EB6BA2" w:rsidRPr="004F4A97" w:rsidRDefault="00000000" w:rsidP="009E5697">
      <w:pPr>
        <w:pStyle w:val="Heading2"/>
        <w:spacing w:after="60" w:line="360" w:lineRule="auto"/>
        <w:jc w:val="left"/>
        <w:rPr>
          <w:rFonts w:ascii="Arial" w:hAnsi="Arial" w:cs="Arial"/>
          <w:sz w:val="24"/>
          <w:szCs w:val="24"/>
        </w:rPr>
      </w:pPr>
      <w:bookmarkStart w:id="50" w:name="_Toc225448352"/>
      <w:bookmarkStart w:id="51" w:name="_Toc225450256"/>
      <w:r w:rsidRPr="004F4A97">
        <w:rPr>
          <w:rFonts w:ascii="Arial" w:hAnsi="Arial" w:cs="Arial"/>
          <w:sz w:val="24"/>
          <w:szCs w:val="24"/>
        </w:rPr>
        <w:t>Recommended restructuring package</w:t>
      </w:r>
      <w:bookmarkEnd w:id="50"/>
      <w:bookmarkEnd w:id="51"/>
    </w:p>
    <w:p w14:paraId="36B0B9AB"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The recommended package is to tighten operating costs, shift internal capital allocation toward higher-quality segments, preserve conservative group leverage, and use project-level debt only where cash flows are visible and defensible.</w:t>
      </w:r>
    </w:p>
    <w:p w14:paraId="34CF9350"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Shareholder value should be improved primarily through margin recovery and better capital productivity, not through accounting engineering or dilution.</w:t>
      </w:r>
    </w:p>
    <w:p w14:paraId="1A5334C3"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 xml:space="preserve">Operational flexibility should be protected by maintaining liquidity, sequencing capex and strengthening </w:t>
      </w:r>
      <w:proofErr w:type="gramStart"/>
      <w:r w:rsidRPr="004F4A97">
        <w:rPr>
          <w:rFonts w:ascii="Arial" w:hAnsi="Arial" w:cs="Arial"/>
          <w:sz w:val="24"/>
          <w:szCs w:val="24"/>
        </w:rPr>
        <w:t>foreign-exchange</w:t>
      </w:r>
      <w:proofErr w:type="gramEnd"/>
      <w:r w:rsidRPr="004F4A97">
        <w:rPr>
          <w:rFonts w:ascii="Arial" w:hAnsi="Arial" w:cs="Arial"/>
          <w:sz w:val="24"/>
          <w:szCs w:val="24"/>
        </w:rPr>
        <w:t xml:space="preserve"> and inflation governance.</w:t>
      </w:r>
    </w:p>
    <w:p w14:paraId="051BE85F"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International and ethical constraints should be treated as binding design parameters, not afterthoughts.</w:t>
      </w:r>
    </w:p>
    <w:p w14:paraId="1AAE3B96" w14:textId="77777777" w:rsidR="00EB6BA2" w:rsidRPr="004F4A97" w:rsidRDefault="00000000" w:rsidP="009E5697">
      <w:pPr>
        <w:pStyle w:val="Heading1"/>
        <w:spacing w:line="360" w:lineRule="auto"/>
        <w:jc w:val="left"/>
        <w:rPr>
          <w:rFonts w:ascii="Arial" w:hAnsi="Arial" w:cs="Arial"/>
          <w:sz w:val="24"/>
          <w:szCs w:val="24"/>
        </w:rPr>
      </w:pPr>
      <w:bookmarkStart w:id="52" w:name="_Toc225450257"/>
      <w:r w:rsidRPr="004F4A97">
        <w:rPr>
          <w:rFonts w:ascii="Arial" w:hAnsi="Arial" w:cs="Arial"/>
          <w:sz w:val="24"/>
          <w:szCs w:val="24"/>
        </w:rPr>
        <w:lastRenderedPageBreak/>
        <w:t>4. Investment Appraisal and Capital Budgeting</w:t>
      </w:r>
      <w:bookmarkEnd w:id="52"/>
    </w:p>
    <w:p w14:paraId="2930B060" w14:textId="77777777" w:rsidR="00EB6BA2" w:rsidRPr="004F4A97" w:rsidRDefault="00000000" w:rsidP="009E5697">
      <w:pPr>
        <w:pStyle w:val="Heading2"/>
        <w:spacing w:after="60" w:line="360" w:lineRule="auto"/>
        <w:jc w:val="left"/>
        <w:rPr>
          <w:rFonts w:ascii="Arial" w:hAnsi="Arial" w:cs="Arial"/>
          <w:sz w:val="24"/>
          <w:szCs w:val="24"/>
        </w:rPr>
      </w:pPr>
      <w:bookmarkStart w:id="53" w:name="_Toc225448354"/>
      <w:bookmarkStart w:id="54" w:name="_Toc225450258"/>
      <w:r w:rsidRPr="004F4A97">
        <w:rPr>
          <w:rFonts w:ascii="Arial" w:hAnsi="Arial" w:cs="Arial"/>
          <w:sz w:val="24"/>
          <w:szCs w:val="24"/>
        </w:rPr>
        <w:t>Appraisal framework</w:t>
      </w:r>
      <w:bookmarkEnd w:id="53"/>
      <w:bookmarkEnd w:id="54"/>
    </w:p>
    <w:p w14:paraId="4BEB2645"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 xml:space="preserve">The three proposed projects are assessed using payback period, accounting rate of return, net present value, profitability index and internal rate of return. The initial outlay for each project is £50 </w:t>
      </w:r>
      <w:proofErr w:type="gramStart"/>
      <w:r w:rsidRPr="004F4A97">
        <w:rPr>
          <w:rFonts w:ascii="Arial" w:hAnsi="Arial" w:cs="Arial"/>
          <w:sz w:val="24"/>
          <w:szCs w:val="24"/>
        </w:rPr>
        <w:t>million,</w:t>
      </w:r>
      <w:proofErr w:type="gramEnd"/>
      <w:r w:rsidRPr="004F4A97">
        <w:rPr>
          <w:rFonts w:ascii="Arial" w:hAnsi="Arial" w:cs="Arial"/>
          <w:sz w:val="24"/>
          <w:szCs w:val="24"/>
        </w:rPr>
        <w:t xml:space="preserve"> the discount rate is 10% and depreciation is straight-line to zero over five years. Annual depreciation is therefore £10 million for each project. This section deliberately links the project results back to Tesla’s current financial position. Because the firm’s profitability and capital productivity have weakened, the CFO should not accept investments merely because they are feasible. The governing question is whether they create value relative to the cost of capital.</w:t>
      </w:r>
    </w:p>
    <w:p w14:paraId="17280547" w14:textId="77777777" w:rsidR="00EB6BA2" w:rsidRPr="004F4A97" w:rsidRDefault="00000000" w:rsidP="009E5697">
      <w:pPr>
        <w:pStyle w:val="Heading3"/>
        <w:spacing w:line="360" w:lineRule="auto"/>
        <w:jc w:val="left"/>
        <w:rPr>
          <w:rFonts w:ascii="Arial" w:hAnsi="Arial" w:cs="Arial"/>
        </w:rPr>
      </w:pPr>
      <w:bookmarkStart w:id="55" w:name="_Toc225448355"/>
      <w:bookmarkStart w:id="56" w:name="_Toc225450259"/>
      <w:r w:rsidRPr="004F4A97">
        <w:rPr>
          <w:rFonts w:ascii="Arial" w:hAnsi="Arial" w:cs="Arial"/>
        </w:rPr>
        <w:t>Table 7. Discount factors at 10%</w:t>
      </w:r>
      <w:bookmarkEnd w:id="55"/>
      <w:bookmarkEnd w:id="56"/>
    </w:p>
    <w:tbl>
      <w:tblPr>
        <w:tblStyle w:val="TableGrid"/>
        <w:tblW w:w="0" w:type="auto"/>
        <w:jc w:val="center"/>
        <w:tblLook w:val="04A0" w:firstRow="1" w:lastRow="0" w:firstColumn="1" w:lastColumn="0" w:noHBand="0" w:noVBand="1"/>
      </w:tblPr>
      <w:tblGrid>
        <w:gridCol w:w="1643"/>
        <w:gridCol w:w="1643"/>
        <w:gridCol w:w="1643"/>
        <w:gridCol w:w="1643"/>
        <w:gridCol w:w="1643"/>
        <w:gridCol w:w="1643"/>
      </w:tblGrid>
      <w:tr w:rsidR="00EB6BA2" w:rsidRPr="004F4A97" w14:paraId="2D57C7A4" w14:textId="77777777">
        <w:trPr>
          <w:jc w:val="center"/>
        </w:trPr>
        <w:tc>
          <w:tcPr>
            <w:tcW w:w="1643" w:type="dxa"/>
            <w:shd w:val="clear" w:color="auto" w:fill="D9EAF7"/>
          </w:tcPr>
          <w:p w14:paraId="755F30F5"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Year</w:t>
            </w:r>
          </w:p>
        </w:tc>
        <w:tc>
          <w:tcPr>
            <w:tcW w:w="1643" w:type="dxa"/>
            <w:shd w:val="clear" w:color="auto" w:fill="D9EAF7"/>
          </w:tcPr>
          <w:p w14:paraId="5FE621BC"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1</w:t>
            </w:r>
          </w:p>
        </w:tc>
        <w:tc>
          <w:tcPr>
            <w:tcW w:w="1643" w:type="dxa"/>
            <w:shd w:val="clear" w:color="auto" w:fill="D9EAF7"/>
          </w:tcPr>
          <w:p w14:paraId="1AA91785"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2</w:t>
            </w:r>
          </w:p>
        </w:tc>
        <w:tc>
          <w:tcPr>
            <w:tcW w:w="1643" w:type="dxa"/>
            <w:shd w:val="clear" w:color="auto" w:fill="D9EAF7"/>
          </w:tcPr>
          <w:p w14:paraId="63F80435"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3</w:t>
            </w:r>
          </w:p>
        </w:tc>
        <w:tc>
          <w:tcPr>
            <w:tcW w:w="1643" w:type="dxa"/>
            <w:shd w:val="clear" w:color="auto" w:fill="D9EAF7"/>
          </w:tcPr>
          <w:p w14:paraId="3CC65C9D"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4</w:t>
            </w:r>
          </w:p>
        </w:tc>
        <w:tc>
          <w:tcPr>
            <w:tcW w:w="1643" w:type="dxa"/>
            <w:shd w:val="clear" w:color="auto" w:fill="D9EAF7"/>
          </w:tcPr>
          <w:p w14:paraId="20DBDA70"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5</w:t>
            </w:r>
          </w:p>
        </w:tc>
      </w:tr>
      <w:tr w:rsidR="00EB6BA2" w:rsidRPr="004F4A97" w14:paraId="20B216C9" w14:textId="77777777">
        <w:trPr>
          <w:jc w:val="center"/>
        </w:trPr>
        <w:tc>
          <w:tcPr>
            <w:tcW w:w="1643" w:type="dxa"/>
          </w:tcPr>
          <w:p w14:paraId="1B92A6F6"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Discount factor</w:t>
            </w:r>
          </w:p>
        </w:tc>
        <w:tc>
          <w:tcPr>
            <w:tcW w:w="1643" w:type="dxa"/>
          </w:tcPr>
          <w:p w14:paraId="641BF0AD"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0.9091</w:t>
            </w:r>
          </w:p>
        </w:tc>
        <w:tc>
          <w:tcPr>
            <w:tcW w:w="1643" w:type="dxa"/>
          </w:tcPr>
          <w:p w14:paraId="1EECF75D"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0.8264</w:t>
            </w:r>
          </w:p>
        </w:tc>
        <w:tc>
          <w:tcPr>
            <w:tcW w:w="1643" w:type="dxa"/>
          </w:tcPr>
          <w:p w14:paraId="03DA6E73"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0.7513</w:t>
            </w:r>
          </w:p>
        </w:tc>
        <w:tc>
          <w:tcPr>
            <w:tcW w:w="1643" w:type="dxa"/>
          </w:tcPr>
          <w:p w14:paraId="6DCBE613"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0.6830</w:t>
            </w:r>
          </w:p>
        </w:tc>
        <w:tc>
          <w:tcPr>
            <w:tcW w:w="1643" w:type="dxa"/>
          </w:tcPr>
          <w:p w14:paraId="42465EDD"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0.6209</w:t>
            </w:r>
          </w:p>
        </w:tc>
      </w:tr>
    </w:tbl>
    <w:p w14:paraId="73A64203" w14:textId="77777777" w:rsidR="003D3CBD" w:rsidRPr="004F4A97" w:rsidRDefault="003D3CBD" w:rsidP="009E5697">
      <w:pPr>
        <w:pStyle w:val="Heading3"/>
        <w:spacing w:line="360" w:lineRule="auto"/>
        <w:jc w:val="left"/>
        <w:rPr>
          <w:rFonts w:ascii="Arial" w:hAnsi="Arial" w:cs="Arial"/>
        </w:rPr>
      </w:pPr>
      <w:bookmarkStart w:id="57" w:name="_Toc225448356"/>
    </w:p>
    <w:p w14:paraId="6B20CFF8" w14:textId="1E385F21" w:rsidR="00EB6BA2" w:rsidRPr="004F4A97" w:rsidRDefault="00000000" w:rsidP="009E5697">
      <w:pPr>
        <w:pStyle w:val="Heading3"/>
        <w:spacing w:line="360" w:lineRule="auto"/>
        <w:jc w:val="left"/>
        <w:rPr>
          <w:rFonts w:ascii="Arial" w:hAnsi="Arial" w:cs="Arial"/>
        </w:rPr>
      </w:pPr>
      <w:bookmarkStart w:id="58" w:name="_Toc225450260"/>
      <w:r w:rsidRPr="004F4A97">
        <w:rPr>
          <w:rFonts w:ascii="Arial" w:hAnsi="Arial" w:cs="Arial"/>
        </w:rPr>
        <w:t>Table 8. Present value of cash inflows by project (£m)</w:t>
      </w:r>
      <w:bookmarkEnd w:id="57"/>
      <w:bookmarkEnd w:id="58"/>
    </w:p>
    <w:tbl>
      <w:tblPr>
        <w:tblStyle w:val="TableGrid"/>
        <w:tblW w:w="0" w:type="auto"/>
        <w:jc w:val="center"/>
        <w:tblLook w:val="04A0" w:firstRow="1" w:lastRow="0" w:firstColumn="1" w:lastColumn="0" w:noHBand="0" w:noVBand="1"/>
      </w:tblPr>
      <w:tblGrid>
        <w:gridCol w:w="1232"/>
        <w:gridCol w:w="1232"/>
        <w:gridCol w:w="1232"/>
        <w:gridCol w:w="1232"/>
        <w:gridCol w:w="1232"/>
        <w:gridCol w:w="1232"/>
        <w:gridCol w:w="1232"/>
        <w:gridCol w:w="1232"/>
      </w:tblGrid>
      <w:tr w:rsidR="00EB6BA2" w:rsidRPr="004F4A97" w14:paraId="64B76006" w14:textId="77777777">
        <w:trPr>
          <w:jc w:val="center"/>
        </w:trPr>
        <w:tc>
          <w:tcPr>
            <w:tcW w:w="1232" w:type="dxa"/>
            <w:shd w:val="clear" w:color="auto" w:fill="D9EAF7"/>
          </w:tcPr>
          <w:p w14:paraId="64D74AB6"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Year</w:t>
            </w:r>
          </w:p>
        </w:tc>
        <w:tc>
          <w:tcPr>
            <w:tcW w:w="1232" w:type="dxa"/>
            <w:shd w:val="clear" w:color="auto" w:fill="D9EAF7"/>
          </w:tcPr>
          <w:p w14:paraId="325A1E6E"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DF</w:t>
            </w:r>
          </w:p>
        </w:tc>
        <w:tc>
          <w:tcPr>
            <w:tcW w:w="1232" w:type="dxa"/>
            <w:shd w:val="clear" w:color="auto" w:fill="D9EAF7"/>
          </w:tcPr>
          <w:p w14:paraId="464E3488"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A cash flow</w:t>
            </w:r>
          </w:p>
        </w:tc>
        <w:tc>
          <w:tcPr>
            <w:tcW w:w="1232" w:type="dxa"/>
            <w:shd w:val="clear" w:color="auto" w:fill="D9EAF7"/>
          </w:tcPr>
          <w:p w14:paraId="414225B0"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A PV</w:t>
            </w:r>
          </w:p>
        </w:tc>
        <w:tc>
          <w:tcPr>
            <w:tcW w:w="1232" w:type="dxa"/>
            <w:shd w:val="clear" w:color="auto" w:fill="D9EAF7"/>
          </w:tcPr>
          <w:p w14:paraId="21ACBA70"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B cash flow</w:t>
            </w:r>
          </w:p>
        </w:tc>
        <w:tc>
          <w:tcPr>
            <w:tcW w:w="1232" w:type="dxa"/>
            <w:shd w:val="clear" w:color="auto" w:fill="D9EAF7"/>
          </w:tcPr>
          <w:p w14:paraId="7A792AEF"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B PV</w:t>
            </w:r>
          </w:p>
        </w:tc>
        <w:tc>
          <w:tcPr>
            <w:tcW w:w="1232" w:type="dxa"/>
            <w:shd w:val="clear" w:color="auto" w:fill="D9EAF7"/>
          </w:tcPr>
          <w:p w14:paraId="15710145"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C cash flow</w:t>
            </w:r>
          </w:p>
        </w:tc>
        <w:tc>
          <w:tcPr>
            <w:tcW w:w="1232" w:type="dxa"/>
            <w:shd w:val="clear" w:color="auto" w:fill="D9EAF7"/>
          </w:tcPr>
          <w:p w14:paraId="2B4A8404"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C PV</w:t>
            </w:r>
          </w:p>
        </w:tc>
      </w:tr>
      <w:tr w:rsidR="00EB6BA2" w:rsidRPr="004F4A97" w14:paraId="537280EB" w14:textId="77777777">
        <w:trPr>
          <w:jc w:val="center"/>
        </w:trPr>
        <w:tc>
          <w:tcPr>
            <w:tcW w:w="1232" w:type="dxa"/>
          </w:tcPr>
          <w:p w14:paraId="69EBA676"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1</w:t>
            </w:r>
          </w:p>
        </w:tc>
        <w:tc>
          <w:tcPr>
            <w:tcW w:w="1232" w:type="dxa"/>
          </w:tcPr>
          <w:p w14:paraId="105DE65F"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0.9091</w:t>
            </w:r>
          </w:p>
        </w:tc>
        <w:tc>
          <w:tcPr>
            <w:tcW w:w="1232" w:type="dxa"/>
          </w:tcPr>
          <w:p w14:paraId="7D5B7465"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10</w:t>
            </w:r>
          </w:p>
        </w:tc>
        <w:tc>
          <w:tcPr>
            <w:tcW w:w="1232" w:type="dxa"/>
          </w:tcPr>
          <w:p w14:paraId="388D3523"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9.09</w:t>
            </w:r>
          </w:p>
        </w:tc>
        <w:tc>
          <w:tcPr>
            <w:tcW w:w="1232" w:type="dxa"/>
          </w:tcPr>
          <w:p w14:paraId="1C3C4FAA"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11</w:t>
            </w:r>
          </w:p>
        </w:tc>
        <w:tc>
          <w:tcPr>
            <w:tcW w:w="1232" w:type="dxa"/>
          </w:tcPr>
          <w:p w14:paraId="50C8FF54"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10.00</w:t>
            </w:r>
          </w:p>
        </w:tc>
        <w:tc>
          <w:tcPr>
            <w:tcW w:w="1232" w:type="dxa"/>
          </w:tcPr>
          <w:p w14:paraId="49F819CC"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5</w:t>
            </w:r>
          </w:p>
        </w:tc>
        <w:tc>
          <w:tcPr>
            <w:tcW w:w="1232" w:type="dxa"/>
          </w:tcPr>
          <w:p w14:paraId="4E02909C"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4.55</w:t>
            </w:r>
          </w:p>
        </w:tc>
      </w:tr>
      <w:tr w:rsidR="00EB6BA2" w:rsidRPr="004F4A97" w14:paraId="7D5941F0" w14:textId="77777777">
        <w:trPr>
          <w:jc w:val="center"/>
        </w:trPr>
        <w:tc>
          <w:tcPr>
            <w:tcW w:w="1232" w:type="dxa"/>
          </w:tcPr>
          <w:p w14:paraId="6AC8A5D0"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2</w:t>
            </w:r>
          </w:p>
        </w:tc>
        <w:tc>
          <w:tcPr>
            <w:tcW w:w="1232" w:type="dxa"/>
          </w:tcPr>
          <w:p w14:paraId="2E8E12BA"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0.8264</w:t>
            </w:r>
          </w:p>
        </w:tc>
        <w:tc>
          <w:tcPr>
            <w:tcW w:w="1232" w:type="dxa"/>
          </w:tcPr>
          <w:p w14:paraId="1B712E48"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12</w:t>
            </w:r>
          </w:p>
        </w:tc>
        <w:tc>
          <w:tcPr>
            <w:tcW w:w="1232" w:type="dxa"/>
          </w:tcPr>
          <w:p w14:paraId="60094949"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9.92</w:t>
            </w:r>
          </w:p>
        </w:tc>
        <w:tc>
          <w:tcPr>
            <w:tcW w:w="1232" w:type="dxa"/>
          </w:tcPr>
          <w:p w14:paraId="5F4D5A26"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11</w:t>
            </w:r>
          </w:p>
        </w:tc>
        <w:tc>
          <w:tcPr>
            <w:tcW w:w="1232" w:type="dxa"/>
          </w:tcPr>
          <w:p w14:paraId="35883B79"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9.09</w:t>
            </w:r>
          </w:p>
        </w:tc>
        <w:tc>
          <w:tcPr>
            <w:tcW w:w="1232" w:type="dxa"/>
          </w:tcPr>
          <w:p w14:paraId="465E585D"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10</w:t>
            </w:r>
          </w:p>
        </w:tc>
        <w:tc>
          <w:tcPr>
            <w:tcW w:w="1232" w:type="dxa"/>
          </w:tcPr>
          <w:p w14:paraId="2C70C599"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8.26</w:t>
            </w:r>
          </w:p>
        </w:tc>
      </w:tr>
      <w:tr w:rsidR="00EB6BA2" w:rsidRPr="004F4A97" w14:paraId="296E5CA3" w14:textId="77777777">
        <w:trPr>
          <w:jc w:val="center"/>
        </w:trPr>
        <w:tc>
          <w:tcPr>
            <w:tcW w:w="1232" w:type="dxa"/>
          </w:tcPr>
          <w:p w14:paraId="64439FB4"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3</w:t>
            </w:r>
          </w:p>
        </w:tc>
        <w:tc>
          <w:tcPr>
            <w:tcW w:w="1232" w:type="dxa"/>
          </w:tcPr>
          <w:p w14:paraId="11529EA0"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0.7513</w:t>
            </w:r>
          </w:p>
        </w:tc>
        <w:tc>
          <w:tcPr>
            <w:tcW w:w="1232" w:type="dxa"/>
          </w:tcPr>
          <w:p w14:paraId="299C189F"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14</w:t>
            </w:r>
          </w:p>
        </w:tc>
        <w:tc>
          <w:tcPr>
            <w:tcW w:w="1232" w:type="dxa"/>
          </w:tcPr>
          <w:p w14:paraId="646963F3"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10.52</w:t>
            </w:r>
          </w:p>
        </w:tc>
        <w:tc>
          <w:tcPr>
            <w:tcW w:w="1232" w:type="dxa"/>
          </w:tcPr>
          <w:p w14:paraId="3A2C5977"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11</w:t>
            </w:r>
          </w:p>
        </w:tc>
        <w:tc>
          <w:tcPr>
            <w:tcW w:w="1232" w:type="dxa"/>
          </w:tcPr>
          <w:p w14:paraId="5270EB31"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8.26</w:t>
            </w:r>
          </w:p>
        </w:tc>
        <w:tc>
          <w:tcPr>
            <w:tcW w:w="1232" w:type="dxa"/>
          </w:tcPr>
          <w:p w14:paraId="50FBA325"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20</w:t>
            </w:r>
          </w:p>
        </w:tc>
        <w:tc>
          <w:tcPr>
            <w:tcW w:w="1232" w:type="dxa"/>
          </w:tcPr>
          <w:p w14:paraId="60AEB54E"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15.03</w:t>
            </w:r>
          </w:p>
        </w:tc>
      </w:tr>
      <w:tr w:rsidR="00EB6BA2" w:rsidRPr="004F4A97" w14:paraId="2A57DC6C" w14:textId="77777777">
        <w:trPr>
          <w:jc w:val="center"/>
        </w:trPr>
        <w:tc>
          <w:tcPr>
            <w:tcW w:w="1232" w:type="dxa"/>
          </w:tcPr>
          <w:p w14:paraId="09E490E4"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4</w:t>
            </w:r>
          </w:p>
        </w:tc>
        <w:tc>
          <w:tcPr>
            <w:tcW w:w="1232" w:type="dxa"/>
          </w:tcPr>
          <w:p w14:paraId="20972CBC"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0.6830</w:t>
            </w:r>
          </w:p>
        </w:tc>
        <w:tc>
          <w:tcPr>
            <w:tcW w:w="1232" w:type="dxa"/>
          </w:tcPr>
          <w:p w14:paraId="629BDAB9"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10</w:t>
            </w:r>
          </w:p>
        </w:tc>
        <w:tc>
          <w:tcPr>
            <w:tcW w:w="1232" w:type="dxa"/>
          </w:tcPr>
          <w:p w14:paraId="1022CE6A"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6.83</w:t>
            </w:r>
          </w:p>
        </w:tc>
        <w:tc>
          <w:tcPr>
            <w:tcW w:w="1232" w:type="dxa"/>
          </w:tcPr>
          <w:p w14:paraId="22557EDE"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11</w:t>
            </w:r>
          </w:p>
        </w:tc>
        <w:tc>
          <w:tcPr>
            <w:tcW w:w="1232" w:type="dxa"/>
          </w:tcPr>
          <w:p w14:paraId="44F0D3A1"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7.51</w:t>
            </w:r>
          </w:p>
        </w:tc>
        <w:tc>
          <w:tcPr>
            <w:tcW w:w="1232" w:type="dxa"/>
          </w:tcPr>
          <w:p w14:paraId="65F39E2E"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25</w:t>
            </w:r>
          </w:p>
        </w:tc>
        <w:tc>
          <w:tcPr>
            <w:tcW w:w="1232" w:type="dxa"/>
          </w:tcPr>
          <w:p w14:paraId="4E082A9E"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17.08</w:t>
            </w:r>
          </w:p>
        </w:tc>
      </w:tr>
      <w:tr w:rsidR="00EB6BA2" w:rsidRPr="004F4A97" w14:paraId="7744D003" w14:textId="77777777">
        <w:trPr>
          <w:jc w:val="center"/>
        </w:trPr>
        <w:tc>
          <w:tcPr>
            <w:tcW w:w="1232" w:type="dxa"/>
          </w:tcPr>
          <w:p w14:paraId="07AFD9BA"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5</w:t>
            </w:r>
          </w:p>
        </w:tc>
        <w:tc>
          <w:tcPr>
            <w:tcW w:w="1232" w:type="dxa"/>
          </w:tcPr>
          <w:p w14:paraId="00407AC8"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0.6209</w:t>
            </w:r>
          </w:p>
        </w:tc>
        <w:tc>
          <w:tcPr>
            <w:tcW w:w="1232" w:type="dxa"/>
          </w:tcPr>
          <w:p w14:paraId="44B305B3"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8</w:t>
            </w:r>
          </w:p>
        </w:tc>
        <w:tc>
          <w:tcPr>
            <w:tcW w:w="1232" w:type="dxa"/>
          </w:tcPr>
          <w:p w14:paraId="22EE82F7"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4.97</w:t>
            </w:r>
          </w:p>
        </w:tc>
        <w:tc>
          <w:tcPr>
            <w:tcW w:w="1232" w:type="dxa"/>
          </w:tcPr>
          <w:p w14:paraId="332304EA"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11</w:t>
            </w:r>
          </w:p>
        </w:tc>
        <w:tc>
          <w:tcPr>
            <w:tcW w:w="1232" w:type="dxa"/>
          </w:tcPr>
          <w:p w14:paraId="61804DE9"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6.83</w:t>
            </w:r>
          </w:p>
        </w:tc>
        <w:tc>
          <w:tcPr>
            <w:tcW w:w="1232" w:type="dxa"/>
          </w:tcPr>
          <w:p w14:paraId="1239D9BC"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5</w:t>
            </w:r>
          </w:p>
        </w:tc>
        <w:tc>
          <w:tcPr>
            <w:tcW w:w="1232" w:type="dxa"/>
          </w:tcPr>
          <w:p w14:paraId="5062BEF6"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3.10</w:t>
            </w:r>
          </w:p>
        </w:tc>
      </w:tr>
      <w:tr w:rsidR="00EB6BA2" w:rsidRPr="004F4A97" w14:paraId="049E57CF" w14:textId="77777777">
        <w:trPr>
          <w:jc w:val="center"/>
        </w:trPr>
        <w:tc>
          <w:tcPr>
            <w:tcW w:w="1232" w:type="dxa"/>
            <w:shd w:val="clear" w:color="auto" w:fill="EAF3E2"/>
          </w:tcPr>
          <w:p w14:paraId="25ECEB78"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Total PV</w:t>
            </w:r>
          </w:p>
        </w:tc>
        <w:tc>
          <w:tcPr>
            <w:tcW w:w="1232" w:type="dxa"/>
          </w:tcPr>
          <w:p w14:paraId="0D120F1F" w14:textId="77777777" w:rsidR="00EB6BA2" w:rsidRPr="004F4A97" w:rsidRDefault="00EB6BA2" w:rsidP="009E5697">
            <w:pPr>
              <w:spacing w:line="360" w:lineRule="auto"/>
              <w:jc w:val="left"/>
              <w:rPr>
                <w:rFonts w:ascii="Arial" w:hAnsi="Arial" w:cs="Arial"/>
                <w:sz w:val="24"/>
                <w:szCs w:val="24"/>
              </w:rPr>
            </w:pPr>
          </w:p>
        </w:tc>
        <w:tc>
          <w:tcPr>
            <w:tcW w:w="1232" w:type="dxa"/>
          </w:tcPr>
          <w:p w14:paraId="08DAD867" w14:textId="77777777" w:rsidR="00EB6BA2" w:rsidRPr="004F4A97" w:rsidRDefault="00EB6BA2" w:rsidP="009E5697">
            <w:pPr>
              <w:spacing w:line="360" w:lineRule="auto"/>
              <w:jc w:val="left"/>
              <w:rPr>
                <w:rFonts w:ascii="Arial" w:hAnsi="Arial" w:cs="Arial"/>
                <w:sz w:val="24"/>
                <w:szCs w:val="24"/>
              </w:rPr>
            </w:pPr>
          </w:p>
        </w:tc>
        <w:tc>
          <w:tcPr>
            <w:tcW w:w="1232" w:type="dxa"/>
          </w:tcPr>
          <w:p w14:paraId="4EACAD7A"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41.32</w:t>
            </w:r>
          </w:p>
        </w:tc>
        <w:tc>
          <w:tcPr>
            <w:tcW w:w="1232" w:type="dxa"/>
          </w:tcPr>
          <w:p w14:paraId="5187F4CA" w14:textId="77777777" w:rsidR="00EB6BA2" w:rsidRPr="004F4A97" w:rsidRDefault="00EB6BA2" w:rsidP="009E5697">
            <w:pPr>
              <w:spacing w:line="360" w:lineRule="auto"/>
              <w:jc w:val="left"/>
              <w:rPr>
                <w:rFonts w:ascii="Arial" w:hAnsi="Arial" w:cs="Arial"/>
                <w:sz w:val="24"/>
                <w:szCs w:val="24"/>
              </w:rPr>
            </w:pPr>
          </w:p>
        </w:tc>
        <w:tc>
          <w:tcPr>
            <w:tcW w:w="1232" w:type="dxa"/>
          </w:tcPr>
          <w:p w14:paraId="67C6D08F"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41.70</w:t>
            </w:r>
          </w:p>
        </w:tc>
        <w:tc>
          <w:tcPr>
            <w:tcW w:w="1232" w:type="dxa"/>
          </w:tcPr>
          <w:p w14:paraId="513BDC5C" w14:textId="77777777" w:rsidR="00EB6BA2" w:rsidRPr="004F4A97" w:rsidRDefault="00EB6BA2" w:rsidP="009E5697">
            <w:pPr>
              <w:spacing w:line="360" w:lineRule="auto"/>
              <w:jc w:val="left"/>
              <w:rPr>
                <w:rFonts w:ascii="Arial" w:hAnsi="Arial" w:cs="Arial"/>
                <w:sz w:val="24"/>
                <w:szCs w:val="24"/>
              </w:rPr>
            </w:pPr>
          </w:p>
        </w:tc>
        <w:tc>
          <w:tcPr>
            <w:tcW w:w="1232" w:type="dxa"/>
          </w:tcPr>
          <w:p w14:paraId="00818A2C"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48.02</w:t>
            </w:r>
          </w:p>
        </w:tc>
      </w:tr>
    </w:tbl>
    <w:p w14:paraId="3A9917F2" w14:textId="77777777" w:rsidR="003D3CBD" w:rsidRPr="004F4A97" w:rsidRDefault="003D3CBD" w:rsidP="009E5697">
      <w:pPr>
        <w:pStyle w:val="Heading2"/>
        <w:spacing w:after="60" w:line="360" w:lineRule="auto"/>
        <w:jc w:val="left"/>
        <w:rPr>
          <w:rFonts w:ascii="Arial" w:hAnsi="Arial" w:cs="Arial"/>
          <w:sz w:val="24"/>
          <w:szCs w:val="24"/>
        </w:rPr>
      </w:pPr>
      <w:bookmarkStart w:id="59" w:name="_Toc225448357"/>
    </w:p>
    <w:p w14:paraId="499B5EEA" w14:textId="18637556" w:rsidR="00EB6BA2" w:rsidRPr="004F4A97" w:rsidRDefault="00000000" w:rsidP="009E5697">
      <w:pPr>
        <w:pStyle w:val="Heading2"/>
        <w:spacing w:after="60" w:line="360" w:lineRule="auto"/>
        <w:jc w:val="left"/>
        <w:rPr>
          <w:rFonts w:ascii="Arial" w:hAnsi="Arial" w:cs="Arial"/>
          <w:sz w:val="24"/>
          <w:szCs w:val="24"/>
        </w:rPr>
      </w:pPr>
      <w:bookmarkStart w:id="60" w:name="_Toc225450261"/>
      <w:r w:rsidRPr="004F4A97">
        <w:rPr>
          <w:rFonts w:ascii="Arial" w:hAnsi="Arial" w:cs="Arial"/>
          <w:sz w:val="24"/>
          <w:szCs w:val="24"/>
        </w:rPr>
        <w:t>Payback Period</w:t>
      </w:r>
      <w:bookmarkEnd w:id="59"/>
      <w:bookmarkEnd w:id="60"/>
    </w:p>
    <w:p w14:paraId="68951D9E"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 xml:space="preserve">Project A generates cumulative inflows of £10m, £22m, £36m, £46m and £54m over Years 1 to 5. Payback therefore occurs during Year 5: 4 + (50 - 46)/8 = 4.50 years. Project B reaches £44m by Year 4 and £55m by Year 5, so payback is 4 + (50 - 44)/11 = 4.55 years. Project C reaches £35m by Year 3 and £60m by Year 4, so payback is 3 + (50 - 35)/25 = 3.60 years. </w:t>
      </w:r>
      <w:r w:rsidRPr="004F4A97">
        <w:rPr>
          <w:rFonts w:ascii="Arial" w:hAnsi="Arial" w:cs="Arial"/>
          <w:sz w:val="24"/>
          <w:szCs w:val="24"/>
        </w:rPr>
        <w:lastRenderedPageBreak/>
        <w:t>On a liquidity-recovery basis, Project C is the strongest candidate because it returns cash materially faster than the others.</w:t>
      </w:r>
    </w:p>
    <w:p w14:paraId="3B9E127C"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For Tesla, payback is not the decisive metric, but it is still relevant. The company is liquid, yet it is also operating with lower returns on capital than in the recent past. Faster payback therefore has strategic value because it shortens the period during which cash is exposed to operational and market uncertainty. Project C’s relative advantage on payback aligns with this concern.</w:t>
      </w:r>
    </w:p>
    <w:p w14:paraId="3A3801F4" w14:textId="77777777" w:rsidR="00EB6BA2" w:rsidRPr="004F4A97" w:rsidRDefault="00000000" w:rsidP="009E5697">
      <w:pPr>
        <w:pStyle w:val="Heading2"/>
        <w:spacing w:after="60" w:line="360" w:lineRule="auto"/>
        <w:jc w:val="left"/>
        <w:rPr>
          <w:rFonts w:ascii="Arial" w:hAnsi="Arial" w:cs="Arial"/>
          <w:sz w:val="24"/>
          <w:szCs w:val="24"/>
        </w:rPr>
      </w:pPr>
      <w:bookmarkStart w:id="61" w:name="_Toc225448358"/>
      <w:bookmarkStart w:id="62" w:name="_Toc225450262"/>
      <w:r w:rsidRPr="004F4A97">
        <w:rPr>
          <w:rFonts w:ascii="Arial" w:hAnsi="Arial" w:cs="Arial"/>
          <w:sz w:val="24"/>
          <w:szCs w:val="24"/>
        </w:rPr>
        <w:t>Accounting Rate of Return</w:t>
      </w:r>
      <w:bookmarkEnd w:id="61"/>
      <w:bookmarkEnd w:id="62"/>
    </w:p>
    <w:p w14:paraId="11AFBE7E"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With annual depreciation of £10m, Project A’s annual accounting profits are £0m, £2m, £4m, £0m and -£2m, producing an average annual profit of £0.8m. Assuming average investment of £25m, ARR = 0.8 / 25 x 100 = 3.2%. Project B yields £1m each year, so ARR = 1 / 25 x 100 = 4.0%. Project C yields -£5m, £0m, £10m, £15m and -£5m, producing an average annual profit of £3m and ARR = 3 / 25 x 100 = 12.0%. Once again, Project C leads.</w:t>
      </w:r>
    </w:p>
    <w:p w14:paraId="1E2B9AE0"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The CFO should treat ARR cautiously because it is based on accounting profit rather than cash flow. Even so, the ranking is informative. Project C is the only one generating a double-digit accounting return, which supports the idea that its cash-flow concentration in the middle years translates into economically stronger performance than the flatter but weaker profiles of Projects A and B.</w:t>
      </w:r>
    </w:p>
    <w:p w14:paraId="09E15892" w14:textId="77777777" w:rsidR="00EB6BA2" w:rsidRPr="004F4A97" w:rsidRDefault="00000000" w:rsidP="009E5697">
      <w:pPr>
        <w:pStyle w:val="Heading2"/>
        <w:spacing w:after="60" w:line="360" w:lineRule="auto"/>
        <w:jc w:val="left"/>
        <w:rPr>
          <w:rFonts w:ascii="Arial" w:hAnsi="Arial" w:cs="Arial"/>
          <w:sz w:val="24"/>
          <w:szCs w:val="24"/>
        </w:rPr>
      </w:pPr>
      <w:bookmarkStart w:id="63" w:name="_Toc225448359"/>
      <w:bookmarkStart w:id="64" w:name="_Toc225450263"/>
      <w:r w:rsidRPr="004F4A97">
        <w:rPr>
          <w:rFonts w:ascii="Arial" w:hAnsi="Arial" w:cs="Arial"/>
          <w:sz w:val="24"/>
          <w:szCs w:val="24"/>
        </w:rPr>
        <w:t>Net Present Value and Profitability Index</w:t>
      </w:r>
      <w:bookmarkEnd w:id="63"/>
      <w:bookmarkEnd w:id="64"/>
    </w:p>
    <w:p w14:paraId="250FA0AC"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NPV is calculated as the present value of future cash inflows less the initial outlay. Project A has total discounted inflows of £41.33m, giving NPV = 41.33 - 50 = -£8.67m. Project B has total discounted inflows of £41.70m, giving NPV = -£8.30m. Project C has total discounted inflows of £48.02m, giving NPV = -£1.98m. PI is the present value of inflows divided by the initial investment: 0.83 for A, 0.83 for B and 0.96 for C. None of the projects achieves a PI above 1.0.</w:t>
      </w:r>
    </w:p>
    <w:p w14:paraId="6393B2D6"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 xml:space="preserve">This is the decisive result. In value-creation terms, none of the projects clears the 10% hurdle rate. Project C is the least unattractive because it destroys the least value, but it still fails the NPV test. The CFO conclusion should therefore be stricter than a standard classroom ranking exercise. If the objective is shareholder wealth </w:t>
      </w:r>
      <w:proofErr w:type="spellStart"/>
      <w:r w:rsidRPr="004F4A97">
        <w:rPr>
          <w:rFonts w:ascii="Arial" w:hAnsi="Arial" w:cs="Arial"/>
          <w:sz w:val="24"/>
          <w:szCs w:val="24"/>
        </w:rPr>
        <w:t>maximisation</w:t>
      </w:r>
      <w:proofErr w:type="spellEnd"/>
      <w:r w:rsidRPr="004F4A97">
        <w:rPr>
          <w:rFonts w:ascii="Arial" w:hAnsi="Arial" w:cs="Arial"/>
          <w:sz w:val="24"/>
          <w:szCs w:val="24"/>
        </w:rPr>
        <w:t>, the technically correct recommendation is to reject all three projects unless their cash-flow assumptions can be improved or the strategic case justifies accepting a sub-hurdle return.</w:t>
      </w:r>
    </w:p>
    <w:p w14:paraId="3440991B" w14:textId="77777777" w:rsidR="00EB6BA2" w:rsidRPr="004F4A97" w:rsidRDefault="00000000" w:rsidP="009E5697">
      <w:pPr>
        <w:pStyle w:val="Heading2"/>
        <w:spacing w:after="60" w:line="360" w:lineRule="auto"/>
        <w:jc w:val="left"/>
        <w:rPr>
          <w:rFonts w:ascii="Arial" w:hAnsi="Arial" w:cs="Arial"/>
          <w:sz w:val="24"/>
          <w:szCs w:val="24"/>
        </w:rPr>
      </w:pPr>
      <w:bookmarkStart w:id="65" w:name="_Toc225448360"/>
      <w:bookmarkStart w:id="66" w:name="_Toc225450264"/>
      <w:r w:rsidRPr="004F4A97">
        <w:rPr>
          <w:rFonts w:ascii="Arial" w:hAnsi="Arial" w:cs="Arial"/>
          <w:sz w:val="24"/>
          <w:szCs w:val="24"/>
        </w:rPr>
        <w:lastRenderedPageBreak/>
        <w:t>Internal Rate of Return</w:t>
      </w:r>
      <w:bookmarkEnd w:id="65"/>
      <w:bookmarkEnd w:id="66"/>
    </w:p>
    <w:p w14:paraId="2D3E60B9"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Using the project cash-flow streams, the approximate IRRs are 2.72% for Project A, 3.26% for Project B and 8.59% for Project C. All three fall below the required 10% cost of capital. Project C remains the best relative option, but not a financially acceptable one under the stated discount rate.</w:t>
      </w:r>
    </w:p>
    <w:p w14:paraId="4D1170B9"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The practical CFO implication is that comparative superiority is not the same as absolute acceptability. A board may be tempted to choose the 'best' project because capital has been earmarked for use. That would be a mistake. Capital budgeting should screen out weak projects, not force cash into them simply to satisfy a spending plan.</w:t>
      </w:r>
    </w:p>
    <w:p w14:paraId="311E490B" w14:textId="77777777" w:rsidR="00EB6BA2" w:rsidRPr="004F4A97" w:rsidRDefault="00000000" w:rsidP="009E5697">
      <w:pPr>
        <w:pStyle w:val="Heading3"/>
        <w:spacing w:line="360" w:lineRule="auto"/>
        <w:jc w:val="left"/>
        <w:rPr>
          <w:rFonts w:ascii="Arial" w:hAnsi="Arial" w:cs="Arial"/>
        </w:rPr>
      </w:pPr>
      <w:bookmarkStart w:id="67" w:name="_Toc225448361"/>
      <w:bookmarkStart w:id="68" w:name="_Toc225450265"/>
      <w:r w:rsidRPr="004F4A97">
        <w:rPr>
          <w:rFonts w:ascii="Arial" w:hAnsi="Arial" w:cs="Arial"/>
        </w:rPr>
        <w:t>Table 9. Investment appraisal summary</w:t>
      </w:r>
      <w:bookmarkEnd w:id="67"/>
      <w:bookmarkEnd w:id="68"/>
    </w:p>
    <w:tbl>
      <w:tblPr>
        <w:tblStyle w:val="TableGrid"/>
        <w:tblW w:w="0" w:type="auto"/>
        <w:jc w:val="center"/>
        <w:tblLook w:val="04A0" w:firstRow="1" w:lastRow="0" w:firstColumn="1" w:lastColumn="0" w:noHBand="0" w:noVBand="1"/>
      </w:tblPr>
      <w:tblGrid>
        <w:gridCol w:w="1649"/>
        <w:gridCol w:w="1649"/>
        <w:gridCol w:w="1649"/>
        <w:gridCol w:w="1649"/>
        <w:gridCol w:w="1649"/>
        <w:gridCol w:w="1649"/>
      </w:tblGrid>
      <w:tr w:rsidR="00EB6BA2" w:rsidRPr="004F4A97" w14:paraId="28EF9E47" w14:textId="77777777" w:rsidTr="00371F5B">
        <w:trPr>
          <w:trHeight w:val="639"/>
          <w:jc w:val="center"/>
        </w:trPr>
        <w:tc>
          <w:tcPr>
            <w:tcW w:w="1649" w:type="dxa"/>
            <w:shd w:val="clear" w:color="auto" w:fill="D9EAF7"/>
          </w:tcPr>
          <w:p w14:paraId="71E4EAAF"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Metric</w:t>
            </w:r>
          </w:p>
        </w:tc>
        <w:tc>
          <w:tcPr>
            <w:tcW w:w="1649" w:type="dxa"/>
            <w:shd w:val="clear" w:color="auto" w:fill="D9EAF7"/>
          </w:tcPr>
          <w:p w14:paraId="760C248C"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Project A</w:t>
            </w:r>
          </w:p>
        </w:tc>
        <w:tc>
          <w:tcPr>
            <w:tcW w:w="1649" w:type="dxa"/>
            <w:shd w:val="clear" w:color="auto" w:fill="D9EAF7"/>
          </w:tcPr>
          <w:p w14:paraId="4AE2FB21"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Project B</w:t>
            </w:r>
          </w:p>
        </w:tc>
        <w:tc>
          <w:tcPr>
            <w:tcW w:w="1649" w:type="dxa"/>
            <w:shd w:val="clear" w:color="auto" w:fill="D9EAF7"/>
          </w:tcPr>
          <w:p w14:paraId="00C90CF7"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Project C</w:t>
            </w:r>
          </w:p>
        </w:tc>
        <w:tc>
          <w:tcPr>
            <w:tcW w:w="1649" w:type="dxa"/>
            <w:shd w:val="clear" w:color="auto" w:fill="D9EAF7"/>
          </w:tcPr>
          <w:p w14:paraId="3C030964"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Best by metric</w:t>
            </w:r>
          </w:p>
        </w:tc>
        <w:tc>
          <w:tcPr>
            <w:tcW w:w="1649" w:type="dxa"/>
            <w:shd w:val="clear" w:color="auto" w:fill="D9EAF7"/>
          </w:tcPr>
          <w:p w14:paraId="5B8C1ADE"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Decision signal</w:t>
            </w:r>
          </w:p>
        </w:tc>
      </w:tr>
      <w:tr w:rsidR="00EB6BA2" w:rsidRPr="004F4A97" w14:paraId="59F1E482" w14:textId="77777777" w:rsidTr="00371F5B">
        <w:trPr>
          <w:trHeight w:val="639"/>
          <w:jc w:val="center"/>
        </w:trPr>
        <w:tc>
          <w:tcPr>
            <w:tcW w:w="1649" w:type="dxa"/>
          </w:tcPr>
          <w:p w14:paraId="0B97C54A"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Payback (years)</w:t>
            </w:r>
          </w:p>
        </w:tc>
        <w:tc>
          <w:tcPr>
            <w:tcW w:w="1649" w:type="dxa"/>
          </w:tcPr>
          <w:p w14:paraId="587863E6"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4.50</w:t>
            </w:r>
          </w:p>
        </w:tc>
        <w:tc>
          <w:tcPr>
            <w:tcW w:w="1649" w:type="dxa"/>
          </w:tcPr>
          <w:p w14:paraId="1D9D5B5A"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4.55</w:t>
            </w:r>
          </w:p>
        </w:tc>
        <w:tc>
          <w:tcPr>
            <w:tcW w:w="1649" w:type="dxa"/>
          </w:tcPr>
          <w:p w14:paraId="38C65BA5"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3.60</w:t>
            </w:r>
          </w:p>
        </w:tc>
        <w:tc>
          <w:tcPr>
            <w:tcW w:w="1649" w:type="dxa"/>
          </w:tcPr>
          <w:p w14:paraId="2CB69B84"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C</w:t>
            </w:r>
          </w:p>
        </w:tc>
        <w:tc>
          <w:tcPr>
            <w:tcW w:w="1649" w:type="dxa"/>
          </w:tcPr>
          <w:p w14:paraId="7478D0DF"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C shortest</w:t>
            </w:r>
          </w:p>
        </w:tc>
      </w:tr>
      <w:tr w:rsidR="00EB6BA2" w:rsidRPr="004F4A97" w14:paraId="7A421637" w14:textId="77777777" w:rsidTr="00371F5B">
        <w:trPr>
          <w:trHeight w:val="315"/>
          <w:jc w:val="center"/>
        </w:trPr>
        <w:tc>
          <w:tcPr>
            <w:tcW w:w="1649" w:type="dxa"/>
          </w:tcPr>
          <w:p w14:paraId="2FD845D7"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ARR %</w:t>
            </w:r>
          </w:p>
        </w:tc>
        <w:tc>
          <w:tcPr>
            <w:tcW w:w="1649" w:type="dxa"/>
          </w:tcPr>
          <w:p w14:paraId="16FC1130"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3.20</w:t>
            </w:r>
          </w:p>
        </w:tc>
        <w:tc>
          <w:tcPr>
            <w:tcW w:w="1649" w:type="dxa"/>
          </w:tcPr>
          <w:p w14:paraId="5F2C2E3C"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4.00</w:t>
            </w:r>
          </w:p>
        </w:tc>
        <w:tc>
          <w:tcPr>
            <w:tcW w:w="1649" w:type="dxa"/>
          </w:tcPr>
          <w:p w14:paraId="3CF69ECC"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12.00</w:t>
            </w:r>
          </w:p>
        </w:tc>
        <w:tc>
          <w:tcPr>
            <w:tcW w:w="1649" w:type="dxa"/>
          </w:tcPr>
          <w:p w14:paraId="5C36BA45"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C</w:t>
            </w:r>
          </w:p>
        </w:tc>
        <w:tc>
          <w:tcPr>
            <w:tcW w:w="1649" w:type="dxa"/>
          </w:tcPr>
          <w:p w14:paraId="3A94D1D1"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C highest</w:t>
            </w:r>
          </w:p>
        </w:tc>
      </w:tr>
      <w:tr w:rsidR="00EB6BA2" w:rsidRPr="004F4A97" w14:paraId="14EBC59A" w14:textId="77777777" w:rsidTr="00371F5B">
        <w:trPr>
          <w:trHeight w:val="315"/>
          <w:jc w:val="center"/>
        </w:trPr>
        <w:tc>
          <w:tcPr>
            <w:tcW w:w="1649" w:type="dxa"/>
          </w:tcPr>
          <w:p w14:paraId="545B2D45"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NPV (£m)</w:t>
            </w:r>
          </w:p>
        </w:tc>
        <w:tc>
          <w:tcPr>
            <w:tcW w:w="1649" w:type="dxa"/>
          </w:tcPr>
          <w:p w14:paraId="48E4A27B"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-8.68</w:t>
            </w:r>
          </w:p>
        </w:tc>
        <w:tc>
          <w:tcPr>
            <w:tcW w:w="1649" w:type="dxa"/>
          </w:tcPr>
          <w:p w14:paraId="063A308A"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-8.30</w:t>
            </w:r>
          </w:p>
        </w:tc>
        <w:tc>
          <w:tcPr>
            <w:tcW w:w="1649" w:type="dxa"/>
          </w:tcPr>
          <w:p w14:paraId="0164C82C"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-1.98</w:t>
            </w:r>
          </w:p>
        </w:tc>
        <w:tc>
          <w:tcPr>
            <w:tcW w:w="1649" w:type="dxa"/>
          </w:tcPr>
          <w:p w14:paraId="125FEFA4"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C</w:t>
            </w:r>
          </w:p>
        </w:tc>
        <w:tc>
          <w:tcPr>
            <w:tcW w:w="1649" w:type="dxa"/>
          </w:tcPr>
          <w:p w14:paraId="05792E24"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All negative</w:t>
            </w:r>
          </w:p>
        </w:tc>
      </w:tr>
      <w:tr w:rsidR="00EB6BA2" w:rsidRPr="004F4A97" w14:paraId="52DAE0D8" w14:textId="77777777" w:rsidTr="00371F5B">
        <w:trPr>
          <w:trHeight w:val="324"/>
          <w:jc w:val="center"/>
        </w:trPr>
        <w:tc>
          <w:tcPr>
            <w:tcW w:w="1649" w:type="dxa"/>
          </w:tcPr>
          <w:p w14:paraId="34086EB7"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PI</w:t>
            </w:r>
          </w:p>
        </w:tc>
        <w:tc>
          <w:tcPr>
            <w:tcW w:w="1649" w:type="dxa"/>
          </w:tcPr>
          <w:p w14:paraId="428C226F"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0.83</w:t>
            </w:r>
          </w:p>
        </w:tc>
        <w:tc>
          <w:tcPr>
            <w:tcW w:w="1649" w:type="dxa"/>
          </w:tcPr>
          <w:p w14:paraId="1511C425"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0.83</w:t>
            </w:r>
          </w:p>
        </w:tc>
        <w:tc>
          <w:tcPr>
            <w:tcW w:w="1649" w:type="dxa"/>
          </w:tcPr>
          <w:p w14:paraId="659E8A11"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0.96</w:t>
            </w:r>
          </w:p>
        </w:tc>
        <w:tc>
          <w:tcPr>
            <w:tcW w:w="1649" w:type="dxa"/>
          </w:tcPr>
          <w:p w14:paraId="0E23AB16"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C</w:t>
            </w:r>
          </w:p>
        </w:tc>
        <w:tc>
          <w:tcPr>
            <w:tcW w:w="1649" w:type="dxa"/>
          </w:tcPr>
          <w:p w14:paraId="0967169B"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All below 1.0</w:t>
            </w:r>
          </w:p>
        </w:tc>
      </w:tr>
      <w:tr w:rsidR="00EB6BA2" w:rsidRPr="004F4A97" w14:paraId="01D08D88" w14:textId="77777777" w:rsidTr="00371F5B">
        <w:trPr>
          <w:trHeight w:val="605"/>
          <w:jc w:val="center"/>
        </w:trPr>
        <w:tc>
          <w:tcPr>
            <w:tcW w:w="1649" w:type="dxa"/>
          </w:tcPr>
          <w:p w14:paraId="31F0A293"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IRR %</w:t>
            </w:r>
          </w:p>
        </w:tc>
        <w:tc>
          <w:tcPr>
            <w:tcW w:w="1649" w:type="dxa"/>
          </w:tcPr>
          <w:p w14:paraId="7799AEA6"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2.72</w:t>
            </w:r>
          </w:p>
        </w:tc>
        <w:tc>
          <w:tcPr>
            <w:tcW w:w="1649" w:type="dxa"/>
          </w:tcPr>
          <w:p w14:paraId="5DCE20EC"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3.26</w:t>
            </w:r>
          </w:p>
        </w:tc>
        <w:tc>
          <w:tcPr>
            <w:tcW w:w="1649" w:type="dxa"/>
          </w:tcPr>
          <w:p w14:paraId="47D1D912"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8.59</w:t>
            </w:r>
          </w:p>
        </w:tc>
        <w:tc>
          <w:tcPr>
            <w:tcW w:w="1649" w:type="dxa"/>
          </w:tcPr>
          <w:p w14:paraId="5881717D"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C</w:t>
            </w:r>
          </w:p>
        </w:tc>
        <w:tc>
          <w:tcPr>
            <w:tcW w:w="1649" w:type="dxa"/>
          </w:tcPr>
          <w:p w14:paraId="78EB9C1A"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All below 10%</w:t>
            </w:r>
          </w:p>
        </w:tc>
      </w:tr>
    </w:tbl>
    <w:p w14:paraId="38D24617"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noProof/>
          <w:sz w:val="24"/>
          <w:szCs w:val="24"/>
        </w:rPr>
        <w:drawing>
          <wp:inline distT="0" distB="0" distL="0" distR="0" wp14:anchorId="0429151A" wp14:editId="25928E75">
            <wp:extent cx="4930140" cy="3021698"/>
            <wp:effectExtent l="0" t="0" r="3810" b="762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roject_npv.png"/>
                    <pic:cNvPicPr/>
                  </pic:nvPicPr>
                  <pic:blipFill>
                    <a:blip r:embed="rId11"/>
                    <a:stretch>
                      <a:fillRect/>
                    </a:stretch>
                  </pic:blipFill>
                  <pic:spPr>
                    <a:xfrm>
                      <a:off x="0" y="0"/>
                      <a:ext cx="4951725" cy="3034928"/>
                    </a:xfrm>
                    <a:prstGeom prst="rect">
                      <a:avLst/>
                    </a:prstGeom>
                  </pic:spPr>
                </pic:pic>
              </a:graphicData>
            </a:graphic>
          </wp:inline>
        </w:drawing>
      </w:r>
    </w:p>
    <w:p w14:paraId="75D7B639"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Figure 3. All three projects are negative-NPV at the required return.</w:t>
      </w:r>
    </w:p>
    <w:p w14:paraId="36BE3A19" w14:textId="77777777" w:rsidR="003D3CBD" w:rsidRPr="004F4A97" w:rsidRDefault="003D3CBD" w:rsidP="009E5697">
      <w:pPr>
        <w:spacing w:line="360" w:lineRule="auto"/>
        <w:jc w:val="left"/>
        <w:rPr>
          <w:rFonts w:ascii="Arial" w:hAnsi="Arial" w:cs="Arial"/>
          <w:sz w:val="24"/>
          <w:szCs w:val="24"/>
        </w:rPr>
      </w:pPr>
    </w:p>
    <w:p w14:paraId="6F769FB1" w14:textId="77777777" w:rsidR="00EB6BA2" w:rsidRPr="004F4A97" w:rsidRDefault="00000000" w:rsidP="009E5697">
      <w:pPr>
        <w:pStyle w:val="Heading2"/>
        <w:spacing w:after="60" w:line="360" w:lineRule="auto"/>
        <w:jc w:val="left"/>
        <w:rPr>
          <w:rFonts w:ascii="Arial" w:hAnsi="Arial" w:cs="Arial"/>
          <w:sz w:val="24"/>
          <w:szCs w:val="24"/>
        </w:rPr>
      </w:pPr>
      <w:bookmarkStart w:id="69" w:name="_Toc225448362"/>
      <w:bookmarkStart w:id="70" w:name="_Toc225450266"/>
      <w:r w:rsidRPr="004F4A97">
        <w:rPr>
          <w:rFonts w:ascii="Arial" w:hAnsi="Arial" w:cs="Arial"/>
          <w:sz w:val="24"/>
          <w:szCs w:val="24"/>
        </w:rPr>
        <w:t>Project recommendation and link to Tesla’s financial performance</w:t>
      </w:r>
      <w:bookmarkEnd w:id="69"/>
      <w:bookmarkEnd w:id="70"/>
    </w:p>
    <w:p w14:paraId="34D93439"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If the board insists on selecting one project, Project C is the strongest option because it ranks first on payback, ARR, NPV, PI and IRR. However, the financially correct recommendation is to reject all three projects as currently designed. This recommendation is not excessively cautious when viewed against Tesla’s existing financial profile. The company’s net margin, ROA, ROE and EPS have all weakened materially. In that context, the CFO should raise, not lower, the standard for approving capital projects. A firm already struggling to convert scale into returns should not commit scarce capital to investments that fail the cost-of-capital test.</w:t>
      </w:r>
    </w:p>
    <w:p w14:paraId="0BB55058"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 xml:space="preserve">Non-financial risks reinforce this caution. EV demand remains structurally strong, but policy support, tariffs, </w:t>
      </w:r>
      <w:proofErr w:type="spellStart"/>
      <w:r w:rsidRPr="004F4A97">
        <w:rPr>
          <w:rFonts w:ascii="Arial" w:hAnsi="Arial" w:cs="Arial"/>
          <w:sz w:val="24"/>
          <w:szCs w:val="24"/>
        </w:rPr>
        <w:t>localisation</w:t>
      </w:r>
      <w:proofErr w:type="spellEnd"/>
      <w:r w:rsidRPr="004F4A97">
        <w:rPr>
          <w:rFonts w:ascii="Arial" w:hAnsi="Arial" w:cs="Arial"/>
          <w:sz w:val="24"/>
          <w:szCs w:val="24"/>
        </w:rPr>
        <w:t xml:space="preserve"> requirements and competitive pricing can change project economics rapidly (IEA, 2025a; Tesla, 2026a). Customer loyalty remains an asset for Tesla, yet brand strength does not </w:t>
      </w:r>
      <w:proofErr w:type="spellStart"/>
      <w:r w:rsidRPr="004F4A97">
        <w:rPr>
          <w:rFonts w:ascii="Arial" w:hAnsi="Arial" w:cs="Arial"/>
          <w:sz w:val="24"/>
          <w:szCs w:val="24"/>
        </w:rPr>
        <w:t>immunise</w:t>
      </w:r>
      <w:proofErr w:type="spellEnd"/>
      <w:r w:rsidRPr="004F4A97">
        <w:rPr>
          <w:rFonts w:ascii="Arial" w:hAnsi="Arial" w:cs="Arial"/>
          <w:sz w:val="24"/>
          <w:szCs w:val="24"/>
        </w:rPr>
        <w:t xml:space="preserve"> projects from political or market risk. A sub-hurdle project can become materially worse if it is later exposed to regulatory change, supply-chain disruption or sudden price compression.</w:t>
      </w:r>
    </w:p>
    <w:p w14:paraId="45D7E715" w14:textId="77777777" w:rsidR="00EB6BA2" w:rsidRPr="004F4A97" w:rsidRDefault="00000000" w:rsidP="009E5697">
      <w:pPr>
        <w:pStyle w:val="Heading2"/>
        <w:spacing w:after="60" w:line="360" w:lineRule="auto"/>
        <w:jc w:val="left"/>
        <w:rPr>
          <w:rFonts w:ascii="Arial" w:hAnsi="Arial" w:cs="Arial"/>
          <w:sz w:val="24"/>
          <w:szCs w:val="24"/>
        </w:rPr>
      </w:pPr>
      <w:bookmarkStart w:id="71" w:name="_Toc225448363"/>
      <w:bookmarkStart w:id="72" w:name="_Toc225450267"/>
      <w:r w:rsidRPr="004F4A97">
        <w:rPr>
          <w:rFonts w:ascii="Arial" w:hAnsi="Arial" w:cs="Arial"/>
          <w:sz w:val="24"/>
          <w:szCs w:val="24"/>
        </w:rPr>
        <w:t>Capital rationing under a £100 million ceiling</w:t>
      </w:r>
      <w:bookmarkEnd w:id="71"/>
      <w:bookmarkEnd w:id="72"/>
    </w:p>
    <w:p w14:paraId="06C8E36E"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 xml:space="preserve">Because the investment budget is capped at £100m and each project costs £50m, the feasible two-project combinations are A+B, A+C and B+C. Their combined NPVs are -£16.98m, -£10.66m and -£10.29m respectively. B+C is therefore the least value-destructive combination among the </w:t>
      </w:r>
      <w:proofErr w:type="gramStart"/>
      <w:r w:rsidRPr="004F4A97">
        <w:rPr>
          <w:rFonts w:ascii="Arial" w:hAnsi="Arial" w:cs="Arial"/>
          <w:sz w:val="24"/>
          <w:szCs w:val="24"/>
        </w:rPr>
        <w:t>two-project</w:t>
      </w:r>
      <w:proofErr w:type="gramEnd"/>
      <w:r w:rsidRPr="004F4A97">
        <w:rPr>
          <w:rFonts w:ascii="Arial" w:hAnsi="Arial" w:cs="Arial"/>
          <w:sz w:val="24"/>
          <w:szCs w:val="24"/>
        </w:rPr>
        <w:t xml:space="preserve"> sets. Yet the more rigorous conclusion remains that none of the combinations should be accepted because all combined NPVs are negative.</w:t>
      </w:r>
    </w:p>
    <w:p w14:paraId="63C99B6C"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 xml:space="preserve">Capital rationing should be interpreted as a discipline device rather than as a command to spend the budget. The </w:t>
      </w:r>
      <w:proofErr w:type="gramStart"/>
      <w:r w:rsidRPr="004F4A97">
        <w:rPr>
          <w:rFonts w:ascii="Arial" w:hAnsi="Arial" w:cs="Arial"/>
          <w:sz w:val="24"/>
          <w:szCs w:val="24"/>
        </w:rPr>
        <w:t>best CFO</w:t>
      </w:r>
      <w:proofErr w:type="gramEnd"/>
      <w:r w:rsidRPr="004F4A97">
        <w:rPr>
          <w:rFonts w:ascii="Arial" w:hAnsi="Arial" w:cs="Arial"/>
          <w:sz w:val="24"/>
          <w:szCs w:val="24"/>
        </w:rPr>
        <w:t xml:space="preserve"> recommendation is therefore to invest in none of the projects at the stated assumptions. If strategic pressure forces some deployment, Project C alone is the least weak option. If the board insists on choosing exactly two projects, B+C is the least unattractive pair. However, the report’s primary recommendation is to preserve capital for opportunities that exceed the 10% hurdle rate or to redesign Project C until its economics become positive.</w:t>
      </w:r>
    </w:p>
    <w:p w14:paraId="485C5B5F" w14:textId="77777777" w:rsidR="00EB6BA2" w:rsidRPr="004F4A97" w:rsidRDefault="00000000" w:rsidP="009E5697">
      <w:pPr>
        <w:pStyle w:val="Heading1"/>
        <w:spacing w:line="360" w:lineRule="auto"/>
        <w:jc w:val="left"/>
        <w:rPr>
          <w:rFonts w:ascii="Arial" w:hAnsi="Arial" w:cs="Arial"/>
          <w:sz w:val="24"/>
          <w:szCs w:val="24"/>
        </w:rPr>
      </w:pPr>
      <w:bookmarkStart w:id="73" w:name="_Toc225450268"/>
      <w:r w:rsidRPr="004F4A97">
        <w:rPr>
          <w:rFonts w:ascii="Arial" w:hAnsi="Arial" w:cs="Arial"/>
          <w:sz w:val="24"/>
          <w:szCs w:val="24"/>
        </w:rPr>
        <w:lastRenderedPageBreak/>
        <w:t>Conclusion</w:t>
      </w:r>
      <w:bookmarkEnd w:id="73"/>
    </w:p>
    <w:p w14:paraId="1A2A1CE3"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Tesla’s financial statements for 2021-2025 portray a company that remains liquid, solvent and strategically significant but is no longer converting scale into value at its former rate. The ratio analysis shows a severe decline in net profit margin, ROA, ROE and EPS after 2023, even as the balance sheet continued to expand. Liquidity strengthened and leverage remained conservative, which means Tesla still has room to choose its strategy. The critical issue is therefore not financial survival but financial quality.</w:t>
      </w:r>
    </w:p>
    <w:p w14:paraId="5CA2EDFB"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 xml:space="preserve">From a CFO perspective, the response should be disciplined and selective. Working capital must be tightened through better production-to-demand alignment, stronger receivables analytics and more deliberate supplier-finance design. Strategic restructuring should focus on cost efficiency, </w:t>
      </w:r>
      <w:proofErr w:type="gramStart"/>
      <w:r w:rsidRPr="004F4A97">
        <w:rPr>
          <w:rFonts w:ascii="Arial" w:hAnsi="Arial" w:cs="Arial"/>
          <w:sz w:val="24"/>
          <w:szCs w:val="24"/>
        </w:rPr>
        <w:t>segment mix</w:t>
      </w:r>
      <w:proofErr w:type="gramEnd"/>
      <w:r w:rsidRPr="004F4A97">
        <w:rPr>
          <w:rFonts w:ascii="Arial" w:hAnsi="Arial" w:cs="Arial"/>
          <w:sz w:val="24"/>
          <w:szCs w:val="24"/>
        </w:rPr>
        <w:t xml:space="preserve"> improvement, project-level rather than indiscriminate leverage, and stronger management of currency, inflation and tax exposures. Ethical and ESG constraints should be embedded into those choices because reputational legitimacy is itself a financial asset.</w:t>
      </w:r>
    </w:p>
    <w:p w14:paraId="719094E4"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 xml:space="preserve">The investment appraisal reinforces the need for discipline. Although Project C outperforms Projects A and B on every comparative metric, all three projects are negative-NPV at a 10% discount rate. The most financially coherent recommendation is therefore to reject them as currently specified. The overarching strategic lesson is clear: Tesla should </w:t>
      </w:r>
      <w:proofErr w:type="spellStart"/>
      <w:r w:rsidRPr="004F4A97">
        <w:rPr>
          <w:rFonts w:ascii="Arial" w:hAnsi="Arial" w:cs="Arial"/>
          <w:sz w:val="24"/>
          <w:szCs w:val="24"/>
        </w:rPr>
        <w:t>prioritise</w:t>
      </w:r>
      <w:proofErr w:type="spellEnd"/>
      <w:r w:rsidRPr="004F4A97">
        <w:rPr>
          <w:rFonts w:ascii="Arial" w:hAnsi="Arial" w:cs="Arial"/>
          <w:sz w:val="24"/>
          <w:szCs w:val="24"/>
        </w:rPr>
        <w:t xml:space="preserve"> restoring return on capital before committing further funds to sub-hurdle investments. In a maturing EV market, disciplined capital allocation is the CFO’s most important contribution to shareholder value.</w:t>
      </w:r>
    </w:p>
    <w:p w14:paraId="1B8A7BB5" w14:textId="77777777" w:rsidR="00371F5B" w:rsidRDefault="00371F5B" w:rsidP="009E5697">
      <w:pPr>
        <w:pStyle w:val="Heading1"/>
        <w:spacing w:line="360" w:lineRule="auto"/>
        <w:jc w:val="left"/>
        <w:rPr>
          <w:rFonts w:ascii="Arial" w:hAnsi="Arial" w:cs="Arial"/>
          <w:sz w:val="24"/>
          <w:szCs w:val="24"/>
        </w:rPr>
      </w:pPr>
      <w:bookmarkStart w:id="74" w:name="_Toc225450269"/>
    </w:p>
    <w:p w14:paraId="0632EF0D" w14:textId="77777777" w:rsidR="00371F5B" w:rsidRDefault="00371F5B" w:rsidP="009E5697">
      <w:pPr>
        <w:pStyle w:val="Heading1"/>
        <w:spacing w:line="360" w:lineRule="auto"/>
        <w:jc w:val="left"/>
        <w:rPr>
          <w:rFonts w:ascii="Arial" w:hAnsi="Arial" w:cs="Arial"/>
          <w:sz w:val="24"/>
          <w:szCs w:val="24"/>
        </w:rPr>
      </w:pPr>
    </w:p>
    <w:p w14:paraId="0A84F02B" w14:textId="77777777" w:rsidR="00371F5B" w:rsidRDefault="00371F5B" w:rsidP="00371F5B"/>
    <w:p w14:paraId="67195893" w14:textId="77777777" w:rsidR="00371F5B" w:rsidRDefault="00371F5B" w:rsidP="009E5697">
      <w:pPr>
        <w:pStyle w:val="Heading1"/>
        <w:spacing w:line="360" w:lineRule="auto"/>
        <w:jc w:val="left"/>
        <w:rPr>
          <w:rFonts w:ascii="Arial" w:hAnsi="Arial" w:cs="Arial"/>
          <w:sz w:val="24"/>
          <w:szCs w:val="24"/>
        </w:rPr>
      </w:pPr>
    </w:p>
    <w:p w14:paraId="7A3021C9" w14:textId="77777777" w:rsidR="00371F5B" w:rsidRDefault="00371F5B" w:rsidP="00371F5B"/>
    <w:p w14:paraId="7DEAE039" w14:textId="77777777" w:rsidR="00371F5B" w:rsidRDefault="00371F5B" w:rsidP="009E5697">
      <w:pPr>
        <w:pStyle w:val="Heading1"/>
        <w:spacing w:line="360" w:lineRule="auto"/>
        <w:jc w:val="left"/>
        <w:rPr>
          <w:rFonts w:ascii="Arial" w:hAnsi="Arial" w:cs="Arial"/>
          <w:sz w:val="24"/>
          <w:szCs w:val="24"/>
        </w:rPr>
      </w:pPr>
    </w:p>
    <w:p w14:paraId="52A522B0" w14:textId="77777777" w:rsidR="00371F5B" w:rsidRPr="00371F5B" w:rsidRDefault="00371F5B" w:rsidP="00371F5B"/>
    <w:p w14:paraId="52ACDF72" w14:textId="71B9BF40" w:rsidR="00EB6BA2" w:rsidRPr="004F4A97" w:rsidRDefault="00000000" w:rsidP="009E5697">
      <w:pPr>
        <w:pStyle w:val="Heading1"/>
        <w:spacing w:line="360" w:lineRule="auto"/>
        <w:jc w:val="left"/>
        <w:rPr>
          <w:rFonts w:ascii="Arial" w:hAnsi="Arial" w:cs="Arial"/>
          <w:sz w:val="24"/>
          <w:szCs w:val="24"/>
        </w:rPr>
      </w:pPr>
      <w:r w:rsidRPr="004F4A97">
        <w:rPr>
          <w:rFonts w:ascii="Arial" w:hAnsi="Arial" w:cs="Arial"/>
          <w:sz w:val="24"/>
          <w:szCs w:val="24"/>
        </w:rPr>
        <w:lastRenderedPageBreak/>
        <w:t>References</w:t>
      </w:r>
      <w:bookmarkEnd w:id="74"/>
    </w:p>
    <w:p w14:paraId="4D04F28D"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International Energy Agency (2025a) Global EV Outlook 2025. Paris: IEA.</w:t>
      </w:r>
    </w:p>
    <w:p w14:paraId="51D9F8C4"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International Energy Agency (2025b) Executive summary - Global EV Outlook 2025. Paris: IEA.</w:t>
      </w:r>
    </w:p>
    <w:p w14:paraId="32296679"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Tesla, Inc. (2022a) Annual Report on Form 10-K for the year ended 31 December 2021. Austin, TX: Tesla.</w:t>
      </w:r>
    </w:p>
    <w:p w14:paraId="794CFFAD"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Tesla, Inc. (2023a) Annual Report on Form 10-K for the year ended 31 December 2022. Austin, TX: Tesla.</w:t>
      </w:r>
    </w:p>
    <w:p w14:paraId="19F99A3E"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Tesla, Inc. (2024a) Annual Report on Form 10-K for the year ended 31 December 2023. Austin, TX: Tesla.</w:t>
      </w:r>
    </w:p>
    <w:p w14:paraId="179F02E2"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Tesla, Inc. (2025a) Annual Report on Form 10-K for the year ended 31 December 2024. Austin, TX: Tesla.</w:t>
      </w:r>
    </w:p>
    <w:p w14:paraId="4A3E6115"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Tesla, Inc. (2026a) Annual Report on Form 10-K for the year ended 31 December 2025. Austin, TX: Tesla.</w:t>
      </w:r>
    </w:p>
    <w:p w14:paraId="561F3952"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Tesla, Inc. (2022b) Fourth Quarter and Full Year 2021 Update. Austin, TX: Tesla Investor Relations.</w:t>
      </w:r>
    </w:p>
    <w:p w14:paraId="06E6DEB3"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Tesla, Inc. (2023b) Fourth Quarter and Full Year 2022 Update. Austin, TX: Tesla Investor Relations.</w:t>
      </w:r>
    </w:p>
    <w:p w14:paraId="61FA3FAF"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Tesla, Inc. (2024b) Fourth Quarter and Full Year 2023 Update. Austin, TX: Tesla Investor Relations.</w:t>
      </w:r>
    </w:p>
    <w:p w14:paraId="586A016D"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Tesla, Inc. (2025b) Fourth Quarter and Full Year 2024 Update. Austin, TX: Tesla Investor Relations.</w:t>
      </w:r>
    </w:p>
    <w:p w14:paraId="75C59F2A"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Tesla, Inc. (2026b) Fourth Quarter and Full Year 2025 Update. Austin, TX: Tesla Investor Relations.</w:t>
      </w:r>
    </w:p>
    <w:p w14:paraId="4EF1E97A" w14:textId="24309A5F"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 xml:space="preserve">Tesla, Inc. (2023c) Impact Report 2022. Austin, TX: </w:t>
      </w:r>
      <w:proofErr w:type="spellStart"/>
      <w:r w:rsidRPr="004F4A97">
        <w:rPr>
          <w:rFonts w:ascii="Arial" w:hAnsi="Arial" w:cs="Arial"/>
          <w:sz w:val="24"/>
          <w:szCs w:val="24"/>
        </w:rPr>
        <w:t>Tesla.Tesla</w:t>
      </w:r>
      <w:proofErr w:type="spellEnd"/>
      <w:r w:rsidRPr="004F4A97">
        <w:rPr>
          <w:rFonts w:ascii="Arial" w:hAnsi="Arial" w:cs="Arial"/>
          <w:sz w:val="24"/>
          <w:szCs w:val="24"/>
        </w:rPr>
        <w:t>, Inc. (2024c) Impact Report 2023. Austin, TX: Tesla.</w:t>
      </w:r>
    </w:p>
    <w:p w14:paraId="3196CC7B"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Tesla, Inc. (2025c) Impact Report 2024. Austin, TX: Tesla.</w:t>
      </w:r>
    </w:p>
    <w:p w14:paraId="012F5863"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lastRenderedPageBreak/>
        <w:t>Tesla, Inc. (2025d) Conflict Minerals Report 2024. Austin, TX: Tesla.</w:t>
      </w:r>
    </w:p>
    <w:p w14:paraId="105E8F4E"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Tesla, Inc. (2025e) Modern Slavery and Child Labor Statement. Austin, TX: Tesla.</w:t>
      </w:r>
    </w:p>
    <w:p w14:paraId="16AC65CD"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br w:type="page"/>
      </w:r>
    </w:p>
    <w:p w14:paraId="6ECA2CDE" w14:textId="77777777" w:rsidR="00EB6BA2" w:rsidRPr="004F4A97" w:rsidRDefault="00000000" w:rsidP="009E5697">
      <w:pPr>
        <w:pStyle w:val="Heading1"/>
        <w:spacing w:line="360" w:lineRule="auto"/>
        <w:jc w:val="left"/>
        <w:rPr>
          <w:rFonts w:ascii="Arial" w:hAnsi="Arial" w:cs="Arial"/>
          <w:sz w:val="24"/>
          <w:szCs w:val="24"/>
        </w:rPr>
      </w:pPr>
      <w:bookmarkStart w:id="75" w:name="_Toc225450270"/>
      <w:r w:rsidRPr="004F4A97">
        <w:rPr>
          <w:rFonts w:ascii="Arial" w:hAnsi="Arial" w:cs="Arial"/>
          <w:sz w:val="24"/>
          <w:szCs w:val="24"/>
        </w:rPr>
        <w:lastRenderedPageBreak/>
        <w:t>Appendix A. Core financial data and ratio formulas</w:t>
      </w:r>
      <w:bookmarkEnd w:id="75"/>
    </w:p>
    <w:p w14:paraId="5D283C77" w14:textId="313EC34C"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Selected formulas used in the report are as follows: Net profit margin = net income / revenue x 100</w:t>
      </w:r>
      <w:r w:rsidR="003D3CBD" w:rsidRPr="004F4A97">
        <w:rPr>
          <w:rFonts w:ascii="Arial" w:hAnsi="Arial" w:cs="Arial"/>
          <w:sz w:val="24"/>
          <w:szCs w:val="24"/>
        </w:rPr>
        <w:t>%</w:t>
      </w:r>
      <w:r w:rsidRPr="004F4A97">
        <w:rPr>
          <w:rFonts w:ascii="Arial" w:hAnsi="Arial" w:cs="Arial"/>
          <w:sz w:val="24"/>
          <w:szCs w:val="24"/>
        </w:rPr>
        <w:t>; ROA = net income / total assets x 100</w:t>
      </w:r>
      <w:r w:rsidR="003D3CBD" w:rsidRPr="004F4A97">
        <w:rPr>
          <w:rFonts w:ascii="Arial" w:hAnsi="Arial" w:cs="Arial"/>
          <w:sz w:val="24"/>
          <w:szCs w:val="24"/>
        </w:rPr>
        <w:t>%</w:t>
      </w:r>
      <w:r w:rsidRPr="004F4A97">
        <w:rPr>
          <w:rFonts w:ascii="Arial" w:hAnsi="Arial" w:cs="Arial"/>
          <w:sz w:val="24"/>
          <w:szCs w:val="24"/>
        </w:rPr>
        <w:t>; ROE = net income / equity x 100</w:t>
      </w:r>
      <w:r w:rsidR="003D3CBD" w:rsidRPr="004F4A97">
        <w:rPr>
          <w:rFonts w:ascii="Arial" w:hAnsi="Arial" w:cs="Arial"/>
          <w:sz w:val="24"/>
          <w:szCs w:val="24"/>
        </w:rPr>
        <w:t>%</w:t>
      </w:r>
      <w:r w:rsidRPr="004F4A97">
        <w:rPr>
          <w:rFonts w:ascii="Arial" w:hAnsi="Arial" w:cs="Arial"/>
          <w:sz w:val="24"/>
          <w:szCs w:val="24"/>
        </w:rPr>
        <w:t>; Current ratio = current assets / current liabilities; Quick ratio = (current assets - inventory) / current liabilities; Inventory turnover = cost of revenues / inventory; Asset turnover = revenue / total assets; Debt-to-equity = debt / equity; OCF margin = operating cash flow / revenue x 100</w:t>
      </w:r>
      <w:r w:rsidR="003D3CBD" w:rsidRPr="004F4A97">
        <w:rPr>
          <w:rFonts w:ascii="Arial" w:hAnsi="Arial" w:cs="Arial"/>
          <w:sz w:val="24"/>
          <w:szCs w:val="24"/>
        </w:rPr>
        <w:t>%</w:t>
      </w:r>
      <w:r w:rsidRPr="004F4A97">
        <w:rPr>
          <w:rFonts w:ascii="Arial" w:hAnsi="Arial" w:cs="Arial"/>
          <w:sz w:val="24"/>
          <w:szCs w:val="24"/>
        </w:rPr>
        <w:t>; DIO = inventory / cost of revenues x 365</w:t>
      </w:r>
      <w:r w:rsidR="003D3CBD" w:rsidRPr="004F4A97">
        <w:rPr>
          <w:rFonts w:ascii="Arial" w:hAnsi="Arial" w:cs="Arial"/>
          <w:sz w:val="24"/>
          <w:szCs w:val="24"/>
        </w:rPr>
        <w:t>days</w:t>
      </w:r>
      <w:r w:rsidRPr="004F4A97">
        <w:rPr>
          <w:rFonts w:ascii="Arial" w:hAnsi="Arial" w:cs="Arial"/>
          <w:sz w:val="24"/>
          <w:szCs w:val="24"/>
        </w:rPr>
        <w:t>; DSO = accounts receivable / revenue x 365</w:t>
      </w:r>
      <w:r w:rsidR="003D3CBD" w:rsidRPr="004F4A97">
        <w:rPr>
          <w:rFonts w:ascii="Arial" w:hAnsi="Arial" w:cs="Arial"/>
          <w:sz w:val="24"/>
          <w:szCs w:val="24"/>
        </w:rPr>
        <w:t>days</w:t>
      </w:r>
      <w:r w:rsidRPr="004F4A97">
        <w:rPr>
          <w:rFonts w:ascii="Arial" w:hAnsi="Arial" w:cs="Arial"/>
          <w:sz w:val="24"/>
          <w:szCs w:val="24"/>
        </w:rPr>
        <w:t>; DPO = accounts payable / cost of revenues x 365</w:t>
      </w:r>
      <w:r w:rsidR="003D3CBD" w:rsidRPr="004F4A97">
        <w:rPr>
          <w:rFonts w:ascii="Arial" w:hAnsi="Arial" w:cs="Arial"/>
          <w:sz w:val="24"/>
          <w:szCs w:val="24"/>
        </w:rPr>
        <w:t>days</w:t>
      </w:r>
      <w:r w:rsidRPr="004F4A97">
        <w:rPr>
          <w:rFonts w:ascii="Arial" w:hAnsi="Arial" w:cs="Arial"/>
          <w:sz w:val="24"/>
          <w:szCs w:val="24"/>
        </w:rPr>
        <w:t>; CCC = DIO + DSO - DPO.</w:t>
      </w:r>
    </w:p>
    <w:p w14:paraId="6BA4948B" w14:textId="77777777" w:rsidR="00EB6BA2" w:rsidRPr="004F4A97" w:rsidRDefault="00000000" w:rsidP="009E5697">
      <w:pPr>
        <w:pStyle w:val="Heading1"/>
        <w:spacing w:line="360" w:lineRule="auto"/>
        <w:jc w:val="left"/>
        <w:rPr>
          <w:rFonts w:ascii="Arial" w:hAnsi="Arial" w:cs="Arial"/>
          <w:sz w:val="24"/>
          <w:szCs w:val="24"/>
        </w:rPr>
      </w:pPr>
      <w:bookmarkStart w:id="76" w:name="_Toc225450271"/>
      <w:r w:rsidRPr="004F4A97">
        <w:rPr>
          <w:rFonts w:ascii="Arial" w:hAnsi="Arial" w:cs="Arial"/>
          <w:sz w:val="24"/>
          <w:szCs w:val="24"/>
        </w:rPr>
        <w:t>Appendix B. Detailed ratio tables and YoY analysis</w:t>
      </w:r>
      <w:bookmarkEnd w:id="76"/>
    </w:p>
    <w:tbl>
      <w:tblPr>
        <w:tblStyle w:val="TableGrid"/>
        <w:tblW w:w="0" w:type="auto"/>
        <w:jc w:val="center"/>
        <w:tblLook w:val="04A0" w:firstRow="1" w:lastRow="0" w:firstColumn="1" w:lastColumn="0" w:noHBand="0" w:noVBand="1"/>
      </w:tblPr>
      <w:tblGrid>
        <w:gridCol w:w="1408"/>
        <w:gridCol w:w="1408"/>
        <w:gridCol w:w="1408"/>
        <w:gridCol w:w="1408"/>
        <w:gridCol w:w="1408"/>
        <w:gridCol w:w="1408"/>
        <w:gridCol w:w="1408"/>
      </w:tblGrid>
      <w:tr w:rsidR="00EB6BA2" w:rsidRPr="004F4A97" w14:paraId="1AEE90FD" w14:textId="77777777">
        <w:trPr>
          <w:jc w:val="center"/>
        </w:trPr>
        <w:tc>
          <w:tcPr>
            <w:tcW w:w="1408" w:type="dxa"/>
            <w:shd w:val="clear" w:color="auto" w:fill="D9EAF7"/>
          </w:tcPr>
          <w:p w14:paraId="23E3873E"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Ratio</w:t>
            </w:r>
          </w:p>
        </w:tc>
        <w:tc>
          <w:tcPr>
            <w:tcW w:w="1408" w:type="dxa"/>
            <w:shd w:val="clear" w:color="auto" w:fill="D9EAF7"/>
          </w:tcPr>
          <w:p w14:paraId="6AC81AFB"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2021</w:t>
            </w:r>
          </w:p>
        </w:tc>
        <w:tc>
          <w:tcPr>
            <w:tcW w:w="1408" w:type="dxa"/>
            <w:shd w:val="clear" w:color="auto" w:fill="D9EAF7"/>
          </w:tcPr>
          <w:p w14:paraId="19BFF7A3"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2022</w:t>
            </w:r>
          </w:p>
        </w:tc>
        <w:tc>
          <w:tcPr>
            <w:tcW w:w="1408" w:type="dxa"/>
            <w:shd w:val="clear" w:color="auto" w:fill="D9EAF7"/>
          </w:tcPr>
          <w:p w14:paraId="748BE3C8"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2023</w:t>
            </w:r>
          </w:p>
        </w:tc>
        <w:tc>
          <w:tcPr>
            <w:tcW w:w="1408" w:type="dxa"/>
            <w:shd w:val="clear" w:color="auto" w:fill="D9EAF7"/>
          </w:tcPr>
          <w:p w14:paraId="35AE5902"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2024</w:t>
            </w:r>
          </w:p>
        </w:tc>
        <w:tc>
          <w:tcPr>
            <w:tcW w:w="1408" w:type="dxa"/>
            <w:shd w:val="clear" w:color="auto" w:fill="D9EAF7"/>
          </w:tcPr>
          <w:p w14:paraId="7C99642F"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2025</w:t>
            </w:r>
          </w:p>
        </w:tc>
        <w:tc>
          <w:tcPr>
            <w:tcW w:w="1408" w:type="dxa"/>
            <w:shd w:val="clear" w:color="auto" w:fill="D9EAF7"/>
          </w:tcPr>
          <w:p w14:paraId="23A563B3"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2025 vs 2021</w:t>
            </w:r>
          </w:p>
        </w:tc>
      </w:tr>
      <w:tr w:rsidR="00EB6BA2" w:rsidRPr="004F4A97" w14:paraId="171EEDFE" w14:textId="77777777">
        <w:trPr>
          <w:jc w:val="center"/>
        </w:trPr>
        <w:tc>
          <w:tcPr>
            <w:tcW w:w="1408" w:type="dxa"/>
          </w:tcPr>
          <w:p w14:paraId="4D3CEDE9"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Net profit margin %</w:t>
            </w:r>
          </w:p>
        </w:tc>
        <w:tc>
          <w:tcPr>
            <w:tcW w:w="1408" w:type="dxa"/>
          </w:tcPr>
          <w:p w14:paraId="357FDFBB"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10.25</w:t>
            </w:r>
          </w:p>
        </w:tc>
        <w:tc>
          <w:tcPr>
            <w:tcW w:w="1408" w:type="dxa"/>
          </w:tcPr>
          <w:p w14:paraId="05B6EBD8"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15.41</w:t>
            </w:r>
          </w:p>
        </w:tc>
        <w:tc>
          <w:tcPr>
            <w:tcW w:w="1408" w:type="dxa"/>
          </w:tcPr>
          <w:p w14:paraId="558267F4"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15.50</w:t>
            </w:r>
          </w:p>
        </w:tc>
        <w:tc>
          <w:tcPr>
            <w:tcW w:w="1408" w:type="dxa"/>
          </w:tcPr>
          <w:p w14:paraId="06DAD51C"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7.26</w:t>
            </w:r>
          </w:p>
        </w:tc>
        <w:tc>
          <w:tcPr>
            <w:tcW w:w="1408" w:type="dxa"/>
          </w:tcPr>
          <w:p w14:paraId="142E4201"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4.00</w:t>
            </w:r>
          </w:p>
        </w:tc>
        <w:tc>
          <w:tcPr>
            <w:tcW w:w="1408" w:type="dxa"/>
          </w:tcPr>
          <w:p w14:paraId="4DA6E7FF"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-6.25</w:t>
            </w:r>
          </w:p>
        </w:tc>
      </w:tr>
      <w:tr w:rsidR="00EB6BA2" w:rsidRPr="004F4A97" w14:paraId="0B5B1C7A" w14:textId="77777777">
        <w:trPr>
          <w:jc w:val="center"/>
        </w:trPr>
        <w:tc>
          <w:tcPr>
            <w:tcW w:w="1408" w:type="dxa"/>
          </w:tcPr>
          <w:p w14:paraId="189CE046"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ROA %</w:t>
            </w:r>
          </w:p>
        </w:tc>
        <w:tc>
          <w:tcPr>
            <w:tcW w:w="1408" w:type="dxa"/>
          </w:tcPr>
          <w:p w14:paraId="55549D58"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8.88</w:t>
            </w:r>
          </w:p>
        </w:tc>
        <w:tc>
          <w:tcPr>
            <w:tcW w:w="1408" w:type="dxa"/>
          </w:tcPr>
          <w:p w14:paraId="2A25107D"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15.25</w:t>
            </w:r>
          </w:p>
        </w:tc>
        <w:tc>
          <w:tcPr>
            <w:tcW w:w="1408" w:type="dxa"/>
          </w:tcPr>
          <w:p w14:paraId="6AF644E1"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14.07</w:t>
            </w:r>
          </w:p>
        </w:tc>
        <w:tc>
          <w:tcPr>
            <w:tcW w:w="1408" w:type="dxa"/>
          </w:tcPr>
          <w:p w14:paraId="04BD51CB"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5.81</w:t>
            </w:r>
          </w:p>
        </w:tc>
        <w:tc>
          <w:tcPr>
            <w:tcW w:w="1408" w:type="dxa"/>
          </w:tcPr>
          <w:p w14:paraId="6DF79B81"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2.75</w:t>
            </w:r>
          </w:p>
        </w:tc>
        <w:tc>
          <w:tcPr>
            <w:tcW w:w="1408" w:type="dxa"/>
          </w:tcPr>
          <w:p w14:paraId="4F159DFF"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-6.13</w:t>
            </w:r>
          </w:p>
        </w:tc>
      </w:tr>
      <w:tr w:rsidR="00EB6BA2" w:rsidRPr="004F4A97" w14:paraId="51555C4E" w14:textId="77777777">
        <w:trPr>
          <w:jc w:val="center"/>
        </w:trPr>
        <w:tc>
          <w:tcPr>
            <w:tcW w:w="1408" w:type="dxa"/>
          </w:tcPr>
          <w:p w14:paraId="416029D2"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ROE %</w:t>
            </w:r>
          </w:p>
        </w:tc>
        <w:tc>
          <w:tcPr>
            <w:tcW w:w="1408" w:type="dxa"/>
          </w:tcPr>
          <w:p w14:paraId="21312B4B"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18.28</w:t>
            </w:r>
          </w:p>
        </w:tc>
        <w:tc>
          <w:tcPr>
            <w:tcW w:w="1408" w:type="dxa"/>
          </w:tcPr>
          <w:p w14:paraId="76569317"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28.09</w:t>
            </w:r>
          </w:p>
        </w:tc>
        <w:tc>
          <w:tcPr>
            <w:tcW w:w="1408" w:type="dxa"/>
          </w:tcPr>
          <w:p w14:paraId="7255D80E"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23.94</w:t>
            </w:r>
          </w:p>
        </w:tc>
        <w:tc>
          <w:tcPr>
            <w:tcW w:w="1408" w:type="dxa"/>
          </w:tcPr>
          <w:p w14:paraId="624E9748"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9.73</w:t>
            </w:r>
          </w:p>
        </w:tc>
        <w:tc>
          <w:tcPr>
            <w:tcW w:w="1408" w:type="dxa"/>
          </w:tcPr>
          <w:p w14:paraId="7C0E8B48"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4.62</w:t>
            </w:r>
          </w:p>
        </w:tc>
        <w:tc>
          <w:tcPr>
            <w:tcW w:w="1408" w:type="dxa"/>
          </w:tcPr>
          <w:p w14:paraId="55023919"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-13.66</w:t>
            </w:r>
          </w:p>
        </w:tc>
      </w:tr>
      <w:tr w:rsidR="00EB6BA2" w:rsidRPr="004F4A97" w14:paraId="7F2B1EE5" w14:textId="77777777">
        <w:trPr>
          <w:jc w:val="center"/>
        </w:trPr>
        <w:tc>
          <w:tcPr>
            <w:tcW w:w="1408" w:type="dxa"/>
          </w:tcPr>
          <w:p w14:paraId="52C30F93"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Current ratio</w:t>
            </w:r>
          </w:p>
        </w:tc>
        <w:tc>
          <w:tcPr>
            <w:tcW w:w="1408" w:type="dxa"/>
          </w:tcPr>
          <w:p w14:paraId="2039622E"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1.38</w:t>
            </w:r>
          </w:p>
        </w:tc>
        <w:tc>
          <w:tcPr>
            <w:tcW w:w="1408" w:type="dxa"/>
          </w:tcPr>
          <w:p w14:paraId="54784824"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1.53</w:t>
            </w:r>
          </w:p>
        </w:tc>
        <w:tc>
          <w:tcPr>
            <w:tcW w:w="1408" w:type="dxa"/>
          </w:tcPr>
          <w:p w14:paraId="25746738"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1.73</w:t>
            </w:r>
          </w:p>
        </w:tc>
        <w:tc>
          <w:tcPr>
            <w:tcW w:w="1408" w:type="dxa"/>
          </w:tcPr>
          <w:p w14:paraId="7DA89686"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2.02</w:t>
            </w:r>
          </w:p>
        </w:tc>
        <w:tc>
          <w:tcPr>
            <w:tcW w:w="1408" w:type="dxa"/>
          </w:tcPr>
          <w:p w14:paraId="47A381F3"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2.16</w:t>
            </w:r>
          </w:p>
        </w:tc>
        <w:tc>
          <w:tcPr>
            <w:tcW w:w="1408" w:type="dxa"/>
          </w:tcPr>
          <w:p w14:paraId="66BD1713"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+0.79</w:t>
            </w:r>
          </w:p>
        </w:tc>
      </w:tr>
      <w:tr w:rsidR="00EB6BA2" w:rsidRPr="004F4A97" w14:paraId="4AF308C6" w14:textId="77777777">
        <w:trPr>
          <w:jc w:val="center"/>
        </w:trPr>
        <w:tc>
          <w:tcPr>
            <w:tcW w:w="1408" w:type="dxa"/>
          </w:tcPr>
          <w:p w14:paraId="344D4615"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Quick ratio</w:t>
            </w:r>
          </w:p>
        </w:tc>
        <w:tc>
          <w:tcPr>
            <w:tcW w:w="1408" w:type="dxa"/>
          </w:tcPr>
          <w:p w14:paraId="13865618"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1.08</w:t>
            </w:r>
          </w:p>
        </w:tc>
        <w:tc>
          <w:tcPr>
            <w:tcW w:w="1408" w:type="dxa"/>
          </w:tcPr>
          <w:p w14:paraId="23A18E9E"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1.05</w:t>
            </w:r>
          </w:p>
        </w:tc>
        <w:tc>
          <w:tcPr>
            <w:tcW w:w="1408" w:type="dxa"/>
          </w:tcPr>
          <w:p w14:paraId="07E90A36"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1.25</w:t>
            </w:r>
          </w:p>
        </w:tc>
        <w:tc>
          <w:tcPr>
            <w:tcW w:w="1408" w:type="dxa"/>
          </w:tcPr>
          <w:p w14:paraId="12395FAF"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1.61</w:t>
            </w:r>
          </w:p>
        </w:tc>
        <w:tc>
          <w:tcPr>
            <w:tcW w:w="1408" w:type="dxa"/>
          </w:tcPr>
          <w:p w14:paraId="3E187A8A"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1.77</w:t>
            </w:r>
          </w:p>
        </w:tc>
        <w:tc>
          <w:tcPr>
            <w:tcW w:w="1408" w:type="dxa"/>
          </w:tcPr>
          <w:p w14:paraId="4C21E24A"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+0.69</w:t>
            </w:r>
          </w:p>
        </w:tc>
      </w:tr>
      <w:tr w:rsidR="00EB6BA2" w:rsidRPr="004F4A97" w14:paraId="49D2442E" w14:textId="77777777">
        <w:trPr>
          <w:jc w:val="center"/>
        </w:trPr>
        <w:tc>
          <w:tcPr>
            <w:tcW w:w="1408" w:type="dxa"/>
          </w:tcPr>
          <w:p w14:paraId="68A4703D"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Inventory turnover</w:t>
            </w:r>
          </w:p>
        </w:tc>
        <w:tc>
          <w:tcPr>
            <w:tcW w:w="1408" w:type="dxa"/>
          </w:tcPr>
          <w:p w14:paraId="0772CBF9"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6.99</w:t>
            </w:r>
          </w:p>
        </w:tc>
        <w:tc>
          <w:tcPr>
            <w:tcW w:w="1408" w:type="dxa"/>
          </w:tcPr>
          <w:p w14:paraId="5A07D3F1"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4.72</w:t>
            </w:r>
          </w:p>
        </w:tc>
        <w:tc>
          <w:tcPr>
            <w:tcW w:w="1408" w:type="dxa"/>
          </w:tcPr>
          <w:p w14:paraId="795A9F23"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5.81</w:t>
            </w:r>
          </w:p>
        </w:tc>
        <w:tc>
          <w:tcPr>
            <w:tcW w:w="1408" w:type="dxa"/>
          </w:tcPr>
          <w:p w14:paraId="2497F2B5"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6.68</w:t>
            </w:r>
          </w:p>
        </w:tc>
        <w:tc>
          <w:tcPr>
            <w:tcW w:w="1408" w:type="dxa"/>
          </w:tcPr>
          <w:p w14:paraId="7446E04B"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6.27</w:t>
            </w:r>
          </w:p>
        </w:tc>
        <w:tc>
          <w:tcPr>
            <w:tcW w:w="1408" w:type="dxa"/>
          </w:tcPr>
          <w:p w14:paraId="5E179594"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-0.71</w:t>
            </w:r>
          </w:p>
        </w:tc>
      </w:tr>
      <w:tr w:rsidR="00EB6BA2" w:rsidRPr="004F4A97" w14:paraId="1932BBB6" w14:textId="77777777">
        <w:trPr>
          <w:jc w:val="center"/>
        </w:trPr>
        <w:tc>
          <w:tcPr>
            <w:tcW w:w="1408" w:type="dxa"/>
          </w:tcPr>
          <w:p w14:paraId="228E6464"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Asset turnover</w:t>
            </w:r>
          </w:p>
        </w:tc>
        <w:tc>
          <w:tcPr>
            <w:tcW w:w="1408" w:type="dxa"/>
          </w:tcPr>
          <w:p w14:paraId="4BAE1556"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0.87</w:t>
            </w:r>
          </w:p>
        </w:tc>
        <w:tc>
          <w:tcPr>
            <w:tcW w:w="1408" w:type="dxa"/>
          </w:tcPr>
          <w:p w14:paraId="7075693E"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0.99</w:t>
            </w:r>
          </w:p>
        </w:tc>
        <w:tc>
          <w:tcPr>
            <w:tcW w:w="1408" w:type="dxa"/>
          </w:tcPr>
          <w:p w14:paraId="63536A08"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0.91</w:t>
            </w:r>
          </w:p>
        </w:tc>
        <w:tc>
          <w:tcPr>
            <w:tcW w:w="1408" w:type="dxa"/>
          </w:tcPr>
          <w:p w14:paraId="12178E26"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0.80</w:t>
            </w:r>
          </w:p>
        </w:tc>
        <w:tc>
          <w:tcPr>
            <w:tcW w:w="1408" w:type="dxa"/>
          </w:tcPr>
          <w:p w14:paraId="2CB50818"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0.69</w:t>
            </w:r>
          </w:p>
        </w:tc>
        <w:tc>
          <w:tcPr>
            <w:tcW w:w="1408" w:type="dxa"/>
          </w:tcPr>
          <w:p w14:paraId="380454B7"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-0.18</w:t>
            </w:r>
          </w:p>
        </w:tc>
      </w:tr>
      <w:tr w:rsidR="00EB6BA2" w:rsidRPr="004F4A97" w14:paraId="5770276B" w14:textId="77777777">
        <w:trPr>
          <w:jc w:val="center"/>
        </w:trPr>
        <w:tc>
          <w:tcPr>
            <w:tcW w:w="1408" w:type="dxa"/>
          </w:tcPr>
          <w:p w14:paraId="4A57F6AE"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Debt-to-equity</w:t>
            </w:r>
          </w:p>
        </w:tc>
        <w:tc>
          <w:tcPr>
            <w:tcW w:w="1408" w:type="dxa"/>
          </w:tcPr>
          <w:p w14:paraId="2B9F4894"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0.23</w:t>
            </w:r>
          </w:p>
        </w:tc>
        <w:tc>
          <w:tcPr>
            <w:tcW w:w="1408" w:type="dxa"/>
          </w:tcPr>
          <w:p w14:paraId="18B027AA"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0.07</w:t>
            </w:r>
          </w:p>
        </w:tc>
        <w:tc>
          <w:tcPr>
            <w:tcW w:w="1408" w:type="dxa"/>
          </w:tcPr>
          <w:p w14:paraId="38EE6CB1"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0.08</w:t>
            </w:r>
          </w:p>
        </w:tc>
        <w:tc>
          <w:tcPr>
            <w:tcW w:w="1408" w:type="dxa"/>
          </w:tcPr>
          <w:p w14:paraId="2DCC842A"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0.11</w:t>
            </w:r>
          </w:p>
        </w:tc>
        <w:tc>
          <w:tcPr>
            <w:tcW w:w="1408" w:type="dxa"/>
          </w:tcPr>
          <w:p w14:paraId="19F70C23"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0.10</w:t>
            </w:r>
          </w:p>
        </w:tc>
        <w:tc>
          <w:tcPr>
            <w:tcW w:w="1408" w:type="dxa"/>
          </w:tcPr>
          <w:p w14:paraId="35995C21"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-0.12</w:t>
            </w:r>
          </w:p>
        </w:tc>
      </w:tr>
      <w:tr w:rsidR="00EB6BA2" w:rsidRPr="004F4A97" w14:paraId="57F42B07" w14:textId="77777777">
        <w:trPr>
          <w:jc w:val="center"/>
        </w:trPr>
        <w:tc>
          <w:tcPr>
            <w:tcW w:w="1408" w:type="dxa"/>
          </w:tcPr>
          <w:p w14:paraId="04A50E04"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OCF margin %</w:t>
            </w:r>
          </w:p>
        </w:tc>
        <w:tc>
          <w:tcPr>
            <w:tcW w:w="1408" w:type="dxa"/>
          </w:tcPr>
          <w:p w14:paraId="4B175045"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21.36</w:t>
            </w:r>
          </w:p>
        </w:tc>
        <w:tc>
          <w:tcPr>
            <w:tcW w:w="1408" w:type="dxa"/>
          </w:tcPr>
          <w:p w14:paraId="586F5655"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18.07</w:t>
            </w:r>
          </w:p>
        </w:tc>
        <w:tc>
          <w:tcPr>
            <w:tcW w:w="1408" w:type="dxa"/>
          </w:tcPr>
          <w:p w14:paraId="424FF0F7"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13.70</w:t>
            </w:r>
          </w:p>
        </w:tc>
        <w:tc>
          <w:tcPr>
            <w:tcW w:w="1408" w:type="dxa"/>
          </w:tcPr>
          <w:p w14:paraId="0FDC17C3"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15.28</w:t>
            </w:r>
          </w:p>
        </w:tc>
        <w:tc>
          <w:tcPr>
            <w:tcW w:w="1408" w:type="dxa"/>
          </w:tcPr>
          <w:p w14:paraId="09885A20"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15.55</w:t>
            </w:r>
          </w:p>
        </w:tc>
        <w:tc>
          <w:tcPr>
            <w:tcW w:w="1408" w:type="dxa"/>
          </w:tcPr>
          <w:p w14:paraId="4EF63FA3"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-5.81</w:t>
            </w:r>
          </w:p>
        </w:tc>
      </w:tr>
      <w:tr w:rsidR="00EB6BA2" w:rsidRPr="004F4A97" w14:paraId="4FAAB29A" w14:textId="77777777">
        <w:trPr>
          <w:jc w:val="center"/>
        </w:trPr>
        <w:tc>
          <w:tcPr>
            <w:tcW w:w="1408" w:type="dxa"/>
          </w:tcPr>
          <w:p w14:paraId="4D238B13"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Free cash flow</w:t>
            </w:r>
          </w:p>
        </w:tc>
        <w:tc>
          <w:tcPr>
            <w:tcW w:w="1408" w:type="dxa"/>
          </w:tcPr>
          <w:p w14:paraId="679B4871"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5,015</w:t>
            </w:r>
          </w:p>
        </w:tc>
        <w:tc>
          <w:tcPr>
            <w:tcW w:w="1408" w:type="dxa"/>
          </w:tcPr>
          <w:p w14:paraId="4B371082"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7,566</w:t>
            </w:r>
          </w:p>
        </w:tc>
        <w:tc>
          <w:tcPr>
            <w:tcW w:w="1408" w:type="dxa"/>
          </w:tcPr>
          <w:p w14:paraId="1A8135ED"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4,358</w:t>
            </w:r>
          </w:p>
        </w:tc>
        <w:tc>
          <w:tcPr>
            <w:tcW w:w="1408" w:type="dxa"/>
          </w:tcPr>
          <w:p w14:paraId="69FE91BF"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3,584</w:t>
            </w:r>
          </w:p>
        </w:tc>
        <w:tc>
          <w:tcPr>
            <w:tcW w:w="1408" w:type="dxa"/>
          </w:tcPr>
          <w:p w14:paraId="662A459E"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6,220</w:t>
            </w:r>
          </w:p>
        </w:tc>
        <w:tc>
          <w:tcPr>
            <w:tcW w:w="1408" w:type="dxa"/>
          </w:tcPr>
          <w:p w14:paraId="7EBDBA8D"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+1,205</w:t>
            </w:r>
          </w:p>
        </w:tc>
      </w:tr>
    </w:tbl>
    <w:p w14:paraId="4EB14561" w14:textId="77777777" w:rsidR="003D3CBD" w:rsidRPr="004F4A97" w:rsidRDefault="003D3CBD" w:rsidP="009E5697">
      <w:pPr>
        <w:pStyle w:val="Heading1"/>
        <w:spacing w:line="360" w:lineRule="auto"/>
        <w:jc w:val="left"/>
        <w:rPr>
          <w:rFonts w:ascii="Arial" w:hAnsi="Arial" w:cs="Arial"/>
          <w:sz w:val="24"/>
          <w:szCs w:val="24"/>
        </w:rPr>
      </w:pPr>
      <w:bookmarkStart w:id="77" w:name="_Toc225448368"/>
    </w:p>
    <w:p w14:paraId="62928FB1" w14:textId="6473EF54" w:rsidR="00EB6BA2" w:rsidRPr="004F4A97" w:rsidRDefault="00000000" w:rsidP="009E5697">
      <w:pPr>
        <w:pStyle w:val="Heading1"/>
        <w:spacing w:line="360" w:lineRule="auto"/>
        <w:jc w:val="left"/>
        <w:rPr>
          <w:rFonts w:ascii="Arial" w:hAnsi="Arial" w:cs="Arial"/>
          <w:sz w:val="24"/>
          <w:szCs w:val="24"/>
        </w:rPr>
      </w:pPr>
      <w:bookmarkStart w:id="78" w:name="_Toc225450272"/>
      <w:r w:rsidRPr="004F4A97">
        <w:rPr>
          <w:rFonts w:ascii="Arial" w:hAnsi="Arial" w:cs="Arial"/>
          <w:sz w:val="24"/>
          <w:szCs w:val="24"/>
        </w:rPr>
        <w:t>Appendix C. Working capital calculations</w:t>
      </w:r>
      <w:bookmarkEnd w:id="77"/>
      <w:bookmarkEnd w:id="78"/>
    </w:p>
    <w:tbl>
      <w:tblPr>
        <w:tblStyle w:val="TableGrid"/>
        <w:tblW w:w="0" w:type="auto"/>
        <w:jc w:val="center"/>
        <w:tblLook w:val="04A0" w:firstRow="1" w:lastRow="0" w:firstColumn="1" w:lastColumn="0" w:noHBand="0" w:noVBand="1"/>
      </w:tblPr>
      <w:tblGrid>
        <w:gridCol w:w="1095"/>
        <w:gridCol w:w="1177"/>
        <w:gridCol w:w="1095"/>
        <w:gridCol w:w="1095"/>
        <w:gridCol w:w="1204"/>
        <w:gridCol w:w="1095"/>
        <w:gridCol w:w="1095"/>
        <w:gridCol w:w="1095"/>
        <w:gridCol w:w="1095"/>
      </w:tblGrid>
      <w:tr w:rsidR="00EB6BA2" w:rsidRPr="004F4A97" w14:paraId="0B4B5162" w14:textId="77777777">
        <w:trPr>
          <w:jc w:val="center"/>
        </w:trPr>
        <w:tc>
          <w:tcPr>
            <w:tcW w:w="1095" w:type="dxa"/>
            <w:shd w:val="clear" w:color="auto" w:fill="D9EAF7"/>
          </w:tcPr>
          <w:p w14:paraId="2B9F59A9"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Year</w:t>
            </w:r>
          </w:p>
        </w:tc>
        <w:tc>
          <w:tcPr>
            <w:tcW w:w="1095" w:type="dxa"/>
            <w:shd w:val="clear" w:color="auto" w:fill="D9EAF7"/>
          </w:tcPr>
          <w:p w14:paraId="1B3F7280"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Revenue</w:t>
            </w:r>
          </w:p>
        </w:tc>
        <w:tc>
          <w:tcPr>
            <w:tcW w:w="1095" w:type="dxa"/>
            <w:shd w:val="clear" w:color="auto" w:fill="D9EAF7"/>
          </w:tcPr>
          <w:p w14:paraId="6C1864A0"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Cost of rev.</w:t>
            </w:r>
          </w:p>
        </w:tc>
        <w:tc>
          <w:tcPr>
            <w:tcW w:w="1095" w:type="dxa"/>
            <w:shd w:val="clear" w:color="auto" w:fill="D9EAF7"/>
          </w:tcPr>
          <w:p w14:paraId="7ED93CF1"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A/R</w:t>
            </w:r>
          </w:p>
        </w:tc>
        <w:tc>
          <w:tcPr>
            <w:tcW w:w="1095" w:type="dxa"/>
            <w:shd w:val="clear" w:color="auto" w:fill="D9EAF7"/>
          </w:tcPr>
          <w:p w14:paraId="6F03DC43"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Inventory</w:t>
            </w:r>
          </w:p>
        </w:tc>
        <w:tc>
          <w:tcPr>
            <w:tcW w:w="1095" w:type="dxa"/>
            <w:shd w:val="clear" w:color="auto" w:fill="D9EAF7"/>
          </w:tcPr>
          <w:p w14:paraId="0225FA25"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A/P</w:t>
            </w:r>
          </w:p>
        </w:tc>
        <w:tc>
          <w:tcPr>
            <w:tcW w:w="1095" w:type="dxa"/>
            <w:shd w:val="clear" w:color="auto" w:fill="D9EAF7"/>
          </w:tcPr>
          <w:p w14:paraId="05F9FE0A"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DIO</w:t>
            </w:r>
          </w:p>
        </w:tc>
        <w:tc>
          <w:tcPr>
            <w:tcW w:w="1095" w:type="dxa"/>
            <w:shd w:val="clear" w:color="auto" w:fill="D9EAF7"/>
          </w:tcPr>
          <w:p w14:paraId="629379A2"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DSO</w:t>
            </w:r>
          </w:p>
        </w:tc>
        <w:tc>
          <w:tcPr>
            <w:tcW w:w="1095" w:type="dxa"/>
            <w:shd w:val="clear" w:color="auto" w:fill="D9EAF7"/>
          </w:tcPr>
          <w:p w14:paraId="4EAE2EEE"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DPO</w:t>
            </w:r>
          </w:p>
        </w:tc>
      </w:tr>
      <w:tr w:rsidR="00EB6BA2" w:rsidRPr="004F4A97" w14:paraId="01BAA44C" w14:textId="77777777">
        <w:trPr>
          <w:jc w:val="center"/>
        </w:trPr>
        <w:tc>
          <w:tcPr>
            <w:tcW w:w="1095" w:type="dxa"/>
          </w:tcPr>
          <w:p w14:paraId="637DC5CF"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2021</w:t>
            </w:r>
          </w:p>
        </w:tc>
        <w:tc>
          <w:tcPr>
            <w:tcW w:w="1095" w:type="dxa"/>
          </w:tcPr>
          <w:p w14:paraId="6B1A92A7"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53,823</w:t>
            </w:r>
          </w:p>
        </w:tc>
        <w:tc>
          <w:tcPr>
            <w:tcW w:w="1095" w:type="dxa"/>
          </w:tcPr>
          <w:p w14:paraId="7579058E"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40,217</w:t>
            </w:r>
          </w:p>
        </w:tc>
        <w:tc>
          <w:tcPr>
            <w:tcW w:w="1095" w:type="dxa"/>
          </w:tcPr>
          <w:p w14:paraId="3ED70036"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1,888</w:t>
            </w:r>
          </w:p>
        </w:tc>
        <w:tc>
          <w:tcPr>
            <w:tcW w:w="1095" w:type="dxa"/>
          </w:tcPr>
          <w:p w14:paraId="592FF98C"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5,757</w:t>
            </w:r>
          </w:p>
        </w:tc>
        <w:tc>
          <w:tcPr>
            <w:tcW w:w="1095" w:type="dxa"/>
          </w:tcPr>
          <w:p w14:paraId="20855936"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10,025</w:t>
            </w:r>
          </w:p>
        </w:tc>
        <w:tc>
          <w:tcPr>
            <w:tcW w:w="1095" w:type="dxa"/>
          </w:tcPr>
          <w:p w14:paraId="36BC2EEE"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52.2</w:t>
            </w:r>
          </w:p>
        </w:tc>
        <w:tc>
          <w:tcPr>
            <w:tcW w:w="1095" w:type="dxa"/>
          </w:tcPr>
          <w:p w14:paraId="6C6130C8"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12.8</w:t>
            </w:r>
          </w:p>
        </w:tc>
        <w:tc>
          <w:tcPr>
            <w:tcW w:w="1095" w:type="dxa"/>
          </w:tcPr>
          <w:p w14:paraId="67995E11"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91.0</w:t>
            </w:r>
          </w:p>
        </w:tc>
      </w:tr>
      <w:tr w:rsidR="00EB6BA2" w:rsidRPr="004F4A97" w14:paraId="443789DC" w14:textId="77777777">
        <w:trPr>
          <w:jc w:val="center"/>
        </w:trPr>
        <w:tc>
          <w:tcPr>
            <w:tcW w:w="1095" w:type="dxa"/>
          </w:tcPr>
          <w:p w14:paraId="703D9D39"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2022</w:t>
            </w:r>
          </w:p>
        </w:tc>
        <w:tc>
          <w:tcPr>
            <w:tcW w:w="1095" w:type="dxa"/>
          </w:tcPr>
          <w:p w14:paraId="06C57498"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81,462</w:t>
            </w:r>
          </w:p>
        </w:tc>
        <w:tc>
          <w:tcPr>
            <w:tcW w:w="1095" w:type="dxa"/>
          </w:tcPr>
          <w:p w14:paraId="6016B060"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60,609</w:t>
            </w:r>
          </w:p>
        </w:tc>
        <w:tc>
          <w:tcPr>
            <w:tcW w:w="1095" w:type="dxa"/>
          </w:tcPr>
          <w:p w14:paraId="617945D0"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2,952</w:t>
            </w:r>
          </w:p>
        </w:tc>
        <w:tc>
          <w:tcPr>
            <w:tcW w:w="1095" w:type="dxa"/>
          </w:tcPr>
          <w:p w14:paraId="04782ED5"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12,839</w:t>
            </w:r>
          </w:p>
        </w:tc>
        <w:tc>
          <w:tcPr>
            <w:tcW w:w="1095" w:type="dxa"/>
          </w:tcPr>
          <w:p w14:paraId="11A954EF"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15,255</w:t>
            </w:r>
          </w:p>
        </w:tc>
        <w:tc>
          <w:tcPr>
            <w:tcW w:w="1095" w:type="dxa"/>
          </w:tcPr>
          <w:p w14:paraId="282C071A"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77.3</w:t>
            </w:r>
          </w:p>
        </w:tc>
        <w:tc>
          <w:tcPr>
            <w:tcW w:w="1095" w:type="dxa"/>
          </w:tcPr>
          <w:p w14:paraId="3C1945B7"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13.2</w:t>
            </w:r>
          </w:p>
        </w:tc>
        <w:tc>
          <w:tcPr>
            <w:tcW w:w="1095" w:type="dxa"/>
          </w:tcPr>
          <w:p w14:paraId="30944C15"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91.9</w:t>
            </w:r>
          </w:p>
        </w:tc>
      </w:tr>
      <w:tr w:rsidR="00EB6BA2" w:rsidRPr="004F4A97" w14:paraId="2968AC81" w14:textId="77777777">
        <w:trPr>
          <w:jc w:val="center"/>
        </w:trPr>
        <w:tc>
          <w:tcPr>
            <w:tcW w:w="1095" w:type="dxa"/>
          </w:tcPr>
          <w:p w14:paraId="21B09AA9"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2023</w:t>
            </w:r>
          </w:p>
        </w:tc>
        <w:tc>
          <w:tcPr>
            <w:tcW w:w="1095" w:type="dxa"/>
          </w:tcPr>
          <w:p w14:paraId="0F2A01CA"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96,773</w:t>
            </w:r>
          </w:p>
        </w:tc>
        <w:tc>
          <w:tcPr>
            <w:tcW w:w="1095" w:type="dxa"/>
          </w:tcPr>
          <w:p w14:paraId="5993654B"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79,113</w:t>
            </w:r>
          </w:p>
        </w:tc>
        <w:tc>
          <w:tcPr>
            <w:tcW w:w="1095" w:type="dxa"/>
          </w:tcPr>
          <w:p w14:paraId="06A1CFF5"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3,514</w:t>
            </w:r>
          </w:p>
        </w:tc>
        <w:tc>
          <w:tcPr>
            <w:tcW w:w="1095" w:type="dxa"/>
          </w:tcPr>
          <w:p w14:paraId="08B39817"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13,626</w:t>
            </w:r>
          </w:p>
        </w:tc>
        <w:tc>
          <w:tcPr>
            <w:tcW w:w="1095" w:type="dxa"/>
          </w:tcPr>
          <w:p w14:paraId="6CDE52AA"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16,390</w:t>
            </w:r>
          </w:p>
        </w:tc>
        <w:tc>
          <w:tcPr>
            <w:tcW w:w="1095" w:type="dxa"/>
          </w:tcPr>
          <w:p w14:paraId="28163952"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62.9</w:t>
            </w:r>
          </w:p>
        </w:tc>
        <w:tc>
          <w:tcPr>
            <w:tcW w:w="1095" w:type="dxa"/>
          </w:tcPr>
          <w:p w14:paraId="77A1D87A"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13.3</w:t>
            </w:r>
          </w:p>
        </w:tc>
        <w:tc>
          <w:tcPr>
            <w:tcW w:w="1095" w:type="dxa"/>
          </w:tcPr>
          <w:p w14:paraId="16FAAA6C"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75.6</w:t>
            </w:r>
          </w:p>
        </w:tc>
      </w:tr>
      <w:tr w:rsidR="00EB6BA2" w:rsidRPr="004F4A97" w14:paraId="7FD3C445" w14:textId="77777777">
        <w:trPr>
          <w:jc w:val="center"/>
        </w:trPr>
        <w:tc>
          <w:tcPr>
            <w:tcW w:w="1095" w:type="dxa"/>
          </w:tcPr>
          <w:p w14:paraId="2FAE9E57"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2024</w:t>
            </w:r>
          </w:p>
        </w:tc>
        <w:tc>
          <w:tcPr>
            <w:tcW w:w="1095" w:type="dxa"/>
          </w:tcPr>
          <w:p w14:paraId="58FD4266"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97,690</w:t>
            </w:r>
          </w:p>
        </w:tc>
        <w:tc>
          <w:tcPr>
            <w:tcW w:w="1095" w:type="dxa"/>
          </w:tcPr>
          <w:p w14:paraId="06E9383F"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80,240</w:t>
            </w:r>
          </w:p>
        </w:tc>
        <w:tc>
          <w:tcPr>
            <w:tcW w:w="1095" w:type="dxa"/>
          </w:tcPr>
          <w:p w14:paraId="3C1F7FA9"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4,418</w:t>
            </w:r>
          </w:p>
        </w:tc>
        <w:tc>
          <w:tcPr>
            <w:tcW w:w="1095" w:type="dxa"/>
          </w:tcPr>
          <w:p w14:paraId="1F7147C5"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12,017</w:t>
            </w:r>
          </w:p>
        </w:tc>
        <w:tc>
          <w:tcPr>
            <w:tcW w:w="1095" w:type="dxa"/>
          </w:tcPr>
          <w:p w14:paraId="57DB0E15"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12,474</w:t>
            </w:r>
          </w:p>
        </w:tc>
        <w:tc>
          <w:tcPr>
            <w:tcW w:w="1095" w:type="dxa"/>
          </w:tcPr>
          <w:p w14:paraId="09B81A58"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54.7</w:t>
            </w:r>
          </w:p>
        </w:tc>
        <w:tc>
          <w:tcPr>
            <w:tcW w:w="1095" w:type="dxa"/>
          </w:tcPr>
          <w:p w14:paraId="76D745DB"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16.5</w:t>
            </w:r>
          </w:p>
        </w:tc>
        <w:tc>
          <w:tcPr>
            <w:tcW w:w="1095" w:type="dxa"/>
          </w:tcPr>
          <w:p w14:paraId="3B9FE2FC"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56.7</w:t>
            </w:r>
          </w:p>
        </w:tc>
      </w:tr>
      <w:tr w:rsidR="00EB6BA2" w:rsidRPr="004F4A97" w14:paraId="3B9DC105" w14:textId="77777777">
        <w:trPr>
          <w:jc w:val="center"/>
        </w:trPr>
        <w:tc>
          <w:tcPr>
            <w:tcW w:w="1095" w:type="dxa"/>
          </w:tcPr>
          <w:p w14:paraId="7A1D8C64"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2025</w:t>
            </w:r>
          </w:p>
        </w:tc>
        <w:tc>
          <w:tcPr>
            <w:tcW w:w="1095" w:type="dxa"/>
          </w:tcPr>
          <w:p w14:paraId="5A9FC5F2"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94,827</w:t>
            </w:r>
          </w:p>
        </w:tc>
        <w:tc>
          <w:tcPr>
            <w:tcW w:w="1095" w:type="dxa"/>
          </w:tcPr>
          <w:p w14:paraId="3E79CB3A"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77,733</w:t>
            </w:r>
          </w:p>
        </w:tc>
        <w:tc>
          <w:tcPr>
            <w:tcW w:w="1095" w:type="dxa"/>
          </w:tcPr>
          <w:p w14:paraId="617642A4"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4,576</w:t>
            </w:r>
          </w:p>
        </w:tc>
        <w:tc>
          <w:tcPr>
            <w:tcW w:w="1095" w:type="dxa"/>
          </w:tcPr>
          <w:p w14:paraId="10E76DDD"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12,392</w:t>
            </w:r>
          </w:p>
        </w:tc>
        <w:tc>
          <w:tcPr>
            <w:tcW w:w="1095" w:type="dxa"/>
          </w:tcPr>
          <w:p w14:paraId="196E7A6C"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13,367</w:t>
            </w:r>
          </w:p>
        </w:tc>
        <w:tc>
          <w:tcPr>
            <w:tcW w:w="1095" w:type="dxa"/>
          </w:tcPr>
          <w:p w14:paraId="3E5B517C"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58.2</w:t>
            </w:r>
          </w:p>
        </w:tc>
        <w:tc>
          <w:tcPr>
            <w:tcW w:w="1095" w:type="dxa"/>
          </w:tcPr>
          <w:p w14:paraId="5051CA21"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17.6</w:t>
            </w:r>
          </w:p>
        </w:tc>
        <w:tc>
          <w:tcPr>
            <w:tcW w:w="1095" w:type="dxa"/>
          </w:tcPr>
          <w:p w14:paraId="6CC423C9"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62.8</w:t>
            </w:r>
          </w:p>
        </w:tc>
      </w:tr>
    </w:tbl>
    <w:p w14:paraId="2E029EFB" w14:textId="77777777" w:rsidR="00EB6BA2" w:rsidRPr="004F4A97" w:rsidRDefault="00000000" w:rsidP="009E5697">
      <w:pPr>
        <w:pStyle w:val="Heading1"/>
        <w:spacing w:line="360" w:lineRule="auto"/>
        <w:jc w:val="left"/>
        <w:rPr>
          <w:rFonts w:ascii="Arial" w:hAnsi="Arial" w:cs="Arial"/>
          <w:sz w:val="24"/>
          <w:szCs w:val="24"/>
        </w:rPr>
      </w:pPr>
      <w:bookmarkStart w:id="79" w:name="_Toc225450273"/>
      <w:r w:rsidRPr="004F4A97">
        <w:rPr>
          <w:rFonts w:ascii="Arial" w:hAnsi="Arial" w:cs="Arial"/>
          <w:sz w:val="24"/>
          <w:szCs w:val="24"/>
        </w:rPr>
        <w:t>Appendix D. Investment appraisal workings</w:t>
      </w:r>
      <w:bookmarkEnd w:id="79"/>
    </w:p>
    <w:tbl>
      <w:tblPr>
        <w:tblStyle w:val="TableGrid"/>
        <w:tblW w:w="0" w:type="auto"/>
        <w:jc w:val="center"/>
        <w:tblLook w:val="04A0" w:firstRow="1" w:lastRow="0" w:firstColumn="1" w:lastColumn="0" w:noHBand="0" w:noVBand="1"/>
      </w:tblPr>
      <w:tblGrid>
        <w:gridCol w:w="1095"/>
        <w:gridCol w:w="1095"/>
        <w:gridCol w:w="1095"/>
        <w:gridCol w:w="1095"/>
        <w:gridCol w:w="1095"/>
        <w:gridCol w:w="1095"/>
        <w:gridCol w:w="1137"/>
        <w:gridCol w:w="1095"/>
        <w:gridCol w:w="1095"/>
      </w:tblGrid>
      <w:tr w:rsidR="00EB6BA2" w:rsidRPr="004F4A97" w14:paraId="6C03FE20" w14:textId="77777777">
        <w:trPr>
          <w:jc w:val="center"/>
        </w:trPr>
        <w:tc>
          <w:tcPr>
            <w:tcW w:w="1095" w:type="dxa"/>
            <w:shd w:val="clear" w:color="auto" w:fill="D9EAF7"/>
          </w:tcPr>
          <w:p w14:paraId="3599C592"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Project</w:t>
            </w:r>
          </w:p>
        </w:tc>
        <w:tc>
          <w:tcPr>
            <w:tcW w:w="1095" w:type="dxa"/>
            <w:shd w:val="clear" w:color="auto" w:fill="D9EAF7"/>
          </w:tcPr>
          <w:p w14:paraId="673D4954"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Y1</w:t>
            </w:r>
          </w:p>
        </w:tc>
        <w:tc>
          <w:tcPr>
            <w:tcW w:w="1095" w:type="dxa"/>
            <w:shd w:val="clear" w:color="auto" w:fill="D9EAF7"/>
          </w:tcPr>
          <w:p w14:paraId="35330CCF"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Y2</w:t>
            </w:r>
          </w:p>
        </w:tc>
        <w:tc>
          <w:tcPr>
            <w:tcW w:w="1095" w:type="dxa"/>
            <w:shd w:val="clear" w:color="auto" w:fill="D9EAF7"/>
          </w:tcPr>
          <w:p w14:paraId="027F2D41"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Y3</w:t>
            </w:r>
          </w:p>
        </w:tc>
        <w:tc>
          <w:tcPr>
            <w:tcW w:w="1095" w:type="dxa"/>
            <w:shd w:val="clear" w:color="auto" w:fill="D9EAF7"/>
          </w:tcPr>
          <w:p w14:paraId="63F7D819"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Y4</w:t>
            </w:r>
          </w:p>
        </w:tc>
        <w:tc>
          <w:tcPr>
            <w:tcW w:w="1095" w:type="dxa"/>
            <w:shd w:val="clear" w:color="auto" w:fill="D9EAF7"/>
          </w:tcPr>
          <w:p w14:paraId="362A2DD9"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Y5</w:t>
            </w:r>
          </w:p>
        </w:tc>
        <w:tc>
          <w:tcPr>
            <w:tcW w:w="1095" w:type="dxa"/>
            <w:shd w:val="clear" w:color="auto" w:fill="D9EAF7"/>
          </w:tcPr>
          <w:p w14:paraId="0B2DA47E"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Payback</w:t>
            </w:r>
          </w:p>
        </w:tc>
        <w:tc>
          <w:tcPr>
            <w:tcW w:w="1095" w:type="dxa"/>
            <w:shd w:val="clear" w:color="auto" w:fill="D9EAF7"/>
          </w:tcPr>
          <w:p w14:paraId="710C3443"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ARR %</w:t>
            </w:r>
          </w:p>
        </w:tc>
        <w:tc>
          <w:tcPr>
            <w:tcW w:w="1095" w:type="dxa"/>
            <w:shd w:val="clear" w:color="auto" w:fill="D9EAF7"/>
          </w:tcPr>
          <w:p w14:paraId="7C3DDAE8"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IRR %</w:t>
            </w:r>
          </w:p>
        </w:tc>
      </w:tr>
      <w:tr w:rsidR="00EB6BA2" w:rsidRPr="004F4A97" w14:paraId="1098ED86" w14:textId="77777777">
        <w:trPr>
          <w:jc w:val="center"/>
        </w:trPr>
        <w:tc>
          <w:tcPr>
            <w:tcW w:w="1095" w:type="dxa"/>
          </w:tcPr>
          <w:p w14:paraId="7038F79A"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A</w:t>
            </w:r>
          </w:p>
        </w:tc>
        <w:tc>
          <w:tcPr>
            <w:tcW w:w="1095" w:type="dxa"/>
          </w:tcPr>
          <w:p w14:paraId="547FB107"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10</w:t>
            </w:r>
          </w:p>
        </w:tc>
        <w:tc>
          <w:tcPr>
            <w:tcW w:w="1095" w:type="dxa"/>
          </w:tcPr>
          <w:p w14:paraId="41B72A8A"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12</w:t>
            </w:r>
          </w:p>
        </w:tc>
        <w:tc>
          <w:tcPr>
            <w:tcW w:w="1095" w:type="dxa"/>
          </w:tcPr>
          <w:p w14:paraId="2AE7D789"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14</w:t>
            </w:r>
          </w:p>
        </w:tc>
        <w:tc>
          <w:tcPr>
            <w:tcW w:w="1095" w:type="dxa"/>
          </w:tcPr>
          <w:p w14:paraId="1B446FB9"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10</w:t>
            </w:r>
          </w:p>
        </w:tc>
        <w:tc>
          <w:tcPr>
            <w:tcW w:w="1095" w:type="dxa"/>
          </w:tcPr>
          <w:p w14:paraId="2B7ED497"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8</w:t>
            </w:r>
          </w:p>
        </w:tc>
        <w:tc>
          <w:tcPr>
            <w:tcW w:w="1095" w:type="dxa"/>
          </w:tcPr>
          <w:p w14:paraId="3BAE6A2A"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4.50</w:t>
            </w:r>
          </w:p>
        </w:tc>
        <w:tc>
          <w:tcPr>
            <w:tcW w:w="1095" w:type="dxa"/>
          </w:tcPr>
          <w:p w14:paraId="2D2BA7C6"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3.20</w:t>
            </w:r>
          </w:p>
        </w:tc>
        <w:tc>
          <w:tcPr>
            <w:tcW w:w="1095" w:type="dxa"/>
          </w:tcPr>
          <w:p w14:paraId="7ED01A96"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2.72</w:t>
            </w:r>
          </w:p>
        </w:tc>
      </w:tr>
      <w:tr w:rsidR="00EB6BA2" w:rsidRPr="004F4A97" w14:paraId="12A5C1DE" w14:textId="77777777">
        <w:trPr>
          <w:jc w:val="center"/>
        </w:trPr>
        <w:tc>
          <w:tcPr>
            <w:tcW w:w="1095" w:type="dxa"/>
          </w:tcPr>
          <w:p w14:paraId="55DCD910"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B</w:t>
            </w:r>
          </w:p>
        </w:tc>
        <w:tc>
          <w:tcPr>
            <w:tcW w:w="1095" w:type="dxa"/>
          </w:tcPr>
          <w:p w14:paraId="14801B2C"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11</w:t>
            </w:r>
          </w:p>
        </w:tc>
        <w:tc>
          <w:tcPr>
            <w:tcW w:w="1095" w:type="dxa"/>
          </w:tcPr>
          <w:p w14:paraId="119F3117"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11</w:t>
            </w:r>
          </w:p>
        </w:tc>
        <w:tc>
          <w:tcPr>
            <w:tcW w:w="1095" w:type="dxa"/>
          </w:tcPr>
          <w:p w14:paraId="232B0B7C"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11</w:t>
            </w:r>
          </w:p>
        </w:tc>
        <w:tc>
          <w:tcPr>
            <w:tcW w:w="1095" w:type="dxa"/>
          </w:tcPr>
          <w:p w14:paraId="45645C81"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11</w:t>
            </w:r>
          </w:p>
        </w:tc>
        <w:tc>
          <w:tcPr>
            <w:tcW w:w="1095" w:type="dxa"/>
          </w:tcPr>
          <w:p w14:paraId="363D8D24"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11</w:t>
            </w:r>
          </w:p>
        </w:tc>
        <w:tc>
          <w:tcPr>
            <w:tcW w:w="1095" w:type="dxa"/>
          </w:tcPr>
          <w:p w14:paraId="725C7478"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4.55</w:t>
            </w:r>
          </w:p>
        </w:tc>
        <w:tc>
          <w:tcPr>
            <w:tcW w:w="1095" w:type="dxa"/>
          </w:tcPr>
          <w:p w14:paraId="5FED09FE"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4.00</w:t>
            </w:r>
          </w:p>
        </w:tc>
        <w:tc>
          <w:tcPr>
            <w:tcW w:w="1095" w:type="dxa"/>
          </w:tcPr>
          <w:p w14:paraId="23A52C6B"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3.26</w:t>
            </w:r>
          </w:p>
        </w:tc>
      </w:tr>
      <w:tr w:rsidR="00EB6BA2" w:rsidRPr="004F4A97" w14:paraId="67B61002" w14:textId="77777777">
        <w:trPr>
          <w:jc w:val="center"/>
        </w:trPr>
        <w:tc>
          <w:tcPr>
            <w:tcW w:w="1095" w:type="dxa"/>
          </w:tcPr>
          <w:p w14:paraId="7C0B0F93"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C</w:t>
            </w:r>
          </w:p>
        </w:tc>
        <w:tc>
          <w:tcPr>
            <w:tcW w:w="1095" w:type="dxa"/>
          </w:tcPr>
          <w:p w14:paraId="4F6187DE"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5</w:t>
            </w:r>
          </w:p>
        </w:tc>
        <w:tc>
          <w:tcPr>
            <w:tcW w:w="1095" w:type="dxa"/>
          </w:tcPr>
          <w:p w14:paraId="6BA62716"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10</w:t>
            </w:r>
          </w:p>
        </w:tc>
        <w:tc>
          <w:tcPr>
            <w:tcW w:w="1095" w:type="dxa"/>
          </w:tcPr>
          <w:p w14:paraId="60367638"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20</w:t>
            </w:r>
          </w:p>
        </w:tc>
        <w:tc>
          <w:tcPr>
            <w:tcW w:w="1095" w:type="dxa"/>
          </w:tcPr>
          <w:p w14:paraId="24622CAB"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25</w:t>
            </w:r>
          </w:p>
        </w:tc>
        <w:tc>
          <w:tcPr>
            <w:tcW w:w="1095" w:type="dxa"/>
          </w:tcPr>
          <w:p w14:paraId="65586C4B"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5</w:t>
            </w:r>
          </w:p>
        </w:tc>
        <w:tc>
          <w:tcPr>
            <w:tcW w:w="1095" w:type="dxa"/>
          </w:tcPr>
          <w:p w14:paraId="0C3F60BA"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3.60</w:t>
            </w:r>
          </w:p>
        </w:tc>
        <w:tc>
          <w:tcPr>
            <w:tcW w:w="1095" w:type="dxa"/>
          </w:tcPr>
          <w:p w14:paraId="766E6D20"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12.00</w:t>
            </w:r>
          </w:p>
        </w:tc>
        <w:tc>
          <w:tcPr>
            <w:tcW w:w="1095" w:type="dxa"/>
          </w:tcPr>
          <w:p w14:paraId="055D4F40" w14:textId="77777777" w:rsidR="00EB6BA2" w:rsidRPr="004F4A97" w:rsidRDefault="00000000" w:rsidP="009E5697">
            <w:pPr>
              <w:spacing w:line="360" w:lineRule="auto"/>
              <w:jc w:val="left"/>
              <w:rPr>
                <w:rFonts w:ascii="Arial" w:hAnsi="Arial" w:cs="Arial"/>
                <w:sz w:val="24"/>
                <w:szCs w:val="24"/>
              </w:rPr>
            </w:pPr>
            <w:r w:rsidRPr="004F4A97">
              <w:rPr>
                <w:rFonts w:ascii="Arial" w:hAnsi="Arial" w:cs="Arial"/>
                <w:sz w:val="24"/>
                <w:szCs w:val="24"/>
              </w:rPr>
              <w:t>8.59</w:t>
            </w:r>
          </w:p>
        </w:tc>
      </w:tr>
    </w:tbl>
    <w:p w14:paraId="4E90FAB0" w14:textId="77777777" w:rsidR="00FE082D" w:rsidRPr="004F4A97" w:rsidRDefault="00FE082D" w:rsidP="009E5697">
      <w:pPr>
        <w:spacing w:line="360" w:lineRule="auto"/>
        <w:jc w:val="left"/>
        <w:rPr>
          <w:rFonts w:ascii="Arial" w:hAnsi="Arial" w:cs="Arial"/>
          <w:sz w:val="24"/>
          <w:szCs w:val="24"/>
        </w:rPr>
      </w:pPr>
    </w:p>
    <w:sectPr w:rsidR="00FE082D" w:rsidRPr="004F4A97" w:rsidSect="00034616">
      <w:footerReference w:type="default" r:id="rId12"/>
      <w:pgSz w:w="12240" w:h="15840"/>
      <w:pgMar w:top="1134" w:right="1134" w:bottom="1020" w:left="1247"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537DB7B" w14:textId="77777777" w:rsidR="00C9168A" w:rsidRDefault="00C9168A">
      <w:pPr>
        <w:spacing w:after="0" w:line="240" w:lineRule="auto"/>
      </w:pPr>
      <w:r>
        <w:separator/>
      </w:r>
    </w:p>
  </w:endnote>
  <w:endnote w:type="continuationSeparator" w:id="0">
    <w:p w14:paraId="6076925D" w14:textId="77777777" w:rsidR="00C9168A" w:rsidRDefault="00C9168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78C539" w14:textId="77777777" w:rsidR="00EB6BA2" w:rsidRDefault="00000000">
    <w:pPr>
      <w:pStyle w:val="Footer"/>
      <w:jc w:val="center"/>
    </w:pPr>
    <w:r>
      <w:fldChar w:fldCharType="begin"/>
    </w:r>
    <w:r>
      <w:instrText>PAGE</w:instrText>
    </w:r>
    <w:r>
      <w:fldChar w:fldCharType="separate"/>
    </w:r>
    <w:r w:rsidR="00170E24">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0E50795" w14:textId="77777777" w:rsidR="00C9168A" w:rsidRDefault="00C9168A">
      <w:pPr>
        <w:spacing w:after="0" w:line="240" w:lineRule="auto"/>
      </w:pPr>
      <w:r>
        <w:separator/>
      </w:r>
    </w:p>
  </w:footnote>
  <w:footnote w:type="continuationSeparator" w:id="0">
    <w:p w14:paraId="240943CE" w14:textId="77777777" w:rsidR="00C9168A" w:rsidRDefault="00C9168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158F3DD2"/>
    <w:multiLevelType w:val="multilevel"/>
    <w:tmpl w:val="E424ED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640498457">
    <w:abstractNumId w:val="8"/>
  </w:num>
  <w:num w:numId="2" w16cid:durableId="841356713">
    <w:abstractNumId w:val="6"/>
  </w:num>
  <w:num w:numId="3" w16cid:durableId="1032726298">
    <w:abstractNumId w:val="5"/>
  </w:num>
  <w:num w:numId="4" w16cid:durableId="431358919">
    <w:abstractNumId w:val="4"/>
  </w:num>
  <w:num w:numId="5" w16cid:durableId="1654288462">
    <w:abstractNumId w:val="7"/>
  </w:num>
  <w:num w:numId="6" w16cid:durableId="650056812">
    <w:abstractNumId w:val="3"/>
  </w:num>
  <w:num w:numId="7" w16cid:durableId="1163593414">
    <w:abstractNumId w:val="2"/>
  </w:num>
  <w:num w:numId="8" w16cid:durableId="1056782187">
    <w:abstractNumId w:val="1"/>
  </w:num>
  <w:num w:numId="9" w16cid:durableId="2093047347">
    <w:abstractNumId w:val="0"/>
  </w:num>
  <w:num w:numId="10" w16cid:durableId="822701457">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15074B"/>
    <w:rsid w:val="00150D95"/>
    <w:rsid w:val="00170E24"/>
    <w:rsid w:val="00200226"/>
    <w:rsid w:val="00224F40"/>
    <w:rsid w:val="0029639D"/>
    <w:rsid w:val="00326F90"/>
    <w:rsid w:val="00371F5B"/>
    <w:rsid w:val="003A5BF3"/>
    <w:rsid w:val="003D3CBD"/>
    <w:rsid w:val="00420C6D"/>
    <w:rsid w:val="00451739"/>
    <w:rsid w:val="00476ED9"/>
    <w:rsid w:val="00490980"/>
    <w:rsid w:val="004C4B6F"/>
    <w:rsid w:val="004F4A97"/>
    <w:rsid w:val="00512679"/>
    <w:rsid w:val="00514CF5"/>
    <w:rsid w:val="005A7DDD"/>
    <w:rsid w:val="007D572F"/>
    <w:rsid w:val="008655B8"/>
    <w:rsid w:val="00865EEB"/>
    <w:rsid w:val="00930F4A"/>
    <w:rsid w:val="009657A1"/>
    <w:rsid w:val="00970E99"/>
    <w:rsid w:val="009A12C1"/>
    <w:rsid w:val="009E344B"/>
    <w:rsid w:val="009E5697"/>
    <w:rsid w:val="00A136E6"/>
    <w:rsid w:val="00A25739"/>
    <w:rsid w:val="00A8424F"/>
    <w:rsid w:val="00AA1D8D"/>
    <w:rsid w:val="00B27DD8"/>
    <w:rsid w:val="00B47730"/>
    <w:rsid w:val="00C9168A"/>
    <w:rsid w:val="00CB0664"/>
    <w:rsid w:val="00CE30C6"/>
    <w:rsid w:val="00CF01BE"/>
    <w:rsid w:val="00E55C6D"/>
    <w:rsid w:val="00EB6BA2"/>
    <w:rsid w:val="00FC693F"/>
    <w:rsid w:val="00FE082D"/>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3E2EB377"/>
  <w14:defaultImageDpi w14:val="300"/>
  <w15:docId w15:val="{F2185104-A9F5-41B2-8F2F-58BAB0A55C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160" w:line="252"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90980"/>
  </w:style>
  <w:style w:type="paragraph" w:styleId="Heading1">
    <w:name w:val="heading 1"/>
    <w:basedOn w:val="Normal"/>
    <w:next w:val="Normal"/>
    <w:link w:val="Heading1Char"/>
    <w:uiPriority w:val="9"/>
    <w:qFormat/>
    <w:rsid w:val="00490980"/>
    <w:pPr>
      <w:keepNext/>
      <w:keepLines/>
      <w:spacing w:before="320" w:after="40"/>
      <w:outlineLvl w:val="0"/>
    </w:pPr>
    <w:rPr>
      <w:rFonts w:asciiTheme="majorHAnsi" w:eastAsiaTheme="majorEastAsia" w:hAnsiTheme="majorHAnsi" w:cstheme="majorBidi"/>
      <w:b/>
      <w:bCs/>
      <w:caps/>
      <w:spacing w:val="4"/>
      <w:sz w:val="28"/>
      <w:szCs w:val="28"/>
    </w:rPr>
  </w:style>
  <w:style w:type="paragraph" w:styleId="Heading2">
    <w:name w:val="heading 2"/>
    <w:basedOn w:val="Normal"/>
    <w:next w:val="Normal"/>
    <w:link w:val="Heading2Char"/>
    <w:uiPriority w:val="9"/>
    <w:unhideWhenUsed/>
    <w:qFormat/>
    <w:rsid w:val="00490980"/>
    <w:pPr>
      <w:keepNext/>
      <w:keepLines/>
      <w:spacing w:before="120" w:after="0"/>
      <w:outlineLvl w:val="1"/>
    </w:pPr>
    <w:rPr>
      <w:rFonts w:asciiTheme="majorHAnsi" w:eastAsiaTheme="majorEastAsia" w:hAnsiTheme="majorHAnsi" w:cstheme="majorBidi"/>
      <w:b/>
      <w:bCs/>
      <w:sz w:val="28"/>
      <w:szCs w:val="28"/>
    </w:rPr>
  </w:style>
  <w:style w:type="paragraph" w:styleId="Heading3">
    <w:name w:val="heading 3"/>
    <w:basedOn w:val="Normal"/>
    <w:next w:val="Normal"/>
    <w:link w:val="Heading3Char"/>
    <w:uiPriority w:val="9"/>
    <w:unhideWhenUsed/>
    <w:qFormat/>
    <w:rsid w:val="00490980"/>
    <w:pPr>
      <w:keepNext/>
      <w:keepLines/>
      <w:spacing w:before="120" w:after="0"/>
      <w:outlineLvl w:val="2"/>
    </w:pPr>
    <w:rPr>
      <w:rFonts w:asciiTheme="majorHAnsi" w:eastAsiaTheme="majorEastAsia" w:hAnsiTheme="majorHAnsi" w:cstheme="majorBidi"/>
      <w:spacing w:val="4"/>
      <w:sz w:val="24"/>
      <w:szCs w:val="24"/>
    </w:rPr>
  </w:style>
  <w:style w:type="paragraph" w:styleId="Heading4">
    <w:name w:val="heading 4"/>
    <w:basedOn w:val="Normal"/>
    <w:next w:val="Normal"/>
    <w:link w:val="Heading4Char"/>
    <w:uiPriority w:val="9"/>
    <w:semiHidden/>
    <w:unhideWhenUsed/>
    <w:qFormat/>
    <w:rsid w:val="00490980"/>
    <w:pPr>
      <w:keepNext/>
      <w:keepLines/>
      <w:spacing w:before="120" w:after="0"/>
      <w:outlineLvl w:val="3"/>
    </w:pPr>
    <w:rPr>
      <w:rFonts w:asciiTheme="majorHAnsi" w:eastAsiaTheme="majorEastAsia" w:hAnsiTheme="majorHAnsi" w:cstheme="majorBidi"/>
      <w:i/>
      <w:iCs/>
      <w:sz w:val="24"/>
      <w:szCs w:val="24"/>
    </w:rPr>
  </w:style>
  <w:style w:type="paragraph" w:styleId="Heading5">
    <w:name w:val="heading 5"/>
    <w:basedOn w:val="Normal"/>
    <w:next w:val="Normal"/>
    <w:link w:val="Heading5Char"/>
    <w:uiPriority w:val="9"/>
    <w:semiHidden/>
    <w:unhideWhenUsed/>
    <w:qFormat/>
    <w:rsid w:val="00490980"/>
    <w:pPr>
      <w:keepNext/>
      <w:keepLines/>
      <w:spacing w:before="120" w:after="0"/>
      <w:outlineLvl w:val="4"/>
    </w:pPr>
    <w:rPr>
      <w:rFonts w:asciiTheme="majorHAnsi" w:eastAsiaTheme="majorEastAsia" w:hAnsiTheme="majorHAnsi" w:cstheme="majorBidi"/>
      <w:b/>
      <w:bCs/>
    </w:rPr>
  </w:style>
  <w:style w:type="paragraph" w:styleId="Heading6">
    <w:name w:val="heading 6"/>
    <w:basedOn w:val="Normal"/>
    <w:next w:val="Normal"/>
    <w:link w:val="Heading6Char"/>
    <w:uiPriority w:val="9"/>
    <w:semiHidden/>
    <w:unhideWhenUsed/>
    <w:qFormat/>
    <w:rsid w:val="00490980"/>
    <w:pPr>
      <w:keepNext/>
      <w:keepLines/>
      <w:spacing w:before="120" w:after="0"/>
      <w:outlineLvl w:val="5"/>
    </w:pPr>
    <w:rPr>
      <w:rFonts w:asciiTheme="majorHAnsi" w:eastAsiaTheme="majorEastAsia" w:hAnsiTheme="majorHAnsi" w:cstheme="majorBidi"/>
      <w:b/>
      <w:bCs/>
      <w:i/>
      <w:iCs/>
    </w:rPr>
  </w:style>
  <w:style w:type="paragraph" w:styleId="Heading7">
    <w:name w:val="heading 7"/>
    <w:basedOn w:val="Normal"/>
    <w:next w:val="Normal"/>
    <w:link w:val="Heading7Char"/>
    <w:uiPriority w:val="9"/>
    <w:semiHidden/>
    <w:unhideWhenUsed/>
    <w:qFormat/>
    <w:rsid w:val="00490980"/>
    <w:pPr>
      <w:keepNext/>
      <w:keepLines/>
      <w:spacing w:before="120" w:after="0"/>
      <w:outlineLvl w:val="6"/>
    </w:pPr>
    <w:rPr>
      <w:i/>
      <w:iCs/>
    </w:rPr>
  </w:style>
  <w:style w:type="paragraph" w:styleId="Heading8">
    <w:name w:val="heading 8"/>
    <w:basedOn w:val="Normal"/>
    <w:next w:val="Normal"/>
    <w:link w:val="Heading8Char"/>
    <w:uiPriority w:val="9"/>
    <w:semiHidden/>
    <w:unhideWhenUsed/>
    <w:qFormat/>
    <w:rsid w:val="00490980"/>
    <w:pPr>
      <w:keepNext/>
      <w:keepLines/>
      <w:spacing w:before="120" w:after="0"/>
      <w:outlineLvl w:val="7"/>
    </w:pPr>
    <w:rPr>
      <w:b/>
      <w:bCs/>
    </w:rPr>
  </w:style>
  <w:style w:type="paragraph" w:styleId="Heading9">
    <w:name w:val="heading 9"/>
    <w:basedOn w:val="Normal"/>
    <w:next w:val="Normal"/>
    <w:link w:val="Heading9Char"/>
    <w:uiPriority w:val="9"/>
    <w:semiHidden/>
    <w:unhideWhenUsed/>
    <w:qFormat/>
    <w:rsid w:val="00490980"/>
    <w:pPr>
      <w:keepNext/>
      <w:keepLines/>
      <w:spacing w:before="120" w:after="0"/>
      <w:outlineLvl w:val="8"/>
    </w:pPr>
    <w:rPr>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490980"/>
    <w:pPr>
      <w:spacing w:after="0" w:line="240" w:lineRule="auto"/>
    </w:pPr>
  </w:style>
  <w:style w:type="character" w:customStyle="1" w:styleId="Heading1Char">
    <w:name w:val="Heading 1 Char"/>
    <w:basedOn w:val="DefaultParagraphFont"/>
    <w:link w:val="Heading1"/>
    <w:uiPriority w:val="9"/>
    <w:rsid w:val="00490980"/>
    <w:rPr>
      <w:rFonts w:asciiTheme="majorHAnsi" w:eastAsiaTheme="majorEastAsia" w:hAnsiTheme="majorHAnsi" w:cstheme="majorBidi"/>
      <w:b/>
      <w:bCs/>
      <w:caps/>
      <w:spacing w:val="4"/>
      <w:sz w:val="28"/>
      <w:szCs w:val="28"/>
    </w:rPr>
  </w:style>
  <w:style w:type="character" w:customStyle="1" w:styleId="Heading2Char">
    <w:name w:val="Heading 2 Char"/>
    <w:basedOn w:val="DefaultParagraphFont"/>
    <w:link w:val="Heading2"/>
    <w:uiPriority w:val="9"/>
    <w:rsid w:val="00490980"/>
    <w:rPr>
      <w:rFonts w:asciiTheme="majorHAnsi" w:eastAsiaTheme="majorEastAsia" w:hAnsiTheme="majorHAnsi" w:cstheme="majorBidi"/>
      <w:b/>
      <w:bCs/>
      <w:sz w:val="28"/>
      <w:szCs w:val="28"/>
    </w:rPr>
  </w:style>
  <w:style w:type="character" w:customStyle="1" w:styleId="Heading3Char">
    <w:name w:val="Heading 3 Char"/>
    <w:basedOn w:val="DefaultParagraphFont"/>
    <w:link w:val="Heading3"/>
    <w:uiPriority w:val="9"/>
    <w:rsid w:val="00490980"/>
    <w:rPr>
      <w:rFonts w:asciiTheme="majorHAnsi" w:eastAsiaTheme="majorEastAsia" w:hAnsiTheme="majorHAnsi" w:cstheme="majorBidi"/>
      <w:spacing w:val="4"/>
      <w:sz w:val="24"/>
      <w:szCs w:val="24"/>
    </w:rPr>
  </w:style>
  <w:style w:type="paragraph" w:styleId="Title">
    <w:name w:val="Title"/>
    <w:basedOn w:val="Normal"/>
    <w:next w:val="Normal"/>
    <w:link w:val="TitleChar"/>
    <w:uiPriority w:val="10"/>
    <w:qFormat/>
    <w:rsid w:val="00490980"/>
    <w:pPr>
      <w:spacing w:after="0" w:line="240" w:lineRule="auto"/>
      <w:contextualSpacing/>
      <w:jc w:val="center"/>
    </w:pPr>
    <w:rPr>
      <w:rFonts w:asciiTheme="majorHAnsi" w:eastAsiaTheme="majorEastAsia" w:hAnsiTheme="majorHAnsi" w:cstheme="majorBidi"/>
      <w:b/>
      <w:bCs/>
      <w:spacing w:val="-7"/>
      <w:sz w:val="48"/>
      <w:szCs w:val="48"/>
    </w:rPr>
  </w:style>
  <w:style w:type="character" w:customStyle="1" w:styleId="TitleChar">
    <w:name w:val="Title Char"/>
    <w:basedOn w:val="DefaultParagraphFont"/>
    <w:link w:val="Title"/>
    <w:uiPriority w:val="10"/>
    <w:rsid w:val="00490980"/>
    <w:rPr>
      <w:rFonts w:asciiTheme="majorHAnsi" w:eastAsiaTheme="majorEastAsia" w:hAnsiTheme="majorHAnsi" w:cstheme="majorBidi"/>
      <w:b/>
      <w:bCs/>
      <w:spacing w:val="-7"/>
      <w:sz w:val="48"/>
      <w:szCs w:val="48"/>
    </w:rPr>
  </w:style>
  <w:style w:type="paragraph" w:styleId="Subtitle">
    <w:name w:val="Subtitle"/>
    <w:basedOn w:val="Normal"/>
    <w:next w:val="Normal"/>
    <w:link w:val="SubtitleChar"/>
    <w:uiPriority w:val="11"/>
    <w:qFormat/>
    <w:rsid w:val="00490980"/>
    <w:pPr>
      <w:numPr>
        <w:ilvl w:val="1"/>
      </w:numPr>
      <w:spacing w:after="240"/>
      <w:jc w:val="center"/>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490980"/>
    <w:rPr>
      <w:rFonts w:asciiTheme="majorHAnsi" w:eastAsiaTheme="majorEastAsia" w:hAnsiTheme="majorHAnsi" w:cstheme="majorBidi"/>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490980"/>
    <w:pPr>
      <w:spacing w:before="200" w:line="264" w:lineRule="auto"/>
      <w:ind w:left="864" w:right="864"/>
      <w:jc w:val="center"/>
    </w:pPr>
    <w:rPr>
      <w:rFonts w:asciiTheme="majorHAnsi" w:eastAsiaTheme="majorEastAsia" w:hAnsiTheme="majorHAnsi" w:cstheme="majorBidi"/>
      <w:i/>
      <w:iCs/>
      <w:sz w:val="24"/>
      <w:szCs w:val="24"/>
    </w:rPr>
  </w:style>
  <w:style w:type="character" w:customStyle="1" w:styleId="QuoteChar">
    <w:name w:val="Quote Char"/>
    <w:basedOn w:val="DefaultParagraphFont"/>
    <w:link w:val="Quote"/>
    <w:uiPriority w:val="29"/>
    <w:rsid w:val="00490980"/>
    <w:rPr>
      <w:rFonts w:asciiTheme="majorHAnsi" w:eastAsiaTheme="majorEastAsia" w:hAnsiTheme="majorHAnsi" w:cstheme="majorBidi"/>
      <w:i/>
      <w:iCs/>
      <w:sz w:val="24"/>
      <w:szCs w:val="24"/>
    </w:rPr>
  </w:style>
  <w:style w:type="character" w:customStyle="1" w:styleId="Heading4Char">
    <w:name w:val="Heading 4 Char"/>
    <w:basedOn w:val="DefaultParagraphFont"/>
    <w:link w:val="Heading4"/>
    <w:uiPriority w:val="9"/>
    <w:semiHidden/>
    <w:rsid w:val="00490980"/>
    <w:rPr>
      <w:rFonts w:asciiTheme="majorHAnsi" w:eastAsiaTheme="majorEastAsia" w:hAnsiTheme="majorHAnsi" w:cstheme="majorBidi"/>
      <w:i/>
      <w:iCs/>
      <w:sz w:val="24"/>
      <w:szCs w:val="24"/>
    </w:rPr>
  </w:style>
  <w:style w:type="character" w:customStyle="1" w:styleId="Heading5Char">
    <w:name w:val="Heading 5 Char"/>
    <w:basedOn w:val="DefaultParagraphFont"/>
    <w:link w:val="Heading5"/>
    <w:uiPriority w:val="9"/>
    <w:semiHidden/>
    <w:rsid w:val="00490980"/>
    <w:rPr>
      <w:rFonts w:asciiTheme="majorHAnsi" w:eastAsiaTheme="majorEastAsia" w:hAnsiTheme="majorHAnsi" w:cstheme="majorBidi"/>
      <w:b/>
      <w:bCs/>
    </w:rPr>
  </w:style>
  <w:style w:type="character" w:customStyle="1" w:styleId="Heading6Char">
    <w:name w:val="Heading 6 Char"/>
    <w:basedOn w:val="DefaultParagraphFont"/>
    <w:link w:val="Heading6"/>
    <w:uiPriority w:val="9"/>
    <w:semiHidden/>
    <w:rsid w:val="00490980"/>
    <w:rPr>
      <w:rFonts w:asciiTheme="majorHAnsi" w:eastAsiaTheme="majorEastAsia" w:hAnsiTheme="majorHAnsi" w:cstheme="majorBidi"/>
      <w:b/>
      <w:bCs/>
      <w:i/>
      <w:iCs/>
    </w:rPr>
  </w:style>
  <w:style w:type="character" w:customStyle="1" w:styleId="Heading7Char">
    <w:name w:val="Heading 7 Char"/>
    <w:basedOn w:val="DefaultParagraphFont"/>
    <w:link w:val="Heading7"/>
    <w:uiPriority w:val="9"/>
    <w:semiHidden/>
    <w:rsid w:val="00490980"/>
    <w:rPr>
      <w:i/>
      <w:iCs/>
    </w:rPr>
  </w:style>
  <w:style w:type="character" w:customStyle="1" w:styleId="Heading8Char">
    <w:name w:val="Heading 8 Char"/>
    <w:basedOn w:val="DefaultParagraphFont"/>
    <w:link w:val="Heading8"/>
    <w:uiPriority w:val="9"/>
    <w:semiHidden/>
    <w:rsid w:val="00490980"/>
    <w:rPr>
      <w:b/>
      <w:bCs/>
    </w:rPr>
  </w:style>
  <w:style w:type="character" w:customStyle="1" w:styleId="Heading9Char">
    <w:name w:val="Heading 9 Char"/>
    <w:basedOn w:val="DefaultParagraphFont"/>
    <w:link w:val="Heading9"/>
    <w:uiPriority w:val="9"/>
    <w:semiHidden/>
    <w:rsid w:val="00490980"/>
    <w:rPr>
      <w:i/>
      <w:iCs/>
    </w:rPr>
  </w:style>
  <w:style w:type="paragraph" w:styleId="Caption">
    <w:name w:val="caption"/>
    <w:basedOn w:val="Normal"/>
    <w:next w:val="Normal"/>
    <w:uiPriority w:val="35"/>
    <w:semiHidden/>
    <w:unhideWhenUsed/>
    <w:qFormat/>
    <w:rsid w:val="00490980"/>
    <w:rPr>
      <w:b/>
      <w:bCs/>
      <w:sz w:val="18"/>
      <w:szCs w:val="18"/>
    </w:rPr>
  </w:style>
  <w:style w:type="character" w:styleId="Strong">
    <w:name w:val="Strong"/>
    <w:basedOn w:val="DefaultParagraphFont"/>
    <w:uiPriority w:val="22"/>
    <w:qFormat/>
    <w:rsid w:val="00490980"/>
    <w:rPr>
      <w:b/>
      <w:bCs/>
      <w:color w:val="auto"/>
    </w:rPr>
  </w:style>
  <w:style w:type="character" w:styleId="Emphasis">
    <w:name w:val="Emphasis"/>
    <w:basedOn w:val="DefaultParagraphFont"/>
    <w:uiPriority w:val="20"/>
    <w:qFormat/>
    <w:rsid w:val="00490980"/>
    <w:rPr>
      <w:i/>
      <w:iCs/>
      <w:color w:val="auto"/>
    </w:rPr>
  </w:style>
  <w:style w:type="paragraph" w:styleId="IntenseQuote">
    <w:name w:val="Intense Quote"/>
    <w:basedOn w:val="Normal"/>
    <w:next w:val="Normal"/>
    <w:link w:val="IntenseQuoteChar"/>
    <w:uiPriority w:val="30"/>
    <w:qFormat/>
    <w:rsid w:val="00490980"/>
    <w:pPr>
      <w:spacing w:before="100" w:beforeAutospacing="1" w:after="240"/>
      <w:ind w:left="936" w:right="936"/>
      <w:jc w:val="center"/>
    </w:pPr>
    <w:rPr>
      <w:rFonts w:asciiTheme="majorHAnsi" w:eastAsiaTheme="majorEastAsia" w:hAnsiTheme="majorHAnsi" w:cstheme="majorBidi"/>
      <w:sz w:val="26"/>
      <w:szCs w:val="26"/>
    </w:rPr>
  </w:style>
  <w:style w:type="character" w:customStyle="1" w:styleId="IntenseQuoteChar">
    <w:name w:val="Intense Quote Char"/>
    <w:basedOn w:val="DefaultParagraphFont"/>
    <w:link w:val="IntenseQuote"/>
    <w:uiPriority w:val="30"/>
    <w:rsid w:val="00490980"/>
    <w:rPr>
      <w:rFonts w:asciiTheme="majorHAnsi" w:eastAsiaTheme="majorEastAsia" w:hAnsiTheme="majorHAnsi" w:cstheme="majorBidi"/>
      <w:sz w:val="26"/>
      <w:szCs w:val="26"/>
    </w:rPr>
  </w:style>
  <w:style w:type="character" w:styleId="SubtleEmphasis">
    <w:name w:val="Subtle Emphasis"/>
    <w:basedOn w:val="DefaultParagraphFont"/>
    <w:uiPriority w:val="19"/>
    <w:qFormat/>
    <w:rsid w:val="00490980"/>
    <w:rPr>
      <w:i/>
      <w:iCs/>
      <w:color w:val="auto"/>
    </w:rPr>
  </w:style>
  <w:style w:type="character" w:styleId="IntenseEmphasis">
    <w:name w:val="Intense Emphasis"/>
    <w:basedOn w:val="DefaultParagraphFont"/>
    <w:uiPriority w:val="21"/>
    <w:qFormat/>
    <w:rsid w:val="00490980"/>
    <w:rPr>
      <w:b/>
      <w:bCs/>
      <w:i/>
      <w:iCs/>
      <w:color w:val="auto"/>
    </w:rPr>
  </w:style>
  <w:style w:type="character" w:styleId="SubtleReference">
    <w:name w:val="Subtle Reference"/>
    <w:basedOn w:val="DefaultParagraphFont"/>
    <w:uiPriority w:val="31"/>
    <w:qFormat/>
    <w:rsid w:val="00490980"/>
    <w:rPr>
      <w:smallCaps/>
      <w:color w:val="auto"/>
      <w:u w:val="single" w:color="7F7F7F" w:themeColor="text1" w:themeTint="80"/>
    </w:rPr>
  </w:style>
  <w:style w:type="character" w:styleId="IntenseReference">
    <w:name w:val="Intense Reference"/>
    <w:basedOn w:val="DefaultParagraphFont"/>
    <w:uiPriority w:val="32"/>
    <w:qFormat/>
    <w:rsid w:val="00490980"/>
    <w:rPr>
      <w:b/>
      <w:bCs/>
      <w:smallCaps/>
      <w:color w:val="auto"/>
      <w:u w:val="single"/>
    </w:rPr>
  </w:style>
  <w:style w:type="character" w:styleId="BookTitle">
    <w:name w:val="Book Title"/>
    <w:basedOn w:val="DefaultParagraphFont"/>
    <w:uiPriority w:val="33"/>
    <w:qFormat/>
    <w:rsid w:val="00490980"/>
    <w:rPr>
      <w:b/>
      <w:bCs/>
      <w:smallCaps/>
      <w:color w:val="auto"/>
    </w:rPr>
  </w:style>
  <w:style w:type="paragraph" w:styleId="TOCHeading">
    <w:name w:val="TOC Heading"/>
    <w:basedOn w:val="Heading1"/>
    <w:next w:val="Normal"/>
    <w:uiPriority w:val="39"/>
    <w:unhideWhenUsed/>
    <w:qFormat/>
    <w:rsid w:val="00490980"/>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TOC1">
    <w:name w:val="toc 1"/>
    <w:basedOn w:val="Normal"/>
    <w:next w:val="Normal"/>
    <w:autoRedefine/>
    <w:uiPriority w:val="39"/>
    <w:unhideWhenUsed/>
    <w:rsid w:val="00170E24"/>
    <w:pPr>
      <w:spacing w:after="100"/>
    </w:pPr>
  </w:style>
  <w:style w:type="paragraph" w:styleId="TOC2">
    <w:name w:val="toc 2"/>
    <w:basedOn w:val="Normal"/>
    <w:next w:val="Normal"/>
    <w:autoRedefine/>
    <w:uiPriority w:val="39"/>
    <w:unhideWhenUsed/>
    <w:rsid w:val="00170E24"/>
    <w:pPr>
      <w:spacing w:after="100"/>
      <w:ind w:left="210"/>
    </w:pPr>
  </w:style>
  <w:style w:type="paragraph" w:styleId="TOC3">
    <w:name w:val="toc 3"/>
    <w:basedOn w:val="Normal"/>
    <w:next w:val="Normal"/>
    <w:autoRedefine/>
    <w:uiPriority w:val="39"/>
    <w:unhideWhenUsed/>
    <w:rsid w:val="00170E24"/>
    <w:pPr>
      <w:spacing w:after="100"/>
      <w:ind w:left="420"/>
    </w:pPr>
  </w:style>
  <w:style w:type="character" w:styleId="Hyperlink">
    <w:name w:val="Hyperlink"/>
    <w:basedOn w:val="DefaultParagraphFont"/>
    <w:uiPriority w:val="99"/>
    <w:unhideWhenUsed/>
    <w:rsid w:val="00170E24"/>
    <w:rPr>
      <w:color w:val="0000FF" w:themeColor="hyperlink"/>
      <w:u w:val="single"/>
    </w:rPr>
  </w:style>
  <w:style w:type="table" w:styleId="PlainTable1">
    <w:name w:val="Plain Table 1"/>
    <w:basedOn w:val="TableNormal"/>
    <w:uiPriority w:val="41"/>
    <w:rsid w:val="00930F4A"/>
    <w:pPr>
      <w:spacing w:after="0" w:line="240" w:lineRule="auto"/>
    </w:pPr>
    <w:rPr>
      <w:rFonts w:eastAsiaTheme="minorHAnsi"/>
      <w:kern w:val="2"/>
      <w:sz w:val="24"/>
      <w:szCs w:val="24"/>
      <w:lang w:val="en-BB"/>
      <w14:ligatures w14:val="standardContextual"/>
    </w:r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259</TotalTime>
  <Pages>26</Pages>
  <Words>6538</Words>
  <Characters>37272</Characters>
  <Application>Microsoft Office Word</Application>
  <DocSecurity>0</DocSecurity>
  <Lines>310</Lines>
  <Paragraphs>87</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43723</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Mahmudul Hasan (2523193)</cp:lastModifiedBy>
  <cp:revision>15</cp:revision>
  <dcterms:created xsi:type="dcterms:W3CDTF">2013-12-23T23:15:00Z</dcterms:created>
  <dcterms:modified xsi:type="dcterms:W3CDTF">2026-03-27T00:58:00Z</dcterms:modified>
  <cp:category/>
</cp:coreProperties>
</file>