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09F72" w14:textId="77777777" w:rsidR="006630F5" w:rsidRDefault="00ED60A4" w:rsidP="00ED60A4">
      <w:pPr>
        <w:spacing w:line="360" w:lineRule="auto"/>
        <w:jc w:val="center"/>
        <w:rPr>
          <w:b/>
          <w:sz w:val="24"/>
          <w:szCs w:val="24"/>
          <w:u w:val="single"/>
        </w:rPr>
      </w:pPr>
      <w:r>
        <w:rPr>
          <w:b/>
          <w:sz w:val="24"/>
          <w:szCs w:val="24"/>
          <w:u w:val="single"/>
        </w:rPr>
        <w:t>ECGE4001P – Academic Study Skills for Students: Portfolio</w:t>
      </w:r>
    </w:p>
    <w:p w14:paraId="74B19F25" w14:textId="208A98F4" w:rsidR="00ED60A4" w:rsidRDefault="00ED60A4" w:rsidP="00ED60A4">
      <w:pPr>
        <w:spacing w:line="360" w:lineRule="auto"/>
        <w:rPr>
          <w:b/>
          <w:sz w:val="24"/>
          <w:szCs w:val="24"/>
          <w:u w:val="single"/>
        </w:rPr>
      </w:pPr>
      <w:r>
        <w:rPr>
          <w:b/>
          <w:sz w:val="24"/>
          <w:szCs w:val="24"/>
          <w:u w:val="single"/>
        </w:rPr>
        <w:t>Part 1</w:t>
      </w:r>
    </w:p>
    <w:p w14:paraId="001A8184" w14:textId="074B7169" w:rsidR="00ED60A4" w:rsidRDefault="00ED60A4" w:rsidP="000D7185">
      <w:pPr>
        <w:spacing w:line="360" w:lineRule="auto"/>
        <w:rPr>
          <w:sz w:val="24"/>
          <w:szCs w:val="24"/>
        </w:rPr>
      </w:pPr>
      <w:r>
        <w:rPr>
          <w:sz w:val="24"/>
          <w:szCs w:val="24"/>
        </w:rPr>
        <w:t xml:space="preserve">In Iceland and other Nordic countries, there is a national belief that children should have more opportunities for outdoors and recreational play. </w:t>
      </w:r>
      <w:proofErr w:type="spellStart"/>
      <w:r>
        <w:rPr>
          <w:sz w:val="24"/>
          <w:szCs w:val="24"/>
        </w:rPr>
        <w:t>Norodahl</w:t>
      </w:r>
      <w:proofErr w:type="spellEnd"/>
      <w:r>
        <w:rPr>
          <w:sz w:val="24"/>
          <w:szCs w:val="24"/>
        </w:rPr>
        <w:t xml:space="preserve"> &amp; </w:t>
      </w:r>
      <w:proofErr w:type="spellStart"/>
      <w:r>
        <w:rPr>
          <w:sz w:val="24"/>
          <w:szCs w:val="24"/>
        </w:rPr>
        <w:t>Johannesson</w:t>
      </w:r>
      <w:proofErr w:type="spellEnd"/>
      <w:r>
        <w:rPr>
          <w:sz w:val="24"/>
          <w:szCs w:val="24"/>
        </w:rPr>
        <w:t xml:space="preserve"> (2014</w:t>
      </w:r>
      <w:r w:rsidR="008F0DF6">
        <w:rPr>
          <w:sz w:val="24"/>
          <w:szCs w:val="24"/>
        </w:rPr>
        <w:t>, p. 391-406</w:t>
      </w:r>
      <w:r>
        <w:rPr>
          <w:sz w:val="24"/>
          <w:szCs w:val="24"/>
        </w:rPr>
        <w:t xml:space="preserve">) stated that using the outdoors and natural world as a learning environment can have a positive effect on children exercising, living healthily and respecting the world in which we live in. </w:t>
      </w:r>
    </w:p>
    <w:p w14:paraId="3F34C8B0" w14:textId="35EF54BA" w:rsidR="00ED60A4" w:rsidRDefault="00ED60A4" w:rsidP="00ED60A4">
      <w:pPr>
        <w:spacing w:line="360" w:lineRule="auto"/>
        <w:rPr>
          <w:sz w:val="24"/>
          <w:szCs w:val="24"/>
        </w:rPr>
      </w:pPr>
      <w:r>
        <w:rPr>
          <w:sz w:val="24"/>
          <w:szCs w:val="24"/>
        </w:rPr>
        <w:t xml:space="preserve">For many years, Iceland and other Nordic countries have had a strong focus on outdoor and recreational play with children aged 1-16 having many opportunities to play outside. There is currently an insufficient amount of research on teachers practice during outdoor play, however it is thought to be subject to the teacher and the school in which they teach. </w:t>
      </w:r>
    </w:p>
    <w:p w14:paraId="71D17E2C" w14:textId="77777777" w:rsidR="00ED60A4" w:rsidRDefault="00ED60A4" w:rsidP="00ED60A4">
      <w:pPr>
        <w:spacing w:line="360" w:lineRule="auto"/>
        <w:rPr>
          <w:rFonts w:cstheme="minorHAnsi"/>
          <w:sz w:val="24"/>
          <w:szCs w:val="24"/>
        </w:rPr>
      </w:pPr>
      <w:r>
        <w:rPr>
          <w:rFonts w:cstheme="minorHAnsi"/>
          <w:sz w:val="24"/>
          <w:szCs w:val="24"/>
        </w:rPr>
        <w:t xml:space="preserve">According to </w:t>
      </w:r>
      <w:proofErr w:type="spellStart"/>
      <w:r>
        <w:rPr>
          <w:rFonts w:cstheme="minorHAnsi"/>
          <w:sz w:val="24"/>
          <w:szCs w:val="24"/>
        </w:rPr>
        <w:t>Oladottir</w:t>
      </w:r>
      <w:proofErr w:type="spellEnd"/>
      <w:r>
        <w:rPr>
          <w:rFonts w:cstheme="minorHAnsi"/>
          <w:sz w:val="24"/>
          <w:szCs w:val="24"/>
        </w:rPr>
        <w:t xml:space="preserve"> (2008), 70% of schools in Reykjavik state that they educate their pupils in an outdoor setting more often than they have in past years. </w:t>
      </w:r>
    </w:p>
    <w:p w14:paraId="5EDA7C15" w14:textId="21305E93" w:rsidR="00ED60A4" w:rsidRDefault="00ED60A4" w:rsidP="00ED60A4">
      <w:pPr>
        <w:spacing w:line="360" w:lineRule="auto"/>
        <w:rPr>
          <w:rFonts w:cstheme="minorHAnsi"/>
          <w:sz w:val="24"/>
          <w:szCs w:val="24"/>
        </w:rPr>
      </w:pPr>
    </w:p>
    <w:p w14:paraId="57A8F123" w14:textId="3D043429" w:rsidR="003832FA" w:rsidRPr="003832FA" w:rsidRDefault="003832FA" w:rsidP="00ED60A4">
      <w:pPr>
        <w:spacing w:line="360" w:lineRule="auto"/>
        <w:rPr>
          <w:rFonts w:cstheme="minorHAnsi"/>
          <w:b/>
          <w:sz w:val="24"/>
          <w:szCs w:val="24"/>
          <w:u w:val="single"/>
        </w:rPr>
      </w:pPr>
      <w:r>
        <w:rPr>
          <w:rFonts w:cstheme="minorHAnsi"/>
          <w:b/>
          <w:sz w:val="24"/>
          <w:szCs w:val="24"/>
          <w:u w:val="single"/>
        </w:rPr>
        <w:t>References/Bibliography</w:t>
      </w:r>
    </w:p>
    <w:p w14:paraId="2D0D1BEC" w14:textId="6551CD87" w:rsidR="00ED60A4" w:rsidRDefault="000B76AF" w:rsidP="00ED60A4">
      <w:pPr>
        <w:spacing w:line="360" w:lineRule="auto"/>
        <w:rPr>
          <w:rFonts w:cstheme="minorHAnsi"/>
          <w:sz w:val="24"/>
          <w:szCs w:val="24"/>
        </w:rPr>
      </w:pPr>
      <w:proofErr w:type="spellStart"/>
      <w:r>
        <w:rPr>
          <w:rFonts w:cstheme="minorHAnsi"/>
          <w:sz w:val="24"/>
          <w:szCs w:val="24"/>
        </w:rPr>
        <w:t>Norodahl</w:t>
      </w:r>
      <w:proofErr w:type="spellEnd"/>
      <w:r>
        <w:rPr>
          <w:rFonts w:cstheme="minorHAnsi"/>
          <w:sz w:val="24"/>
          <w:szCs w:val="24"/>
        </w:rPr>
        <w:t xml:space="preserve">, K. and </w:t>
      </w:r>
      <w:proofErr w:type="spellStart"/>
      <w:r>
        <w:rPr>
          <w:rFonts w:cstheme="minorHAnsi"/>
          <w:sz w:val="24"/>
          <w:szCs w:val="24"/>
        </w:rPr>
        <w:t>Joha</w:t>
      </w:r>
      <w:r w:rsidR="001C7220">
        <w:rPr>
          <w:rFonts w:cstheme="minorHAnsi"/>
          <w:sz w:val="24"/>
          <w:szCs w:val="24"/>
        </w:rPr>
        <w:t>nnesson</w:t>
      </w:r>
      <w:proofErr w:type="spellEnd"/>
      <w:r w:rsidR="001C7220">
        <w:rPr>
          <w:rFonts w:cstheme="minorHAnsi"/>
          <w:sz w:val="24"/>
          <w:szCs w:val="24"/>
        </w:rPr>
        <w:t>, I. (2014) ‘Let’s go outside’</w:t>
      </w:r>
      <w:r w:rsidR="001C7220" w:rsidRPr="008F0DF6">
        <w:rPr>
          <w:rFonts w:cstheme="minorHAnsi"/>
          <w:i/>
          <w:sz w:val="24"/>
          <w:szCs w:val="24"/>
        </w:rPr>
        <w:t>: Icelandic Teachers’ views of using the outdoors</w:t>
      </w:r>
      <w:r w:rsidR="001C7220">
        <w:rPr>
          <w:rFonts w:cstheme="minorHAnsi"/>
          <w:sz w:val="24"/>
          <w:szCs w:val="24"/>
        </w:rPr>
        <w:t xml:space="preserve"> Education 3-13: International Journal of Primary, Elementary and Early Years Education. Vol 44, No. 4, September 2014, 391-406.</w:t>
      </w:r>
    </w:p>
    <w:p w14:paraId="0E469C92" w14:textId="0930B29A" w:rsidR="003832FA" w:rsidRPr="003832FA" w:rsidRDefault="003832FA" w:rsidP="00ED60A4">
      <w:pPr>
        <w:spacing w:line="360" w:lineRule="auto"/>
        <w:rPr>
          <w:rFonts w:cstheme="minorHAnsi"/>
          <w:sz w:val="24"/>
          <w:szCs w:val="24"/>
        </w:rPr>
      </w:pPr>
      <w:proofErr w:type="spellStart"/>
      <w:r>
        <w:rPr>
          <w:rFonts w:cstheme="minorHAnsi"/>
          <w:sz w:val="24"/>
          <w:szCs w:val="24"/>
        </w:rPr>
        <w:t>Oladottir</w:t>
      </w:r>
      <w:proofErr w:type="spellEnd"/>
      <w:r>
        <w:rPr>
          <w:rFonts w:cstheme="minorHAnsi"/>
          <w:sz w:val="24"/>
          <w:szCs w:val="24"/>
        </w:rPr>
        <w:t xml:space="preserve">, H. (2008) </w:t>
      </w:r>
      <w:r>
        <w:rPr>
          <w:rFonts w:cstheme="minorHAnsi"/>
          <w:i/>
          <w:sz w:val="24"/>
          <w:szCs w:val="24"/>
        </w:rPr>
        <w:t>Annual Report 2008</w:t>
      </w:r>
      <w:r>
        <w:rPr>
          <w:rFonts w:cstheme="minorHAnsi"/>
          <w:sz w:val="24"/>
          <w:szCs w:val="24"/>
        </w:rPr>
        <w:t xml:space="preserve">. </w:t>
      </w:r>
      <w:proofErr w:type="spellStart"/>
      <w:r>
        <w:rPr>
          <w:rFonts w:cstheme="minorHAnsi"/>
          <w:sz w:val="24"/>
          <w:szCs w:val="24"/>
        </w:rPr>
        <w:t>Reyjkavik</w:t>
      </w:r>
      <w:proofErr w:type="spellEnd"/>
      <w:r>
        <w:rPr>
          <w:rFonts w:cstheme="minorHAnsi"/>
          <w:sz w:val="24"/>
          <w:szCs w:val="24"/>
        </w:rPr>
        <w:t xml:space="preserve">: </w:t>
      </w:r>
      <w:proofErr w:type="spellStart"/>
      <w:r>
        <w:rPr>
          <w:rFonts w:cstheme="minorHAnsi"/>
          <w:sz w:val="24"/>
          <w:szCs w:val="24"/>
        </w:rPr>
        <w:t>Natturuskoli</w:t>
      </w:r>
      <w:proofErr w:type="spellEnd"/>
      <w:r>
        <w:rPr>
          <w:rFonts w:cstheme="minorHAnsi"/>
          <w:sz w:val="24"/>
          <w:szCs w:val="24"/>
        </w:rPr>
        <w:t xml:space="preserve"> </w:t>
      </w:r>
      <w:proofErr w:type="spellStart"/>
      <w:r>
        <w:rPr>
          <w:rFonts w:cstheme="minorHAnsi"/>
          <w:sz w:val="24"/>
          <w:szCs w:val="24"/>
        </w:rPr>
        <w:t>Reykjavikur</w:t>
      </w:r>
      <w:proofErr w:type="spellEnd"/>
      <w:r>
        <w:rPr>
          <w:rFonts w:cstheme="minorHAnsi"/>
          <w:sz w:val="24"/>
          <w:szCs w:val="24"/>
        </w:rPr>
        <w:t>.</w:t>
      </w:r>
    </w:p>
    <w:p w14:paraId="1A57464B" w14:textId="77777777" w:rsidR="003832FA" w:rsidRDefault="003832FA" w:rsidP="00ED60A4">
      <w:pPr>
        <w:spacing w:line="360" w:lineRule="auto"/>
        <w:rPr>
          <w:rFonts w:cstheme="minorHAnsi"/>
          <w:sz w:val="24"/>
          <w:szCs w:val="24"/>
        </w:rPr>
      </w:pPr>
    </w:p>
    <w:p w14:paraId="0AAB19A2" w14:textId="77777777" w:rsidR="001C7220" w:rsidRDefault="001C7220" w:rsidP="00ED60A4">
      <w:pPr>
        <w:spacing w:line="360" w:lineRule="auto"/>
        <w:rPr>
          <w:rFonts w:cstheme="minorHAnsi"/>
          <w:sz w:val="24"/>
          <w:szCs w:val="24"/>
        </w:rPr>
      </w:pPr>
    </w:p>
    <w:p w14:paraId="1252F31C" w14:textId="2183DB47" w:rsidR="00ED60A4" w:rsidRDefault="00ED60A4" w:rsidP="00ED60A4">
      <w:pPr>
        <w:spacing w:line="360" w:lineRule="auto"/>
        <w:rPr>
          <w:rFonts w:cstheme="minorHAnsi"/>
          <w:b/>
          <w:sz w:val="24"/>
          <w:szCs w:val="24"/>
          <w:u w:val="single"/>
        </w:rPr>
      </w:pPr>
      <w:r>
        <w:rPr>
          <w:rFonts w:cstheme="minorHAnsi"/>
          <w:b/>
          <w:sz w:val="24"/>
          <w:szCs w:val="24"/>
          <w:u w:val="single"/>
        </w:rPr>
        <w:t>Part 2a</w:t>
      </w:r>
    </w:p>
    <w:p w14:paraId="5A7FE811" w14:textId="148D3FAF" w:rsidR="009F77A1" w:rsidRDefault="009F77A1" w:rsidP="00ED60A4">
      <w:pPr>
        <w:spacing w:line="360" w:lineRule="auto"/>
        <w:rPr>
          <w:rFonts w:cstheme="minorHAnsi"/>
          <w:sz w:val="24"/>
          <w:szCs w:val="24"/>
        </w:rPr>
      </w:pPr>
      <w:r>
        <w:rPr>
          <w:rFonts w:cstheme="minorHAnsi"/>
          <w:sz w:val="24"/>
          <w:szCs w:val="24"/>
        </w:rPr>
        <w:t xml:space="preserve">The Forest School Network have given </w:t>
      </w:r>
      <w:proofErr w:type="gramStart"/>
      <w:r>
        <w:rPr>
          <w:rFonts w:cstheme="minorHAnsi"/>
          <w:sz w:val="24"/>
          <w:szCs w:val="24"/>
        </w:rPr>
        <w:t>there</w:t>
      </w:r>
      <w:proofErr w:type="gramEnd"/>
      <w:r>
        <w:rPr>
          <w:rFonts w:cstheme="minorHAnsi"/>
          <w:sz w:val="24"/>
          <w:szCs w:val="24"/>
        </w:rPr>
        <w:t xml:space="preserve"> definition on Forest Schools and their aims. </w:t>
      </w:r>
    </w:p>
    <w:p w14:paraId="399221D6" w14:textId="33AB91D1" w:rsidR="00ED60A4" w:rsidRDefault="00113497" w:rsidP="008F1AC5">
      <w:pPr>
        <w:spacing w:line="360" w:lineRule="auto"/>
        <w:ind w:left="720"/>
        <w:rPr>
          <w:rFonts w:cstheme="minorHAnsi"/>
          <w:sz w:val="24"/>
          <w:szCs w:val="24"/>
        </w:rPr>
      </w:pPr>
      <w:r>
        <w:rPr>
          <w:rFonts w:cstheme="minorHAnsi"/>
          <w:sz w:val="24"/>
          <w:szCs w:val="24"/>
        </w:rPr>
        <w:t>It is an inspirational process that offers children, young people and adult’s regular opportunities to achieve and develop confidence and self esteem through hands on learning experiences in a woodland environment. Murray &amp; O’Brien (2006)</w:t>
      </w:r>
    </w:p>
    <w:p w14:paraId="587E6463" w14:textId="707A5E62" w:rsidR="00113497" w:rsidRPr="005D73A1" w:rsidRDefault="00113497" w:rsidP="00113497">
      <w:pPr>
        <w:spacing w:line="360" w:lineRule="auto"/>
        <w:rPr>
          <w:rFonts w:cstheme="minorHAnsi"/>
          <w:sz w:val="24"/>
          <w:szCs w:val="24"/>
        </w:rPr>
      </w:pPr>
      <w:r>
        <w:rPr>
          <w:rFonts w:cstheme="minorHAnsi"/>
          <w:sz w:val="24"/>
          <w:szCs w:val="24"/>
        </w:rPr>
        <w:lastRenderedPageBreak/>
        <w:t>Murray &amp; O’B</w:t>
      </w:r>
      <w:r w:rsidR="009F77A1">
        <w:rPr>
          <w:rFonts w:cstheme="minorHAnsi"/>
          <w:sz w:val="24"/>
          <w:szCs w:val="24"/>
        </w:rPr>
        <w:t>ri</w:t>
      </w:r>
      <w:r>
        <w:rPr>
          <w:rFonts w:cstheme="minorHAnsi"/>
          <w:sz w:val="24"/>
          <w:szCs w:val="24"/>
        </w:rPr>
        <w:t xml:space="preserve">en (2006) believe that young children within schools do not have the opportunity to visit woodland areas regularly due to their being many high risks and/or hazards. There is also research believing that if young people do not have opportunities to visit woodland areas during their early years, it may have an impact on physical and emotional benefits. It is believed that they will be less likely to visit woodland areas once they have reached maturity. </w:t>
      </w:r>
      <w:r w:rsidR="005D73A1">
        <w:rPr>
          <w:rFonts w:cstheme="minorHAnsi"/>
          <w:sz w:val="24"/>
          <w:szCs w:val="24"/>
        </w:rPr>
        <w:t xml:space="preserve">(Aspinall, P. </w:t>
      </w:r>
      <w:r w:rsidR="005D73A1">
        <w:rPr>
          <w:rFonts w:cstheme="minorHAnsi"/>
          <w:i/>
          <w:sz w:val="24"/>
          <w:szCs w:val="24"/>
        </w:rPr>
        <w:t xml:space="preserve">et al. </w:t>
      </w:r>
      <w:r w:rsidR="005D73A1">
        <w:rPr>
          <w:rFonts w:cstheme="minorHAnsi"/>
          <w:sz w:val="24"/>
          <w:szCs w:val="24"/>
        </w:rPr>
        <w:t>2004)</w:t>
      </w:r>
    </w:p>
    <w:p w14:paraId="244829FF" w14:textId="021FBF1B" w:rsidR="00113497" w:rsidRDefault="00113497" w:rsidP="00113497">
      <w:pPr>
        <w:spacing w:line="360" w:lineRule="auto"/>
        <w:rPr>
          <w:rFonts w:cstheme="minorHAnsi"/>
          <w:sz w:val="24"/>
          <w:szCs w:val="24"/>
        </w:rPr>
      </w:pPr>
      <w:r>
        <w:rPr>
          <w:rFonts w:cstheme="minorHAnsi"/>
          <w:sz w:val="24"/>
          <w:szCs w:val="24"/>
        </w:rPr>
        <w:t xml:space="preserve">The Welsh Assembly Government are encouraging schools, particularly the </w:t>
      </w:r>
      <w:r w:rsidR="009F77A1">
        <w:rPr>
          <w:rFonts w:cstheme="minorHAnsi"/>
          <w:sz w:val="24"/>
          <w:szCs w:val="24"/>
        </w:rPr>
        <w:t>F</w:t>
      </w:r>
      <w:r>
        <w:rPr>
          <w:rFonts w:cstheme="minorHAnsi"/>
          <w:sz w:val="24"/>
          <w:szCs w:val="24"/>
        </w:rPr>
        <w:t xml:space="preserve">oundation </w:t>
      </w:r>
      <w:r w:rsidR="009F77A1">
        <w:rPr>
          <w:rFonts w:cstheme="minorHAnsi"/>
          <w:sz w:val="24"/>
          <w:szCs w:val="24"/>
        </w:rPr>
        <w:t>P</w:t>
      </w:r>
      <w:r>
        <w:rPr>
          <w:rFonts w:cstheme="minorHAnsi"/>
          <w:sz w:val="24"/>
          <w:szCs w:val="24"/>
        </w:rPr>
        <w:t xml:space="preserve">hase, to partake in Forest Schools as they believe it has a different impact on them in contrast to learning within the classroom. </w:t>
      </w:r>
      <w:r w:rsidR="005D73A1">
        <w:rPr>
          <w:rFonts w:cstheme="minorHAnsi"/>
          <w:sz w:val="24"/>
          <w:szCs w:val="24"/>
        </w:rPr>
        <w:t>(</w:t>
      </w:r>
      <w:r w:rsidR="00973199">
        <w:rPr>
          <w:rFonts w:cstheme="minorHAnsi"/>
          <w:sz w:val="24"/>
          <w:szCs w:val="24"/>
        </w:rPr>
        <w:t>Welsh Assembly Government</w:t>
      </w:r>
      <w:r w:rsidR="005D73A1">
        <w:rPr>
          <w:rFonts w:cstheme="minorHAnsi"/>
          <w:sz w:val="24"/>
          <w:szCs w:val="24"/>
        </w:rPr>
        <w:t xml:space="preserve">, </w:t>
      </w:r>
      <w:r w:rsidR="00973199">
        <w:rPr>
          <w:rFonts w:cstheme="minorHAnsi"/>
          <w:sz w:val="24"/>
          <w:szCs w:val="24"/>
        </w:rPr>
        <w:t>2009</w:t>
      </w:r>
      <w:r w:rsidR="005D73A1">
        <w:rPr>
          <w:rFonts w:cstheme="minorHAnsi"/>
          <w:sz w:val="24"/>
          <w:szCs w:val="24"/>
        </w:rPr>
        <w:t>)</w:t>
      </w:r>
    </w:p>
    <w:p w14:paraId="0D056EA3" w14:textId="223B2A90" w:rsidR="00113497" w:rsidRDefault="00113497" w:rsidP="00113497">
      <w:pPr>
        <w:spacing w:line="360" w:lineRule="auto"/>
        <w:rPr>
          <w:rFonts w:cstheme="minorHAnsi"/>
          <w:sz w:val="24"/>
          <w:szCs w:val="24"/>
        </w:rPr>
      </w:pPr>
    </w:p>
    <w:p w14:paraId="52DC9986" w14:textId="2B122F48" w:rsidR="005D73A1" w:rsidRDefault="005D73A1" w:rsidP="00113497">
      <w:pPr>
        <w:spacing w:line="360" w:lineRule="auto"/>
        <w:rPr>
          <w:rFonts w:cstheme="minorHAnsi"/>
          <w:b/>
          <w:sz w:val="24"/>
          <w:szCs w:val="24"/>
          <w:u w:val="single"/>
        </w:rPr>
      </w:pPr>
      <w:r>
        <w:rPr>
          <w:rFonts w:cstheme="minorHAnsi"/>
          <w:b/>
          <w:sz w:val="24"/>
          <w:szCs w:val="24"/>
          <w:u w:val="single"/>
        </w:rPr>
        <w:t>References/Bibliography</w:t>
      </w:r>
    </w:p>
    <w:p w14:paraId="73ACA037" w14:textId="06049663" w:rsidR="005D73A1" w:rsidRDefault="004D63DB" w:rsidP="00113497">
      <w:pPr>
        <w:spacing w:line="360" w:lineRule="auto"/>
        <w:rPr>
          <w:rFonts w:cstheme="minorHAnsi"/>
          <w:sz w:val="24"/>
          <w:szCs w:val="24"/>
        </w:rPr>
      </w:pPr>
      <w:r>
        <w:rPr>
          <w:rFonts w:cstheme="minorHAnsi"/>
          <w:sz w:val="24"/>
          <w:szCs w:val="24"/>
        </w:rPr>
        <w:t xml:space="preserve">Aspinall, P. </w:t>
      </w:r>
      <w:r>
        <w:rPr>
          <w:rFonts w:cstheme="minorHAnsi"/>
          <w:i/>
          <w:sz w:val="24"/>
          <w:szCs w:val="24"/>
        </w:rPr>
        <w:t>et al</w:t>
      </w:r>
      <w:r>
        <w:rPr>
          <w:rFonts w:cstheme="minorHAnsi"/>
          <w:sz w:val="24"/>
          <w:szCs w:val="24"/>
        </w:rPr>
        <w:t xml:space="preserve">. (2004) </w:t>
      </w:r>
      <w:r>
        <w:rPr>
          <w:rFonts w:cstheme="minorHAnsi"/>
          <w:i/>
          <w:sz w:val="24"/>
          <w:szCs w:val="24"/>
        </w:rPr>
        <w:t>Open Space and Social Inclusion: Local Woodland Use in Central Scotland</w:t>
      </w:r>
      <w:r>
        <w:rPr>
          <w:rFonts w:cstheme="minorHAnsi"/>
          <w:sz w:val="24"/>
          <w:szCs w:val="24"/>
        </w:rPr>
        <w:t>. Edinburgh: Forestry Commission.</w:t>
      </w:r>
    </w:p>
    <w:p w14:paraId="790A014B" w14:textId="7234A2CE" w:rsidR="00806574" w:rsidRPr="00806574" w:rsidRDefault="00806574" w:rsidP="00113497">
      <w:pPr>
        <w:spacing w:line="360" w:lineRule="auto"/>
        <w:rPr>
          <w:rFonts w:cstheme="minorHAnsi"/>
          <w:sz w:val="24"/>
          <w:szCs w:val="24"/>
        </w:rPr>
      </w:pPr>
      <w:r>
        <w:rPr>
          <w:rFonts w:cstheme="minorHAnsi"/>
          <w:sz w:val="24"/>
          <w:szCs w:val="24"/>
        </w:rPr>
        <w:t xml:space="preserve">Welsh Assembly Government (2009) </w:t>
      </w:r>
      <w:r>
        <w:rPr>
          <w:rFonts w:cstheme="minorHAnsi"/>
          <w:i/>
          <w:sz w:val="24"/>
          <w:szCs w:val="24"/>
        </w:rPr>
        <w:t>Outdoor Learning Handbook,</w:t>
      </w:r>
      <w:r>
        <w:rPr>
          <w:rFonts w:cstheme="minorHAnsi"/>
          <w:sz w:val="24"/>
          <w:szCs w:val="24"/>
        </w:rPr>
        <w:t xml:space="preserve"> Cardiff WAG.</w:t>
      </w:r>
    </w:p>
    <w:p w14:paraId="674B1A6F" w14:textId="48868FD1" w:rsidR="007249A9" w:rsidRPr="004D63DB" w:rsidRDefault="007249A9" w:rsidP="00113497">
      <w:pPr>
        <w:spacing w:line="360" w:lineRule="auto"/>
        <w:rPr>
          <w:rFonts w:cstheme="minorHAnsi"/>
          <w:sz w:val="24"/>
          <w:szCs w:val="24"/>
        </w:rPr>
      </w:pPr>
    </w:p>
    <w:p w14:paraId="13AD6DB2" w14:textId="7F55FF6E" w:rsidR="00DB3BED" w:rsidRDefault="00DB3BED" w:rsidP="00113497">
      <w:pPr>
        <w:spacing w:line="360" w:lineRule="auto"/>
        <w:rPr>
          <w:rFonts w:cstheme="minorHAnsi"/>
          <w:sz w:val="24"/>
          <w:szCs w:val="24"/>
        </w:rPr>
      </w:pPr>
    </w:p>
    <w:p w14:paraId="213520E4" w14:textId="54D0CD09" w:rsidR="00DB3BED" w:rsidRDefault="00DB3BED" w:rsidP="00113497">
      <w:pPr>
        <w:spacing w:line="360" w:lineRule="auto"/>
        <w:rPr>
          <w:rFonts w:cstheme="minorHAnsi"/>
          <w:sz w:val="24"/>
          <w:szCs w:val="24"/>
        </w:rPr>
      </w:pPr>
      <w:r>
        <w:rPr>
          <w:rFonts w:cstheme="minorHAnsi"/>
          <w:b/>
          <w:sz w:val="24"/>
          <w:szCs w:val="24"/>
          <w:u w:val="single"/>
        </w:rPr>
        <w:t>Part 2b</w:t>
      </w:r>
    </w:p>
    <w:p w14:paraId="6956A6B6" w14:textId="20788437" w:rsidR="00DB3BED" w:rsidRDefault="003302F5" w:rsidP="003302F5">
      <w:pPr>
        <w:pStyle w:val="ListParagraph"/>
        <w:numPr>
          <w:ilvl w:val="0"/>
          <w:numId w:val="2"/>
        </w:numPr>
        <w:spacing w:line="360" w:lineRule="auto"/>
        <w:rPr>
          <w:rFonts w:cstheme="minorHAnsi"/>
          <w:sz w:val="24"/>
          <w:szCs w:val="24"/>
        </w:rPr>
      </w:pPr>
      <w:r w:rsidRPr="003302F5">
        <w:rPr>
          <w:rFonts w:cstheme="minorHAnsi"/>
          <w:sz w:val="24"/>
          <w:szCs w:val="24"/>
        </w:rPr>
        <w:t xml:space="preserve">There are many reasons as to why it is important for students to avoid plagiarism. The key factor as to why students avoid plagiarising their work, is that they are not complying with rules and regulations and therefore this could lead to failure. </w:t>
      </w:r>
      <w:r w:rsidR="00DC6646">
        <w:rPr>
          <w:rFonts w:cstheme="minorHAnsi"/>
          <w:sz w:val="24"/>
          <w:szCs w:val="24"/>
        </w:rPr>
        <w:t>T</w:t>
      </w:r>
      <w:r w:rsidRPr="003302F5">
        <w:rPr>
          <w:rFonts w:cstheme="minorHAnsi"/>
          <w:sz w:val="24"/>
          <w:szCs w:val="24"/>
        </w:rPr>
        <w:t>here are also many other reasons such as the work they are completing is not their own and therefore has been no benefit to their learning outcome and it can give a negative impression on their tutor or assessor</w:t>
      </w:r>
      <w:r w:rsidR="00DC6646">
        <w:rPr>
          <w:rFonts w:cstheme="minorHAnsi"/>
          <w:sz w:val="24"/>
          <w:szCs w:val="24"/>
        </w:rPr>
        <w:t>.</w:t>
      </w:r>
    </w:p>
    <w:p w14:paraId="4C06C67B" w14:textId="77777777" w:rsidR="003302F5" w:rsidRPr="002156B3" w:rsidRDefault="003302F5" w:rsidP="003302F5">
      <w:pPr>
        <w:spacing w:line="360" w:lineRule="auto"/>
        <w:rPr>
          <w:rFonts w:cstheme="minorHAnsi"/>
          <w:sz w:val="24"/>
          <w:szCs w:val="24"/>
        </w:rPr>
      </w:pPr>
    </w:p>
    <w:p w14:paraId="2A866070" w14:textId="5611D2B1" w:rsidR="003302F5" w:rsidRDefault="003302F5" w:rsidP="003302F5">
      <w:pPr>
        <w:pStyle w:val="ListParagraph"/>
        <w:numPr>
          <w:ilvl w:val="0"/>
          <w:numId w:val="2"/>
        </w:numPr>
        <w:spacing w:line="360" w:lineRule="auto"/>
        <w:rPr>
          <w:rFonts w:cstheme="minorHAnsi"/>
          <w:sz w:val="24"/>
          <w:szCs w:val="24"/>
        </w:rPr>
      </w:pPr>
      <w:r>
        <w:rPr>
          <w:rFonts w:cstheme="minorHAnsi"/>
          <w:sz w:val="24"/>
          <w:szCs w:val="24"/>
        </w:rPr>
        <w:t xml:space="preserve">The answer to the question in discussion is false. When we are completing academic assignments, we want to ensure that what we are writing about has focus and direction. If we were to only use direct quotations, we would lack these points. We must try to use direct quotations sparingly when it is relevant, as a means of </w:t>
      </w:r>
      <w:r>
        <w:rPr>
          <w:rFonts w:cstheme="minorHAnsi"/>
          <w:sz w:val="24"/>
          <w:szCs w:val="24"/>
        </w:rPr>
        <w:lastRenderedPageBreak/>
        <w:t>evaluating or analysing what someone has done and to give context or background to discuss</w:t>
      </w:r>
      <w:r w:rsidR="00242781">
        <w:rPr>
          <w:rFonts w:cstheme="minorHAnsi"/>
          <w:sz w:val="24"/>
          <w:szCs w:val="24"/>
        </w:rPr>
        <w:t xml:space="preserve">. </w:t>
      </w:r>
      <w:r w:rsidR="00BB3222">
        <w:rPr>
          <w:rFonts w:cstheme="minorHAnsi"/>
          <w:sz w:val="24"/>
          <w:szCs w:val="24"/>
        </w:rPr>
        <w:t xml:space="preserve"> When direct quotes are used, they can be a powerful rhetorical tool (</w:t>
      </w:r>
      <w:proofErr w:type="spellStart"/>
      <w:r w:rsidR="00BB3222">
        <w:rPr>
          <w:rFonts w:cstheme="minorHAnsi"/>
          <w:sz w:val="24"/>
          <w:szCs w:val="24"/>
        </w:rPr>
        <w:t>Jerman</w:t>
      </w:r>
      <w:proofErr w:type="spellEnd"/>
      <w:r w:rsidR="00BB3222">
        <w:rPr>
          <w:rFonts w:cstheme="minorHAnsi"/>
          <w:sz w:val="24"/>
          <w:szCs w:val="24"/>
        </w:rPr>
        <w:t xml:space="preserve"> 2012)</w:t>
      </w:r>
    </w:p>
    <w:p w14:paraId="70362760" w14:textId="77777777" w:rsidR="003302F5" w:rsidRPr="003302F5" w:rsidRDefault="003302F5" w:rsidP="003302F5">
      <w:pPr>
        <w:pStyle w:val="ListParagraph"/>
        <w:rPr>
          <w:rFonts w:cstheme="minorHAnsi"/>
          <w:sz w:val="24"/>
          <w:szCs w:val="24"/>
        </w:rPr>
      </w:pPr>
    </w:p>
    <w:p w14:paraId="25F9837D" w14:textId="4AEA52B8" w:rsidR="003302F5" w:rsidRDefault="003302F5" w:rsidP="003302F5">
      <w:pPr>
        <w:pStyle w:val="ListParagraph"/>
        <w:numPr>
          <w:ilvl w:val="0"/>
          <w:numId w:val="2"/>
        </w:numPr>
        <w:spacing w:line="360" w:lineRule="auto"/>
        <w:rPr>
          <w:rFonts w:cstheme="minorHAnsi"/>
          <w:sz w:val="24"/>
          <w:szCs w:val="24"/>
        </w:rPr>
      </w:pPr>
      <w:r>
        <w:rPr>
          <w:rFonts w:cstheme="minorHAnsi"/>
          <w:sz w:val="24"/>
          <w:szCs w:val="24"/>
        </w:rPr>
        <w:t>To many people, Wikipedia may be a good source for information, however I disagree with this. I disagree with this as you can not directly quote from Wikipedia. Wikipedia has a vast range of editors, many of whom remain anonymous. This poses the question, “Who is writing this and why?”. It is possible for many people on the internet to edit Wikipedia pages which can make information of these pages incorrect</w:t>
      </w:r>
      <w:r w:rsidR="00242781">
        <w:rPr>
          <w:rFonts w:cstheme="minorHAnsi"/>
          <w:sz w:val="24"/>
          <w:szCs w:val="24"/>
        </w:rPr>
        <w:t xml:space="preserve"> according to Moran (2017).</w:t>
      </w:r>
      <w:r>
        <w:rPr>
          <w:rFonts w:cstheme="minorHAnsi"/>
          <w:sz w:val="24"/>
          <w:szCs w:val="24"/>
        </w:rPr>
        <w:t xml:space="preserve"> Wikipedia directly also state that they are not a primary source and to not make critical decisions when using Wikipedia. However aside from these points, Wikipedia can be used as a good source for preliminary research. </w:t>
      </w:r>
    </w:p>
    <w:p w14:paraId="66DAEC7D" w14:textId="77777777" w:rsidR="00117D03" w:rsidRPr="00117D03" w:rsidRDefault="00117D03" w:rsidP="00117D03">
      <w:pPr>
        <w:pStyle w:val="ListParagraph"/>
        <w:rPr>
          <w:rFonts w:cstheme="minorHAnsi"/>
          <w:sz w:val="24"/>
          <w:szCs w:val="24"/>
        </w:rPr>
      </w:pPr>
    </w:p>
    <w:p w14:paraId="374ED8AB" w14:textId="2240F43D" w:rsidR="00117D03" w:rsidRDefault="00117D03" w:rsidP="003302F5">
      <w:pPr>
        <w:pStyle w:val="ListParagraph"/>
        <w:numPr>
          <w:ilvl w:val="0"/>
          <w:numId w:val="2"/>
        </w:numPr>
        <w:spacing w:line="360" w:lineRule="auto"/>
        <w:rPr>
          <w:rFonts w:cstheme="minorHAnsi"/>
          <w:sz w:val="24"/>
          <w:szCs w:val="24"/>
        </w:rPr>
      </w:pPr>
      <w:r>
        <w:rPr>
          <w:rFonts w:cstheme="minorHAnsi"/>
          <w:sz w:val="24"/>
          <w:szCs w:val="24"/>
        </w:rPr>
        <w:t xml:space="preserve">When you are confronted with a quotation which is more than 30 words or 2 lines, this is known as </w:t>
      </w:r>
      <w:r w:rsidR="000D5214">
        <w:rPr>
          <w:rFonts w:cstheme="minorHAnsi"/>
          <w:sz w:val="24"/>
          <w:szCs w:val="24"/>
        </w:rPr>
        <w:t xml:space="preserve">a block quote and you will have to present it as followed. Firstly, you must enter the quote as a separate paragraph. Next you need to indent the whole quote 1cm from the left-hand margin of the page. With a block quote, quotation marks are not required, and you must introduce the quote with a colon. Once the text has been quoted, follow immediately with the in-text citation. Block quotes should not be used regularly. </w:t>
      </w:r>
      <w:r w:rsidR="00C95E85">
        <w:rPr>
          <w:rFonts w:cstheme="minorHAnsi"/>
          <w:sz w:val="24"/>
          <w:szCs w:val="24"/>
        </w:rPr>
        <w:t xml:space="preserve">We must only use block quotes when we feel that if we were to omit any words, it may reduce the integrity of the passage (The Writing </w:t>
      </w:r>
      <w:proofErr w:type="spellStart"/>
      <w:r w:rsidR="00C95E85">
        <w:rPr>
          <w:rFonts w:cstheme="minorHAnsi"/>
          <w:sz w:val="24"/>
          <w:szCs w:val="24"/>
        </w:rPr>
        <w:t>Center</w:t>
      </w:r>
      <w:proofErr w:type="spellEnd"/>
      <w:r w:rsidR="00C95E85">
        <w:rPr>
          <w:rFonts w:cstheme="minorHAnsi"/>
          <w:sz w:val="24"/>
          <w:szCs w:val="24"/>
        </w:rPr>
        <w:t>, 2018).</w:t>
      </w:r>
    </w:p>
    <w:p w14:paraId="13828C1D" w14:textId="77777777" w:rsidR="00DB19CE" w:rsidRPr="00DB19CE" w:rsidRDefault="00DB19CE" w:rsidP="00DB19CE">
      <w:pPr>
        <w:pStyle w:val="ListParagraph"/>
        <w:rPr>
          <w:rFonts w:cstheme="minorHAnsi"/>
          <w:sz w:val="24"/>
          <w:szCs w:val="24"/>
        </w:rPr>
      </w:pPr>
    </w:p>
    <w:p w14:paraId="7285E1A2" w14:textId="77777777" w:rsidR="00DB19CE" w:rsidRDefault="00DB19CE" w:rsidP="00DB19CE">
      <w:pPr>
        <w:pStyle w:val="ListParagraph"/>
        <w:numPr>
          <w:ilvl w:val="0"/>
          <w:numId w:val="2"/>
        </w:numPr>
        <w:spacing w:line="360" w:lineRule="auto"/>
        <w:rPr>
          <w:rFonts w:cstheme="minorHAnsi"/>
          <w:sz w:val="24"/>
          <w:szCs w:val="24"/>
        </w:rPr>
      </w:pPr>
      <w:r>
        <w:rPr>
          <w:rFonts w:cstheme="minorHAnsi"/>
          <w:sz w:val="24"/>
          <w:szCs w:val="24"/>
        </w:rPr>
        <w:t>When completing academic assignments, research is one of the most important aspects. Before we can begin our research, it is vital that we choose a topic if it has not already been provided. Once we have our topic, we must then gather our sources of information. Sources of information can be divided into 3 types;</w:t>
      </w:r>
    </w:p>
    <w:p w14:paraId="02D02BEE" w14:textId="77777777" w:rsidR="00DB19CE" w:rsidRPr="00DB19CE" w:rsidRDefault="00DB19CE" w:rsidP="00DB19CE">
      <w:pPr>
        <w:pStyle w:val="ListParagraph"/>
        <w:rPr>
          <w:rFonts w:cstheme="minorHAnsi"/>
          <w:sz w:val="24"/>
          <w:szCs w:val="24"/>
        </w:rPr>
      </w:pPr>
    </w:p>
    <w:p w14:paraId="58366955" w14:textId="77777777" w:rsidR="00DB19CE" w:rsidRDefault="00DB19CE" w:rsidP="00DB19CE">
      <w:pPr>
        <w:pStyle w:val="ListParagraph"/>
        <w:numPr>
          <w:ilvl w:val="0"/>
          <w:numId w:val="4"/>
        </w:numPr>
        <w:spacing w:line="360" w:lineRule="auto"/>
        <w:rPr>
          <w:rFonts w:cstheme="minorHAnsi"/>
          <w:sz w:val="24"/>
          <w:szCs w:val="24"/>
        </w:rPr>
      </w:pPr>
      <w:r w:rsidRPr="00DB19CE">
        <w:rPr>
          <w:rFonts w:cstheme="minorHAnsi"/>
          <w:sz w:val="24"/>
          <w:szCs w:val="24"/>
        </w:rPr>
        <w:t xml:space="preserve"> Primary, which includes original materials such as diaries, interviews, original research and court records.</w:t>
      </w:r>
    </w:p>
    <w:p w14:paraId="0617A675" w14:textId="77777777" w:rsidR="00DB19CE" w:rsidRDefault="00DB19CE" w:rsidP="00DB19CE">
      <w:pPr>
        <w:pStyle w:val="ListParagraph"/>
        <w:numPr>
          <w:ilvl w:val="0"/>
          <w:numId w:val="4"/>
        </w:numPr>
        <w:spacing w:line="360" w:lineRule="auto"/>
        <w:rPr>
          <w:rFonts w:cstheme="minorHAnsi"/>
          <w:sz w:val="24"/>
          <w:szCs w:val="24"/>
        </w:rPr>
      </w:pPr>
      <w:r w:rsidRPr="00DB19CE">
        <w:rPr>
          <w:rFonts w:cstheme="minorHAnsi"/>
          <w:sz w:val="24"/>
          <w:szCs w:val="24"/>
        </w:rPr>
        <w:t xml:space="preserve"> Secondary, which are those that analyse primary sources such as encyclopaedia’s and books or articles that interpret original research.</w:t>
      </w:r>
    </w:p>
    <w:p w14:paraId="60E1661B" w14:textId="77777777" w:rsidR="00DB19CE" w:rsidRDefault="00DB19CE" w:rsidP="00DB19CE">
      <w:pPr>
        <w:pStyle w:val="ListParagraph"/>
        <w:numPr>
          <w:ilvl w:val="0"/>
          <w:numId w:val="4"/>
        </w:numPr>
        <w:spacing w:line="360" w:lineRule="auto"/>
        <w:rPr>
          <w:rFonts w:cstheme="minorHAnsi"/>
          <w:sz w:val="24"/>
          <w:szCs w:val="24"/>
        </w:rPr>
      </w:pPr>
      <w:r w:rsidRPr="00DB19CE">
        <w:rPr>
          <w:rFonts w:cstheme="minorHAnsi"/>
          <w:sz w:val="24"/>
          <w:szCs w:val="24"/>
        </w:rPr>
        <w:lastRenderedPageBreak/>
        <w:t xml:space="preserve"> Tertiary</w:t>
      </w:r>
      <w:r>
        <w:rPr>
          <w:rFonts w:cstheme="minorHAnsi"/>
          <w:sz w:val="24"/>
          <w:szCs w:val="24"/>
        </w:rPr>
        <w:t>, which includes databases and indexes.</w:t>
      </w:r>
    </w:p>
    <w:p w14:paraId="6E036690" w14:textId="150E4CE5" w:rsidR="00DB19CE" w:rsidRPr="00DB19CE" w:rsidRDefault="00DB19CE" w:rsidP="00DB19CE">
      <w:pPr>
        <w:pStyle w:val="ListParagraph"/>
        <w:spacing w:line="360" w:lineRule="auto"/>
        <w:rPr>
          <w:rFonts w:cstheme="minorHAnsi"/>
          <w:sz w:val="24"/>
          <w:szCs w:val="24"/>
        </w:rPr>
      </w:pPr>
    </w:p>
    <w:p w14:paraId="7E331678" w14:textId="3D362C88" w:rsidR="00113497" w:rsidRDefault="00DB19CE" w:rsidP="00A71762">
      <w:pPr>
        <w:spacing w:line="360" w:lineRule="auto"/>
        <w:rPr>
          <w:rFonts w:cstheme="minorHAnsi"/>
          <w:sz w:val="24"/>
          <w:szCs w:val="24"/>
        </w:rPr>
      </w:pPr>
      <w:r w:rsidRPr="00A71762">
        <w:rPr>
          <w:rFonts w:cstheme="minorHAnsi"/>
          <w:sz w:val="24"/>
          <w:szCs w:val="24"/>
        </w:rPr>
        <w:t xml:space="preserve">Once </w:t>
      </w:r>
      <w:r w:rsidR="009F77A1" w:rsidRPr="00A71762">
        <w:rPr>
          <w:rFonts w:cstheme="minorHAnsi"/>
          <w:sz w:val="24"/>
          <w:szCs w:val="24"/>
        </w:rPr>
        <w:t>our</w:t>
      </w:r>
      <w:r w:rsidRPr="00A71762">
        <w:rPr>
          <w:rFonts w:cstheme="minorHAnsi"/>
          <w:sz w:val="24"/>
          <w:szCs w:val="24"/>
        </w:rPr>
        <w:t xml:space="preserve"> </w:t>
      </w:r>
      <w:r w:rsidR="009F77A1" w:rsidRPr="00A71762">
        <w:rPr>
          <w:rFonts w:cstheme="minorHAnsi"/>
          <w:sz w:val="24"/>
          <w:szCs w:val="24"/>
        </w:rPr>
        <w:t xml:space="preserve">resources </w:t>
      </w:r>
      <w:r w:rsidRPr="00A71762">
        <w:rPr>
          <w:rFonts w:cstheme="minorHAnsi"/>
          <w:sz w:val="24"/>
          <w:szCs w:val="24"/>
        </w:rPr>
        <w:t>have</w:t>
      </w:r>
      <w:r w:rsidR="009F77A1" w:rsidRPr="00A71762">
        <w:rPr>
          <w:rFonts w:cstheme="minorHAnsi"/>
          <w:sz w:val="24"/>
          <w:szCs w:val="24"/>
        </w:rPr>
        <w:t xml:space="preserve"> been</w:t>
      </w:r>
      <w:r w:rsidRPr="00A71762">
        <w:rPr>
          <w:rFonts w:cstheme="minorHAnsi"/>
          <w:sz w:val="24"/>
          <w:szCs w:val="24"/>
        </w:rPr>
        <w:t xml:space="preserve"> gathered, </w:t>
      </w:r>
      <w:r w:rsidR="009F77A1" w:rsidRPr="00A71762">
        <w:rPr>
          <w:rFonts w:cstheme="minorHAnsi"/>
          <w:sz w:val="24"/>
          <w:szCs w:val="24"/>
        </w:rPr>
        <w:t>they</w:t>
      </w:r>
      <w:r w:rsidRPr="00A71762">
        <w:rPr>
          <w:rFonts w:cstheme="minorHAnsi"/>
          <w:sz w:val="24"/>
          <w:szCs w:val="24"/>
        </w:rPr>
        <w:t xml:space="preserve"> must then </w:t>
      </w:r>
      <w:r w:rsidR="009F77A1" w:rsidRPr="00A71762">
        <w:rPr>
          <w:rFonts w:cstheme="minorHAnsi"/>
          <w:sz w:val="24"/>
          <w:szCs w:val="24"/>
        </w:rPr>
        <w:t>be evaluated</w:t>
      </w:r>
      <w:r w:rsidRPr="00A71762">
        <w:rPr>
          <w:rFonts w:cstheme="minorHAnsi"/>
          <w:sz w:val="24"/>
          <w:szCs w:val="24"/>
        </w:rPr>
        <w:t xml:space="preserve">. </w:t>
      </w:r>
      <w:r w:rsidR="009F77A1" w:rsidRPr="00A71762">
        <w:rPr>
          <w:rFonts w:cstheme="minorHAnsi"/>
          <w:sz w:val="24"/>
          <w:szCs w:val="24"/>
        </w:rPr>
        <w:t>Then you can</w:t>
      </w:r>
      <w:r w:rsidRPr="00A71762">
        <w:rPr>
          <w:rFonts w:cstheme="minorHAnsi"/>
          <w:sz w:val="24"/>
          <w:szCs w:val="24"/>
        </w:rPr>
        <w:t xml:space="preserve"> determine their usefulness and evaluate their credibility</w:t>
      </w:r>
      <w:r w:rsidR="000C4D8B" w:rsidRPr="00A71762">
        <w:rPr>
          <w:rFonts w:cstheme="minorHAnsi"/>
          <w:sz w:val="24"/>
          <w:szCs w:val="24"/>
        </w:rPr>
        <w:t xml:space="preserve"> (</w:t>
      </w:r>
      <w:proofErr w:type="spellStart"/>
      <w:r w:rsidR="000C4D8B" w:rsidRPr="00A71762">
        <w:rPr>
          <w:rFonts w:cstheme="minorHAnsi"/>
          <w:sz w:val="24"/>
          <w:szCs w:val="24"/>
        </w:rPr>
        <w:t>Ashikuzzaman</w:t>
      </w:r>
      <w:proofErr w:type="spellEnd"/>
      <w:r w:rsidR="000C4D8B" w:rsidRPr="00A71762">
        <w:rPr>
          <w:rFonts w:cstheme="minorHAnsi"/>
          <w:sz w:val="24"/>
          <w:szCs w:val="24"/>
        </w:rPr>
        <w:t>, 2016).</w:t>
      </w:r>
      <w:r w:rsidRPr="00A71762">
        <w:rPr>
          <w:rFonts w:cstheme="minorHAnsi"/>
          <w:sz w:val="24"/>
          <w:szCs w:val="24"/>
        </w:rPr>
        <w:t xml:space="preserve"> Once </w:t>
      </w:r>
      <w:r w:rsidR="00BB3222" w:rsidRPr="00A71762">
        <w:rPr>
          <w:rFonts w:cstheme="minorHAnsi"/>
          <w:sz w:val="24"/>
          <w:szCs w:val="24"/>
        </w:rPr>
        <w:t>all</w:t>
      </w:r>
      <w:r w:rsidRPr="00A71762">
        <w:rPr>
          <w:rFonts w:cstheme="minorHAnsi"/>
          <w:sz w:val="24"/>
          <w:szCs w:val="24"/>
        </w:rPr>
        <w:t xml:space="preserve"> these steps have been completed, </w:t>
      </w:r>
      <w:r w:rsidR="00217605" w:rsidRPr="00A71762">
        <w:rPr>
          <w:rFonts w:cstheme="minorHAnsi"/>
          <w:sz w:val="24"/>
          <w:szCs w:val="24"/>
        </w:rPr>
        <w:t>we can then use our resources to begin our academic research.</w:t>
      </w:r>
      <w:r w:rsidRPr="00A71762">
        <w:rPr>
          <w:rFonts w:cstheme="minorHAnsi"/>
          <w:sz w:val="24"/>
          <w:szCs w:val="24"/>
        </w:rPr>
        <w:t xml:space="preserve"> </w:t>
      </w:r>
    </w:p>
    <w:p w14:paraId="6257203E" w14:textId="437CC543" w:rsidR="00134DA3" w:rsidRDefault="00134DA3" w:rsidP="00A71762">
      <w:pPr>
        <w:spacing w:line="360" w:lineRule="auto"/>
        <w:rPr>
          <w:rFonts w:cstheme="minorHAnsi"/>
          <w:sz w:val="24"/>
          <w:szCs w:val="24"/>
        </w:rPr>
      </w:pPr>
    </w:p>
    <w:p w14:paraId="72FB7817" w14:textId="4A0EF90A" w:rsidR="00255E84" w:rsidRPr="00A71762" w:rsidRDefault="00255E84" w:rsidP="00A71762">
      <w:pPr>
        <w:spacing w:line="360" w:lineRule="auto"/>
        <w:rPr>
          <w:rFonts w:cstheme="minorHAnsi"/>
          <w:b/>
          <w:sz w:val="24"/>
          <w:szCs w:val="24"/>
        </w:rPr>
      </w:pPr>
      <w:r w:rsidRPr="00A71762">
        <w:rPr>
          <w:rFonts w:cstheme="minorHAnsi"/>
          <w:b/>
          <w:sz w:val="24"/>
          <w:szCs w:val="24"/>
        </w:rPr>
        <w:t>References/Bibliography</w:t>
      </w:r>
    </w:p>
    <w:p w14:paraId="0DD3AA98" w14:textId="77777777" w:rsidR="000C4D8B" w:rsidRPr="00A71762" w:rsidRDefault="000C4D8B" w:rsidP="00A71762">
      <w:pPr>
        <w:spacing w:line="360" w:lineRule="auto"/>
        <w:rPr>
          <w:rFonts w:cstheme="minorHAnsi"/>
          <w:sz w:val="24"/>
          <w:szCs w:val="24"/>
        </w:rPr>
      </w:pPr>
      <w:proofErr w:type="spellStart"/>
      <w:r w:rsidRPr="00A71762">
        <w:rPr>
          <w:rFonts w:cstheme="minorHAnsi"/>
          <w:sz w:val="24"/>
          <w:szCs w:val="24"/>
        </w:rPr>
        <w:t>Ashikuzzaman</w:t>
      </w:r>
      <w:proofErr w:type="spellEnd"/>
      <w:r w:rsidRPr="00A71762">
        <w:rPr>
          <w:rFonts w:cstheme="minorHAnsi"/>
          <w:sz w:val="24"/>
          <w:szCs w:val="24"/>
        </w:rPr>
        <w:t xml:space="preserve">, Md. (2016) </w:t>
      </w:r>
      <w:r w:rsidRPr="00A71762">
        <w:rPr>
          <w:rFonts w:cstheme="minorHAnsi"/>
          <w:i/>
          <w:sz w:val="24"/>
          <w:szCs w:val="24"/>
        </w:rPr>
        <w:t>Types of Information Sources.</w:t>
      </w:r>
      <w:r w:rsidRPr="00A71762">
        <w:rPr>
          <w:rFonts w:cstheme="minorHAnsi"/>
          <w:sz w:val="24"/>
          <w:szCs w:val="24"/>
        </w:rPr>
        <w:t xml:space="preserve"> Available at: </w:t>
      </w:r>
      <w:hyperlink r:id="rId5" w:history="1">
        <w:r w:rsidRPr="00A71762">
          <w:rPr>
            <w:rStyle w:val="Hyperlink"/>
            <w:rFonts w:cstheme="minorHAnsi"/>
            <w:sz w:val="24"/>
            <w:szCs w:val="24"/>
          </w:rPr>
          <w:t>www.lisbdnet.com/types-information-sources/</w:t>
        </w:r>
      </w:hyperlink>
      <w:r w:rsidRPr="00A71762">
        <w:rPr>
          <w:rFonts w:cstheme="minorHAnsi"/>
          <w:sz w:val="24"/>
          <w:szCs w:val="24"/>
        </w:rPr>
        <w:t xml:space="preserve"> (Accessed 14</w:t>
      </w:r>
      <w:r w:rsidRPr="00A71762">
        <w:rPr>
          <w:rFonts w:cstheme="minorHAnsi"/>
          <w:sz w:val="24"/>
          <w:szCs w:val="24"/>
          <w:vertAlign w:val="superscript"/>
        </w:rPr>
        <w:t>th</w:t>
      </w:r>
      <w:r w:rsidRPr="00A71762">
        <w:rPr>
          <w:rFonts w:cstheme="minorHAnsi"/>
          <w:sz w:val="24"/>
          <w:szCs w:val="24"/>
        </w:rPr>
        <w:t xml:space="preserve"> October 2018)</w:t>
      </w:r>
    </w:p>
    <w:p w14:paraId="3B74E075" w14:textId="3209FCA1" w:rsidR="000C4D8B" w:rsidRDefault="000C4D8B" w:rsidP="00255E84">
      <w:pPr>
        <w:pStyle w:val="ListParagraph"/>
        <w:spacing w:line="360" w:lineRule="auto"/>
        <w:rPr>
          <w:rFonts w:cstheme="minorHAnsi"/>
          <w:b/>
          <w:sz w:val="24"/>
          <w:szCs w:val="24"/>
        </w:rPr>
      </w:pPr>
    </w:p>
    <w:p w14:paraId="1F3CB093" w14:textId="426E91E0" w:rsidR="000C4D8B" w:rsidRPr="00A71762" w:rsidRDefault="000C4D8B" w:rsidP="00A71762">
      <w:pPr>
        <w:spacing w:line="360" w:lineRule="auto"/>
        <w:rPr>
          <w:rFonts w:cstheme="minorHAnsi"/>
          <w:sz w:val="24"/>
          <w:szCs w:val="24"/>
        </w:rPr>
      </w:pPr>
      <w:proofErr w:type="spellStart"/>
      <w:r w:rsidRPr="00A71762">
        <w:rPr>
          <w:rFonts w:cstheme="minorHAnsi"/>
          <w:sz w:val="24"/>
          <w:szCs w:val="24"/>
        </w:rPr>
        <w:t>Jerman</w:t>
      </w:r>
      <w:proofErr w:type="spellEnd"/>
      <w:r w:rsidRPr="00A71762">
        <w:rPr>
          <w:rFonts w:cstheme="minorHAnsi"/>
          <w:sz w:val="24"/>
          <w:szCs w:val="24"/>
        </w:rPr>
        <w:t xml:space="preserve">, B. (2012) </w:t>
      </w:r>
      <w:r w:rsidRPr="00A71762">
        <w:rPr>
          <w:rFonts w:cstheme="minorHAnsi"/>
          <w:i/>
          <w:sz w:val="24"/>
          <w:szCs w:val="24"/>
        </w:rPr>
        <w:t>When to Quote and When to Paraphrase</w:t>
      </w:r>
      <w:r w:rsidRPr="00A71762">
        <w:rPr>
          <w:rFonts w:cstheme="minorHAnsi"/>
          <w:sz w:val="24"/>
          <w:szCs w:val="24"/>
        </w:rPr>
        <w:t xml:space="preserve">. Available at: </w:t>
      </w:r>
      <w:hyperlink r:id="rId6" w:history="1">
        <w:r w:rsidRPr="00A71762">
          <w:rPr>
            <w:rStyle w:val="Hyperlink"/>
            <w:rFonts w:cstheme="minorHAnsi"/>
            <w:sz w:val="24"/>
            <w:szCs w:val="24"/>
          </w:rPr>
          <w:t>https://writingcommons.org/open-text/research-methods-methodologies/intergrate-evidence/summarize-paraphrase-sources/692-when-to-quote-and-when-to-paraphrase</w:t>
        </w:r>
      </w:hyperlink>
      <w:r w:rsidRPr="00A71762">
        <w:rPr>
          <w:rFonts w:cstheme="minorHAnsi"/>
          <w:sz w:val="24"/>
          <w:szCs w:val="24"/>
        </w:rPr>
        <w:t xml:space="preserve"> (Accessed 14th October 2018)</w:t>
      </w:r>
    </w:p>
    <w:p w14:paraId="26DF2601" w14:textId="77777777" w:rsidR="000C4D8B" w:rsidRDefault="000C4D8B" w:rsidP="000C4D8B">
      <w:pPr>
        <w:pStyle w:val="ListParagraph"/>
        <w:spacing w:line="360" w:lineRule="auto"/>
        <w:rPr>
          <w:rFonts w:cstheme="minorHAnsi"/>
          <w:sz w:val="24"/>
          <w:szCs w:val="24"/>
        </w:rPr>
      </w:pPr>
    </w:p>
    <w:p w14:paraId="59C1AFDB" w14:textId="77777777" w:rsidR="000C4D8B" w:rsidRPr="00A71762" w:rsidRDefault="000C4D8B" w:rsidP="00A71762">
      <w:pPr>
        <w:spacing w:line="360" w:lineRule="auto"/>
        <w:rPr>
          <w:rFonts w:cstheme="minorHAnsi"/>
          <w:sz w:val="24"/>
          <w:szCs w:val="24"/>
        </w:rPr>
      </w:pPr>
      <w:r w:rsidRPr="00A71762">
        <w:rPr>
          <w:rFonts w:cstheme="minorHAnsi"/>
          <w:sz w:val="24"/>
          <w:szCs w:val="24"/>
        </w:rPr>
        <w:t xml:space="preserve">Moran, M.E. (2017) </w:t>
      </w:r>
      <w:r w:rsidRPr="00A71762">
        <w:rPr>
          <w:rFonts w:cstheme="minorHAnsi"/>
          <w:i/>
          <w:sz w:val="24"/>
          <w:szCs w:val="24"/>
        </w:rPr>
        <w:t xml:space="preserve">The Top 10 Reasons Students Cannot Cite or Rely </w:t>
      </w:r>
      <w:proofErr w:type="gramStart"/>
      <w:r w:rsidRPr="00A71762">
        <w:rPr>
          <w:rFonts w:cstheme="minorHAnsi"/>
          <w:i/>
          <w:sz w:val="24"/>
          <w:szCs w:val="24"/>
        </w:rPr>
        <w:t>On</w:t>
      </w:r>
      <w:proofErr w:type="gramEnd"/>
      <w:r w:rsidRPr="00A71762">
        <w:rPr>
          <w:rFonts w:cstheme="minorHAnsi"/>
          <w:i/>
          <w:sz w:val="24"/>
          <w:szCs w:val="24"/>
        </w:rPr>
        <w:t xml:space="preserve"> Wikipedia</w:t>
      </w:r>
      <w:r w:rsidRPr="00A71762">
        <w:rPr>
          <w:rFonts w:cstheme="minorHAnsi"/>
          <w:sz w:val="24"/>
          <w:szCs w:val="24"/>
        </w:rPr>
        <w:t xml:space="preserve">. Available at: </w:t>
      </w:r>
      <w:hyperlink r:id="rId7" w:history="1">
        <w:r w:rsidRPr="00A71762">
          <w:rPr>
            <w:rStyle w:val="Hyperlink"/>
            <w:rFonts w:cstheme="minorHAnsi"/>
            <w:sz w:val="24"/>
            <w:szCs w:val="24"/>
          </w:rPr>
          <w:t>www.findingulcinea.com/news/education/2010/march/The-Top-10-Reasons-Students-Cannot-Cite-or-Rely-On-Wikipedia.html</w:t>
        </w:r>
      </w:hyperlink>
      <w:r w:rsidRPr="00A71762">
        <w:rPr>
          <w:rFonts w:cstheme="minorHAnsi"/>
          <w:sz w:val="24"/>
          <w:szCs w:val="24"/>
        </w:rPr>
        <w:t xml:space="preserve"> (Accessed: 14</w:t>
      </w:r>
      <w:r w:rsidRPr="00A71762">
        <w:rPr>
          <w:rFonts w:cstheme="minorHAnsi"/>
          <w:sz w:val="24"/>
          <w:szCs w:val="24"/>
          <w:vertAlign w:val="superscript"/>
        </w:rPr>
        <w:t>th</w:t>
      </w:r>
      <w:r w:rsidRPr="00A71762">
        <w:rPr>
          <w:rFonts w:cstheme="minorHAnsi"/>
          <w:sz w:val="24"/>
          <w:szCs w:val="24"/>
        </w:rPr>
        <w:t xml:space="preserve"> October 2018)</w:t>
      </w:r>
    </w:p>
    <w:p w14:paraId="442D770B" w14:textId="77777777" w:rsidR="000C4D8B" w:rsidRDefault="000C4D8B" w:rsidP="00255E84">
      <w:pPr>
        <w:pStyle w:val="ListParagraph"/>
        <w:spacing w:line="360" w:lineRule="auto"/>
        <w:rPr>
          <w:rFonts w:cstheme="minorHAnsi"/>
          <w:b/>
          <w:sz w:val="24"/>
          <w:szCs w:val="24"/>
        </w:rPr>
      </w:pPr>
    </w:p>
    <w:p w14:paraId="60983A42" w14:textId="10271332" w:rsidR="00255E84" w:rsidRDefault="00242781" w:rsidP="00A71762">
      <w:pPr>
        <w:spacing w:line="360" w:lineRule="auto"/>
        <w:rPr>
          <w:rFonts w:cstheme="minorHAnsi"/>
          <w:sz w:val="24"/>
          <w:szCs w:val="24"/>
        </w:rPr>
      </w:pPr>
      <w:r w:rsidRPr="00A71762">
        <w:rPr>
          <w:rFonts w:cstheme="minorHAnsi"/>
          <w:sz w:val="24"/>
          <w:szCs w:val="24"/>
        </w:rPr>
        <w:t xml:space="preserve">The Writing </w:t>
      </w:r>
      <w:proofErr w:type="spellStart"/>
      <w:r w:rsidRPr="00A71762">
        <w:rPr>
          <w:rFonts w:cstheme="minorHAnsi"/>
          <w:sz w:val="24"/>
          <w:szCs w:val="24"/>
        </w:rPr>
        <w:t>Center</w:t>
      </w:r>
      <w:proofErr w:type="spellEnd"/>
      <w:r w:rsidRPr="00A71762">
        <w:rPr>
          <w:rFonts w:cstheme="minorHAnsi"/>
          <w:sz w:val="24"/>
          <w:szCs w:val="24"/>
        </w:rPr>
        <w:t xml:space="preserve"> (2018) </w:t>
      </w:r>
      <w:r w:rsidRPr="00A71762">
        <w:rPr>
          <w:rFonts w:cstheme="minorHAnsi"/>
          <w:i/>
          <w:sz w:val="24"/>
          <w:szCs w:val="24"/>
        </w:rPr>
        <w:t>Quotations</w:t>
      </w:r>
      <w:r w:rsidRPr="00A71762">
        <w:rPr>
          <w:rFonts w:cstheme="minorHAnsi"/>
          <w:sz w:val="24"/>
          <w:szCs w:val="24"/>
        </w:rPr>
        <w:t xml:space="preserve">. Available at: </w:t>
      </w:r>
      <w:hyperlink r:id="rId8" w:history="1">
        <w:r w:rsidRPr="00A71762">
          <w:rPr>
            <w:rStyle w:val="Hyperlink"/>
            <w:rFonts w:cstheme="minorHAnsi"/>
            <w:sz w:val="24"/>
            <w:szCs w:val="24"/>
          </w:rPr>
          <w:t>https://writingcenter.unc.edu/tips-and-tools/quotations/</w:t>
        </w:r>
      </w:hyperlink>
      <w:r w:rsidRPr="00A71762">
        <w:rPr>
          <w:rFonts w:cstheme="minorHAnsi"/>
          <w:sz w:val="24"/>
          <w:szCs w:val="24"/>
        </w:rPr>
        <w:t xml:space="preserve"> (Accessed: 14</w:t>
      </w:r>
      <w:r w:rsidRPr="00A71762">
        <w:rPr>
          <w:rFonts w:cstheme="minorHAnsi"/>
          <w:sz w:val="24"/>
          <w:szCs w:val="24"/>
          <w:vertAlign w:val="superscript"/>
        </w:rPr>
        <w:t>th</w:t>
      </w:r>
      <w:r w:rsidRPr="00A71762">
        <w:rPr>
          <w:rFonts w:cstheme="minorHAnsi"/>
          <w:sz w:val="24"/>
          <w:szCs w:val="24"/>
        </w:rPr>
        <w:t xml:space="preserve"> October 2018)</w:t>
      </w:r>
    </w:p>
    <w:p w14:paraId="46181DCF" w14:textId="263C7454" w:rsidR="007E01FD" w:rsidRDefault="007E01FD" w:rsidP="00A71762">
      <w:pPr>
        <w:spacing w:line="360" w:lineRule="auto"/>
        <w:rPr>
          <w:rFonts w:cstheme="minorHAnsi"/>
          <w:sz w:val="24"/>
          <w:szCs w:val="24"/>
        </w:rPr>
      </w:pPr>
    </w:p>
    <w:p w14:paraId="78478418" w14:textId="6AA374CB" w:rsidR="007E01FD" w:rsidRDefault="007E01FD" w:rsidP="00A71762">
      <w:pPr>
        <w:spacing w:line="360" w:lineRule="auto"/>
        <w:rPr>
          <w:rFonts w:cstheme="minorHAnsi"/>
          <w:sz w:val="24"/>
          <w:szCs w:val="24"/>
        </w:rPr>
      </w:pPr>
    </w:p>
    <w:p w14:paraId="1BC47520" w14:textId="77777777" w:rsidR="007E01FD" w:rsidRDefault="007E01FD" w:rsidP="00A71762">
      <w:pPr>
        <w:spacing w:line="360" w:lineRule="auto"/>
        <w:rPr>
          <w:rFonts w:cstheme="minorHAnsi"/>
          <w:sz w:val="24"/>
          <w:szCs w:val="24"/>
        </w:rPr>
      </w:pPr>
    </w:p>
    <w:p w14:paraId="4F4016A4" w14:textId="77777777" w:rsidR="00E3173F" w:rsidRDefault="00E3173F" w:rsidP="00A71762">
      <w:pPr>
        <w:spacing w:line="360" w:lineRule="auto"/>
        <w:rPr>
          <w:rFonts w:cstheme="minorHAnsi"/>
          <w:sz w:val="24"/>
          <w:szCs w:val="24"/>
        </w:rPr>
      </w:pPr>
    </w:p>
    <w:p w14:paraId="2FC79C1D" w14:textId="77777777" w:rsidR="00E3173F" w:rsidRDefault="00E3173F" w:rsidP="00E3173F">
      <w:pPr>
        <w:spacing w:line="360" w:lineRule="auto"/>
        <w:rPr>
          <w:rFonts w:cstheme="minorHAnsi"/>
          <w:sz w:val="24"/>
          <w:szCs w:val="24"/>
        </w:rPr>
      </w:pPr>
      <w:r>
        <w:rPr>
          <w:rFonts w:cstheme="minorHAnsi"/>
          <w:b/>
          <w:sz w:val="24"/>
          <w:szCs w:val="24"/>
          <w:u w:val="single"/>
        </w:rPr>
        <w:lastRenderedPageBreak/>
        <w:t>Part 3</w:t>
      </w:r>
    </w:p>
    <w:p w14:paraId="17BCBFF5" w14:textId="5ACE1D3F" w:rsidR="00E3173F" w:rsidRDefault="00E3173F" w:rsidP="00E3173F">
      <w:pPr>
        <w:spacing w:line="360" w:lineRule="auto"/>
        <w:rPr>
          <w:rFonts w:cstheme="minorHAnsi"/>
          <w:sz w:val="24"/>
          <w:szCs w:val="24"/>
        </w:rPr>
      </w:pPr>
      <w:r>
        <w:rPr>
          <w:rFonts w:cstheme="minorHAnsi"/>
          <w:sz w:val="24"/>
          <w:szCs w:val="24"/>
        </w:rPr>
        <w:t xml:space="preserve">This essay will be addressing, ‘Yes, but…’: rhetoric, reality and resistance in teaching assistants’ experiences of inclusive education (Mackenzie, 2011, p.64). </w:t>
      </w:r>
      <w:r w:rsidR="00980E19">
        <w:rPr>
          <w:rFonts w:cstheme="minorHAnsi"/>
          <w:sz w:val="24"/>
          <w:szCs w:val="24"/>
        </w:rPr>
        <w:t xml:space="preserve"> The article focuses on looking at the views and opinions of teaching assistants (TAs) through a method of interviews. It aims to research and examine experiences of TAs within inclusive education settings</w:t>
      </w:r>
      <w:r w:rsidR="007E01FD">
        <w:rPr>
          <w:rFonts w:cstheme="minorHAnsi"/>
          <w:sz w:val="24"/>
          <w:szCs w:val="24"/>
        </w:rPr>
        <w:t xml:space="preserve"> and how their role within the classroom has affect on their background. </w:t>
      </w:r>
    </w:p>
    <w:p w14:paraId="3044E4D0" w14:textId="548BCC84" w:rsidR="007E01FD" w:rsidRDefault="007E01FD" w:rsidP="00E3173F">
      <w:pPr>
        <w:spacing w:line="360" w:lineRule="auto"/>
        <w:rPr>
          <w:rFonts w:cstheme="minorHAnsi"/>
          <w:sz w:val="24"/>
          <w:szCs w:val="24"/>
        </w:rPr>
      </w:pPr>
      <w:r>
        <w:rPr>
          <w:rFonts w:cstheme="minorHAnsi"/>
          <w:sz w:val="24"/>
          <w:szCs w:val="24"/>
        </w:rPr>
        <w:t xml:space="preserve">It is seen throughout the article, within the interview sections, that the main finding is the TAs are having to overcome many barriers to feel happy within their role. These range from finding it difficult to work with teachers, finding the job role stressful and having to overcome physical and emotional demands. </w:t>
      </w:r>
    </w:p>
    <w:p w14:paraId="1231D313" w14:textId="17C62804" w:rsidR="00A77A6C" w:rsidRDefault="00667F9A" w:rsidP="00E3173F">
      <w:pPr>
        <w:spacing w:line="360" w:lineRule="auto"/>
        <w:rPr>
          <w:rStyle w:val="Emphasis"/>
          <w:rFonts w:cstheme="minorHAnsi"/>
          <w:i w:val="0"/>
          <w:color w:val="333333"/>
          <w:sz w:val="24"/>
          <w:szCs w:val="24"/>
          <w:shd w:val="clear" w:color="auto" w:fill="FFFFFF"/>
        </w:rPr>
      </w:pPr>
      <w:r>
        <w:rPr>
          <w:rFonts w:cstheme="minorHAnsi"/>
          <w:sz w:val="24"/>
          <w:szCs w:val="24"/>
        </w:rPr>
        <w:t xml:space="preserve">The use of paragraphs is used widely and regularly throughout the article. This gives the article a good structure and is appealing to look at and makes it easy to read. </w:t>
      </w:r>
      <w:r w:rsidR="00A9233A" w:rsidRPr="00A9233A">
        <w:rPr>
          <w:rFonts w:cstheme="minorHAnsi"/>
          <w:i/>
          <w:sz w:val="24"/>
          <w:szCs w:val="24"/>
        </w:rPr>
        <w:t>(</w:t>
      </w:r>
      <w:proofErr w:type="spellStart"/>
      <w:r w:rsidR="00A9233A" w:rsidRPr="00A9233A">
        <w:rPr>
          <w:rStyle w:val="Emphasis"/>
          <w:rFonts w:cstheme="minorHAnsi"/>
          <w:i w:val="0"/>
          <w:color w:val="333333"/>
          <w:sz w:val="24"/>
          <w:szCs w:val="24"/>
          <w:shd w:val="clear" w:color="auto" w:fill="FFFFFF"/>
        </w:rPr>
        <w:t>Sarzhoska-Georgievska</w:t>
      </w:r>
      <w:proofErr w:type="spellEnd"/>
      <w:r w:rsidR="00A9233A" w:rsidRPr="00A9233A">
        <w:rPr>
          <w:rStyle w:val="Emphasis"/>
          <w:rFonts w:cstheme="minorHAnsi"/>
          <w:i w:val="0"/>
          <w:color w:val="333333"/>
          <w:sz w:val="24"/>
          <w:szCs w:val="24"/>
          <w:shd w:val="clear" w:color="auto" w:fill="FFFFFF"/>
        </w:rPr>
        <w:t>, 2016, p21)</w:t>
      </w:r>
      <w:r w:rsidR="00A9233A">
        <w:rPr>
          <w:rStyle w:val="Emphasis"/>
          <w:rFonts w:cstheme="minorHAnsi"/>
          <w:i w:val="0"/>
          <w:color w:val="333333"/>
          <w:sz w:val="24"/>
          <w:szCs w:val="24"/>
          <w:shd w:val="clear" w:color="auto" w:fill="FFFFFF"/>
        </w:rPr>
        <w:t xml:space="preserve"> states that paragraphs must begin with a topic sentence and end with a sentence which helps towards the transition which will lead on to the next. </w:t>
      </w:r>
      <w:r w:rsidR="00E75962">
        <w:rPr>
          <w:rStyle w:val="Emphasis"/>
          <w:rFonts w:cstheme="minorHAnsi"/>
          <w:i w:val="0"/>
          <w:color w:val="333333"/>
          <w:sz w:val="24"/>
          <w:szCs w:val="24"/>
          <w:shd w:val="clear" w:color="auto" w:fill="FFFFFF"/>
        </w:rPr>
        <w:t xml:space="preserve">Paragraphs were kept to a good length and even throughout. </w:t>
      </w:r>
      <w:r w:rsidR="00E068DC">
        <w:rPr>
          <w:rStyle w:val="Emphasis"/>
          <w:rFonts w:cstheme="minorHAnsi"/>
          <w:i w:val="0"/>
          <w:color w:val="333333"/>
          <w:sz w:val="24"/>
          <w:szCs w:val="24"/>
          <w:shd w:val="clear" w:color="auto" w:fill="FFFFFF"/>
        </w:rPr>
        <w:t xml:space="preserve">Upon reviewing the article, it appeared that there were no statistics or use of numbers throughout. </w:t>
      </w:r>
    </w:p>
    <w:p w14:paraId="27F9E2B8" w14:textId="7CCF2685" w:rsidR="00E068DC" w:rsidRDefault="00E068DC" w:rsidP="00E3173F">
      <w:pPr>
        <w:spacing w:line="360" w:lineRule="auto"/>
        <w:rPr>
          <w:rFonts w:cstheme="minorHAnsi"/>
          <w:sz w:val="24"/>
          <w:szCs w:val="24"/>
        </w:rPr>
      </w:pPr>
      <w:r>
        <w:rPr>
          <w:rFonts w:cstheme="minorHAnsi"/>
          <w:sz w:val="24"/>
          <w:szCs w:val="24"/>
        </w:rPr>
        <w:t xml:space="preserve">In certain aspects of the article, such as the interview sections, informal language is used throughout. The article aims to give accurate and true information which has come directly from the </w:t>
      </w:r>
      <w:proofErr w:type="spellStart"/>
      <w:r>
        <w:rPr>
          <w:rFonts w:cstheme="minorHAnsi"/>
          <w:sz w:val="24"/>
          <w:szCs w:val="24"/>
        </w:rPr>
        <w:t>TAs.</w:t>
      </w:r>
      <w:proofErr w:type="spellEnd"/>
      <w:r>
        <w:rPr>
          <w:rFonts w:cstheme="minorHAnsi"/>
          <w:sz w:val="24"/>
          <w:szCs w:val="24"/>
        </w:rPr>
        <w:t xml:space="preserve"> Through this method, we get an experience throughout the article that</w:t>
      </w:r>
      <w:r w:rsidR="005F5315">
        <w:rPr>
          <w:rFonts w:cstheme="minorHAnsi"/>
          <w:sz w:val="24"/>
          <w:szCs w:val="24"/>
        </w:rPr>
        <w:t xml:space="preserve"> you feel empathy for the </w:t>
      </w:r>
      <w:proofErr w:type="spellStart"/>
      <w:r w:rsidR="005F5315">
        <w:rPr>
          <w:rFonts w:cstheme="minorHAnsi"/>
          <w:sz w:val="24"/>
          <w:szCs w:val="24"/>
        </w:rPr>
        <w:t>TAs.</w:t>
      </w:r>
      <w:proofErr w:type="spellEnd"/>
      <w:r w:rsidR="00013DD1">
        <w:rPr>
          <w:rFonts w:cstheme="minorHAnsi"/>
          <w:sz w:val="24"/>
          <w:szCs w:val="24"/>
        </w:rPr>
        <w:t xml:space="preserve"> Without this method of research and expression, it would become insufficient research.</w:t>
      </w:r>
      <w:r w:rsidR="005F5315">
        <w:rPr>
          <w:rFonts w:cstheme="minorHAnsi"/>
          <w:sz w:val="24"/>
          <w:szCs w:val="24"/>
        </w:rPr>
        <w:t xml:space="preserve"> Aside from the interview sections, the article poses very formal language. There is good use of persuasive language, especially within the headings of the interviews. By giving negative quotes from the TAs within their headings, this helps towards persuading the readers towards their thoughts and views and those of the TAs themselves. </w:t>
      </w:r>
      <w:r w:rsidR="00B33CBA">
        <w:rPr>
          <w:rFonts w:cstheme="minorHAnsi"/>
          <w:sz w:val="24"/>
          <w:szCs w:val="24"/>
        </w:rPr>
        <w:t xml:space="preserve">Due to the nature of the interview sections, there is a popular use of subjective language. With these emotional and strong comments, this again helps to feel empathetic towards the TAs and agree with their views and opinions without analytically thinking before making judgement. </w:t>
      </w:r>
      <w:r w:rsidR="00BB1E92">
        <w:rPr>
          <w:rFonts w:cstheme="minorHAnsi"/>
          <w:sz w:val="24"/>
          <w:szCs w:val="24"/>
        </w:rPr>
        <w:t xml:space="preserve"> </w:t>
      </w:r>
    </w:p>
    <w:p w14:paraId="6331C5B3" w14:textId="18DE967B" w:rsidR="00013DD1" w:rsidRDefault="00F467B4" w:rsidP="00013DD1">
      <w:pPr>
        <w:spacing w:line="360" w:lineRule="auto"/>
        <w:ind w:left="720"/>
        <w:rPr>
          <w:sz w:val="24"/>
        </w:rPr>
      </w:pPr>
      <w:r w:rsidRPr="00EC3D5D">
        <w:rPr>
          <w:sz w:val="24"/>
        </w:rPr>
        <w:lastRenderedPageBreak/>
        <w:t>Figurative language, irony and sarcasm (allusions), recounting anecdotes and rhetorical questions are among the most rhetorical devices which can significantly be employed to (re)produce a persuasive discourse.</w:t>
      </w:r>
      <w:r w:rsidR="00EC3D5D" w:rsidRPr="00EC3D5D">
        <w:rPr>
          <w:sz w:val="24"/>
        </w:rPr>
        <w:t xml:space="preserve"> (El-Sharif, 2016</w:t>
      </w:r>
      <w:r w:rsidR="00F77F76">
        <w:rPr>
          <w:sz w:val="24"/>
        </w:rPr>
        <w:t xml:space="preserve"> p. 102</w:t>
      </w:r>
      <w:r w:rsidR="00EC3D5D" w:rsidRPr="00EC3D5D">
        <w:rPr>
          <w:sz w:val="24"/>
        </w:rPr>
        <w:t>)</w:t>
      </w:r>
    </w:p>
    <w:p w14:paraId="5D778AD5" w14:textId="77777777" w:rsidR="00013DD1" w:rsidRPr="00013DD1" w:rsidRDefault="00013DD1" w:rsidP="00013DD1">
      <w:pPr>
        <w:spacing w:line="360" w:lineRule="auto"/>
        <w:rPr>
          <w:sz w:val="24"/>
        </w:rPr>
      </w:pPr>
    </w:p>
    <w:p w14:paraId="0C2F7937" w14:textId="267EF7C5" w:rsidR="00667F9A" w:rsidRDefault="00013DD1" w:rsidP="00E3173F">
      <w:pPr>
        <w:spacing w:line="360" w:lineRule="auto"/>
        <w:rPr>
          <w:rFonts w:cstheme="minorHAnsi"/>
          <w:sz w:val="24"/>
          <w:szCs w:val="24"/>
        </w:rPr>
      </w:pPr>
      <w:r>
        <w:rPr>
          <w:rFonts w:cstheme="minorHAnsi"/>
          <w:sz w:val="24"/>
          <w:szCs w:val="24"/>
        </w:rPr>
        <w:t xml:space="preserve">Within the article most TAs interviewed are either unhappy or have many issues within their role. </w:t>
      </w:r>
      <w:r w:rsidR="00A0793A">
        <w:rPr>
          <w:rFonts w:cstheme="minorHAnsi"/>
          <w:sz w:val="24"/>
          <w:szCs w:val="24"/>
        </w:rPr>
        <w:t xml:space="preserve">A main problem which was a common topic was TAs believed they were being used more frequently for medical needs as opposed to academic needs. </w:t>
      </w:r>
      <w:r>
        <w:rPr>
          <w:rFonts w:cstheme="minorHAnsi"/>
          <w:sz w:val="24"/>
          <w:szCs w:val="24"/>
        </w:rPr>
        <w:t xml:space="preserve">This is stated directly from the </w:t>
      </w:r>
      <w:r w:rsidR="00BB1E92">
        <w:rPr>
          <w:rFonts w:cstheme="minorHAnsi"/>
          <w:sz w:val="24"/>
          <w:szCs w:val="24"/>
        </w:rPr>
        <w:t>TAs;</w:t>
      </w:r>
      <w:r w:rsidR="006E3F89">
        <w:rPr>
          <w:rFonts w:cstheme="minorHAnsi"/>
          <w:sz w:val="24"/>
          <w:szCs w:val="24"/>
        </w:rPr>
        <w:t xml:space="preserve"> </w:t>
      </w:r>
      <w:r w:rsidR="00BB1E92">
        <w:rPr>
          <w:rFonts w:cstheme="minorHAnsi"/>
          <w:sz w:val="24"/>
          <w:szCs w:val="24"/>
        </w:rPr>
        <w:t>however,</w:t>
      </w:r>
      <w:r w:rsidR="006E3F89">
        <w:rPr>
          <w:rFonts w:cstheme="minorHAnsi"/>
          <w:sz w:val="24"/>
          <w:szCs w:val="24"/>
        </w:rPr>
        <w:t xml:space="preserve"> they also state that there </w:t>
      </w:r>
      <w:r w:rsidR="00BB1E92">
        <w:rPr>
          <w:rFonts w:cstheme="minorHAnsi"/>
          <w:sz w:val="24"/>
          <w:szCs w:val="24"/>
        </w:rPr>
        <w:t>are</w:t>
      </w:r>
      <w:r w:rsidR="006E3F89">
        <w:rPr>
          <w:rFonts w:cstheme="minorHAnsi"/>
          <w:sz w:val="24"/>
          <w:szCs w:val="24"/>
        </w:rPr>
        <w:t xml:space="preserve"> many aspects of their job which they are enthralled with.</w:t>
      </w:r>
      <w:r w:rsidR="00A0793A">
        <w:rPr>
          <w:rFonts w:cstheme="minorHAnsi"/>
          <w:sz w:val="24"/>
          <w:szCs w:val="24"/>
        </w:rPr>
        <w:t xml:space="preserve"> </w:t>
      </w:r>
      <w:r w:rsidR="00643122">
        <w:rPr>
          <w:rFonts w:cstheme="minorHAnsi"/>
          <w:sz w:val="24"/>
          <w:szCs w:val="24"/>
        </w:rPr>
        <w:t xml:space="preserve">The TAs in discussion are all based within schools in east London. It is stated that TAs in other studies have had more positive impressions of classroom cohesion (Kratz, 2014, 336). </w:t>
      </w:r>
      <w:r w:rsidR="00BB1E92">
        <w:rPr>
          <w:rFonts w:cstheme="minorHAnsi"/>
          <w:sz w:val="24"/>
          <w:szCs w:val="24"/>
        </w:rPr>
        <w:t xml:space="preserve">The 13 TAs used within the research are volunteers and were all studying degree courses in education. </w:t>
      </w:r>
      <w:r w:rsidR="002061A2">
        <w:rPr>
          <w:rFonts w:cstheme="minorHAnsi"/>
          <w:sz w:val="24"/>
          <w:szCs w:val="24"/>
        </w:rPr>
        <w:t xml:space="preserve">Looking into the article, there is no evidence that any of the TAs are highly qualified or have many qualifications which could pose questions on the TAs experience and knowledge on the subject. In America, to qualify to work within a Title 1 school, you are required to have at least 2 years studying at higher education or hold an </w:t>
      </w:r>
      <w:r w:rsidR="00DA3E1F">
        <w:rPr>
          <w:rFonts w:cstheme="minorHAnsi"/>
          <w:sz w:val="24"/>
          <w:szCs w:val="24"/>
        </w:rPr>
        <w:t>associate</w:t>
      </w:r>
      <w:r w:rsidR="002061A2">
        <w:rPr>
          <w:rFonts w:cstheme="minorHAnsi"/>
          <w:sz w:val="24"/>
          <w:szCs w:val="24"/>
        </w:rPr>
        <w:t xml:space="preserve"> degree whilst also working with a highly qualified and experienced teacher (Clotfelter, 2016). </w:t>
      </w:r>
      <w:r w:rsidR="00674956">
        <w:rPr>
          <w:rFonts w:cstheme="minorHAnsi"/>
          <w:sz w:val="24"/>
          <w:szCs w:val="24"/>
        </w:rPr>
        <w:t>All</w:t>
      </w:r>
      <w:r w:rsidR="0050050D">
        <w:rPr>
          <w:rFonts w:cstheme="minorHAnsi"/>
          <w:sz w:val="24"/>
          <w:szCs w:val="24"/>
        </w:rPr>
        <w:t xml:space="preserve"> the </w:t>
      </w:r>
      <w:r w:rsidR="00674956">
        <w:rPr>
          <w:rFonts w:cstheme="minorHAnsi"/>
          <w:sz w:val="24"/>
          <w:szCs w:val="24"/>
        </w:rPr>
        <w:t xml:space="preserve">TAs used within this research have had personal experiences of Special Education Needs (SEN) within their families. Some of the TAs in discussion believe that due to the nature of the medical model of disability, they would be more suited to special education rather than inclusion. </w:t>
      </w:r>
      <w:r w:rsidR="00876990">
        <w:rPr>
          <w:rFonts w:cstheme="minorHAnsi"/>
          <w:sz w:val="24"/>
          <w:szCs w:val="24"/>
        </w:rPr>
        <w:t>There are TAs who are working more on a one-to-one basis. This has been a topic of research across many areas of learning (Beck-Hill, D</w:t>
      </w:r>
      <w:r w:rsidR="002D3AF6">
        <w:rPr>
          <w:rFonts w:cstheme="minorHAnsi"/>
          <w:sz w:val="24"/>
          <w:szCs w:val="24"/>
        </w:rPr>
        <w:t>. 2012</w:t>
      </w:r>
      <w:r w:rsidR="00876990">
        <w:rPr>
          <w:rFonts w:cstheme="minorHAnsi"/>
          <w:sz w:val="24"/>
          <w:szCs w:val="24"/>
        </w:rPr>
        <w:t>).</w:t>
      </w:r>
    </w:p>
    <w:p w14:paraId="7B678582" w14:textId="68EF3586" w:rsidR="00DA3E1F" w:rsidRDefault="00DA3E1F" w:rsidP="00E3173F">
      <w:pPr>
        <w:spacing w:line="360" w:lineRule="auto"/>
        <w:rPr>
          <w:rFonts w:cstheme="minorHAnsi"/>
          <w:sz w:val="24"/>
          <w:szCs w:val="24"/>
        </w:rPr>
      </w:pPr>
      <w:r>
        <w:rPr>
          <w:rFonts w:cstheme="minorHAnsi"/>
          <w:sz w:val="24"/>
          <w:szCs w:val="24"/>
        </w:rPr>
        <w:t xml:space="preserve">The article has effective evidence throughout the argument to back up and justify any key points or statements. </w:t>
      </w:r>
      <w:r w:rsidR="0050050D">
        <w:rPr>
          <w:rFonts w:cstheme="minorHAnsi"/>
          <w:sz w:val="24"/>
          <w:szCs w:val="24"/>
        </w:rPr>
        <w:t xml:space="preserve">There is a discussion within the article that the role of the TA is predominantly female driven. The role of the male TA is said to work more with emotional and behavioural difficulties. </w:t>
      </w:r>
      <w:r w:rsidR="00FB1C0E">
        <w:rPr>
          <w:rFonts w:cstheme="minorHAnsi"/>
          <w:sz w:val="24"/>
          <w:szCs w:val="24"/>
        </w:rPr>
        <w:t xml:space="preserve">According to </w:t>
      </w:r>
      <w:proofErr w:type="spellStart"/>
      <w:r w:rsidR="00FB1C0E">
        <w:rPr>
          <w:rFonts w:cstheme="minorHAnsi"/>
          <w:sz w:val="24"/>
          <w:szCs w:val="24"/>
        </w:rPr>
        <w:t>Jenaabadi</w:t>
      </w:r>
      <w:proofErr w:type="spellEnd"/>
      <w:r w:rsidR="00FB1C0E">
        <w:rPr>
          <w:rFonts w:cstheme="minorHAnsi"/>
          <w:sz w:val="24"/>
          <w:szCs w:val="24"/>
        </w:rPr>
        <w:t xml:space="preserve">, </w:t>
      </w:r>
      <w:proofErr w:type="spellStart"/>
      <w:r w:rsidR="00FB1C0E">
        <w:rPr>
          <w:rFonts w:cstheme="minorHAnsi"/>
          <w:sz w:val="24"/>
          <w:szCs w:val="24"/>
        </w:rPr>
        <w:t>Okati</w:t>
      </w:r>
      <w:proofErr w:type="spellEnd"/>
      <w:r w:rsidR="00FB1C0E">
        <w:rPr>
          <w:rFonts w:cstheme="minorHAnsi"/>
          <w:sz w:val="24"/>
          <w:szCs w:val="24"/>
        </w:rPr>
        <w:t xml:space="preserve"> and </w:t>
      </w:r>
      <w:proofErr w:type="spellStart"/>
      <w:r w:rsidR="00FB1C0E">
        <w:rPr>
          <w:rFonts w:cstheme="minorHAnsi"/>
          <w:sz w:val="24"/>
          <w:szCs w:val="24"/>
        </w:rPr>
        <w:t>Sarhadi</w:t>
      </w:r>
      <w:proofErr w:type="spellEnd"/>
      <w:r w:rsidR="00FB1C0E">
        <w:rPr>
          <w:rFonts w:cstheme="minorHAnsi"/>
          <w:sz w:val="24"/>
          <w:szCs w:val="24"/>
        </w:rPr>
        <w:t xml:space="preserve"> (2013, pp. 80)</w:t>
      </w:r>
      <w:r w:rsidR="0086752A">
        <w:rPr>
          <w:rFonts w:cstheme="minorHAnsi"/>
          <w:sz w:val="24"/>
          <w:szCs w:val="24"/>
        </w:rPr>
        <w:t xml:space="preserve">, </w:t>
      </w:r>
      <w:r w:rsidR="00FB1C0E">
        <w:rPr>
          <w:rFonts w:cstheme="minorHAnsi"/>
          <w:sz w:val="24"/>
          <w:szCs w:val="24"/>
        </w:rPr>
        <w:t>t</w:t>
      </w:r>
      <w:r w:rsidR="005C005A">
        <w:rPr>
          <w:rFonts w:cstheme="minorHAnsi"/>
          <w:sz w:val="24"/>
          <w:szCs w:val="24"/>
        </w:rPr>
        <w:t xml:space="preserve">here has been a significant decrease in males accepting teaching as their </w:t>
      </w:r>
      <w:r w:rsidR="00D02708">
        <w:rPr>
          <w:rFonts w:cstheme="minorHAnsi"/>
          <w:sz w:val="24"/>
          <w:szCs w:val="24"/>
        </w:rPr>
        <w:t>career due to low salary, low position of job and due to the feminine nature of the job</w:t>
      </w:r>
      <w:r w:rsidR="00767A15">
        <w:rPr>
          <w:rFonts w:cstheme="minorHAnsi"/>
          <w:sz w:val="24"/>
          <w:szCs w:val="24"/>
        </w:rPr>
        <w:t>.</w:t>
      </w:r>
      <w:r w:rsidR="00941ABC">
        <w:rPr>
          <w:rFonts w:cstheme="minorHAnsi"/>
          <w:sz w:val="24"/>
          <w:szCs w:val="24"/>
        </w:rPr>
        <w:t xml:space="preserve"> </w:t>
      </w:r>
      <w:r w:rsidR="0050050D">
        <w:rPr>
          <w:rFonts w:cstheme="minorHAnsi"/>
          <w:sz w:val="24"/>
          <w:szCs w:val="24"/>
        </w:rPr>
        <w:t xml:space="preserve">It is concluded that most TAs did not have positive collaboration within the classroom. </w:t>
      </w:r>
      <w:r w:rsidR="00941ABC">
        <w:rPr>
          <w:rFonts w:cstheme="minorHAnsi"/>
          <w:sz w:val="24"/>
          <w:szCs w:val="24"/>
        </w:rPr>
        <w:t xml:space="preserve">This is due to many different factors such as, collaboration with the teacher, the medical needs of the students and being stereotyped according to gender. </w:t>
      </w:r>
    </w:p>
    <w:p w14:paraId="3EDF1B4C" w14:textId="5F783118" w:rsidR="007E01FD" w:rsidRDefault="00941ABC" w:rsidP="00E3173F">
      <w:pPr>
        <w:spacing w:line="360" w:lineRule="auto"/>
        <w:rPr>
          <w:rFonts w:cstheme="minorHAnsi"/>
          <w:sz w:val="24"/>
          <w:szCs w:val="24"/>
        </w:rPr>
      </w:pPr>
      <w:r>
        <w:rPr>
          <w:rFonts w:cstheme="minorHAnsi"/>
          <w:sz w:val="24"/>
          <w:szCs w:val="24"/>
        </w:rPr>
        <w:lastRenderedPageBreak/>
        <w:t xml:space="preserve">In my opinion and looking at the article overall, I believe that it is a well written, well presented and a very thoughtful article. However, I also believe that there is also many recommendations and improvements which can be taken onboard and applied. </w:t>
      </w:r>
      <w:r w:rsidR="00B52547">
        <w:rPr>
          <w:rFonts w:cstheme="minorHAnsi"/>
          <w:sz w:val="24"/>
          <w:szCs w:val="24"/>
        </w:rPr>
        <w:t>I thoroughly enjoyed reading the article in interview form as I felt that you got a true insight into the TAs views and opinions from their voice. On the contrary to this, having to interview TAs can be a long and gruelling process which can be very time consuming. In my opinion it would be great to see both the interview process with TAs from various counties across the country with a more standardized and large-scale research method such as postal questionnaires. By using this form of research, it would be possible to obtain data based on a representative sample, which we can then generalize to a population (Brown et al. 2003).</w:t>
      </w:r>
      <w:r w:rsidR="001A2905">
        <w:rPr>
          <w:rFonts w:cstheme="minorHAnsi"/>
          <w:sz w:val="24"/>
          <w:szCs w:val="24"/>
        </w:rPr>
        <w:t xml:space="preserve"> The article was written with very persuasive language especially within the titles of the interviews. This was used to instantly put a negative effect on the reader and have their conclusion already set before reading the passage. I would recommend using less persuasive language within these areas to keep a holistic approach. Overall in my opinion, I believe the article is an appropriate academic article which can and should be used for many </w:t>
      </w:r>
      <w:r w:rsidR="004027ED">
        <w:rPr>
          <w:rFonts w:cstheme="minorHAnsi"/>
          <w:sz w:val="24"/>
          <w:szCs w:val="24"/>
        </w:rPr>
        <w:t>people’s</w:t>
      </w:r>
      <w:r w:rsidR="001A2905">
        <w:rPr>
          <w:rFonts w:cstheme="minorHAnsi"/>
          <w:sz w:val="24"/>
          <w:szCs w:val="24"/>
        </w:rPr>
        <w:t xml:space="preserve"> research. </w:t>
      </w:r>
      <w:bookmarkStart w:id="0" w:name="_GoBack"/>
      <w:bookmarkEnd w:id="0"/>
    </w:p>
    <w:p w14:paraId="77E8EB42" w14:textId="3D9637DD" w:rsidR="00E3173F" w:rsidRDefault="00E3173F" w:rsidP="00E3173F">
      <w:pPr>
        <w:spacing w:line="360" w:lineRule="auto"/>
        <w:rPr>
          <w:rFonts w:cstheme="minorHAnsi"/>
          <w:sz w:val="24"/>
          <w:szCs w:val="24"/>
        </w:rPr>
      </w:pPr>
    </w:p>
    <w:p w14:paraId="46EA00E9" w14:textId="547266E8" w:rsidR="00E3173F" w:rsidRDefault="00E3173F" w:rsidP="00E3173F">
      <w:pPr>
        <w:spacing w:line="360" w:lineRule="auto"/>
        <w:rPr>
          <w:rFonts w:cstheme="minorHAnsi"/>
          <w:b/>
          <w:sz w:val="24"/>
          <w:szCs w:val="24"/>
          <w:u w:val="single"/>
        </w:rPr>
      </w:pPr>
      <w:r>
        <w:rPr>
          <w:rFonts w:cstheme="minorHAnsi"/>
          <w:b/>
          <w:sz w:val="24"/>
          <w:szCs w:val="24"/>
          <w:u w:val="single"/>
        </w:rPr>
        <w:t>References/Bibliography</w:t>
      </w:r>
    </w:p>
    <w:p w14:paraId="43E2B3C3" w14:textId="58DA6F73" w:rsidR="0046432B" w:rsidRDefault="001A2905" w:rsidP="00E3173F">
      <w:pPr>
        <w:spacing w:line="360" w:lineRule="auto"/>
        <w:rPr>
          <w:sz w:val="24"/>
        </w:rPr>
      </w:pPr>
      <w:r>
        <w:rPr>
          <w:rStyle w:val="Emphasis"/>
          <w:rFonts w:cstheme="minorHAnsi"/>
          <w:i w:val="0"/>
          <w:sz w:val="24"/>
          <w:szCs w:val="24"/>
          <w:shd w:val="clear" w:color="auto" w:fill="FFFFFF"/>
        </w:rPr>
        <w:t>BECK-HILL, D.</w:t>
      </w:r>
      <w:r w:rsidR="0046432B">
        <w:rPr>
          <w:rStyle w:val="Emphasis"/>
          <w:rFonts w:cstheme="minorHAnsi"/>
          <w:i w:val="0"/>
          <w:sz w:val="24"/>
          <w:szCs w:val="24"/>
          <w:shd w:val="clear" w:color="auto" w:fill="FFFFFF"/>
        </w:rPr>
        <w:t xml:space="preserve"> (2012) ‘</w:t>
      </w:r>
      <w:r w:rsidR="0046432B" w:rsidRPr="00971009">
        <w:rPr>
          <w:sz w:val="24"/>
        </w:rPr>
        <w:t xml:space="preserve">Intertwining Digital Content and a One-To-One Laptop Environment in Teaching and Learning: Lessons from the Time </w:t>
      </w:r>
      <w:proofErr w:type="gramStart"/>
      <w:r w:rsidR="0046432B" w:rsidRPr="00971009">
        <w:rPr>
          <w:sz w:val="24"/>
        </w:rPr>
        <w:t>To</w:t>
      </w:r>
      <w:proofErr w:type="gramEnd"/>
      <w:r w:rsidR="0046432B" w:rsidRPr="00971009">
        <w:rPr>
          <w:sz w:val="24"/>
        </w:rPr>
        <w:t xml:space="preserve"> Know Program</w:t>
      </w:r>
      <w:r w:rsidR="0046432B">
        <w:rPr>
          <w:sz w:val="24"/>
        </w:rPr>
        <w:t xml:space="preserve">’, </w:t>
      </w:r>
      <w:r w:rsidR="0046432B">
        <w:rPr>
          <w:i/>
          <w:sz w:val="24"/>
        </w:rPr>
        <w:t>Time to Know</w:t>
      </w:r>
      <w:r w:rsidR="0046432B">
        <w:rPr>
          <w:sz w:val="24"/>
        </w:rPr>
        <w:t xml:space="preserve">, 44(3), pp. 225-241. </w:t>
      </w:r>
    </w:p>
    <w:p w14:paraId="4C91E70D" w14:textId="33D2A67A" w:rsidR="001A2905" w:rsidRPr="001A2905" w:rsidRDefault="001A2905" w:rsidP="00E3173F">
      <w:pPr>
        <w:spacing w:line="360" w:lineRule="auto"/>
        <w:rPr>
          <w:rFonts w:cstheme="minorHAnsi"/>
          <w:sz w:val="24"/>
          <w:szCs w:val="24"/>
        </w:rPr>
      </w:pPr>
      <w:r>
        <w:rPr>
          <w:rFonts w:cstheme="minorHAnsi"/>
          <w:color w:val="2A2A2A"/>
          <w:sz w:val="24"/>
          <w:szCs w:val="24"/>
          <w:shd w:val="clear" w:color="auto" w:fill="FFFFFF"/>
        </w:rPr>
        <w:t>BROWN, V.</w:t>
      </w:r>
      <w:r w:rsidRPr="00075E99">
        <w:rPr>
          <w:rFonts w:cstheme="minorHAnsi"/>
          <w:color w:val="2A2A2A"/>
          <w:sz w:val="24"/>
          <w:szCs w:val="24"/>
          <w:shd w:val="clear" w:color="auto" w:fill="FFFFFF"/>
        </w:rPr>
        <w:t xml:space="preserve"> et al. (2003) ‘Good Practice in The Conduct and Reporting of Survey Research’ </w:t>
      </w:r>
      <w:r w:rsidRPr="00075E99">
        <w:rPr>
          <w:rStyle w:val="Emphasis"/>
          <w:rFonts w:cstheme="minorHAnsi"/>
          <w:color w:val="2A2A2A"/>
          <w:sz w:val="24"/>
          <w:szCs w:val="24"/>
          <w:bdr w:val="none" w:sz="0" w:space="0" w:color="auto" w:frame="1"/>
          <w:shd w:val="clear" w:color="auto" w:fill="FFFFFF"/>
        </w:rPr>
        <w:t>International Journal for Quality in Health Care</w:t>
      </w:r>
      <w:r w:rsidRPr="00075E99">
        <w:rPr>
          <w:rFonts w:cstheme="minorHAnsi"/>
          <w:color w:val="2A2A2A"/>
          <w:sz w:val="24"/>
          <w:szCs w:val="24"/>
          <w:shd w:val="clear" w:color="auto" w:fill="FFFFFF"/>
        </w:rPr>
        <w:t xml:space="preserve"> 15(3) pp. 261–266. </w:t>
      </w:r>
      <w:hyperlink r:id="rId9" w:history="1">
        <w:r w:rsidRPr="00075E99">
          <w:rPr>
            <w:rStyle w:val="Hyperlink"/>
            <w:rFonts w:cstheme="minorHAnsi"/>
            <w:color w:val="006FB7"/>
            <w:sz w:val="24"/>
            <w:szCs w:val="24"/>
            <w:bdr w:val="none" w:sz="0" w:space="0" w:color="auto" w:frame="1"/>
            <w:shd w:val="clear" w:color="auto" w:fill="FFFFFF"/>
          </w:rPr>
          <w:t>https://doi.org/10.1093/intqhc/mzg031</w:t>
        </w:r>
      </w:hyperlink>
    </w:p>
    <w:p w14:paraId="4FB603EC" w14:textId="3D98C5C8" w:rsidR="0046432B" w:rsidRDefault="0046432B" w:rsidP="00E3173F">
      <w:pPr>
        <w:spacing w:line="360" w:lineRule="auto"/>
        <w:rPr>
          <w:sz w:val="24"/>
          <w:szCs w:val="24"/>
        </w:rPr>
      </w:pPr>
      <w:r w:rsidRPr="00F40B91">
        <w:rPr>
          <w:rStyle w:val="Emphasis"/>
          <w:rFonts w:cstheme="minorHAnsi"/>
          <w:i w:val="0"/>
          <w:sz w:val="24"/>
          <w:szCs w:val="24"/>
          <w:shd w:val="clear" w:color="auto" w:fill="FFFFFF"/>
        </w:rPr>
        <w:t>C</w:t>
      </w:r>
      <w:r w:rsidR="001A2905">
        <w:rPr>
          <w:rStyle w:val="Emphasis"/>
          <w:rFonts w:cstheme="minorHAnsi"/>
          <w:i w:val="0"/>
          <w:sz w:val="24"/>
          <w:szCs w:val="24"/>
          <w:shd w:val="clear" w:color="auto" w:fill="FFFFFF"/>
        </w:rPr>
        <w:t>LOTFELTER</w:t>
      </w:r>
      <w:r w:rsidRPr="00F40B91">
        <w:rPr>
          <w:rStyle w:val="Emphasis"/>
          <w:rFonts w:cstheme="minorHAnsi"/>
          <w:i w:val="0"/>
          <w:sz w:val="24"/>
          <w:szCs w:val="24"/>
          <w:shd w:val="clear" w:color="auto" w:fill="FFFFFF"/>
        </w:rPr>
        <w:t>, C.T. H</w:t>
      </w:r>
      <w:r w:rsidR="001A2905">
        <w:rPr>
          <w:rStyle w:val="Emphasis"/>
          <w:rFonts w:cstheme="minorHAnsi"/>
          <w:i w:val="0"/>
          <w:sz w:val="24"/>
          <w:szCs w:val="24"/>
          <w:shd w:val="clear" w:color="auto" w:fill="FFFFFF"/>
        </w:rPr>
        <w:t>EMLET</w:t>
      </w:r>
      <w:r w:rsidRPr="00F40B91">
        <w:rPr>
          <w:rStyle w:val="Emphasis"/>
          <w:rFonts w:cstheme="minorHAnsi"/>
          <w:i w:val="0"/>
          <w:sz w:val="24"/>
          <w:szCs w:val="24"/>
          <w:shd w:val="clear" w:color="auto" w:fill="FFFFFF"/>
        </w:rPr>
        <w:t>, S.W. L</w:t>
      </w:r>
      <w:r w:rsidR="001A2905">
        <w:rPr>
          <w:rStyle w:val="Emphasis"/>
          <w:rFonts w:cstheme="minorHAnsi"/>
          <w:i w:val="0"/>
          <w:sz w:val="24"/>
          <w:szCs w:val="24"/>
          <w:shd w:val="clear" w:color="auto" w:fill="FFFFFF"/>
        </w:rPr>
        <w:t>ADD</w:t>
      </w:r>
      <w:r w:rsidRPr="00F40B91">
        <w:rPr>
          <w:rStyle w:val="Emphasis"/>
          <w:rFonts w:cstheme="minorHAnsi"/>
          <w:i w:val="0"/>
          <w:sz w:val="24"/>
          <w:szCs w:val="24"/>
          <w:shd w:val="clear" w:color="auto" w:fill="FFFFFF"/>
        </w:rPr>
        <w:t xml:space="preserve">, H.F. (2016) </w:t>
      </w:r>
      <w:r w:rsidRPr="00F40B91">
        <w:rPr>
          <w:rStyle w:val="Emphasis"/>
          <w:rFonts w:cstheme="minorHAnsi"/>
          <w:sz w:val="24"/>
          <w:szCs w:val="24"/>
          <w:shd w:val="clear" w:color="auto" w:fill="FFFFFF"/>
        </w:rPr>
        <w:t>Teaching Assistants and Nonteaching Staff: Do They Improve Student Outcomes</w:t>
      </w:r>
      <w:r w:rsidRPr="00F40B91">
        <w:rPr>
          <w:rStyle w:val="Emphasis"/>
          <w:rFonts w:cstheme="minorHAnsi"/>
          <w:i w:val="0"/>
          <w:sz w:val="24"/>
          <w:szCs w:val="24"/>
          <w:shd w:val="clear" w:color="auto" w:fill="FFFFFF"/>
        </w:rPr>
        <w:t xml:space="preserve">. </w:t>
      </w:r>
      <w:r w:rsidRPr="00F40B91">
        <w:rPr>
          <w:sz w:val="24"/>
          <w:szCs w:val="24"/>
        </w:rPr>
        <w:t xml:space="preserve">1000 Thomas Jefferson Street N.W., Washington, D.C: American Institutes for Research. </w:t>
      </w:r>
    </w:p>
    <w:p w14:paraId="628A49A7" w14:textId="42C43894" w:rsidR="0046432B" w:rsidRDefault="001A2905" w:rsidP="00E3173F">
      <w:pPr>
        <w:spacing w:line="360" w:lineRule="auto"/>
        <w:rPr>
          <w:sz w:val="24"/>
          <w:szCs w:val="24"/>
        </w:rPr>
      </w:pPr>
      <w:r>
        <w:rPr>
          <w:rStyle w:val="Emphasis"/>
          <w:rFonts w:cstheme="minorHAnsi"/>
          <w:i w:val="0"/>
          <w:sz w:val="24"/>
          <w:szCs w:val="24"/>
          <w:shd w:val="clear" w:color="auto" w:fill="FFFFFF"/>
        </w:rPr>
        <w:t>EL-SHARIF</w:t>
      </w:r>
      <w:r w:rsidR="0046432B" w:rsidRPr="00B51A0B">
        <w:rPr>
          <w:rStyle w:val="Emphasis"/>
          <w:rFonts w:cstheme="minorHAnsi"/>
          <w:i w:val="0"/>
          <w:sz w:val="24"/>
          <w:szCs w:val="24"/>
          <w:shd w:val="clear" w:color="auto" w:fill="FFFFFF"/>
        </w:rPr>
        <w:t xml:space="preserve">, A. (2016) ‘A Theoretical Account on the Study of Metaphor in Didactic Discourse’, </w:t>
      </w:r>
      <w:r w:rsidR="0046432B" w:rsidRPr="00B51A0B">
        <w:rPr>
          <w:rStyle w:val="Emphasis"/>
          <w:rFonts w:cstheme="minorHAnsi"/>
          <w:sz w:val="24"/>
          <w:szCs w:val="24"/>
          <w:shd w:val="clear" w:color="auto" w:fill="FFFFFF"/>
        </w:rPr>
        <w:t>Advances in Language and Literary Studies</w:t>
      </w:r>
      <w:r w:rsidR="0046432B" w:rsidRPr="00B51A0B">
        <w:rPr>
          <w:rStyle w:val="Emphasis"/>
          <w:rFonts w:cstheme="minorHAnsi"/>
          <w:i w:val="0"/>
          <w:sz w:val="24"/>
          <w:szCs w:val="24"/>
          <w:shd w:val="clear" w:color="auto" w:fill="FFFFFF"/>
        </w:rPr>
        <w:t>, 7(2), pp 100-112. (Accessed on 23</w:t>
      </w:r>
      <w:r w:rsidR="0046432B" w:rsidRPr="00B51A0B">
        <w:rPr>
          <w:rStyle w:val="Emphasis"/>
          <w:rFonts w:cstheme="minorHAnsi"/>
          <w:i w:val="0"/>
          <w:sz w:val="24"/>
          <w:szCs w:val="24"/>
          <w:shd w:val="clear" w:color="auto" w:fill="FFFFFF"/>
          <w:vertAlign w:val="superscript"/>
        </w:rPr>
        <w:t>rd</w:t>
      </w:r>
      <w:r w:rsidR="0046432B" w:rsidRPr="00B51A0B">
        <w:rPr>
          <w:rStyle w:val="Emphasis"/>
          <w:rFonts w:cstheme="minorHAnsi"/>
          <w:i w:val="0"/>
          <w:sz w:val="24"/>
          <w:szCs w:val="24"/>
          <w:shd w:val="clear" w:color="auto" w:fill="FFFFFF"/>
        </w:rPr>
        <w:t xml:space="preserve"> October 2018) DOI: </w:t>
      </w:r>
      <w:proofErr w:type="gramStart"/>
      <w:r w:rsidR="0046432B" w:rsidRPr="00B51A0B">
        <w:rPr>
          <w:sz w:val="24"/>
          <w:szCs w:val="24"/>
        </w:rPr>
        <w:t>10.7575/aiac.alls.v.</w:t>
      </w:r>
      <w:proofErr w:type="gramEnd"/>
      <w:r w:rsidR="0046432B" w:rsidRPr="00B51A0B">
        <w:rPr>
          <w:sz w:val="24"/>
          <w:szCs w:val="24"/>
        </w:rPr>
        <w:t>7n.2p.100</w:t>
      </w:r>
    </w:p>
    <w:p w14:paraId="631F4E0B" w14:textId="0D21F861" w:rsidR="0046432B" w:rsidRDefault="001A2905" w:rsidP="00E3173F">
      <w:pPr>
        <w:spacing w:line="360" w:lineRule="auto"/>
        <w:rPr>
          <w:rFonts w:cstheme="minorHAnsi"/>
          <w:sz w:val="24"/>
        </w:rPr>
      </w:pPr>
      <w:r>
        <w:rPr>
          <w:rFonts w:cstheme="minorHAnsi"/>
          <w:sz w:val="24"/>
        </w:rPr>
        <w:lastRenderedPageBreak/>
        <w:t>JENAABADI</w:t>
      </w:r>
      <w:r w:rsidR="0046432B" w:rsidRPr="002D2467">
        <w:rPr>
          <w:rFonts w:cstheme="minorHAnsi"/>
          <w:sz w:val="24"/>
        </w:rPr>
        <w:t xml:space="preserve">, H., </w:t>
      </w:r>
      <w:r>
        <w:rPr>
          <w:rFonts w:cstheme="minorHAnsi"/>
          <w:sz w:val="24"/>
        </w:rPr>
        <w:t>OKATI</w:t>
      </w:r>
      <w:r w:rsidR="0046432B" w:rsidRPr="002D2467">
        <w:rPr>
          <w:rFonts w:cstheme="minorHAnsi"/>
          <w:sz w:val="24"/>
        </w:rPr>
        <w:t>, E., S</w:t>
      </w:r>
      <w:r>
        <w:rPr>
          <w:rFonts w:cstheme="minorHAnsi"/>
          <w:sz w:val="24"/>
        </w:rPr>
        <w:t>ARHADI</w:t>
      </w:r>
      <w:r w:rsidR="0046432B" w:rsidRPr="002D2467">
        <w:rPr>
          <w:rFonts w:cstheme="minorHAnsi"/>
          <w:sz w:val="24"/>
        </w:rPr>
        <w:t xml:space="preserve">, A. (2013) ‘Organizational Citizenship </w:t>
      </w:r>
      <w:proofErr w:type="spellStart"/>
      <w:r w:rsidR="0046432B" w:rsidRPr="002D2467">
        <w:rPr>
          <w:rFonts w:cstheme="minorHAnsi"/>
          <w:sz w:val="24"/>
        </w:rPr>
        <w:t>Behavior</w:t>
      </w:r>
      <w:proofErr w:type="spellEnd"/>
      <w:r w:rsidR="0046432B" w:rsidRPr="002D2467">
        <w:rPr>
          <w:rFonts w:cstheme="minorHAnsi"/>
          <w:sz w:val="24"/>
        </w:rPr>
        <w:t xml:space="preserve">, Job Satisfaction and Commitment to School: Is There Any Significant Difference between Male and Female Teachers?’, </w:t>
      </w:r>
      <w:r w:rsidR="0046432B" w:rsidRPr="002D2467">
        <w:rPr>
          <w:rFonts w:cstheme="minorHAnsi"/>
          <w:i/>
          <w:sz w:val="24"/>
        </w:rPr>
        <w:t>World Journal of Education</w:t>
      </w:r>
      <w:r w:rsidR="0046432B" w:rsidRPr="002D2467">
        <w:rPr>
          <w:rFonts w:cstheme="minorHAnsi"/>
          <w:sz w:val="24"/>
        </w:rPr>
        <w:t xml:space="preserve">, 3(3), pp. 75-81. </w:t>
      </w:r>
    </w:p>
    <w:p w14:paraId="5A750A59" w14:textId="0F223691" w:rsidR="0046432B" w:rsidRPr="0046432B" w:rsidRDefault="0046432B" w:rsidP="00E3173F">
      <w:pPr>
        <w:spacing w:line="360" w:lineRule="auto"/>
        <w:rPr>
          <w:sz w:val="24"/>
          <w:szCs w:val="24"/>
        </w:rPr>
      </w:pPr>
      <w:r w:rsidRPr="00B51A0B">
        <w:rPr>
          <w:rStyle w:val="Emphasis"/>
          <w:rFonts w:cstheme="minorHAnsi"/>
          <w:i w:val="0"/>
          <w:sz w:val="24"/>
          <w:szCs w:val="24"/>
          <w:shd w:val="clear" w:color="auto" w:fill="FFFFFF"/>
        </w:rPr>
        <w:t>K</w:t>
      </w:r>
      <w:r w:rsidR="001A2905">
        <w:rPr>
          <w:rStyle w:val="Emphasis"/>
          <w:rFonts w:cstheme="minorHAnsi"/>
          <w:i w:val="0"/>
          <w:sz w:val="24"/>
          <w:szCs w:val="24"/>
          <w:shd w:val="clear" w:color="auto" w:fill="FFFFFF"/>
        </w:rPr>
        <w:t>RATZ</w:t>
      </w:r>
      <w:r w:rsidRPr="00B51A0B">
        <w:rPr>
          <w:rStyle w:val="Emphasis"/>
          <w:rFonts w:cstheme="minorHAnsi"/>
          <w:i w:val="0"/>
          <w:sz w:val="24"/>
          <w:szCs w:val="24"/>
          <w:shd w:val="clear" w:color="auto" w:fill="FFFFFF"/>
        </w:rPr>
        <w:t xml:space="preserve">, H. (2014) ‘All Together Now: Measuring Staff Cohesion in Special Education Classrooms’, </w:t>
      </w:r>
      <w:r w:rsidRPr="00B51A0B">
        <w:rPr>
          <w:i/>
          <w:sz w:val="24"/>
          <w:szCs w:val="24"/>
        </w:rPr>
        <w:t xml:space="preserve">Journal of Psychoeducational Assessment </w:t>
      </w:r>
      <w:r w:rsidRPr="00B51A0B">
        <w:rPr>
          <w:sz w:val="24"/>
          <w:szCs w:val="24"/>
        </w:rPr>
        <w:t xml:space="preserve">33(4), pp. 329-338. </w:t>
      </w:r>
    </w:p>
    <w:p w14:paraId="42A46449" w14:textId="39F1A875" w:rsidR="00E3173F" w:rsidRPr="00B51A0B" w:rsidRDefault="00E3173F" w:rsidP="00E3173F">
      <w:pPr>
        <w:spacing w:line="360" w:lineRule="auto"/>
        <w:rPr>
          <w:rFonts w:cstheme="minorHAnsi"/>
          <w:sz w:val="24"/>
          <w:szCs w:val="24"/>
        </w:rPr>
      </w:pPr>
      <w:r w:rsidRPr="00B51A0B">
        <w:rPr>
          <w:rFonts w:cstheme="minorHAnsi"/>
          <w:sz w:val="24"/>
          <w:szCs w:val="24"/>
        </w:rPr>
        <w:t>M</w:t>
      </w:r>
      <w:r w:rsidR="001A2905">
        <w:rPr>
          <w:rFonts w:cstheme="minorHAnsi"/>
          <w:sz w:val="24"/>
          <w:szCs w:val="24"/>
        </w:rPr>
        <w:t>ACKENZIE</w:t>
      </w:r>
      <w:r w:rsidRPr="00B51A0B">
        <w:rPr>
          <w:rFonts w:cstheme="minorHAnsi"/>
          <w:sz w:val="24"/>
          <w:szCs w:val="24"/>
        </w:rPr>
        <w:t xml:space="preserve">, S. (2011) ‘Yes, but…: rhetoric, reality and resistance in teaching assistants’ experiences of inclusive education’, </w:t>
      </w:r>
      <w:r w:rsidRPr="00B51A0B">
        <w:rPr>
          <w:rFonts w:cstheme="minorHAnsi"/>
          <w:i/>
          <w:sz w:val="24"/>
          <w:szCs w:val="24"/>
        </w:rPr>
        <w:t>Support for Learning</w:t>
      </w:r>
      <w:r w:rsidRPr="00B51A0B">
        <w:rPr>
          <w:rFonts w:cstheme="minorHAnsi"/>
          <w:sz w:val="24"/>
          <w:szCs w:val="24"/>
        </w:rPr>
        <w:t>, 26(2), pp. 64-71.</w:t>
      </w:r>
    </w:p>
    <w:p w14:paraId="044E657B" w14:textId="0374F323" w:rsidR="00A9233A" w:rsidRPr="001A2905" w:rsidRDefault="001A2905" w:rsidP="00A9233A">
      <w:pPr>
        <w:spacing w:line="360" w:lineRule="auto"/>
        <w:rPr>
          <w:rFonts w:cstheme="minorHAnsi"/>
          <w:iCs/>
          <w:sz w:val="24"/>
          <w:szCs w:val="24"/>
          <w:shd w:val="clear" w:color="auto" w:fill="FFFFFF"/>
        </w:rPr>
      </w:pPr>
      <w:r>
        <w:rPr>
          <w:rStyle w:val="Emphasis"/>
          <w:rFonts w:cstheme="minorHAnsi"/>
          <w:i w:val="0"/>
          <w:sz w:val="24"/>
          <w:szCs w:val="24"/>
          <w:shd w:val="clear" w:color="auto" w:fill="FFFFFF"/>
        </w:rPr>
        <w:t>SARZHOSKA-GEORGIEVSKA</w:t>
      </w:r>
      <w:r>
        <w:rPr>
          <w:rStyle w:val="Emphasis"/>
          <w:rFonts w:cstheme="minorHAnsi"/>
          <w:i w:val="0"/>
          <w:sz w:val="24"/>
          <w:szCs w:val="24"/>
          <w:shd w:val="clear" w:color="auto" w:fill="FFFFFF"/>
        </w:rPr>
        <w:t xml:space="preserve">, </w:t>
      </w:r>
      <w:r w:rsidR="00A9233A" w:rsidRPr="00B51A0B">
        <w:rPr>
          <w:rStyle w:val="Emphasis"/>
          <w:rFonts w:cstheme="minorHAnsi"/>
          <w:i w:val="0"/>
          <w:sz w:val="24"/>
          <w:szCs w:val="24"/>
          <w:shd w:val="clear" w:color="auto" w:fill="FFFFFF"/>
        </w:rPr>
        <w:t>E. (2016) ‘</w:t>
      </w:r>
      <w:r w:rsidR="00A9233A" w:rsidRPr="00B51A0B">
        <w:rPr>
          <w:rFonts w:cstheme="minorHAnsi"/>
          <w:sz w:val="24"/>
          <w:szCs w:val="24"/>
        </w:rPr>
        <w:t>Coherence: Implications for Teaching Writing’,</w:t>
      </w:r>
    </w:p>
    <w:p w14:paraId="53B83349" w14:textId="06D85238" w:rsidR="00A9233A" w:rsidRDefault="00A9233A" w:rsidP="00E3173F">
      <w:pPr>
        <w:spacing w:line="360" w:lineRule="auto"/>
        <w:rPr>
          <w:rStyle w:val="Emphasis"/>
          <w:rFonts w:cstheme="minorHAnsi"/>
          <w:i w:val="0"/>
          <w:sz w:val="24"/>
          <w:szCs w:val="24"/>
          <w:shd w:val="clear" w:color="auto" w:fill="FFFFFF"/>
        </w:rPr>
      </w:pPr>
      <w:r w:rsidRPr="00B51A0B">
        <w:rPr>
          <w:rStyle w:val="Emphasis"/>
          <w:rFonts w:cstheme="minorHAnsi"/>
          <w:sz w:val="24"/>
          <w:szCs w:val="24"/>
          <w:shd w:val="clear" w:color="auto" w:fill="FFFFFF"/>
        </w:rPr>
        <w:t>English Studies at NBU</w:t>
      </w:r>
      <w:r w:rsidRPr="00B51A0B">
        <w:rPr>
          <w:rStyle w:val="Emphasis"/>
          <w:rFonts w:cstheme="minorHAnsi"/>
          <w:i w:val="0"/>
          <w:sz w:val="24"/>
          <w:szCs w:val="24"/>
          <w:shd w:val="clear" w:color="auto" w:fill="FFFFFF"/>
        </w:rPr>
        <w:t xml:space="preserve">, 2(1), pp17-30. </w:t>
      </w:r>
    </w:p>
    <w:p w14:paraId="34454E2E" w14:textId="61D5050A" w:rsidR="00592F3A" w:rsidRDefault="00592F3A" w:rsidP="00E3173F">
      <w:pPr>
        <w:spacing w:line="360" w:lineRule="auto"/>
        <w:rPr>
          <w:rStyle w:val="Emphasis"/>
          <w:rFonts w:cstheme="minorHAnsi"/>
          <w:i w:val="0"/>
          <w:color w:val="333333"/>
          <w:sz w:val="24"/>
          <w:szCs w:val="20"/>
          <w:shd w:val="clear" w:color="auto" w:fill="FFFFFF"/>
        </w:rPr>
      </w:pPr>
    </w:p>
    <w:p w14:paraId="442F31AA" w14:textId="3A9C55E4" w:rsidR="00592F3A" w:rsidRPr="00EC3D5D" w:rsidRDefault="00592F3A" w:rsidP="00E3173F">
      <w:pPr>
        <w:spacing w:line="360" w:lineRule="auto"/>
        <w:rPr>
          <w:rStyle w:val="Emphasis"/>
          <w:rFonts w:cstheme="minorHAnsi"/>
          <w:i w:val="0"/>
          <w:color w:val="333333"/>
          <w:sz w:val="24"/>
          <w:szCs w:val="20"/>
          <w:shd w:val="clear" w:color="auto" w:fill="FFFFFF"/>
        </w:rPr>
      </w:pPr>
    </w:p>
    <w:p w14:paraId="17DD2066" w14:textId="77777777" w:rsidR="00E75962" w:rsidRPr="00A9233A" w:rsidRDefault="00E75962" w:rsidP="00E3173F">
      <w:pPr>
        <w:spacing w:line="360" w:lineRule="auto"/>
        <w:rPr>
          <w:rStyle w:val="Emphasis"/>
          <w:rFonts w:cstheme="minorHAnsi"/>
          <w:i w:val="0"/>
          <w:color w:val="333333"/>
          <w:sz w:val="24"/>
          <w:szCs w:val="20"/>
          <w:shd w:val="clear" w:color="auto" w:fill="FFFFFF"/>
        </w:rPr>
      </w:pPr>
    </w:p>
    <w:p w14:paraId="364FD5BE" w14:textId="77777777" w:rsidR="00E3173F" w:rsidRPr="00A71762" w:rsidRDefault="00E3173F" w:rsidP="00A71762">
      <w:pPr>
        <w:spacing w:line="360" w:lineRule="auto"/>
        <w:rPr>
          <w:rFonts w:cstheme="minorHAnsi"/>
          <w:sz w:val="24"/>
          <w:szCs w:val="24"/>
        </w:rPr>
      </w:pPr>
    </w:p>
    <w:p w14:paraId="39207325" w14:textId="77777777" w:rsidR="00BB3222" w:rsidRPr="00BB3222" w:rsidRDefault="00BB3222" w:rsidP="00255E84">
      <w:pPr>
        <w:pStyle w:val="ListParagraph"/>
        <w:spacing w:line="360" w:lineRule="auto"/>
        <w:rPr>
          <w:rFonts w:cstheme="minorHAnsi"/>
          <w:sz w:val="24"/>
          <w:szCs w:val="24"/>
        </w:rPr>
      </w:pPr>
    </w:p>
    <w:p w14:paraId="2458CB28" w14:textId="77777777" w:rsidR="00242781" w:rsidRPr="00242781" w:rsidRDefault="00242781" w:rsidP="00255E84">
      <w:pPr>
        <w:pStyle w:val="ListParagraph"/>
        <w:spacing w:line="360" w:lineRule="auto"/>
        <w:rPr>
          <w:rFonts w:cstheme="minorHAnsi"/>
          <w:sz w:val="24"/>
          <w:szCs w:val="24"/>
        </w:rPr>
      </w:pPr>
    </w:p>
    <w:sectPr w:rsidR="00242781" w:rsidRPr="00242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67924"/>
    <w:multiLevelType w:val="hybridMultilevel"/>
    <w:tmpl w:val="0D3E754C"/>
    <w:lvl w:ilvl="0" w:tplc="F77A9A8A">
      <w:start w:val="3"/>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A0C4D"/>
    <w:multiLevelType w:val="hybridMultilevel"/>
    <w:tmpl w:val="2FF8B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82B99"/>
    <w:multiLevelType w:val="hybridMultilevel"/>
    <w:tmpl w:val="6A8AA452"/>
    <w:lvl w:ilvl="0" w:tplc="8026A8B4">
      <w:start w:val="3"/>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52ABF"/>
    <w:multiLevelType w:val="hybridMultilevel"/>
    <w:tmpl w:val="92F2B570"/>
    <w:lvl w:ilvl="0" w:tplc="097AE458">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A4"/>
    <w:rsid w:val="00013DD1"/>
    <w:rsid w:val="00075E99"/>
    <w:rsid w:val="000B76AF"/>
    <w:rsid w:val="000C4D8B"/>
    <w:rsid w:val="000D5214"/>
    <w:rsid w:val="000D7185"/>
    <w:rsid w:val="00113497"/>
    <w:rsid w:val="00117D03"/>
    <w:rsid w:val="00134DA3"/>
    <w:rsid w:val="001607F9"/>
    <w:rsid w:val="001A2905"/>
    <w:rsid w:val="001C7220"/>
    <w:rsid w:val="002061A2"/>
    <w:rsid w:val="002156B3"/>
    <w:rsid w:val="00217605"/>
    <w:rsid w:val="00242781"/>
    <w:rsid w:val="00255E84"/>
    <w:rsid w:val="002D2467"/>
    <w:rsid w:val="002D3AF6"/>
    <w:rsid w:val="003302F5"/>
    <w:rsid w:val="003832FA"/>
    <w:rsid w:val="003C3F94"/>
    <w:rsid w:val="004027ED"/>
    <w:rsid w:val="0046432B"/>
    <w:rsid w:val="004D63DB"/>
    <w:rsid w:val="0050050D"/>
    <w:rsid w:val="00592F3A"/>
    <w:rsid w:val="005C005A"/>
    <w:rsid w:val="005D73A1"/>
    <w:rsid w:val="005F5315"/>
    <w:rsid w:val="006421E5"/>
    <w:rsid w:val="00643122"/>
    <w:rsid w:val="006630F5"/>
    <w:rsid w:val="006672E6"/>
    <w:rsid w:val="00667F9A"/>
    <w:rsid w:val="00674956"/>
    <w:rsid w:val="006E3F89"/>
    <w:rsid w:val="007249A9"/>
    <w:rsid w:val="007610D6"/>
    <w:rsid w:val="00767A15"/>
    <w:rsid w:val="007E01FD"/>
    <w:rsid w:val="00806574"/>
    <w:rsid w:val="0086752A"/>
    <w:rsid w:val="00874184"/>
    <w:rsid w:val="00876990"/>
    <w:rsid w:val="008F0DF6"/>
    <w:rsid w:val="008F1AC5"/>
    <w:rsid w:val="00941ABC"/>
    <w:rsid w:val="00971009"/>
    <w:rsid w:val="00973199"/>
    <w:rsid w:val="00980E19"/>
    <w:rsid w:val="009F77A1"/>
    <w:rsid w:val="00A0793A"/>
    <w:rsid w:val="00A35CBB"/>
    <w:rsid w:val="00A71762"/>
    <w:rsid w:val="00A77A6C"/>
    <w:rsid w:val="00A9233A"/>
    <w:rsid w:val="00B33CBA"/>
    <w:rsid w:val="00B51A0B"/>
    <w:rsid w:val="00B52547"/>
    <w:rsid w:val="00BB1E92"/>
    <w:rsid w:val="00BB3222"/>
    <w:rsid w:val="00C95E85"/>
    <w:rsid w:val="00D02708"/>
    <w:rsid w:val="00DA3E1F"/>
    <w:rsid w:val="00DB19CE"/>
    <w:rsid w:val="00DB3BED"/>
    <w:rsid w:val="00DC6646"/>
    <w:rsid w:val="00E068DC"/>
    <w:rsid w:val="00E3173F"/>
    <w:rsid w:val="00E75962"/>
    <w:rsid w:val="00EC3D5D"/>
    <w:rsid w:val="00ED60A4"/>
    <w:rsid w:val="00F40B91"/>
    <w:rsid w:val="00F467B4"/>
    <w:rsid w:val="00F77F76"/>
    <w:rsid w:val="00FB1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A36F8"/>
  <w15:chartTrackingRefBased/>
  <w15:docId w15:val="{DAEA77E3-1743-4020-9122-5CB0D7980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3BED"/>
    <w:pPr>
      <w:ind w:left="720"/>
      <w:contextualSpacing/>
    </w:pPr>
  </w:style>
  <w:style w:type="character" w:styleId="Hyperlink">
    <w:name w:val="Hyperlink"/>
    <w:basedOn w:val="DefaultParagraphFont"/>
    <w:uiPriority w:val="99"/>
    <w:unhideWhenUsed/>
    <w:rsid w:val="00242781"/>
    <w:rPr>
      <w:color w:val="0563C1" w:themeColor="hyperlink"/>
      <w:u w:val="single"/>
    </w:rPr>
  </w:style>
  <w:style w:type="character" w:styleId="UnresolvedMention">
    <w:name w:val="Unresolved Mention"/>
    <w:basedOn w:val="DefaultParagraphFont"/>
    <w:uiPriority w:val="99"/>
    <w:semiHidden/>
    <w:unhideWhenUsed/>
    <w:rsid w:val="00242781"/>
    <w:rPr>
      <w:color w:val="605E5C"/>
      <w:shd w:val="clear" w:color="auto" w:fill="E1DFDD"/>
    </w:rPr>
  </w:style>
  <w:style w:type="character" w:styleId="Emphasis">
    <w:name w:val="Emphasis"/>
    <w:basedOn w:val="DefaultParagraphFont"/>
    <w:uiPriority w:val="20"/>
    <w:qFormat/>
    <w:rsid w:val="00A923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ingcenter.unc.edu/tips-and-tools/quotations/" TargetMode="External"/><Relationship Id="rId3" Type="http://schemas.openxmlformats.org/officeDocument/2006/relationships/settings" Target="settings.xml"/><Relationship Id="rId7" Type="http://schemas.openxmlformats.org/officeDocument/2006/relationships/hyperlink" Target="http://www.findingulcinea.com/news/education/2010/march/The-Top-10-Reasons-Students-Cannot-Cite-or-Rely-On-Wikipedi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ritingcommons.org/open-text/research-methods-methodologies/intergrate-evidence/summarize-paraphrase-sources/692-when-to-quote-and-when-to-paraphrase" TargetMode="External"/><Relationship Id="rId11" Type="http://schemas.openxmlformats.org/officeDocument/2006/relationships/theme" Target="theme/theme1.xml"/><Relationship Id="rId5" Type="http://schemas.openxmlformats.org/officeDocument/2006/relationships/hyperlink" Target="http://www.lisbdnet.com/types-information-sourc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intqhc/mzg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10385</TotalTime>
  <Pages>8</Pages>
  <Words>2212</Words>
  <Characters>12610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Planner</dc:creator>
  <cp:keywords/>
  <dc:description/>
  <cp:lastModifiedBy>Connor Planner</cp:lastModifiedBy>
  <cp:revision>46</cp:revision>
  <dcterms:created xsi:type="dcterms:W3CDTF">2018-10-08T18:24:00Z</dcterms:created>
  <dcterms:modified xsi:type="dcterms:W3CDTF">2018-10-30T08:46:00Z</dcterms:modified>
</cp:coreProperties>
</file>