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C8B6F"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b/>
          <w:bCs/>
          <w:color w:val="0E101A"/>
          <w:sz w:val="24"/>
          <w:szCs w:val="24"/>
          <w:u w:val="single"/>
          <w:lang w:eastAsia="en-GB"/>
        </w:rPr>
        <w:t>Evaluative Write-Up – Health, Wellbeing and Resilience</w:t>
      </w:r>
    </w:p>
    <w:p w14:paraId="38DE0B80" w14:textId="77777777" w:rsidR="00236B08" w:rsidRPr="00236B08" w:rsidRDefault="00236B08" w:rsidP="00236B08">
      <w:pPr>
        <w:spacing w:after="0" w:line="360" w:lineRule="auto"/>
        <w:ind w:firstLine="720"/>
        <w:rPr>
          <w:rFonts w:ascii="Century Schoolbook" w:eastAsia="Times New Roman" w:hAnsi="Century Schoolbook" w:cs="Times New Roman"/>
          <w:color w:val="0E101A"/>
          <w:sz w:val="24"/>
          <w:szCs w:val="24"/>
          <w:lang w:eastAsia="en-GB"/>
        </w:rPr>
      </w:pPr>
      <w:proofErr w:type="spellStart"/>
      <w:r w:rsidRPr="00236B08">
        <w:rPr>
          <w:rFonts w:ascii="Century Schoolbook" w:eastAsia="Times New Roman" w:hAnsi="Century Schoolbook" w:cs="Times New Roman"/>
          <w:color w:val="0E101A"/>
          <w:sz w:val="24"/>
          <w:szCs w:val="24"/>
          <w:lang w:eastAsia="en-GB"/>
        </w:rPr>
        <w:t>Ewles</w:t>
      </w:r>
      <w:proofErr w:type="spellEnd"/>
      <w:r w:rsidRPr="00236B08">
        <w:rPr>
          <w:rFonts w:ascii="Century Schoolbook" w:eastAsia="Times New Roman" w:hAnsi="Century Schoolbook" w:cs="Times New Roman"/>
          <w:color w:val="0E101A"/>
          <w:sz w:val="24"/>
          <w:szCs w:val="24"/>
          <w:lang w:eastAsia="en-GB"/>
        </w:rPr>
        <w:t xml:space="preserve"> and </w:t>
      </w:r>
      <w:proofErr w:type="spellStart"/>
      <w:r w:rsidRPr="00236B08">
        <w:rPr>
          <w:rFonts w:ascii="Century Schoolbook" w:eastAsia="Times New Roman" w:hAnsi="Century Schoolbook" w:cs="Times New Roman"/>
          <w:color w:val="0E101A"/>
          <w:sz w:val="24"/>
          <w:szCs w:val="24"/>
          <w:lang w:eastAsia="en-GB"/>
        </w:rPr>
        <w:t>Simnett</w:t>
      </w:r>
      <w:proofErr w:type="spellEnd"/>
      <w:r w:rsidRPr="00236B08">
        <w:rPr>
          <w:rFonts w:ascii="Century Schoolbook" w:eastAsia="Times New Roman" w:hAnsi="Century Schoolbook" w:cs="Times New Roman"/>
          <w:color w:val="0E101A"/>
          <w:sz w:val="24"/>
          <w:szCs w:val="24"/>
          <w:lang w:eastAsia="en-GB"/>
        </w:rPr>
        <w:t xml:space="preserve"> noted five approaches to health promotion. These approaches were: societal-change, client-centred, medical, behavioural change and educational (</w:t>
      </w:r>
      <w:proofErr w:type="spellStart"/>
      <w:r w:rsidRPr="00236B08">
        <w:rPr>
          <w:rFonts w:ascii="Century Schoolbook" w:eastAsia="Times New Roman" w:hAnsi="Century Schoolbook" w:cs="Times New Roman"/>
          <w:color w:val="0E101A"/>
          <w:sz w:val="24"/>
          <w:szCs w:val="24"/>
          <w:lang w:eastAsia="en-GB"/>
        </w:rPr>
        <w:t>Ewles</w:t>
      </w:r>
      <w:proofErr w:type="spellEnd"/>
      <w:r w:rsidRPr="00236B08">
        <w:rPr>
          <w:rFonts w:ascii="Century Schoolbook" w:eastAsia="Times New Roman" w:hAnsi="Century Schoolbook" w:cs="Times New Roman"/>
          <w:color w:val="0E101A"/>
          <w:sz w:val="24"/>
          <w:szCs w:val="24"/>
          <w:lang w:eastAsia="en-GB"/>
        </w:rPr>
        <w:t xml:space="preserve"> and </w:t>
      </w:r>
      <w:proofErr w:type="spellStart"/>
      <w:r w:rsidRPr="00236B08">
        <w:rPr>
          <w:rFonts w:ascii="Century Schoolbook" w:eastAsia="Times New Roman" w:hAnsi="Century Schoolbook" w:cs="Times New Roman"/>
          <w:color w:val="0E101A"/>
          <w:sz w:val="24"/>
          <w:szCs w:val="24"/>
          <w:lang w:eastAsia="en-GB"/>
        </w:rPr>
        <w:t>Simnett</w:t>
      </w:r>
      <w:proofErr w:type="spellEnd"/>
      <w:r w:rsidRPr="00236B08">
        <w:rPr>
          <w:rFonts w:ascii="Century Schoolbook" w:eastAsia="Times New Roman" w:hAnsi="Century Schoolbook" w:cs="Times New Roman"/>
          <w:color w:val="0E101A"/>
          <w:sz w:val="24"/>
          <w:szCs w:val="24"/>
          <w:lang w:eastAsia="en-GB"/>
        </w:rPr>
        <w:t>, 1995). Each approach to health promotion differs and uses different methods to obtain its own aim (Irvine, 2007): the societal change approach aims to alter environmental conditions within people; the client-centred (also known as ‘empowerment’) approach aims to enable communities to identify what they consider priorities to their health and providing resources to allow change; thirdly, the medical approach aims to prevent and lessen illness by targeting at-risk units; the behavioural approach is used to encourage people to make a change and embrace a healthy lifestyle and, finally, the educational approach aims to inform groups sufficiently so that they are able to make knowledgeable choices regarding their health (Phillips, 2019). The latter two were the approaches that I chose to use when preparing my health fair stand which was made with the aim of promoting health, specifically dental health in children.</w:t>
      </w:r>
    </w:p>
    <w:p w14:paraId="396BEFBD" w14:textId="2204C5ED"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Primarily, I applied the educational approach. Some examples of activities that may be used for an educational approach to health promotion are mass media campaigns, informative activities, presentations and providing leaflets (Naidoo and Wills, 20</w:t>
      </w:r>
      <w:r w:rsidR="007E7F1F">
        <w:rPr>
          <w:rFonts w:ascii="Century Schoolbook" w:eastAsia="Times New Roman" w:hAnsi="Century Schoolbook" w:cs="Times New Roman"/>
          <w:color w:val="0E101A"/>
          <w:sz w:val="24"/>
          <w:szCs w:val="24"/>
          <w:lang w:eastAsia="en-GB"/>
        </w:rPr>
        <w:t>16</w:t>
      </w:r>
      <w:r w:rsidRPr="00236B08">
        <w:rPr>
          <w:rFonts w:ascii="Century Schoolbook" w:eastAsia="Times New Roman" w:hAnsi="Century Schoolbook" w:cs="Times New Roman"/>
          <w:color w:val="0E101A"/>
          <w:sz w:val="24"/>
          <w:szCs w:val="24"/>
          <w:lang w:eastAsia="en-GB"/>
        </w:rPr>
        <w:t>). The educational approach operates with the notion that, when people are given information about their health, they will use that knowledge and make a positive change towards healthier actions. The education approach focuses on teaching understanding and includes three phases (Phillips, 2019):</w:t>
      </w:r>
    </w:p>
    <w:p w14:paraId="7CD8EF03" w14:textId="77777777" w:rsidR="00236B08" w:rsidRPr="00236B08" w:rsidRDefault="00236B08" w:rsidP="00236B08">
      <w:pPr>
        <w:numPr>
          <w:ilvl w:val="0"/>
          <w:numId w:val="20"/>
        </w:num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cognitive stage</w:t>
      </w:r>
    </w:p>
    <w:p w14:paraId="29563FA0" w14:textId="77777777" w:rsidR="00236B08" w:rsidRPr="00236B08" w:rsidRDefault="00236B08" w:rsidP="00236B08">
      <w:pPr>
        <w:numPr>
          <w:ilvl w:val="0"/>
          <w:numId w:val="20"/>
        </w:num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affective stage</w:t>
      </w:r>
    </w:p>
    <w:p w14:paraId="6CD3A893" w14:textId="77777777" w:rsidR="00236B08" w:rsidRPr="00236B08" w:rsidRDefault="00236B08" w:rsidP="00236B08">
      <w:pPr>
        <w:numPr>
          <w:ilvl w:val="0"/>
          <w:numId w:val="20"/>
        </w:num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behavioural stage</w:t>
      </w:r>
    </w:p>
    <w:p w14:paraId="0EF70C3C" w14:textId="77777777" w:rsidR="00236B08" w:rsidRPr="00236B08" w:rsidRDefault="00236B08" w:rsidP="00236B08">
      <w:pPr>
        <w:spacing w:after="0" w:line="360" w:lineRule="auto"/>
        <w:ind w:firstLine="360"/>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In the first stage, one should address the audience’s understanding concerning a particular health topic. My chosen health topic was dental hygiene, specifically the dental hygiene of children. I aimed my health fair stand at parents rather than children as I concluded that this would have a bigger impact. I researched aspects of dental hygiene and caring for children’s teeth </w:t>
      </w:r>
      <w:r w:rsidRPr="00236B08">
        <w:rPr>
          <w:rFonts w:ascii="Century Schoolbook" w:eastAsia="Times New Roman" w:hAnsi="Century Schoolbook" w:cs="Times New Roman"/>
          <w:color w:val="0E101A"/>
          <w:sz w:val="24"/>
          <w:szCs w:val="24"/>
          <w:lang w:eastAsia="en-GB"/>
        </w:rPr>
        <w:lastRenderedPageBreak/>
        <w:t>that are not common knowledge as I felt this would be the most instructive and useful information for parents.</w:t>
      </w:r>
    </w:p>
    <w:p w14:paraId="369D24F3" w14:textId="18002098"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I also used the behaviour change approach. The behavioural change approach, otherwise known as the behaviour approach, is popular amongst health agencies for promoting health and is often used to encourage a healthier lifestyle through persuasive campaigns against detrimental habits, such as smoking</w:t>
      </w:r>
      <w:r w:rsidR="00772C2B">
        <w:rPr>
          <w:rFonts w:ascii="Century Schoolbook" w:eastAsia="Times New Roman" w:hAnsi="Century Schoolbook" w:cs="Times New Roman"/>
          <w:color w:val="0E101A"/>
          <w:sz w:val="24"/>
          <w:szCs w:val="24"/>
          <w:lang w:eastAsia="en-GB"/>
        </w:rPr>
        <w:t>,</w:t>
      </w:r>
      <w:r w:rsidRPr="00236B08">
        <w:rPr>
          <w:rFonts w:ascii="Century Schoolbook" w:eastAsia="Times New Roman" w:hAnsi="Century Schoolbook" w:cs="Times New Roman"/>
          <w:color w:val="0E101A"/>
          <w:sz w:val="24"/>
          <w:szCs w:val="24"/>
          <w:lang w:eastAsia="en-GB"/>
        </w:rPr>
        <w:t xml:space="preserve"> and for beneficial habits, such as exercising (Scriven, 2017). An example of this would be the National Health Se</w:t>
      </w:r>
      <w:r w:rsidR="007E7F1F">
        <w:rPr>
          <w:rFonts w:ascii="Century Schoolbook" w:eastAsia="Times New Roman" w:hAnsi="Century Schoolbook" w:cs="Times New Roman"/>
          <w:color w:val="0E101A"/>
          <w:sz w:val="24"/>
          <w:szCs w:val="24"/>
          <w:lang w:eastAsia="en-GB"/>
        </w:rPr>
        <w:t>r</w:t>
      </w:r>
      <w:r w:rsidRPr="00236B08">
        <w:rPr>
          <w:rFonts w:ascii="Century Schoolbook" w:eastAsia="Times New Roman" w:hAnsi="Century Schoolbook" w:cs="Times New Roman"/>
          <w:color w:val="0E101A"/>
          <w:sz w:val="24"/>
          <w:szCs w:val="24"/>
          <w:lang w:eastAsia="en-GB"/>
        </w:rPr>
        <w:t>vice ‘change4life’ campaign (National Health Service, 2021) and similar campaigns that are designed with the intention of changing individual behaviour. Another example of a behavioural change approach would be the major annual campaign event, ‘Stoptober,’ which was an anti-smoking initiative introduced in 2012 by the Department of Health that encourages smokers to go twenty-eight days without cigarettes in October (Brown, 2014).</w:t>
      </w:r>
    </w:p>
    <w:p w14:paraId="459F5F3C" w14:textId="77777777" w:rsidR="00236B08" w:rsidRPr="00236B08" w:rsidRDefault="00236B08" w:rsidP="00236B08">
      <w:pPr>
        <w:spacing w:after="0" w:line="360" w:lineRule="auto"/>
        <w:ind w:firstLine="720"/>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Though the behaviour approach can use mass means of communication, it is aimed towards individuals as it revolves around the belief that one’s health is the responsibility of the individual (</w:t>
      </w:r>
      <w:proofErr w:type="spellStart"/>
      <w:r w:rsidRPr="00236B08">
        <w:rPr>
          <w:rFonts w:ascii="Century Schoolbook" w:eastAsia="Times New Roman" w:hAnsi="Century Schoolbook" w:cs="Times New Roman"/>
          <w:color w:val="0E101A"/>
          <w:sz w:val="24"/>
          <w:szCs w:val="24"/>
          <w:lang w:eastAsia="en-GB"/>
        </w:rPr>
        <w:t>Laverack</w:t>
      </w:r>
      <w:proofErr w:type="spellEnd"/>
      <w:r w:rsidRPr="00236B08">
        <w:rPr>
          <w:rFonts w:ascii="Century Schoolbook" w:eastAsia="Times New Roman" w:hAnsi="Century Schoolbook" w:cs="Times New Roman"/>
          <w:color w:val="0E101A"/>
          <w:sz w:val="24"/>
          <w:szCs w:val="24"/>
          <w:lang w:eastAsia="en-GB"/>
        </w:rPr>
        <w:t xml:space="preserve">, 2014) and that to maintain good health, one must maintain a healthy lifestyle to begin with. The approach is usually led by health professionals and is targeted at the layman public using a top-down approach. In some cases, however, the behaviour change approach may be “directed according to a client’s stated needs when these have been identified” (Van den </w:t>
      </w:r>
      <w:proofErr w:type="spellStart"/>
      <w:r w:rsidRPr="00236B08">
        <w:rPr>
          <w:rFonts w:ascii="Century Schoolbook" w:eastAsia="Times New Roman" w:hAnsi="Century Schoolbook" w:cs="Times New Roman"/>
          <w:color w:val="0E101A"/>
          <w:sz w:val="24"/>
          <w:szCs w:val="24"/>
          <w:lang w:eastAsia="en-GB"/>
        </w:rPr>
        <w:t>Brouke</w:t>
      </w:r>
      <w:proofErr w:type="spellEnd"/>
      <w:r w:rsidRPr="00236B08">
        <w:rPr>
          <w:rFonts w:ascii="Century Schoolbook" w:eastAsia="Times New Roman" w:hAnsi="Century Schoolbook" w:cs="Times New Roman"/>
          <w:color w:val="0E101A"/>
          <w:sz w:val="24"/>
          <w:szCs w:val="24"/>
          <w:lang w:eastAsia="en-GB"/>
        </w:rPr>
        <w:t>, 2013). For instance, media and marketing methods concentrate on the consumers and on their wants and needs, and subsequently provide them. This approach is often used by professionals in the healthcare sector to inform individuals of relevant information so that they are better educated to make decisions about their health in future (</w:t>
      </w:r>
      <w:proofErr w:type="spellStart"/>
      <w:r w:rsidRPr="00236B08">
        <w:rPr>
          <w:rFonts w:ascii="Century Schoolbook" w:eastAsia="Times New Roman" w:hAnsi="Century Schoolbook" w:cs="Times New Roman"/>
          <w:color w:val="0E101A"/>
          <w:sz w:val="24"/>
          <w:szCs w:val="24"/>
          <w:lang w:eastAsia="en-GB"/>
        </w:rPr>
        <w:t>Laverack</w:t>
      </w:r>
      <w:proofErr w:type="spellEnd"/>
      <w:r w:rsidRPr="00236B08">
        <w:rPr>
          <w:rFonts w:ascii="Century Schoolbook" w:eastAsia="Times New Roman" w:hAnsi="Century Schoolbook" w:cs="Times New Roman"/>
          <w:color w:val="0E101A"/>
          <w:sz w:val="24"/>
          <w:szCs w:val="24"/>
          <w:lang w:eastAsia="en-GB"/>
        </w:rPr>
        <w:t>, 2014a). This is a similar approach to the educational approach in some ways as it aims to educate clients about certain ailments so that individuals can ideally make educated decisions about their habits and behaviour (Rodham, 2019).</w:t>
      </w:r>
    </w:p>
    <w:p w14:paraId="0E155C4A"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           There </w:t>
      </w:r>
      <w:proofErr w:type="gramStart"/>
      <w:r w:rsidRPr="00236B08">
        <w:rPr>
          <w:rFonts w:ascii="Century Schoolbook" w:eastAsia="Times New Roman" w:hAnsi="Century Schoolbook" w:cs="Times New Roman"/>
          <w:color w:val="0E101A"/>
          <w:sz w:val="24"/>
          <w:szCs w:val="24"/>
          <w:lang w:eastAsia="en-GB"/>
        </w:rPr>
        <w:t>are</w:t>
      </w:r>
      <w:proofErr w:type="gramEnd"/>
      <w:r w:rsidRPr="00236B08">
        <w:rPr>
          <w:rFonts w:ascii="Century Schoolbook" w:eastAsia="Times New Roman" w:hAnsi="Century Schoolbook" w:cs="Times New Roman"/>
          <w:color w:val="0E101A"/>
          <w:sz w:val="24"/>
          <w:szCs w:val="24"/>
          <w:lang w:eastAsia="en-GB"/>
        </w:rPr>
        <w:t xml:space="preserve"> a plethora of benefits to utilising the educational approach. One advantage of the educational approach is that it provides information and knowledge so that they </w:t>
      </w:r>
      <w:proofErr w:type="gramStart"/>
      <w:r w:rsidRPr="00236B08">
        <w:rPr>
          <w:rFonts w:ascii="Century Schoolbook" w:eastAsia="Times New Roman" w:hAnsi="Century Schoolbook" w:cs="Times New Roman"/>
          <w:color w:val="0E101A"/>
          <w:sz w:val="24"/>
          <w:szCs w:val="24"/>
          <w:lang w:eastAsia="en-GB"/>
        </w:rPr>
        <w:t>are able to</w:t>
      </w:r>
      <w:proofErr w:type="gramEnd"/>
      <w:r w:rsidRPr="00236B08">
        <w:rPr>
          <w:rFonts w:ascii="Century Schoolbook" w:eastAsia="Times New Roman" w:hAnsi="Century Schoolbook" w:cs="Times New Roman"/>
          <w:color w:val="0E101A"/>
          <w:sz w:val="24"/>
          <w:szCs w:val="24"/>
          <w:lang w:eastAsia="en-GB"/>
        </w:rPr>
        <w:t xml:space="preserve"> make informed decisions about their own </w:t>
      </w:r>
      <w:r w:rsidRPr="00236B08">
        <w:rPr>
          <w:rFonts w:ascii="Century Schoolbook" w:eastAsia="Times New Roman" w:hAnsi="Century Schoolbook" w:cs="Times New Roman"/>
          <w:color w:val="0E101A"/>
          <w:sz w:val="24"/>
          <w:szCs w:val="24"/>
          <w:lang w:eastAsia="en-GB"/>
        </w:rPr>
        <w:lastRenderedPageBreak/>
        <w:t>health by enabling them to “develop the necessary skills in order to allow the person to make better decisions” (</w:t>
      </w:r>
      <w:proofErr w:type="spellStart"/>
      <w:r w:rsidRPr="00236B08">
        <w:rPr>
          <w:rFonts w:ascii="Century Schoolbook" w:eastAsia="Times New Roman" w:hAnsi="Century Schoolbook" w:cs="Times New Roman"/>
          <w:color w:val="0E101A"/>
          <w:sz w:val="24"/>
          <w:szCs w:val="24"/>
          <w:lang w:eastAsia="en-GB"/>
        </w:rPr>
        <w:t>GetRevising</w:t>
      </w:r>
      <w:proofErr w:type="spellEnd"/>
      <w:r w:rsidRPr="00236B08">
        <w:rPr>
          <w:rFonts w:ascii="Century Schoolbook" w:eastAsia="Times New Roman" w:hAnsi="Century Schoolbook" w:cs="Times New Roman"/>
          <w:color w:val="0E101A"/>
          <w:sz w:val="24"/>
          <w:szCs w:val="24"/>
          <w:lang w:eastAsia="en-GB"/>
        </w:rPr>
        <w:t xml:space="preserve">, 2017). The educational approach is also good for some situations as it is the choice and responsibility of the client themselves what the </w:t>
      </w:r>
      <w:proofErr w:type="gramStart"/>
      <w:r w:rsidRPr="00236B08">
        <w:rPr>
          <w:rFonts w:ascii="Century Schoolbook" w:eastAsia="Times New Roman" w:hAnsi="Century Schoolbook" w:cs="Times New Roman"/>
          <w:color w:val="0E101A"/>
          <w:sz w:val="24"/>
          <w:szCs w:val="24"/>
          <w:lang w:eastAsia="en-GB"/>
        </w:rPr>
        <w:t>final outcome</w:t>
      </w:r>
      <w:proofErr w:type="gramEnd"/>
      <w:r w:rsidRPr="00236B08">
        <w:rPr>
          <w:rFonts w:ascii="Century Schoolbook" w:eastAsia="Times New Roman" w:hAnsi="Century Schoolbook" w:cs="Times New Roman"/>
          <w:color w:val="0E101A"/>
          <w:sz w:val="24"/>
          <w:szCs w:val="24"/>
          <w:lang w:eastAsia="en-GB"/>
        </w:rPr>
        <w:t xml:space="preserve"> is, relieving the pressure from whoever is using the approach. While there are similarities between the educational approach and the behavioural approach, the educational approach does not aim to encourage or convince their patients towards one specific goal.</w:t>
      </w:r>
    </w:p>
    <w:p w14:paraId="64822E0A"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On the other hand, there is also a selection of disadvantages to utilising the educational approach. Foremostly, the educational approach acts with the belief that behaviour change can occur simply by obtaining knowledge that may alter one’s attitude towards certain aspects of health; however, there are many factors that may restrict one’s voluntary behaviour change, such as financial complications or personal schedule. Additionally, decisions related to health can be complex and not a simple matter of merely choosing to change.</w:t>
      </w:r>
    </w:p>
    <w:p w14:paraId="712D2772"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           Overall, it is relatively simple to determine the effectiveness of this approach by posing questions to the clients about what they have learned during the presentation or by giving an exam-style questionnaire to get a more accurate idea. I feel that I should have asked questions at the commencement of my presentation so that I could evaluate its effectiveness; if I were to present my health fair stand again, I would make this change. Furthermore, I do believe that an increased knowledge of a subject – at least in this </w:t>
      </w:r>
      <w:proofErr w:type="gramStart"/>
      <w:r w:rsidRPr="00236B08">
        <w:rPr>
          <w:rFonts w:ascii="Century Schoolbook" w:eastAsia="Times New Roman" w:hAnsi="Century Schoolbook" w:cs="Times New Roman"/>
          <w:color w:val="0E101A"/>
          <w:sz w:val="24"/>
          <w:szCs w:val="24"/>
          <w:lang w:eastAsia="en-GB"/>
        </w:rPr>
        <w:t>particular circumstance</w:t>
      </w:r>
      <w:proofErr w:type="gramEnd"/>
      <w:r w:rsidRPr="00236B08">
        <w:rPr>
          <w:rFonts w:ascii="Century Schoolbook" w:eastAsia="Times New Roman" w:hAnsi="Century Schoolbook" w:cs="Times New Roman"/>
          <w:color w:val="0E101A"/>
          <w:sz w:val="24"/>
          <w:szCs w:val="24"/>
          <w:lang w:eastAsia="en-GB"/>
        </w:rPr>
        <w:t xml:space="preserve"> – is not enough alone to encourage behavioural change. </w:t>
      </w:r>
    </w:p>
    <w:p w14:paraId="6C4F3D3E"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           The behaviour change approach also has an abundance of benefits. </w:t>
      </w:r>
      <w:proofErr w:type="gramStart"/>
      <w:r w:rsidRPr="00236B08">
        <w:rPr>
          <w:rFonts w:ascii="Century Schoolbook" w:eastAsia="Times New Roman" w:hAnsi="Century Schoolbook" w:cs="Times New Roman"/>
          <w:color w:val="0E101A"/>
          <w:sz w:val="24"/>
          <w:szCs w:val="24"/>
          <w:lang w:eastAsia="en-GB"/>
        </w:rPr>
        <w:t>Similar to</w:t>
      </w:r>
      <w:proofErr w:type="gramEnd"/>
      <w:r w:rsidRPr="00236B08">
        <w:rPr>
          <w:rFonts w:ascii="Century Schoolbook" w:eastAsia="Times New Roman" w:hAnsi="Century Schoolbook" w:cs="Times New Roman"/>
          <w:color w:val="0E101A"/>
          <w:sz w:val="24"/>
          <w:szCs w:val="24"/>
          <w:lang w:eastAsia="en-GB"/>
        </w:rPr>
        <w:t xml:space="preserve"> the educational approach, the behavioural approach operates under the view that health is the responsibility of the individual and encourages them to change their behaviour and adopt a healthier lifestyle. This approach also provides “information for people to make well-informed choices independently” (</w:t>
      </w:r>
      <w:proofErr w:type="spellStart"/>
      <w:r w:rsidRPr="00236B08">
        <w:rPr>
          <w:rFonts w:ascii="Century Schoolbook" w:eastAsia="Times New Roman" w:hAnsi="Century Schoolbook" w:cs="Times New Roman"/>
          <w:color w:val="0E101A"/>
          <w:sz w:val="24"/>
          <w:szCs w:val="24"/>
          <w:lang w:eastAsia="en-GB"/>
        </w:rPr>
        <w:t>GetRevising</w:t>
      </w:r>
      <w:proofErr w:type="spellEnd"/>
      <w:r w:rsidRPr="00236B08">
        <w:rPr>
          <w:rFonts w:ascii="Century Schoolbook" w:eastAsia="Times New Roman" w:hAnsi="Century Schoolbook" w:cs="Times New Roman"/>
          <w:color w:val="0E101A"/>
          <w:sz w:val="24"/>
          <w:szCs w:val="24"/>
          <w:lang w:eastAsia="en-GB"/>
        </w:rPr>
        <w:t>, 2017a). The behavioural approach can also be aimed at specific demographics; I aimed my children’s dental health fair stand toward parents rather than children as parents more often will have more input and influence on their children’s health than children themselves.</w:t>
      </w:r>
    </w:p>
    <w:p w14:paraId="36ED650A"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lastRenderedPageBreak/>
        <w:t xml:space="preserve">           By contrast, there are also drawbacks to the behavioural approach. One disadvantage of the behavioural approach is that, just as is the issue with the educational approach, behaviour is not solely a result of knowledge or lack thereof of a subject; it can be impacted by one’s social and economic circumstances. The approach has been criticised for its reliance on individual behaviour (Van Den </w:t>
      </w:r>
      <w:proofErr w:type="spellStart"/>
      <w:r w:rsidRPr="00236B08">
        <w:rPr>
          <w:rFonts w:ascii="Century Schoolbook" w:eastAsia="Times New Roman" w:hAnsi="Century Schoolbook" w:cs="Times New Roman"/>
          <w:color w:val="0E101A"/>
          <w:sz w:val="24"/>
          <w:szCs w:val="24"/>
          <w:lang w:eastAsia="en-GB"/>
        </w:rPr>
        <w:t>Broucke</w:t>
      </w:r>
      <w:proofErr w:type="spellEnd"/>
      <w:r w:rsidRPr="00236B08">
        <w:rPr>
          <w:rFonts w:ascii="Century Schoolbook" w:eastAsia="Times New Roman" w:hAnsi="Century Schoolbook" w:cs="Times New Roman"/>
          <w:color w:val="0E101A"/>
          <w:sz w:val="24"/>
          <w:szCs w:val="24"/>
          <w:lang w:eastAsia="en-GB"/>
        </w:rPr>
        <w:t>, 2014). Furthermore, while leaflets and posters may attract attention, they may be discarded or forgotten. Television advertisements and online promotion also have drawbacks as not everyone has access to a television set or the internet.</w:t>
      </w:r>
    </w:p>
    <w:p w14:paraId="4C4A11AA" w14:textId="35F3E356"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Evaluating the effectiveness of using the behavioural theory is difficult as it is not as simple as surveying clients about their behaviour change following the model as there is no way to determine if any behaviour change was directly and solely the result of the behavioural change approach</w:t>
      </w:r>
      <w:r w:rsidR="0065776B">
        <w:rPr>
          <w:rFonts w:ascii="Century Schoolbook" w:eastAsia="Times New Roman" w:hAnsi="Century Schoolbook" w:cs="Times New Roman"/>
          <w:color w:val="0E101A"/>
          <w:sz w:val="24"/>
          <w:szCs w:val="24"/>
          <w:lang w:eastAsia="en-GB"/>
        </w:rPr>
        <w:t xml:space="preserve"> or if there were additional factors of change</w:t>
      </w:r>
      <w:r w:rsidRPr="00236B08">
        <w:rPr>
          <w:rFonts w:ascii="Century Schoolbook" w:eastAsia="Times New Roman" w:hAnsi="Century Schoolbook" w:cs="Times New Roman"/>
          <w:color w:val="0E101A"/>
          <w:sz w:val="24"/>
          <w:szCs w:val="24"/>
          <w:lang w:eastAsia="en-GB"/>
        </w:rPr>
        <w:t>. Moreover, change may take place after an extended period</w:t>
      </w:r>
      <w:r w:rsidR="000F6EB3">
        <w:rPr>
          <w:rFonts w:ascii="Century Schoolbook" w:eastAsia="Times New Roman" w:hAnsi="Century Schoolbook" w:cs="Times New Roman"/>
          <w:color w:val="0E101A"/>
          <w:sz w:val="24"/>
          <w:szCs w:val="24"/>
          <w:lang w:eastAsia="en-GB"/>
        </w:rPr>
        <w:t xml:space="preserve"> rather than an immediate reaction.</w:t>
      </w:r>
    </w:p>
    <w:p w14:paraId="50948937" w14:textId="77777777" w:rsidR="00236B08" w:rsidRPr="00236B08" w:rsidRDefault="00236B08" w:rsidP="00236B08">
      <w:pPr>
        <w:spacing w:after="0" w:line="360" w:lineRule="auto"/>
        <w:ind w:firstLine="720"/>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An example of how I used the educational approach was my use of informative posters. I made a total of ten posters, each of them focusing on a different aspect of dental hygiene that I wanted to explore. These topics </w:t>
      </w:r>
      <w:proofErr w:type="gramStart"/>
      <w:r w:rsidRPr="00236B08">
        <w:rPr>
          <w:rFonts w:ascii="Century Schoolbook" w:eastAsia="Times New Roman" w:hAnsi="Century Schoolbook" w:cs="Times New Roman"/>
          <w:color w:val="0E101A"/>
          <w:sz w:val="24"/>
          <w:szCs w:val="24"/>
          <w:lang w:eastAsia="en-GB"/>
        </w:rPr>
        <w:t>included, but</w:t>
      </w:r>
      <w:proofErr w:type="gramEnd"/>
      <w:r w:rsidRPr="00236B08">
        <w:rPr>
          <w:rFonts w:ascii="Century Schoolbook" w:eastAsia="Times New Roman" w:hAnsi="Century Schoolbook" w:cs="Times New Roman"/>
          <w:color w:val="0E101A"/>
          <w:sz w:val="24"/>
          <w:szCs w:val="24"/>
          <w:lang w:eastAsia="en-GB"/>
        </w:rPr>
        <w:t xml:space="preserve"> were not limited to: how to look after your children’s teeth; how children can take care of their own teeth; the effects of sugary food and drink; the impact of COVID-19 on dental health and the benefits of fluoride.</w:t>
      </w:r>
    </w:p>
    <w:p w14:paraId="6D60D061" w14:textId="77777777"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Furthermore, I gave a visual demonstration on the amount of toothpaste needed when brushing children’s teeth at different age ranges, and I gave a separate demonstration showing how to download and operate a mobile application that can assist children in brushing their teeth (National Health Service, 2018).</w:t>
      </w:r>
    </w:p>
    <w:p w14:paraId="36270B6E" w14:textId="14FA88CD"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xml:space="preserve">           I felt that the approaches I utilised were applicable as I knew the audience I was presenting to – primarily mothers of young children – and was able to target my posters to that specific demographic. I chose to use the educational approach and the behavioural change approach because they seemed the most suitable and appropriate approach to use in the </w:t>
      </w:r>
      <w:r w:rsidR="006B2BEC">
        <w:rPr>
          <w:rFonts w:ascii="Century Schoolbook" w:eastAsia="Times New Roman" w:hAnsi="Century Schoolbook" w:cs="Times New Roman"/>
          <w:color w:val="0E101A"/>
          <w:sz w:val="24"/>
          <w:szCs w:val="24"/>
          <w:lang w:eastAsia="en-GB"/>
        </w:rPr>
        <w:t xml:space="preserve">health fair </w:t>
      </w:r>
      <w:r w:rsidRPr="00236B08">
        <w:rPr>
          <w:rFonts w:ascii="Century Schoolbook" w:eastAsia="Times New Roman" w:hAnsi="Century Schoolbook" w:cs="Times New Roman"/>
          <w:color w:val="0E101A"/>
          <w:sz w:val="24"/>
          <w:szCs w:val="24"/>
          <w:lang w:eastAsia="en-GB"/>
        </w:rPr>
        <w:t xml:space="preserve">environment. The medical approach would not have been suitable as it is aimed towards high-risk groups and large </w:t>
      </w:r>
      <w:proofErr w:type="gramStart"/>
      <w:r w:rsidRPr="00236B08">
        <w:rPr>
          <w:rFonts w:ascii="Century Schoolbook" w:eastAsia="Times New Roman" w:hAnsi="Century Schoolbook" w:cs="Times New Roman"/>
          <w:color w:val="0E101A"/>
          <w:sz w:val="24"/>
          <w:szCs w:val="24"/>
          <w:lang w:eastAsia="en-GB"/>
        </w:rPr>
        <w:t>populations, and</w:t>
      </w:r>
      <w:proofErr w:type="gramEnd"/>
      <w:r w:rsidRPr="00236B08">
        <w:rPr>
          <w:rFonts w:ascii="Century Schoolbook" w:eastAsia="Times New Roman" w:hAnsi="Century Schoolbook" w:cs="Times New Roman"/>
          <w:color w:val="0E101A"/>
          <w:sz w:val="24"/>
          <w:szCs w:val="24"/>
          <w:lang w:eastAsia="en-GB"/>
        </w:rPr>
        <w:t xml:space="preserve"> uses methods such as </w:t>
      </w:r>
      <w:r w:rsidRPr="00236B08">
        <w:rPr>
          <w:rFonts w:ascii="Century Schoolbook" w:eastAsia="Times New Roman" w:hAnsi="Century Schoolbook" w:cs="Times New Roman"/>
          <w:color w:val="0E101A"/>
          <w:sz w:val="24"/>
          <w:szCs w:val="24"/>
          <w:lang w:eastAsia="en-GB"/>
        </w:rPr>
        <w:lastRenderedPageBreak/>
        <w:t>screening and immunisation</w:t>
      </w:r>
      <w:r w:rsidR="006B2BEC">
        <w:rPr>
          <w:rFonts w:ascii="Century Schoolbook" w:eastAsia="Times New Roman" w:hAnsi="Century Schoolbook" w:cs="Times New Roman"/>
          <w:color w:val="0E101A"/>
          <w:sz w:val="24"/>
          <w:szCs w:val="24"/>
          <w:lang w:eastAsia="en-GB"/>
        </w:rPr>
        <w:t xml:space="preserve"> which would have been impossible and impractical under the circumstances</w:t>
      </w:r>
      <w:r w:rsidRPr="00236B08">
        <w:rPr>
          <w:rFonts w:ascii="Century Schoolbook" w:eastAsia="Times New Roman" w:hAnsi="Century Schoolbook" w:cs="Times New Roman"/>
          <w:color w:val="0E101A"/>
          <w:sz w:val="24"/>
          <w:szCs w:val="24"/>
          <w:lang w:eastAsia="en-GB"/>
        </w:rPr>
        <w:t xml:space="preserve">. The empowerment approach would have also been </w:t>
      </w:r>
      <w:r w:rsidR="006B2BEC">
        <w:rPr>
          <w:rFonts w:ascii="Century Schoolbook" w:eastAsia="Times New Roman" w:hAnsi="Century Schoolbook" w:cs="Times New Roman"/>
          <w:color w:val="0E101A"/>
          <w:sz w:val="24"/>
          <w:szCs w:val="24"/>
          <w:lang w:eastAsia="en-GB"/>
        </w:rPr>
        <w:t>ill-</w:t>
      </w:r>
      <w:r w:rsidRPr="00236B08">
        <w:rPr>
          <w:rFonts w:ascii="Century Schoolbook" w:eastAsia="Times New Roman" w:hAnsi="Century Schoolbook" w:cs="Times New Roman"/>
          <w:color w:val="0E101A"/>
          <w:sz w:val="24"/>
          <w:szCs w:val="24"/>
          <w:lang w:eastAsia="en-GB"/>
        </w:rPr>
        <w:t>fitting as it requires a more personal approach that focuses more on an individual’s unique circumstances (Coleman and O’Hanlon, 2004) and thus would not be ideal for a large group.</w:t>
      </w:r>
    </w:p>
    <w:p w14:paraId="12EE4DE9" w14:textId="0EB99A1A" w:rsidR="00236B08" w:rsidRPr="00236B08" w:rsidRDefault="00236B08" w:rsidP="00236B08">
      <w:pPr>
        <w:spacing w:after="0" w:line="360" w:lineRule="auto"/>
        <w:rPr>
          <w:rFonts w:ascii="Century Schoolbook" w:eastAsia="Times New Roman" w:hAnsi="Century Schoolbook" w:cs="Times New Roman"/>
          <w:color w:val="0E101A"/>
          <w:sz w:val="24"/>
          <w:szCs w:val="24"/>
          <w:lang w:eastAsia="en-GB"/>
        </w:rPr>
      </w:pPr>
      <w:r w:rsidRPr="00236B08">
        <w:rPr>
          <w:rFonts w:ascii="Century Schoolbook" w:eastAsia="Times New Roman" w:hAnsi="Century Schoolbook" w:cs="Times New Roman"/>
          <w:color w:val="0E101A"/>
          <w:sz w:val="24"/>
          <w:szCs w:val="24"/>
          <w:lang w:eastAsia="en-GB"/>
        </w:rPr>
        <w:t>           The health fair stand, I believe, was not largely effective. As stated previously, there are many factors that can restrict voluntary behaviour. Despite this, I do believe that the approaches I utilised were effective to some extent as the information I shared on children’s dental hygiene interested the parents present and feel it was effective as they seemed engaged and asked questions</w:t>
      </w:r>
      <w:r w:rsidR="00153154">
        <w:rPr>
          <w:rFonts w:ascii="Century Schoolbook" w:eastAsia="Times New Roman" w:hAnsi="Century Schoolbook" w:cs="Times New Roman"/>
          <w:color w:val="0E101A"/>
          <w:sz w:val="24"/>
          <w:szCs w:val="24"/>
          <w:lang w:eastAsia="en-GB"/>
        </w:rPr>
        <w:t>, suggesting a willingness to heed the dental advice</w:t>
      </w:r>
      <w:r w:rsidRPr="00236B08">
        <w:rPr>
          <w:rFonts w:ascii="Century Schoolbook" w:eastAsia="Times New Roman" w:hAnsi="Century Schoolbook" w:cs="Times New Roman"/>
          <w:color w:val="0E101A"/>
          <w:sz w:val="24"/>
          <w:szCs w:val="24"/>
          <w:lang w:eastAsia="en-GB"/>
        </w:rPr>
        <w:t>.</w:t>
      </w:r>
    </w:p>
    <w:p w14:paraId="5B2F9A0B" w14:textId="445C1393" w:rsidR="00236B08" w:rsidRPr="00236B08" w:rsidRDefault="00A117FE" w:rsidP="00153154">
      <w:pPr>
        <w:spacing w:after="0" w:line="360" w:lineRule="auto"/>
        <w:ind w:firstLine="720"/>
        <w:rPr>
          <w:rFonts w:ascii="Century Schoolbook" w:eastAsia="Times New Roman" w:hAnsi="Century Schoolbook" w:cs="Times New Roman"/>
          <w:color w:val="0E101A"/>
          <w:sz w:val="24"/>
          <w:szCs w:val="24"/>
          <w:lang w:eastAsia="en-GB"/>
        </w:rPr>
      </w:pPr>
      <w:r>
        <w:rPr>
          <w:rFonts w:ascii="Century Schoolbook" w:eastAsia="Times New Roman" w:hAnsi="Century Schoolbook" w:cs="Times New Roman"/>
          <w:color w:val="0E101A"/>
          <w:sz w:val="24"/>
          <w:szCs w:val="24"/>
          <w:lang w:eastAsia="en-GB"/>
        </w:rPr>
        <w:t>To summarise</w:t>
      </w:r>
      <w:r w:rsidR="00236B08" w:rsidRPr="00236B08">
        <w:rPr>
          <w:rFonts w:ascii="Century Schoolbook" w:eastAsia="Times New Roman" w:hAnsi="Century Schoolbook" w:cs="Times New Roman"/>
          <w:color w:val="0E101A"/>
          <w:sz w:val="24"/>
          <w:szCs w:val="24"/>
          <w:lang w:eastAsia="en-GB"/>
        </w:rPr>
        <w:t xml:space="preserve">, I was content with my choice of approaches and felt that they were applicable, </w:t>
      </w:r>
      <w:proofErr w:type="gramStart"/>
      <w:r w:rsidR="00236B08" w:rsidRPr="00236B08">
        <w:rPr>
          <w:rFonts w:ascii="Century Schoolbook" w:eastAsia="Times New Roman" w:hAnsi="Century Schoolbook" w:cs="Times New Roman"/>
          <w:color w:val="0E101A"/>
          <w:sz w:val="24"/>
          <w:szCs w:val="24"/>
          <w:lang w:eastAsia="en-GB"/>
        </w:rPr>
        <w:t>suitable</w:t>
      </w:r>
      <w:proofErr w:type="gramEnd"/>
      <w:r w:rsidR="00236B08" w:rsidRPr="00236B08">
        <w:rPr>
          <w:rFonts w:ascii="Century Schoolbook" w:eastAsia="Times New Roman" w:hAnsi="Century Schoolbook" w:cs="Times New Roman"/>
          <w:color w:val="0E101A"/>
          <w:sz w:val="24"/>
          <w:szCs w:val="24"/>
          <w:lang w:eastAsia="en-GB"/>
        </w:rPr>
        <w:t xml:space="preserve"> and effective. My health fair stand was eye-catching, </w:t>
      </w:r>
      <w:proofErr w:type="gramStart"/>
      <w:r w:rsidR="00236B08" w:rsidRPr="00236B08">
        <w:rPr>
          <w:rFonts w:ascii="Century Schoolbook" w:eastAsia="Times New Roman" w:hAnsi="Century Schoolbook" w:cs="Times New Roman"/>
          <w:color w:val="0E101A"/>
          <w:sz w:val="24"/>
          <w:szCs w:val="24"/>
          <w:lang w:eastAsia="en-GB"/>
        </w:rPr>
        <w:t>informative</w:t>
      </w:r>
      <w:proofErr w:type="gramEnd"/>
      <w:r w:rsidR="00236B08" w:rsidRPr="00236B08">
        <w:rPr>
          <w:rFonts w:ascii="Century Schoolbook" w:eastAsia="Times New Roman" w:hAnsi="Century Schoolbook" w:cs="Times New Roman"/>
          <w:color w:val="0E101A"/>
          <w:sz w:val="24"/>
          <w:szCs w:val="24"/>
          <w:lang w:eastAsia="en-GB"/>
        </w:rPr>
        <w:t xml:space="preserve"> and well-presented; however, if I were to conduct the health fair stand again, I would include an activity for the clients to engage them in the topic more. For example, a brushing activity using fake teeth. I would also ask questions to the group to see how much information they absorbed from the educational approach so that I could closer determine how effective the approach was.</w:t>
      </w:r>
    </w:p>
    <w:p w14:paraId="5693683E" w14:textId="77777777" w:rsidR="00236B08" w:rsidRDefault="00236B08" w:rsidP="00236B08">
      <w:pPr>
        <w:spacing w:line="360" w:lineRule="auto"/>
        <w:rPr>
          <w:b/>
          <w:bCs/>
          <w:sz w:val="24"/>
          <w:szCs w:val="24"/>
          <w:u w:val="single"/>
        </w:rPr>
      </w:pPr>
    </w:p>
    <w:p w14:paraId="6DDCB6BD" w14:textId="027B7DBD" w:rsidR="00324A9A" w:rsidRPr="00236B08" w:rsidRDefault="00324A9A" w:rsidP="00236B08">
      <w:pPr>
        <w:spacing w:line="360" w:lineRule="auto"/>
        <w:rPr>
          <w:rFonts w:ascii="Century Schoolbook" w:hAnsi="Century Schoolbook"/>
          <w:b/>
          <w:bCs/>
          <w:sz w:val="24"/>
          <w:szCs w:val="24"/>
          <w:u w:val="single"/>
        </w:rPr>
      </w:pPr>
      <w:r w:rsidRPr="00236B08">
        <w:rPr>
          <w:rFonts w:ascii="Century Schoolbook" w:hAnsi="Century Schoolbook"/>
          <w:b/>
          <w:bCs/>
          <w:sz w:val="24"/>
          <w:szCs w:val="24"/>
          <w:u w:val="single"/>
        </w:rPr>
        <w:t>References</w:t>
      </w:r>
    </w:p>
    <w:p w14:paraId="18760043" w14:textId="77777777"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proofErr w:type="spellStart"/>
      <w:r w:rsidRPr="00236B08">
        <w:rPr>
          <w:rFonts w:ascii="Century Schoolbook" w:hAnsi="Century Schoolbook" w:cstheme="minorHAnsi"/>
          <w:sz w:val="24"/>
          <w:szCs w:val="24"/>
        </w:rPr>
        <w:t>Ewles</w:t>
      </w:r>
      <w:proofErr w:type="spellEnd"/>
      <w:r w:rsidRPr="00236B08">
        <w:rPr>
          <w:rFonts w:ascii="Century Schoolbook" w:hAnsi="Century Schoolbook" w:cstheme="minorHAnsi"/>
          <w:sz w:val="24"/>
          <w:szCs w:val="24"/>
        </w:rPr>
        <w:t xml:space="preserve">, L. and </w:t>
      </w:r>
      <w:proofErr w:type="spellStart"/>
      <w:r w:rsidRPr="00236B08">
        <w:rPr>
          <w:rFonts w:ascii="Century Schoolbook" w:hAnsi="Century Schoolbook" w:cstheme="minorHAnsi"/>
          <w:sz w:val="24"/>
          <w:szCs w:val="24"/>
        </w:rPr>
        <w:t>Simnett</w:t>
      </w:r>
      <w:proofErr w:type="spellEnd"/>
      <w:r w:rsidRPr="00236B08">
        <w:rPr>
          <w:rFonts w:ascii="Century Schoolbook" w:hAnsi="Century Schoolbook" w:cstheme="minorHAnsi"/>
          <w:sz w:val="24"/>
          <w:szCs w:val="24"/>
        </w:rPr>
        <w:t xml:space="preserve">, I. (1995) ‘Promoting Health: A Practical Guide.’ </w:t>
      </w:r>
      <w:r w:rsidRPr="00236B08">
        <w:rPr>
          <w:rFonts w:ascii="Century Schoolbook" w:hAnsi="Century Schoolbook" w:cstheme="minorHAnsi"/>
          <w:i/>
          <w:iCs/>
          <w:sz w:val="24"/>
          <w:szCs w:val="24"/>
        </w:rPr>
        <w:t xml:space="preserve">Nursing Standard. </w:t>
      </w:r>
      <w:r w:rsidRPr="00236B08">
        <w:rPr>
          <w:rFonts w:ascii="Century Schoolbook" w:hAnsi="Century Schoolbook" w:cstheme="minorHAnsi"/>
          <w:sz w:val="24"/>
          <w:szCs w:val="24"/>
        </w:rPr>
        <w:t>9(34), pp. 55</w:t>
      </w:r>
    </w:p>
    <w:p w14:paraId="01F4CA42" w14:textId="06FE80A7"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r w:rsidRPr="00236B08">
        <w:rPr>
          <w:rFonts w:ascii="Century Schoolbook" w:hAnsi="Century Schoolbook" w:cstheme="minorHAnsi"/>
          <w:sz w:val="24"/>
          <w:szCs w:val="24"/>
        </w:rPr>
        <w:t xml:space="preserve">Irvine, F. (2007) </w:t>
      </w:r>
      <w:r w:rsidR="00D0237B">
        <w:rPr>
          <w:rFonts w:ascii="Century Schoolbook" w:hAnsi="Century Schoolbook" w:cstheme="minorHAnsi"/>
          <w:sz w:val="24"/>
          <w:szCs w:val="24"/>
        </w:rPr>
        <w:t>‘</w:t>
      </w:r>
      <w:r w:rsidRPr="00236B08">
        <w:rPr>
          <w:rFonts w:ascii="Century Schoolbook" w:hAnsi="Century Schoolbook" w:cstheme="minorHAnsi"/>
          <w:sz w:val="24"/>
          <w:szCs w:val="24"/>
        </w:rPr>
        <w:t>Examining the correspondence of theoretical and real interpretations of health promotion.</w:t>
      </w:r>
      <w:r w:rsidR="00D0237B">
        <w:rPr>
          <w:rFonts w:ascii="Century Schoolbook" w:hAnsi="Century Schoolbook" w:cstheme="minorHAnsi"/>
          <w:sz w:val="24"/>
          <w:szCs w:val="24"/>
        </w:rPr>
        <w:t>’</w:t>
      </w:r>
      <w:r w:rsidRPr="00236B08">
        <w:rPr>
          <w:rFonts w:ascii="Century Schoolbook" w:hAnsi="Century Schoolbook" w:cstheme="minorHAnsi"/>
          <w:sz w:val="24"/>
          <w:szCs w:val="24"/>
        </w:rPr>
        <w:t xml:space="preserve"> </w:t>
      </w:r>
      <w:r w:rsidRPr="00236B08">
        <w:rPr>
          <w:rFonts w:ascii="Century Schoolbook" w:hAnsi="Century Schoolbook" w:cstheme="minorHAnsi"/>
          <w:i/>
          <w:iCs/>
          <w:sz w:val="24"/>
          <w:szCs w:val="24"/>
        </w:rPr>
        <w:t>Journal of Clinical Nursing</w:t>
      </w:r>
      <w:r w:rsidRPr="00236B08">
        <w:rPr>
          <w:rFonts w:ascii="Century Schoolbook" w:hAnsi="Century Schoolbook" w:cstheme="minorHAnsi"/>
          <w:sz w:val="24"/>
          <w:szCs w:val="24"/>
        </w:rPr>
        <w:t>. 16(3), pp. 593–602.</w:t>
      </w:r>
    </w:p>
    <w:p w14:paraId="26FFF722" w14:textId="77777777"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r w:rsidRPr="00236B08">
        <w:rPr>
          <w:rFonts w:ascii="Century Schoolbook" w:hAnsi="Century Schoolbook" w:cstheme="minorHAnsi"/>
          <w:color w:val="121212"/>
          <w:spacing w:val="-3"/>
          <w:sz w:val="24"/>
          <w:szCs w:val="24"/>
          <w:shd w:val="clear" w:color="auto" w:fill="FFFFFF"/>
        </w:rPr>
        <w:t xml:space="preserve">Phillips A (2019) ‘Effective approaches to health promotion in nursing practice.’ </w:t>
      </w:r>
      <w:r w:rsidRPr="00236B08">
        <w:rPr>
          <w:rFonts w:ascii="Century Schoolbook" w:hAnsi="Century Schoolbook" w:cstheme="minorHAnsi"/>
          <w:i/>
          <w:iCs/>
          <w:color w:val="121212"/>
          <w:spacing w:val="-3"/>
          <w:sz w:val="24"/>
          <w:szCs w:val="24"/>
          <w:shd w:val="clear" w:color="auto" w:fill="FFFFFF"/>
        </w:rPr>
        <w:t>Nursing Standard</w:t>
      </w:r>
      <w:r w:rsidRPr="00236B08">
        <w:rPr>
          <w:rFonts w:ascii="Century Schoolbook" w:hAnsi="Century Schoolbook" w:cstheme="minorHAnsi"/>
          <w:color w:val="121212"/>
          <w:spacing w:val="-3"/>
          <w:sz w:val="24"/>
          <w:szCs w:val="24"/>
          <w:shd w:val="clear" w:color="auto" w:fill="FFFFFF"/>
        </w:rPr>
        <w:t>. 34(4) pp. 10-11</w:t>
      </w:r>
    </w:p>
    <w:p w14:paraId="44B88CD3" w14:textId="27F4863C"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r w:rsidRPr="00236B08">
        <w:rPr>
          <w:rFonts w:ascii="Century Schoolbook" w:hAnsi="Century Schoolbook" w:cstheme="minorHAnsi"/>
          <w:sz w:val="24"/>
          <w:szCs w:val="24"/>
        </w:rPr>
        <w:t>Naidoo, J. and Wills, J. (20</w:t>
      </w:r>
      <w:r w:rsidR="00B706E0">
        <w:rPr>
          <w:rFonts w:ascii="Century Schoolbook" w:hAnsi="Century Schoolbook" w:cstheme="minorHAnsi"/>
          <w:sz w:val="24"/>
          <w:szCs w:val="24"/>
        </w:rPr>
        <w:t>16</w:t>
      </w:r>
      <w:r w:rsidRPr="00236B08">
        <w:rPr>
          <w:rFonts w:ascii="Century Schoolbook" w:hAnsi="Century Schoolbook" w:cstheme="minorHAnsi"/>
          <w:sz w:val="24"/>
          <w:szCs w:val="24"/>
        </w:rPr>
        <w:t xml:space="preserve">) </w:t>
      </w:r>
      <w:r w:rsidRPr="00B706E0">
        <w:rPr>
          <w:rFonts w:ascii="Century Schoolbook" w:hAnsi="Century Schoolbook" w:cstheme="minorHAnsi"/>
          <w:i/>
          <w:iCs/>
          <w:sz w:val="24"/>
          <w:szCs w:val="24"/>
        </w:rPr>
        <w:t>Foundations for Health Promotion</w:t>
      </w:r>
      <w:r w:rsidR="00B706E0">
        <w:rPr>
          <w:rFonts w:ascii="Century Schoolbook" w:hAnsi="Century Schoolbook" w:cstheme="minorHAnsi"/>
          <w:sz w:val="24"/>
          <w:szCs w:val="24"/>
        </w:rPr>
        <w:t xml:space="preserve">. </w:t>
      </w:r>
      <w:r w:rsidR="008B5F14">
        <w:rPr>
          <w:rFonts w:ascii="Century Schoolbook" w:hAnsi="Century Schoolbook" w:cstheme="minorHAnsi"/>
          <w:sz w:val="24"/>
          <w:szCs w:val="24"/>
        </w:rPr>
        <w:t>London</w:t>
      </w:r>
      <w:r w:rsidR="00BB0F3F">
        <w:rPr>
          <w:rFonts w:ascii="Century Schoolbook" w:hAnsi="Century Schoolbook" w:cstheme="minorHAnsi"/>
          <w:sz w:val="24"/>
          <w:szCs w:val="24"/>
        </w:rPr>
        <w:t>: Elsevier</w:t>
      </w:r>
    </w:p>
    <w:p w14:paraId="76FF5157" w14:textId="77777777"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proofErr w:type="spellStart"/>
      <w:r w:rsidRPr="00236B08">
        <w:rPr>
          <w:rFonts w:ascii="Century Schoolbook" w:hAnsi="Century Schoolbook" w:cstheme="minorHAnsi"/>
          <w:color w:val="121212"/>
          <w:spacing w:val="-3"/>
          <w:sz w:val="24"/>
          <w:szCs w:val="24"/>
          <w:shd w:val="clear" w:color="auto" w:fill="FFFFFF"/>
        </w:rPr>
        <w:lastRenderedPageBreak/>
        <w:t>NurseKey</w:t>
      </w:r>
      <w:proofErr w:type="spellEnd"/>
      <w:r w:rsidRPr="00236B08">
        <w:rPr>
          <w:rFonts w:ascii="Century Schoolbook" w:hAnsi="Century Schoolbook" w:cstheme="minorHAnsi"/>
          <w:color w:val="121212"/>
          <w:spacing w:val="-3"/>
          <w:sz w:val="24"/>
          <w:szCs w:val="24"/>
          <w:shd w:val="clear" w:color="auto" w:fill="FFFFFF"/>
        </w:rPr>
        <w:t xml:space="preserve"> (2021) </w:t>
      </w:r>
      <w:r w:rsidRPr="00236B08">
        <w:rPr>
          <w:rFonts w:ascii="Century Schoolbook" w:hAnsi="Century Schoolbook" w:cstheme="minorHAnsi"/>
          <w:i/>
          <w:iCs/>
          <w:color w:val="121212"/>
          <w:spacing w:val="-3"/>
          <w:sz w:val="24"/>
          <w:szCs w:val="24"/>
          <w:shd w:val="clear" w:color="auto" w:fill="FFFFFF"/>
        </w:rPr>
        <w:t>Models and Approaches to Health Promotion</w:t>
      </w:r>
      <w:r w:rsidRPr="00236B08">
        <w:rPr>
          <w:rFonts w:ascii="Century Schoolbook" w:hAnsi="Century Schoolbook" w:cstheme="minorHAnsi"/>
          <w:color w:val="121212"/>
          <w:spacing w:val="-3"/>
          <w:sz w:val="24"/>
          <w:szCs w:val="24"/>
          <w:shd w:val="clear" w:color="auto" w:fill="FFFFFF"/>
        </w:rPr>
        <w:t>. Available at: https://nursekey.com/models-and-approaches-to-health-promotion/ (Accessed 16 November 2021)</w:t>
      </w:r>
    </w:p>
    <w:p w14:paraId="3BE07CE1" w14:textId="753972A4" w:rsidR="00097941" w:rsidRPr="00236B08" w:rsidRDefault="00097941" w:rsidP="00236B08">
      <w:pPr>
        <w:pStyle w:val="ListParagraph"/>
        <w:numPr>
          <w:ilvl w:val="0"/>
          <w:numId w:val="19"/>
        </w:numPr>
        <w:spacing w:line="360" w:lineRule="auto"/>
        <w:rPr>
          <w:rFonts w:ascii="Century Schoolbook" w:hAnsi="Century Schoolbook"/>
          <w:sz w:val="24"/>
          <w:szCs w:val="24"/>
        </w:rPr>
      </w:pPr>
      <w:r w:rsidRPr="00236B08">
        <w:rPr>
          <w:rFonts w:ascii="Century Schoolbook" w:hAnsi="Century Schoolbook"/>
          <w:sz w:val="24"/>
          <w:szCs w:val="24"/>
        </w:rPr>
        <w:t>Scriven, A.</w:t>
      </w:r>
      <w:r w:rsidR="008B5F14">
        <w:rPr>
          <w:rFonts w:ascii="Century Schoolbook" w:hAnsi="Century Schoolbook"/>
          <w:sz w:val="24"/>
          <w:szCs w:val="24"/>
        </w:rPr>
        <w:t xml:space="preserve"> </w:t>
      </w:r>
      <w:r w:rsidRPr="00236B08">
        <w:rPr>
          <w:rFonts w:ascii="Century Schoolbook" w:hAnsi="Century Schoolbook"/>
          <w:sz w:val="24"/>
          <w:szCs w:val="24"/>
        </w:rPr>
        <w:t>(2017)</w:t>
      </w:r>
      <w:r w:rsidR="008B5F14">
        <w:rPr>
          <w:rFonts w:ascii="Century Schoolbook" w:hAnsi="Century Schoolbook"/>
          <w:sz w:val="24"/>
          <w:szCs w:val="24"/>
        </w:rPr>
        <w:t xml:space="preserve"> </w:t>
      </w:r>
      <w:proofErr w:type="spellStart"/>
      <w:r w:rsidRPr="00236B08">
        <w:rPr>
          <w:rFonts w:ascii="Century Schoolbook" w:hAnsi="Century Schoolbook"/>
          <w:i/>
          <w:iCs/>
          <w:sz w:val="24"/>
          <w:szCs w:val="24"/>
        </w:rPr>
        <w:t>Ewles</w:t>
      </w:r>
      <w:proofErr w:type="spellEnd"/>
      <w:r w:rsidRPr="00236B08">
        <w:rPr>
          <w:rFonts w:ascii="Century Schoolbook" w:hAnsi="Century Schoolbook"/>
          <w:i/>
          <w:iCs/>
          <w:sz w:val="24"/>
          <w:szCs w:val="24"/>
        </w:rPr>
        <w:t xml:space="preserve"> and </w:t>
      </w:r>
      <w:proofErr w:type="spellStart"/>
      <w:r w:rsidRPr="00236B08">
        <w:rPr>
          <w:rFonts w:ascii="Century Schoolbook" w:hAnsi="Century Schoolbook"/>
          <w:i/>
          <w:iCs/>
          <w:sz w:val="24"/>
          <w:szCs w:val="24"/>
        </w:rPr>
        <w:t>Simnett’s</w:t>
      </w:r>
      <w:proofErr w:type="spellEnd"/>
      <w:r w:rsidRPr="00236B08">
        <w:rPr>
          <w:rFonts w:ascii="Century Schoolbook" w:hAnsi="Century Schoolbook"/>
          <w:i/>
          <w:iCs/>
          <w:sz w:val="24"/>
          <w:szCs w:val="24"/>
        </w:rPr>
        <w:t xml:space="preserve"> Promoting Health: </w:t>
      </w:r>
      <w:proofErr w:type="gramStart"/>
      <w:r w:rsidRPr="00236B08">
        <w:rPr>
          <w:rFonts w:ascii="Century Schoolbook" w:hAnsi="Century Schoolbook"/>
          <w:i/>
          <w:iCs/>
          <w:sz w:val="24"/>
          <w:szCs w:val="24"/>
        </w:rPr>
        <w:t>a</w:t>
      </w:r>
      <w:proofErr w:type="gramEnd"/>
      <w:r w:rsidRPr="00236B08">
        <w:rPr>
          <w:rFonts w:ascii="Century Schoolbook" w:hAnsi="Century Schoolbook"/>
          <w:i/>
          <w:iCs/>
          <w:sz w:val="24"/>
          <w:szCs w:val="24"/>
        </w:rPr>
        <w:t xml:space="preserve"> Practical Guid</w:t>
      </w:r>
      <w:r w:rsidRPr="00236B08">
        <w:rPr>
          <w:rFonts w:ascii="Century Schoolbook" w:hAnsi="Century Schoolbook"/>
          <w:sz w:val="24"/>
          <w:szCs w:val="24"/>
        </w:rPr>
        <w:t>e</w:t>
      </w:r>
      <w:r w:rsidR="008B5F14">
        <w:rPr>
          <w:rFonts w:ascii="Century Schoolbook" w:hAnsi="Century Schoolbook"/>
          <w:sz w:val="24"/>
          <w:szCs w:val="24"/>
        </w:rPr>
        <w:t xml:space="preserve"> </w:t>
      </w:r>
      <w:r w:rsidRPr="00236B08">
        <w:rPr>
          <w:rFonts w:ascii="Century Schoolbook" w:hAnsi="Century Schoolbook"/>
          <w:sz w:val="24"/>
          <w:szCs w:val="24"/>
        </w:rPr>
        <w:t>(7</w:t>
      </w:r>
      <w:r w:rsidRPr="00236B08">
        <w:rPr>
          <w:rFonts w:ascii="Century Schoolbook" w:hAnsi="Century Schoolbook"/>
          <w:sz w:val="24"/>
          <w:szCs w:val="24"/>
          <w:vertAlign w:val="superscript"/>
        </w:rPr>
        <w:t>th</w:t>
      </w:r>
      <w:r w:rsidRPr="00236B08">
        <w:rPr>
          <w:rFonts w:ascii="Century Schoolbook" w:hAnsi="Century Schoolbook"/>
          <w:sz w:val="24"/>
          <w:szCs w:val="24"/>
        </w:rPr>
        <w:t xml:space="preserve"> </w:t>
      </w:r>
      <w:proofErr w:type="spellStart"/>
      <w:r w:rsidRPr="00236B08">
        <w:rPr>
          <w:rFonts w:ascii="Century Schoolbook" w:hAnsi="Century Schoolbook"/>
          <w:sz w:val="24"/>
          <w:szCs w:val="24"/>
        </w:rPr>
        <w:t>edn</w:t>
      </w:r>
      <w:proofErr w:type="spellEnd"/>
      <w:r w:rsidRPr="00236B08">
        <w:rPr>
          <w:rFonts w:ascii="Century Schoolbook" w:hAnsi="Century Schoolbook"/>
          <w:sz w:val="24"/>
          <w:szCs w:val="24"/>
        </w:rPr>
        <w:t>.) London: Elsevier</w:t>
      </w:r>
    </w:p>
    <w:p w14:paraId="2E238A66" w14:textId="77777777" w:rsidR="00097941" w:rsidRPr="00236B08" w:rsidRDefault="00097941" w:rsidP="00236B08">
      <w:pPr>
        <w:pStyle w:val="ListParagraph"/>
        <w:numPr>
          <w:ilvl w:val="0"/>
          <w:numId w:val="19"/>
        </w:numPr>
        <w:spacing w:line="360" w:lineRule="auto"/>
        <w:rPr>
          <w:rFonts w:ascii="Century Schoolbook" w:hAnsi="Century Schoolbook"/>
          <w:sz w:val="24"/>
          <w:szCs w:val="24"/>
        </w:rPr>
      </w:pPr>
      <w:r w:rsidRPr="00236B08">
        <w:rPr>
          <w:rFonts w:ascii="Century Schoolbook" w:hAnsi="Century Schoolbook"/>
          <w:sz w:val="24"/>
          <w:szCs w:val="24"/>
        </w:rPr>
        <w:t xml:space="preserve">National Health Service (2021) </w:t>
      </w:r>
      <w:r w:rsidRPr="00236B08">
        <w:rPr>
          <w:rFonts w:ascii="Century Schoolbook" w:hAnsi="Century Schoolbook"/>
          <w:i/>
          <w:iCs/>
          <w:sz w:val="24"/>
          <w:szCs w:val="24"/>
        </w:rPr>
        <w:t>Change 4 Life</w:t>
      </w:r>
      <w:r w:rsidRPr="00236B08">
        <w:rPr>
          <w:rFonts w:ascii="Century Schoolbook" w:hAnsi="Century Schoolbook"/>
          <w:sz w:val="24"/>
          <w:szCs w:val="24"/>
        </w:rPr>
        <w:t>. Available at: https://www.nhs.uk/change4life (Accessed 16 November 2021)</w:t>
      </w:r>
    </w:p>
    <w:p w14:paraId="2481298C" w14:textId="071FC6E2" w:rsidR="00097941" w:rsidRPr="00236B08" w:rsidRDefault="00097941" w:rsidP="00236B08">
      <w:pPr>
        <w:pStyle w:val="ListParagraph"/>
        <w:numPr>
          <w:ilvl w:val="0"/>
          <w:numId w:val="19"/>
        </w:numPr>
        <w:spacing w:line="360" w:lineRule="auto"/>
        <w:rPr>
          <w:rFonts w:ascii="Century Schoolbook" w:hAnsi="Century Schoolbook"/>
          <w:sz w:val="24"/>
          <w:szCs w:val="24"/>
        </w:rPr>
      </w:pPr>
      <w:r w:rsidRPr="00236B08">
        <w:rPr>
          <w:rFonts w:ascii="Century Schoolbook" w:hAnsi="Century Schoolbook" w:cstheme="minorHAnsi"/>
          <w:sz w:val="24"/>
          <w:szCs w:val="24"/>
        </w:rPr>
        <w:t xml:space="preserve">Van </w:t>
      </w:r>
      <w:r w:rsidR="008B5F14" w:rsidRPr="00236B08">
        <w:rPr>
          <w:rFonts w:ascii="Century Schoolbook" w:hAnsi="Century Schoolbook" w:cstheme="minorHAnsi"/>
          <w:sz w:val="24"/>
          <w:szCs w:val="24"/>
        </w:rPr>
        <w:t xml:space="preserve">Den </w:t>
      </w:r>
      <w:proofErr w:type="spellStart"/>
      <w:r w:rsidRPr="00236B08">
        <w:rPr>
          <w:rFonts w:ascii="Century Schoolbook" w:hAnsi="Century Schoolbook" w:cstheme="minorHAnsi"/>
          <w:sz w:val="24"/>
          <w:szCs w:val="24"/>
        </w:rPr>
        <w:t>Broucke</w:t>
      </w:r>
      <w:proofErr w:type="spellEnd"/>
      <w:r w:rsidR="008B5F14" w:rsidRPr="00236B08">
        <w:rPr>
          <w:rFonts w:ascii="Century Schoolbook" w:hAnsi="Century Schoolbook" w:cstheme="minorHAnsi"/>
          <w:sz w:val="24"/>
          <w:szCs w:val="24"/>
        </w:rPr>
        <w:t xml:space="preserve">, </w:t>
      </w:r>
      <w:r w:rsidRPr="00236B08">
        <w:rPr>
          <w:rFonts w:ascii="Century Schoolbook" w:hAnsi="Century Schoolbook" w:cstheme="minorHAnsi"/>
          <w:sz w:val="24"/>
          <w:szCs w:val="24"/>
        </w:rPr>
        <w:t>S</w:t>
      </w:r>
      <w:r w:rsidR="008B5F14" w:rsidRPr="00236B08">
        <w:rPr>
          <w:rFonts w:ascii="Century Schoolbook" w:hAnsi="Century Schoolbook" w:cstheme="minorHAnsi"/>
          <w:sz w:val="24"/>
          <w:szCs w:val="24"/>
        </w:rPr>
        <w:t xml:space="preserve">. (2013) </w:t>
      </w:r>
      <w:r w:rsidR="008B5F14">
        <w:rPr>
          <w:rFonts w:ascii="Century Schoolbook" w:hAnsi="Century Schoolbook" w:cstheme="minorHAnsi"/>
          <w:sz w:val="24"/>
          <w:szCs w:val="24"/>
        </w:rPr>
        <w:t>‘</w:t>
      </w:r>
      <w:r w:rsidRPr="00236B08">
        <w:rPr>
          <w:rFonts w:ascii="Century Schoolbook" w:hAnsi="Century Schoolbook" w:cstheme="minorHAnsi"/>
          <w:sz w:val="24"/>
          <w:szCs w:val="24"/>
        </w:rPr>
        <w:t xml:space="preserve">Implementing </w:t>
      </w:r>
      <w:r w:rsidR="008B5F14" w:rsidRPr="00236B08">
        <w:rPr>
          <w:rFonts w:ascii="Century Schoolbook" w:hAnsi="Century Schoolbook" w:cstheme="minorHAnsi"/>
          <w:sz w:val="24"/>
          <w:szCs w:val="24"/>
        </w:rPr>
        <w:t xml:space="preserve">Health </w:t>
      </w:r>
      <w:r w:rsidR="000327BC" w:rsidRPr="00236B08">
        <w:rPr>
          <w:rFonts w:ascii="Century Schoolbook" w:hAnsi="Century Schoolbook" w:cstheme="minorHAnsi"/>
          <w:sz w:val="24"/>
          <w:szCs w:val="24"/>
        </w:rPr>
        <w:t>in</w:t>
      </w:r>
      <w:r w:rsidR="008B5F14" w:rsidRPr="00236B08">
        <w:rPr>
          <w:rFonts w:ascii="Century Schoolbook" w:hAnsi="Century Schoolbook" w:cstheme="minorHAnsi"/>
          <w:sz w:val="24"/>
          <w:szCs w:val="24"/>
        </w:rPr>
        <w:t xml:space="preserve"> All Policies Post </w:t>
      </w:r>
      <w:r w:rsidRPr="00236B08">
        <w:rPr>
          <w:rFonts w:ascii="Century Schoolbook" w:hAnsi="Century Schoolbook" w:cstheme="minorHAnsi"/>
          <w:sz w:val="24"/>
          <w:szCs w:val="24"/>
        </w:rPr>
        <w:t xml:space="preserve">Helsinki </w:t>
      </w:r>
      <w:r w:rsidR="008B5F14" w:rsidRPr="00236B08">
        <w:rPr>
          <w:rFonts w:ascii="Century Schoolbook" w:hAnsi="Century Schoolbook" w:cstheme="minorHAnsi"/>
          <w:sz w:val="24"/>
          <w:szCs w:val="24"/>
        </w:rPr>
        <w:t xml:space="preserve">2013: Why, What, Who </w:t>
      </w:r>
      <w:proofErr w:type="gramStart"/>
      <w:r w:rsidR="008B5F14" w:rsidRPr="00236B08">
        <w:rPr>
          <w:rFonts w:ascii="Century Schoolbook" w:hAnsi="Century Schoolbook" w:cstheme="minorHAnsi"/>
          <w:sz w:val="24"/>
          <w:szCs w:val="24"/>
        </w:rPr>
        <w:t>And</w:t>
      </w:r>
      <w:proofErr w:type="gramEnd"/>
      <w:r w:rsidR="008B5F14" w:rsidRPr="00236B08">
        <w:rPr>
          <w:rFonts w:ascii="Century Schoolbook" w:hAnsi="Century Schoolbook" w:cstheme="minorHAnsi"/>
          <w:sz w:val="24"/>
          <w:szCs w:val="24"/>
        </w:rPr>
        <w:t xml:space="preserve"> How.</w:t>
      </w:r>
      <w:r w:rsidR="008B5F14">
        <w:rPr>
          <w:rFonts w:ascii="Century Schoolbook" w:hAnsi="Century Schoolbook" w:cstheme="minorHAnsi"/>
          <w:sz w:val="24"/>
          <w:szCs w:val="24"/>
        </w:rPr>
        <w:t>’</w:t>
      </w:r>
      <w:r w:rsidR="008B5F14" w:rsidRPr="00236B08">
        <w:rPr>
          <w:rFonts w:ascii="Century Schoolbook" w:hAnsi="Century Schoolbook" w:cstheme="minorHAnsi"/>
          <w:sz w:val="24"/>
          <w:szCs w:val="24"/>
        </w:rPr>
        <w:t xml:space="preserve"> </w:t>
      </w:r>
      <w:r w:rsidRPr="008B5F14">
        <w:rPr>
          <w:rFonts w:ascii="Century Schoolbook" w:hAnsi="Century Schoolbook" w:cstheme="minorHAnsi"/>
          <w:i/>
          <w:iCs/>
          <w:sz w:val="24"/>
          <w:szCs w:val="24"/>
        </w:rPr>
        <w:t xml:space="preserve">Health </w:t>
      </w:r>
      <w:r w:rsidR="008B5F14" w:rsidRPr="008B5F14">
        <w:rPr>
          <w:rFonts w:ascii="Century Schoolbook" w:hAnsi="Century Schoolbook" w:cstheme="minorHAnsi"/>
          <w:i/>
          <w:iCs/>
          <w:sz w:val="24"/>
          <w:szCs w:val="24"/>
        </w:rPr>
        <w:t>Promotion International</w:t>
      </w:r>
      <w:r w:rsidR="008B5F14" w:rsidRPr="00236B08">
        <w:rPr>
          <w:rFonts w:ascii="Century Schoolbook" w:hAnsi="Century Schoolbook" w:cstheme="minorHAnsi"/>
          <w:sz w:val="24"/>
          <w:szCs w:val="24"/>
        </w:rPr>
        <w:t>. 28(3</w:t>
      </w:r>
      <w:r w:rsidR="008B5F14">
        <w:rPr>
          <w:rFonts w:ascii="Century Schoolbook" w:hAnsi="Century Schoolbook" w:cstheme="minorHAnsi"/>
          <w:sz w:val="24"/>
          <w:szCs w:val="24"/>
        </w:rPr>
        <w:t>)</w:t>
      </w:r>
      <w:r w:rsidR="008B5F14" w:rsidRPr="00236B08">
        <w:rPr>
          <w:rFonts w:ascii="Century Schoolbook" w:hAnsi="Century Schoolbook" w:cstheme="minorHAnsi"/>
          <w:sz w:val="24"/>
          <w:szCs w:val="24"/>
        </w:rPr>
        <w:t xml:space="preserve"> </w:t>
      </w:r>
      <w:r w:rsidR="008B5F14">
        <w:rPr>
          <w:rFonts w:ascii="Century Schoolbook" w:hAnsi="Century Schoolbook" w:cstheme="minorHAnsi"/>
          <w:sz w:val="24"/>
          <w:szCs w:val="24"/>
        </w:rPr>
        <w:t>Pp.</w:t>
      </w:r>
      <w:r w:rsidR="008B5F14" w:rsidRPr="00236B08">
        <w:rPr>
          <w:rFonts w:ascii="Century Schoolbook" w:hAnsi="Century Schoolbook" w:cstheme="minorHAnsi"/>
          <w:sz w:val="24"/>
          <w:szCs w:val="24"/>
        </w:rPr>
        <w:t>281–284.</w:t>
      </w:r>
    </w:p>
    <w:p w14:paraId="0A23A612" w14:textId="2BC561AA" w:rsidR="00097941" w:rsidRPr="0074730B" w:rsidRDefault="00097941" w:rsidP="00236B08">
      <w:pPr>
        <w:pStyle w:val="ListParagraph"/>
        <w:numPr>
          <w:ilvl w:val="0"/>
          <w:numId w:val="19"/>
        </w:numPr>
        <w:spacing w:line="360" w:lineRule="auto"/>
        <w:rPr>
          <w:rFonts w:ascii="Century Schoolbook" w:hAnsi="Century Schoolbook"/>
          <w:sz w:val="28"/>
          <w:szCs w:val="28"/>
        </w:rPr>
      </w:pPr>
      <w:r w:rsidRPr="0074730B">
        <w:rPr>
          <w:rFonts w:ascii="Century Schoolbook" w:hAnsi="Century Schoolbook"/>
          <w:sz w:val="24"/>
          <w:szCs w:val="24"/>
        </w:rPr>
        <w:t xml:space="preserve">Brown, J., et al (2014) ‘How effective and cost-effective was the national mass media smoking cessation campaign ‘Stoptober?’ </w:t>
      </w:r>
      <w:r w:rsidRPr="0074730B">
        <w:rPr>
          <w:rFonts w:ascii="Century Schoolbook" w:hAnsi="Century Schoolbook"/>
          <w:i/>
          <w:iCs/>
          <w:sz w:val="24"/>
          <w:szCs w:val="24"/>
        </w:rPr>
        <w:t>Drug and Alcohol Dependence</w:t>
      </w:r>
      <w:r w:rsidRPr="0074730B">
        <w:rPr>
          <w:rFonts w:ascii="Century Schoolbook" w:hAnsi="Century Schoolbook"/>
          <w:sz w:val="24"/>
          <w:szCs w:val="24"/>
        </w:rPr>
        <w:t>, 135(100) pp. 52-58.</w:t>
      </w:r>
    </w:p>
    <w:p w14:paraId="14A6BB96" w14:textId="3F7214DE" w:rsidR="00097941" w:rsidRPr="0074730B" w:rsidRDefault="00097941" w:rsidP="00236B08">
      <w:pPr>
        <w:pStyle w:val="ListParagraph"/>
        <w:numPr>
          <w:ilvl w:val="0"/>
          <w:numId w:val="19"/>
        </w:numPr>
        <w:spacing w:line="360" w:lineRule="auto"/>
        <w:rPr>
          <w:rFonts w:ascii="Century Schoolbook" w:hAnsi="Century Schoolbook"/>
          <w:sz w:val="24"/>
          <w:szCs w:val="24"/>
        </w:rPr>
      </w:pPr>
      <w:proofErr w:type="spellStart"/>
      <w:r w:rsidRPr="0074730B">
        <w:rPr>
          <w:rFonts w:ascii="Century Schoolbook" w:hAnsi="Century Schoolbook"/>
          <w:sz w:val="24"/>
          <w:szCs w:val="24"/>
        </w:rPr>
        <w:t>Laverack</w:t>
      </w:r>
      <w:proofErr w:type="spellEnd"/>
      <w:r w:rsidRPr="0074730B">
        <w:rPr>
          <w:rFonts w:ascii="Century Schoolbook" w:hAnsi="Century Schoolbook"/>
          <w:sz w:val="24"/>
          <w:szCs w:val="24"/>
        </w:rPr>
        <w:t xml:space="preserve">, G. (2014) </w:t>
      </w:r>
      <w:r w:rsidRPr="0074730B">
        <w:rPr>
          <w:rFonts w:ascii="Century Schoolbook" w:hAnsi="Century Schoolbook"/>
          <w:i/>
          <w:iCs/>
          <w:sz w:val="24"/>
          <w:szCs w:val="24"/>
        </w:rPr>
        <w:t>a – z of health promotion</w:t>
      </w:r>
      <w:r w:rsidRPr="0074730B">
        <w:rPr>
          <w:rFonts w:ascii="Century Schoolbook" w:hAnsi="Century Schoolbook"/>
          <w:sz w:val="24"/>
          <w:szCs w:val="24"/>
        </w:rPr>
        <w:t>. London</w:t>
      </w:r>
      <w:r w:rsidR="0074730B">
        <w:rPr>
          <w:rFonts w:ascii="Century Schoolbook" w:hAnsi="Century Schoolbook"/>
          <w:sz w:val="24"/>
          <w:szCs w:val="24"/>
        </w:rPr>
        <w:t xml:space="preserve">: </w:t>
      </w:r>
      <w:r w:rsidRPr="0074730B">
        <w:rPr>
          <w:rFonts w:ascii="Century Schoolbook" w:hAnsi="Century Schoolbook"/>
          <w:sz w:val="24"/>
          <w:szCs w:val="24"/>
        </w:rPr>
        <w:t xml:space="preserve">Palgrave MacMillan </w:t>
      </w:r>
    </w:p>
    <w:p w14:paraId="5B772210" w14:textId="7AC861CB" w:rsidR="00097941" w:rsidRPr="0074730B" w:rsidRDefault="00097941" w:rsidP="00236B08">
      <w:pPr>
        <w:pStyle w:val="ListParagraph"/>
        <w:numPr>
          <w:ilvl w:val="0"/>
          <w:numId w:val="19"/>
        </w:numPr>
        <w:spacing w:line="360" w:lineRule="auto"/>
        <w:rPr>
          <w:rFonts w:ascii="Century Schoolbook" w:hAnsi="Century Schoolbook"/>
          <w:sz w:val="24"/>
          <w:szCs w:val="24"/>
        </w:rPr>
      </w:pPr>
      <w:r w:rsidRPr="0074730B">
        <w:rPr>
          <w:rFonts w:ascii="Century Schoolbook" w:hAnsi="Century Schoolbook"/>
          <w:sz w:val="24"/>
          <w:szCs w:val="24"/>
        </w:rPr>
        <w:t xml:space="preserve">Rodham, K. (2019) </w:t>
      </w:r>
      <w:r w:rsidRPr="0074730B">
        <w:rPr>
          <w:rFonts w:ascii="Century Schoolbook" w:hAnsi="Century Schoolbook"/>
          <w:i/>
          <w:iCs/>
          <w:sz w:val="24"/>
          <w:szCs w:val="24"/>
        </w:rPr>
        <w:t xml:space="preserve">Health Psychology </w:t>
      </w:r>
      <w:r w:rsidRPr="0074730B">
        <w:rPr>
          <w:rFonts w:ascii="Century Schoolbook" w:hAnsi="Century Schoolbook"/>
          <w:sz w:val="24"/>
          <w:szCs w:val="24"/>
        </w:rPr>
        <w:t>(2</w:t>
      </w:r>
      <w:r w:rsidRPr="0074730B">
        <w:rPr>
          <w:rFonts w:ascii="Century Schoolbook" w:hAnsi="Century Schoolbook"/>
          <w:sz w:val="24"/>
          <w:szCs w:val="24"/>
          <w:vertAlign w:val="superscript"/>
        </w:rPr>
        <w:t>nd</w:t>
      </w:r>
      <w:r w:rsidRPr="0074730B">
        <w:rPr>
          <w:rFonts w:ascii="Century Schoolbook" w:hAnsi="Century Schoolbook"/>
          <w:sz w:val="24"/>
          <w:szCs w:val="24"/>
        </w:rPr>
        <w:t xml:space="preserve"> </w:t>
      </w:r>
      <w:proofErr w:type="spellStart"/>
      <w:r w:rsidRPr="0074730B">
        <w:rPr>
          <w:rFonts w:ascii="Century Schoolbook" w:hAnsi="Century Schoolbook"/>
          <w:sz w:val="24"/>
          <w:szCs w:val="24"/>
        </w:rPr>
        <w:t>edn</w:t>
      </w:r>
      <w:proofErr w:type="spellEnd"/>
      <w:r w:rsidRPr="0074730B">
        <w:rPr>
          <w:rFonts w:ascii="Century Schoolbook" w:hAnsi="Century Schoolbook"/>
          <w:sz w:val="24"/>
          <w:szCs w:val="24"/>
        </w:rPr>
        <w:t>.) London: Red Globe Press.</w:t>
      </w:r>
    </w:p>
    <w:p w14:paraId="04629EFA" w14:textId="77777777" w:rsidR="00097941" w:rsidRPr="00236B08" w:rsidRDefault="00097941" w:rsidP="00236B08">
      <w:pPr>
        <w:pStyle w:val="ListParagraph"/>
        <w:numPr>
          <w:ilvl w:val="0"/>
          <w:numId w:val="19"/>
        </w:numPr>
        <w:spacing w:line="360" w:lineRule="auto"/>
        <w:rPr>
          <w:rFonts w:ascii="Century Schoolbook" w:hAnsi="Century Schoolbook"/>
          <w:sz w:val="24"/>
          <w:szCs w:val="24"/>
        </w:rPr>
      </w:pPr>
      <w:proofErr w:type="spellStart"/>
      <w:r w:rsidRPr="00236B08">
        <w:rPr>
          <w:rFonts w:ascii="Century Schoolbook" w:hAnsi="Century Schoolbook"/>
          <w:sz w:val="24"/>
          <w:szCs w:val="24"/>
        </w:rPr>
        <w:t>GetRevising</w:t>
      </w:r>
      <w:proofErr w:type="spellEnd"/>
      <w:r w:rsidRPr="00236B08">
        <w:rPr>
          <w:rFonts w:ascii="Century Schoolbook" w:hAnsi="Century Schoolbook"/>
          <w:sz w:val="24"/>
          <w:szCs w:val="24"/>
        </w:rPr>
        <w:t xml:space="preserve"> (2017) </w:t>
      </w:r>
      <w:r w:rsidRPr="00236B08">
        <w:rPr>
          <w:rFonts w:ascii="Century Schoolbook" w:hAnsi="Century Schoolbook"/>
          <w:i/>
          <w:iCs/>
          <w:sz w:val="24"/>
          <w:szCs w:val="24"/>
        </w:rPr>
        <w:t>Educational Approach</w:t>
      </w:r>
      <w:r w:rsidRPr="00236B08">
        <w:rPr>
          <w:rFonts w:ascii="Century Schoolbook" w:hAnsi="Century Schoolbook"/>
          <w:sz w:val="24"/>
          <w:szCs w:val="24"/>
        </w:rPr>
        <w:t xml:space="preserve"> </w:t>
      </w:r>
      <w:r w:rsidRPr="00236B08">
        <w:rPr>
          <w:rFonts w:ascii="Century Schoolbook" w:hAnsi="Century Schoolbook"/>
          <w:i/>
          <w:iCs/>
          <w:sz w:val="24"/>
          <w:szCs w:val="24"/>
        </w:rPr>
        <w:t>to Health Promotion</w:t>
      </w:r>
      <w:r w:rsidRPr="00236B08">
        <w:rPr>
          <w:rFonts w:ascii="Century Schoolbook" w:hAnsi="Century Schoolbook"/>
          <w:sz w:val="24"/>
          <w:szCs w:val="24"/>
        </w:rPr>
        <w:t xml:space="preserve">. Available at: </w:t>
      </w:r>
      <w:hyperlink r:id="rId5" w:history="1">
        <w:r w:rsidRPr="00236B08">
          <w:rPr>
            <w:rStyle w:val="Hyperlink"/>
            <w:rFonts w:ascii="Century Schoolbook" w:hAnsi="Century Schoolbook"/>
            <w:sz w:val="24"/>
            <w:szCs w:val="24"/>
          </w:rPr>
          <w:t>https://getrevising.co.uk/grid</w:t>
        </w:r>
        <w:r w:rsidRPr="00236B08">
          <w:rPr>
            <w:rStyle w:val="Hyperlink"/>
            <w:rFonts w:ascii="Century Schoolbook" w:hAnsi="Century Schoolbook"/>
            <w:sz w:val="24"/>
            <w:szCs w:val="24"/>
          </w:rPr>
          <w:t>s</w:t>
        </w:r>
        <w:r w:rsidRPr="00236B08">
          <w:rPr>
            <w:rStyle w:val="Hyperlink"/>
            <w:rFonts w:ascii="Century Schoolbook" w:hAnsi="Century Schoolbook"/>
            <w:sz w:val="24"/>
            <w:szCs w:val="24"/>
          </w:rPr>
          <w:t>/ed</w:t>
        </w:r>
        <w:r w:rsidRPr="00236B08">
          <w:rPr>
            <w:rStyle w:val="Hyperlink"/>
            <w:rFonts w:ascii="Century Schoolbook" w:hAnsi="Century Schoolbook"/>
            <w:sz w:val="24"/>
            <w:szCs w:val="24"/>
          </w:rPr>
          <w:t>u</w:t>
        </w:r>
        <w:r w:rsidRPr="00236B08">
          <w:rPr>
            <w:rStyle w:val="Hyperlink"/>
            <w:rFonts w:ascii="Century Schoolbook" w:hAnsi="Century Schoolbook"/>
            <w:sz w:val="24"/>
            <w:szCs w:val="24"/>
          </w:rPr>
          <w:t>cational-approach-to-health-promotion</w:t>
        </w:r>
      </w:hyperlink>
      <w:r w:rsidRPr="00236B08">
        <w:rPr>
          <w:rFonts w:ascii="Century Schoolbook" w:hAnsi="Century Schoolbook"/>
          <w:sz w:val="24"/>
          <w:szCs w:val="24"/>
        </w:rPr>
        <w:t xml:space="preserve"> (Accessed 20 November 2021)</w:t>
      </w:r>
    </w:p>
    <w:p w14:paraId="56798428" w14:textId="77777777" w:rsidR="00097941" w:rsidRPr="00236B08" w:rsidRDefault="00097941" w:rsidP="00236B08">
      <w:pPr>
        <w:pStyle w:val="ListParagraph"/>
        <w:numPr>
          <w:ilvl w:val="0"/>
          <w:numId w:val="19"/>
        </w:numPr>
        <w:spacing w:line="360" w:lineRule="auto"/>
        <w:rPr>
          <w:rFonts w:ascii="Century Schoolbook" w:hAnsi="Century Schoolbook"/>
          <w:sz w:val="24"/>
          <w:szCs w:val="24"/>
        </w:rPr>
      </w:pPr>
      <w:proofErr w:type="spellStart"/>
      <w:r w:rsidRPr="00236B08">
        <w:rPr>
          <w:rFonts w:ascii="Century Schoolbook" w:hAnsi="Century Schoolbook"/>
          <w:sz w:val="24"/>
          <w:szCs w:val="24"/>
        </w:rPr>
        <w:t>GetRevising</w:t>
      </w:r>
      <w:proofErr w:type="spellEnd"/>
      <w:r w:rsidRPr="00236B08">
        <w:rPr>
          <w:rFonts w:ascii="Century Schoolbook" w:hAnsi="Century Schoolbook"/>
          <w:sz w:val="24"/>
          <w:szCs w:val="24"/>
        </w:rPr>
        <w:t xml:space="preserve"> (2017a) </w:t>
      </w:r>
      <w:r w:rsidRPr="00236B08">
        <w:rPr>
          <w:rFonts w:ascii="Century Schoolbook" w:hAnsi="Century Schoolbook"/>
          <w:i/>
          <w:iCs/>
          <w:sz w:val="24"/>
          <w:szCs w:val="24"/>
        </w:rPr>
        <w:t>Behaviour Change Approach</w:t>
      </w:r>
      <w:r w:rsidRPr="00236B08">
        <w:rPr>
          <w:rFonts w:ascii="Century Schoolbook" w:hAnsi="Century Schoolbook"/>
          <w:sz w:val="24"/>
          <w:szCs w:val="24"/>
        </w:rPr>
        <w:t xml:space="preserve"> </w:t>
      </w:r>
      <w:r w:rsidRPr="00236B08">
        <w:rPr>
          <w:rFonts w:ascii="Century Schoolbook" w:hAnsi="Century Schoolbook"/>
          <w:i/>
          <w:iCs/>
          <w:sz w:val="24"/>
          <w:szCs w:val="24"/>
        </w:rPr>
        <w:t>to Health Promotion</w:t>
      </w:r>
      <w:r w:rsidRPr="00236B08">
        <w:rPr>
          <w:rFonts w:ascii="Century Schoolbook" w:hAnsi="Century Schoolbook"/>
          <w:sz w:val="24"/>
          <w:szCs w:val="24"/>
        </w:rPr>
        <w:t>. Available at: https://getrevising.co.uk/grids/societal-approach-to-health-promotion (Accessed 20 November 2021)</w:t>
      </w:r>
    </w:p>
    <w:p w14:paraId="0ECFDA3C" w14:textId="4BBD7250"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r w:rsidRPr="00236B08">
        <w:rPr>
          <w:rFonts w:ascii="Century Schoolbook" w:hAnsi="Century Schoolbook" w:cstheme="minorHAnsi"/>
          <w:sz w:val="24"/>
          <w:szCs w:val="24"/>
        </w:rPr>
        <w:t xml:space="preserve">Van Den </w:t>
      </w:r>
      <w:proofErr w:type="spellStart"/>
      <w:r w:rsidRPr="00236B08">
        <w:rPr>
          <w:rFonts w:ascii="Century Schoolbook" w:hAnsi="Century Schoolbook" w:cstheme="minorHAnsi"/>
          <w:sz w:val="24"/>
          <w:szCs w:val="24"/>
        </w:rPr>
        <w:t>Broucke</w:t>
      </w:r>
      <w:proofErr w:type="spellEnd"/>
      <w:r w:rsidRPr="00236B08">
        <w:rPr>
          <w:rFonts w:ascii="Century Schoolbook" w:hAnsi="Century Schoolbook" w:cstheme="minorHAnsi"/>
          <w:sz w:val="24"/>
          <w:szCs w:val="24"/>
        </w:rPr>
        <w:t xml:space="preserve">, S. (2014) </w:t>
      </w:r>
      <w:r w:rsidR="000327BC">
        <w:rPr>
          <w:rFonts w:ascii="Century Schoolbook" w:hAnsi="Century Schoolbook" w:cstheme="minorHAnsi"/>
          <w:sz w:val="24"/>
          <w:szCs w:val="24"/>
        </w:rPr>
        <w:t>‘</w:t>
      </w:r>
      <w:r w:rsidRPr="00236B08">
        <w:rPr>
          <w:rFonts w:ascii="Century Schoolbook" w:hAnsi="Century Schoolbook" w:cstheme="minorHAnsi"/>
          <w:sz w:val="24"/>
          <w:szCs w:val="24"/>
        </w:rPr>
        <w:t xml:space="preserve">Needs, Norms and Nudges: The Place </w:t>
      </w:r>
      <w:proofErr w:type="gramStart"/>
      <w:r w:rsidRPr="00236B08">
        <w:rPr>
          <w:rFonts w:ascii="Century Schoolbook" w:hAnsi="Century Schoolbook" w:cstheme="minorHAnsi"/>
          <w:sz w:val="24"/>
          <w:szCs w:val="24"/>
        </w:rPr>
        <w:t>Of</w:t>
      </w:r>
      <w:proofErr w:type="gramEnd"/>
      <w:r w:rsidRPr="00236B08">
        <w:rPr>
          <w:rFonts w:ascii="Century Schoolbook" w:hAnsi="Century Schoolbook" w:cstheme="minorHAnsi"/>
          <w:sz w:val="24"/>
          <w:szCs w:val="24"/>
        </w:rPr>
        <w:t xml:space="preserve"> Behaviour Change In Health Promotion</w:t>
      </w:r>
      <w:r w:rsidR="000327BC">
        <w:rPr>
          <w:rFonts w:ascii="Century Schoolbook" w:hAnsi="Century Schoolbook" w:cstheme="minorHAnsi"/>
          <w:sz w:val="24"/>
          <w:szCs w:val="24"/>
        </w:rPr>
        <w:t>’</w:t>
      </w:r>
      <w:r w:rsidRPr="00236B08">
        <w:rPr>
          <w:rFonts w:ascii="Century Schoolbook" w:hAnsi="Century Schoolbook" w:cstheme="minorHAnsi"/>
          <w:sz w:val="24"/>
          <w:szCs w:val="24"/>
        </w:rPr>
        <w:t xml:space="preserve"> </w:t>
      </w:r>
      <w:r w:rsidRPr="000327BC">
        <w:rPr>
          <w:rFonts w:ascii="Century Schoolbook" w:hAnsi="Century Schoolbook" w:cstheme="minorHAnsi"/>
          <w:i/>
          <w:iCs/>
          <w:sz w:val="24"/>
          <w:szCs w:val="24"/>
        </w:rPr>
        <w:t>Health Promotion International</w:t>
      </w:r>
      <w:r w:rsidRPr="00236B08">
        <w:rPr>
          <w:rFonts w:ascii="Century Schoolbook" w:hAnsi="Century Schoolbook" w:cstheme="minorHAnsi"/>
          <w:sz w:val="24"/>
          <w:szCs w:val="24"/>
        </w:rPr>
        <w:t>. 29(4)</w:t>
      </w:r>
      <w:r w:rsidR="000327BC">
        <w:rPr>
          <w:rFonts w:ascii="Century Schoolbook" w:hAnsi="Century Schoolbook" w:cstheme="minorHAnsi"/>
          <w:sz w:val="24"/>
          <w:szCs w:val="24"/>
        </w:rPr>
        <w:t xml:space="preserve"> pp.</w:t>
      </w:r>
      <w:r w:rsidRPr="00236B08">
        <w:rPr>
          <w:rFonts w:ascii="Century Schoolbook" w:hAnsi="Century Schoolbook" w:cstheme="minorHAnsi"/>
          <w:sz w:val="24"/>
          <w:szCs w:val="24"/>
        </w:rPr>
        <w:t xml:space="preserve"> 597–600.</w:t>
      </w:r>
    </w:p>
    <w:p w14:paraId="1ECF675C" w14:textId="29BC5E7A" w:rsidR="00097941" w:rsidRPr="00236B08" w:rsidRDefault="00097941" w:rsidP="00236B08">
      <w:pPr>
        <w:pStyle w:val="ListParagraph"/>
        <w:numPr>
          <w:ilvl w:val="0"/>
          <w:numId w:val="19"/>
        </w:numPr>
        <w:spacing w:line="360" w:lineRule="auto"/>
        <w:rPr>
          <w:rFonts w:ascii="Century Schoolbook" w:hAnsi="Century Schoolbook" w:cstheme="minorHAnsi"/>
          <w:sz w:val="24"/>
          <w:szCs w:val="24"/>
        </w:rPr>
      </w:pPr>
      <w:r w:rsidRPr="00236B08">
        <w:rPr>
          <w:rFonts w:ascii="Century Schoolbook" w:hAnsi="Century Schoolbook" w:cstheme="minorHAnsi"/>
          <w:sz w:val="24"/>
          <w:szCs w:val="24"/>
        </w:rPr>
        <w:t xml:space="preserve">National Health Service (2018) </w:t>
      </w:r>
      <w:r w:rsidRPr="00236B08">
        <w:rPr>
          <w:rFonts w:ascii="Century Schoolbook" w:hAnsi="Century Schoolbook" w:cstheme="minorHAnsi"/>
          <w:i/>
          <w:iCs/>
          <w:sz w:val="24"/>
          <w:szCs w:val="24"/>
        </w:rPr>
        <w:t>Children’s Teeth.</w:t>
      </w:r>
      <w:r w:rsidRPr="00236B08">
        <w:rPr>
          <w:rFonts w:ascii="Century Schoolbook" w:hAnsi="Century Schoolbook" w:cstheme="minorHAnsi"/>
          <w:sz w:val="24"/>
          <w:szCs w:val="24"/>
        </w:rPr>
        <w:t xml:space="preserve"> Available at: https://www.nhs.uk/live-well/healthy-body/taking-care-of-childrens-teeth/ (Accessed: 14</w:t>
      </w:r>
      <w:r w:rsidRPr="00236B08">
        <w:rPr>
          <w:rFonts w:ascii="Century Schoolbook" w:hAnsi="Century Schoolbook" w:cstheme="minorHAnsi"/>
          <w:sz w:val="24"/>
          <w:szCs w:val="24"/>
          <w:vertAlign w:val="superscript"/>
        </w:rPr>
        <w:t xml:space="preserve"> </w:t>
      </w:r>
      <w:r w:rsidRPr="00236B08">
        <w:rPr>
          <w:rFonts w:ascii="Century Schoolbook" w:hAnsi="Century Schoolbook" w:cstheme="minorHAnsi"/>
          <w:sz w:val="24"/>
          <w:szCs w:val="24"/>
        </w:rPr>
        <w:t>October 2021)</w:t>
      </w:r>
    </w:p>
    <w:p w14:paraId="585EE359" w14:textId="188C11DB" w:rsidR="000327BC" w:rsidRPr="000327BC" w:rsidRDefault="00003EB3" w:rsidP="00236B08">
      <w:pPr>
        <w:pStyle w:val="ListParagraph"/>
        <w:numPr>
          <w:ilvl w:val="0"/>
          <w:numId w:val="19"/>
        </w:numPr>
        <w:spacing w:line="360" w:lineRule="auto"/>
        <w:rPr>
          <w:rFonts w:ascii="Century Schoolbook" w:hAnsi="Century Schoolbook"/>
          <w:sz w:val="24"/>
          <w:szCs w:val="24"/>
        </w:rPr>
      </w:pPr>
      <w:r w:rsidRPr="00236B08">
        <w:rPr>
          <w:rFonts w:ascii="Century Schoolbook" w:hAnsi="Century Schoolbook"/>
          <w:sz w:val="24"/>
          <w:szCs w:val="24"/>
        </w:rPr>
        <w:t xml:space="preserve">Coleman, P.G and O’Hanlon, A. (2004) </w:t>
      </w:r>
      <w:r w:rsidR="000327BC">
        <w:rPr>
          <w:rFonts w:ascii="Century Schoolbook" w:hAnsi="Century Schoolbook"/>
          <w:sz w:val="24"/>
          <w:szCs w:val="24"/>
        </w:rPr>
        <w:t>‘</w:t>
      </w:r>
      <w:r w:rsidRPr="000327BC">
        <w:rPr>
          <w:rFonts w:ascii="Century Schoolbook" w:hAnsi="Century Schoolbook"/>
          <w:sz w:val="24"/>
          <w:szCs w:val="24"/>
        </w:rPr>
        <w:t>Ageing and Development.</w:t>
      </w:r>
      <w:r w:rsidR="000327BC">
        <w:rPr>
          <w:rFonts w:ascii="Century Schoolbook" w:hAnsi="Century Schoolbook"/>
          <w:sz w:val="24"/>
          <w:szCs w:val="24"/>
        </w:rPr>
        <w:t xml:space="preserve">’ </w:t>
      </w:r>
      <w:r w:rsidR="000327BC">
        <w:rPr>
          <w:rFonts w:ascii="Century Schoolbook" w:hAnsi="Century Schoolbook"/>
          <w:i/>
          <w:iCs/>
          <w:sz w:val="24"/>
          <w:szCs w:val="24"/>
        </w:rPr>
        <w:t>Ageing and Society.</w:t>
      </w:r>
      <w:r w:rsidR="000327BC">
        <w:rPr>
          <w:rFonts w:ascii="Century Schoolbook" w:hAnsi="Century Schoolbook"/>
          <w:sz w:val="24"/>
          <w:szCs w:val="24"/>
        </w:rPr>
        <w:t xml:space="preserve"> 27(5) pp. 780-783</w:t>
      </w:r>
    </w:p>
    <w:p w14:paraId="3A81423E" w14:textId="3ED03416" w:rsidR="00003EB3" w:rsidRPr="00236B08" w:rsidRDefault="00003EB3" w:rsidP="00236B08">
      <w:pPr>
        <w:pStyle w:val="ListParagraph"/>
        <w:numPr>
          <w:ilvl w:val="0"/>
          <w:numId w:val="19"/>
        </w:numPr>
        <w:spacing w:line="360" w:lineRule="auto"/>
        <w:rPr>
          <w:rFonts w:ascii="Century Schoolbook" w:hAnsi="Century Schoolbook"/>
          <w:sz w:val="24"/>
          <w:szCs w:val="24"/>
        </w:rPr>
      </w:pPr>
    </w:p>
    <w:sectPr w:rsidR="00003EB3" w:rsidRPr="00236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B4567"/>
    <w:multiLevelType w:val="hybridMultilevel"/>
    <w:tmpl w:val="E9003EBC"/>
    <w:lvl w:ilvl="0" w:tplc="0809000F">
      <w:start w:val="1"/>
      <w:numFmt w:val="decimal"/>
      <w:lvlText w:val="%1."/>
      <w:lvlJc w:val="left"/>
      <w:pPr>
        <w:ind w:left="720" w:hanging="360"/>
      </w:pPr>
      <w:rPr>
        <w:rFonts w:hint="default"/>
      </w:rPr>
    </w:lvl>
    <w:lvl w:ilvl="1" w:tplc="FEF21EF6">
      <w:start w:val="1"/>
      <w:numFmt w:val="bullet"/>
      <w:lvlText w:val="o"/>
      <w:lvlJc w:val="left"/>
      <w:pPr>
        <w:ind w:left="1440" w:hanging="360"/>
      </w:pPr>
      <w:rPr>
        <w:rFonts w:ascii="Courier New" w:hAnsi="Courier New" w:cs="Courier New" w:hint="default"/>
        <w:sz w:val="24"/>
        <w:szCs w:val="24"/>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D1EA2"/>
    <w:multiLevelType w:val="hybridMultilevel"/>
    <w:tmpl w:val="CA0006CA"/>
    <w:lvl w:ilvl="0" w:tplc="2B54914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F5050"/>
    <w:multiLevelType w:val="multilevel"/>
    <w:tmpl w:val="A2D67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D7CA1"/>
    <w:multiLevelType w:val="multilevel"/>
    <w:tmpl w:val="EB88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F62471"/>
    <w:multiLevelType w:val="hybridMultilevel"/>
    <w:tmpl w:val="83249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72FE8"/>
    <w:multiLevelType w:val="hybridMultilevel"/>
    <w:tmpl w:val="0B645D8C"/>
    <w:lvl w:ilvl="0" w:tplc="2B54914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16205"/>
    <w:multiLevelType w:val="hybridMultilevel"/>
    <w:tmpl w:val="6DBE8FD6"/>
    <w:lvl w:ilvl="0" w:tplc="8628431C">
      <w:start w:val="1"/>
      <w:numFmt w:val="bullet"/>
      <w:lvlText w:val=""/>
      <w:lvlJc w:val="left"/>
      <w:pPr>
        <w:tabs>
          <w:tab w:val="num" w:pos="720"/>
        </w:tabs>
        <w:ind w:left="720" w:hanging="360"/>
      </w:pPr>
      <w:rPr>
        <w:rFonts w:ascii="Wingdings 2" w:hAnsi="Wingdings 2" w:hint="default"/>
      </w:rPr>
    </w:lvl>
    <w:lvl w:ilvl="1" w:tplc="F6B62ABC" w:tentative="1">
      <w:start w:val="1"/>
      <w:numFmt w:val="bullet"/>
      <w:lvlText w:val=""/>
      <w:lvlJc w:val="left"/>
      <w:pPr>
        <w:tabs>
          <w:tab w:val="num" w:pos="1440"/>
        </w:tabs>
        <w:ind w:left="1440" w:hanging="360"/>
      </w:pPr>
      <w:rPr>
        <w:rFonts w:ascii="Wingdings 2" w:hAnsi="Wingdings 2" w:hint="default"/>
      </w:rPr>
    </w:lvl>
    <w:lvl w:ilvl="2" w:tplc="DEFE3448" w:tentative="1">
      <w:start w:val="1"/>
      <w:numFmt w:val="bullet"/>
      <w:lvlText w:val=""/>
      <w:lvlJc w:val="left"/>
      <w:pPr>
        <w:tabs>
          <w:tab w:val="num" w:pos="2160"/>
        </w:tabs>
        <w:ind w:left="2160" w:hanging="360"/>
      </w:pPr>
      <w:rPr>
        <w:rFonts w:ascii="Wingdings 2" w:hAnsi="Wingdings 2" w:hint="default"/>
      </w:rPr>
    </w:lvl>
    <w:lvl w:ilvl="3" w:tplc="F9C252A6" w:tentative="1">
      <w:start w:val="1"/>
      <w:numFmt w:val="bullet"/>
      <w:lvlText w:val=""/>
      <w:lvlJc w:val="left"/>
      <w:pPr>
        <w:tabs>
          <w:tab w:val="num" w:pos="2880"/>
        </w:tabs>
        <w:ind w:left="2880" w:hanging="360"/>
      </w:pPr>
      <w:rPr>
        <w:rFonts w:ascii="Wingdings 2" w:hAnsi="Wingdings 2" w:hint="default"/>
      </w:rPr>
    </w:lvl>
    <w:lvl w:ilvl="4" w:tplc="45B0066E" w:tentative="1">
      <w:start w:val="1"/>
      <w:numFmt w:val="bullet"/>
      <w:lvlText w:val=""/>
      <w:lvlJc w:val="left"/>
      <w:pPr>
        <w:tabs>
          <w:tab w:val="num" w:pos="3600"/>
        </w:tabs>
        <w:ind w:left="3600" w:hanging="360"/>
      </w:pPr>
      <w:rPr>
        <w:rFonts w:ascii="Wingdings 2" w:hAnsi="Wingdings 2" w:hint="default"/>
      </w:rPr>
    </w:lvl>
    <w:lvl w:ilvl="5" w:tplc="EC9EF03E" w:tentative="1">
      <w:start w:val="1"/>
      <w:numFmt w:val="bullet"/>
      <w:lvlText w:val=""/>
      <w:lvlJc w:val="left"/>
      <w:pPr>
        <w:tabs>
          <w:tab w:val="num" w:pos="4320"/>
        </w:tabs>
        <w:ind w:left="4320" w:hanging="360"/>
      </w:pPr>
      <w:rPr>
        <w:rFonts w:ascii="Wingdings 2" w:hAnsi="Wingdings 2" w:hint="default"/>
      </w:rPr>
    </w:lvl>
    <w:lvl w:ilvl="6" w:tplc="19E02CEE" w:tentative="1">
      <w:start w:val="1"/>
      <w:numFmt w:val="bullet"/>
      <w:lvlText w:val=""/>
      <w:lvlJc w:val="left"/>
      <w:pPr>
        <w:tabs>
          <w:tab w:val="num" w:pos="5040"/>
        </w:tabs>
        <w:ind w:left="5040" w:hanging="360"/>
      </w:pPr>
      <w:rPr>
        <w:rFonts w:ascii="Wingdings 2" w:hAnsi="Wingdings 2" w:hint="default"/>
      </w:rPr>
    </w:lvl>
    <w:lvl w:ilvl="7" w:tplc="11D67DA2" w:tentative="1">
      <w:start w:val="1"/>
      <w:numFmt w:val="bullet"/>
      <w:lvlText w:val=""/>
      <w:lvlJc w:val="left"/>
      <w:pPr>
        <w:tabs>
          <w:tab w:val="num" w:pos="5760"/>
        </w:tabs>
        <w:ind w:left="5760" w:hanging="360"/>
      </w:pPr>
      <w:rPr>
        <w:rFonts w:ascii="Wingdings 2" w:hAnsi="Wingdings 2" w:hint="default"/>
      </w:rPr>
    </w:lvl>
    <w:lvl w:ilvl="8" w:tplc="5756063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39A77516"/>
    <w:multiLevelType w:val="hybridMultilevel"/>
    <w:tmpl w:val="265AA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573E31"/>
    <w:multiLevelType w:val="hybridMultilevel"/>
    <w:tmpl w:val="04E66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570AAE"/>
    <w:multiLevelType w:val="hybridMultilevel"/>
    <w:tmpl w:val="CDEA1286"/>
    <w:lvl w:ilvl="0" w:tplc="FFFFFFFF">
      <w:start w:val="1"/>
      <w:numFmt w:val="decimal"/>
      <w:lvlText w:val="%1."/>
      <w:lvlJc w:val="left"/>
      <w:pPr>
        <w:ind w:left="720" w:hanging="360"/>
      </w:pPr>
      <w:rPr>
        <w:rFonts w:hint="default"/>
        <w:sz w:val="24"/>
        <w:szCs w:val="24"/>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1261239"/>
    <w:multiLevelType w:val="hybridMultilevel"/>
    <w:tmpl w:val="3F562244"/>
    <w:lvl w:ilvl="0" w:tplc="327E61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99A69A8"/>
    <w:multiLevelType w:val="hybridMultilevel"/>
    <w:tmpl w:val="209A0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7D3824"/>
    <w:multiLevelType w:val="hybridMultilevel"/>
    <w:tmpl w:val="36BE8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932FFE"/>
    <w:multiLevelType w:val="multilevel"/>
    <w:tmpl w:val="C3F4E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2851E0"/>
    <w:multiLevelType w:val="hybridMultilevel"/>
    <w:tmpl w:val="6BAE877E"/>
    <w:lvl w:ilvl="0" w:tplc="FFFFFFFF">
      <w:start w:val="1"/>
      <w:numFmt w:val="decimal"/>
      <w:lvlText w:val="%1."/>
      <w:lvlJc w:val="left"/>
      <w:pPr>
        <w:ind w:left="720" w:hanging="360"/>
      </w:pPr>
      <w:rPr>
        <w:rFonts w:hint="default"/>
        <w:sz w:val="24"/>
        <w:szCs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8A37621"/>
    <w:multiLevelType w:val="hybridMultilevel"/>
    <w:tmpl w:val="50AE7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8C2672"/>
    <w:multiLevelType w:val="multilevel"/>
    <w:tmpl w:val="3348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AA012E"/>
    <w:multiLevelType w:val="hybridMultilevel"/>
    <w:tmpl w:val="CDEA1286"/>
    <w:lvl w:ilvl="0" w:tplc="FFFFFFFF">
      <w:start w:val="1"/>
      <w:numFmt w:val="decimal"/>
      <w:lvlText w:val="%1."/>
      <w:lvlJc w:val="left"/>
      <w:pPr>
        <w:ind w:left="720" w:hanging="360"/>
      </w:pPr>
      <w:rPr>
        <w:rFonts w:hint="default"/>
        <w:sz w:val="24"/>
        <w:szCs w:val="24"/>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13E375E"/>
    <w:multiLevelType w:val="hybridMultilevel"/>
    <w:tmpl w:val="CDEA1286"/>
    <w:lvl w:ilvl="0" w:tplc="DC5A0B92">
      <w:start w:val="1"/>
      <w:numFmt w:val="decimal"/>
      <w:lvlText w:val="%1."/>
      <w:lvlJc w:val="left"/>
      <w:pPr>
        <w:ind w:left="720" w:hanging="360"/>
      </w:pPr>
      <w:rPr>
        <w:rFonts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E6207"/>
    <w:multiLevelType w:val="multilevel"/>
    <w:tmpl w:val="F2B0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15"/>
  </w:num>
  <w:num w:numId="4">
    <w:abstractNumId w:val="4"/>
  </w:num>
  <w:num w:numId="5">
    <w:abstractNumId w:val="18"/>
  </w:num>
  <w:num w:numId="6">
    <w:abstractNumId w:val="12"/>
  </w:num>
  <w:num w:numId="7">
    <w:abstractNumId w:val="7"/>
  </w:num>
  <w:num w:numId="8">
    <w:abstractNumId w:val="10"/>
  </w:num>
  <w:num w:numId="9">
    <w:abstractNumId w:val="1"/>
  </w:num>
  <w:num w:numId="10">
    <w:abstractNumId w:val="5"/>
  </w:num>
  <w:num w:numId="11">
    <w:abstractNumId w:val="3"/>
  </w:num>
  <w:num w:numId="12">
    <w:abstractNumId w:val="19"/>
  </w:num>
  <w:num w:numId="13">
    <w:abstractNumId w:val="2"/>
  </w:num>
  <w:num w:numId="14">
    <w:abstractNumId w:val="16"/>
  </w:num>
  <w:num w:numId="15">
    <w:abstractNumId w:val="6"/>
  </w:num>
  <w:num w:numId="16">
    <w:abstractNumId w:val="0"/>
  </w:num>
  <w:num w:numId="17">
    <w:abstractNumId w:val="9"/>
  </w:num>
  <w:num w:numId="18">
    <w:abstractNumId w:val="17"/>
  </w:num>
  <w:num w:numId="19">
    <w:abstractNumId w:val="1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D7C"/>
    <w:rsid w:val="0000088A"/>
    <w:rsid w:val="000020F8"/>
    <w:rsid w:val="00003EB3"/>
    <w:rsid w:val="00012D87"/>
    <w:rsid w:val="0002193B"/>
    <w:rsid w:val="00022357"/>
    <w:rsid w:val="000304B4"/>
    <w:rsid w:val="000327BC"/>
    <w:rsid w:val="00063463"/>
    <w:rsid w:val="00074EBC"/>
    <w:rsid w:val="00080AAE"/>
    <w:rsid w:val="0008608F"/>
    <w:rsid w:val="0008699C"/>
    <w:rsid w:val="00086CD0"/>
    <w:rsid w:val="00097941"/>
    <w:rsid w:val="000E3508"/>
    <w:rsid w:val="000F6EB3"/>
    <w:rsid w:val="001277EF"/>
    <w:rsid w:val="00150F8B"/>
    <w:rsid w:val="00153154"/>
    <w:rsid w:val="001652E9"/>
    <w:rsid w:val="001667C6"/>
    <w:rsid w:val="001808E4"/>
    <w:rsid w:val="00181A0E"/>
    <w:rsid w:val="001A24D1"/>
    <w:rsid w:val="001B38F8"/>
    <w:rsid w:val="001C1A32"/>
    <w:rsid w:val="001D5A49"/>
    <w:rsid w:val="001D6388"/>
    <w:rsid w:val="001E0DED"/>
    <w:rsid w:val="001E7A31"/>
    <w:rsid w:val="00220D6A"/>
    <w:rsid w:val="00236B08"/>
    <w:rsid w:val="00245C2E"/>
    <w:rsid w:val="002530A1"/>
    <w:rsid w:val="00272C05"/>
    <w:rsid w:val="00275DFE"/>
    <w:rsid w:val="002904C5"/>
    <w:rsid w:val="0029287A"/>
    <w:rsid w:val="002E2587"/>
    <w:rsid w:val="002F1105"/>
    <w:rsid w:val="00301B6B"/>
    <w:rsid w:val="00301CE0"/>
    <w:rsid w:val="003029A2"/>
    <w:rsid w:val="003070DB"/>
    <w:rsid w:val="00307EF3"/>
    <w:rsid w:val="003166ED"/>
    <w:rsid w:val="00316B72"/>
    <w:rsid w:val="00324A9A"/>
    <w:rsid w:val="00330F83"/>
    <w:rsid w:val="0037576E"/>
    <w:rsid w:val="00397060"/>
    <w:rsid w:val="003E12C7"/>
    <w:rsid w:val="003F0F5C"/>
    <w:rsid w:val="003F4F1E"/>
    <w:rsid w:val="00425993"/>
    <w:rsid w:val="00440485"/>
    <w:rsid w:val="00452D83"/>
    <w:rsid w:val="0045508A"/>
    <w:rsid w:val="00461CFD"/>
    <w:rsid w:val="00463779"/>
    <w:rsid w:val="00473704"/>
    <w:rsid w:val="00493899"/>
    <w:rsid w:val="004A6754"/>
    <w:rsid w:val="004B646E"/>
    <w:rsid w:val="004E39A3"/>
    <w:rsid w:val="004F17C1"/>
    <w:rsid w:val="004F46C1"/>
    <w:rsid w:val="005035DB"/>
    <w:rsid w:val="005108B1"/>
    <w:rsid w:val="0051128D"/>
    <w:rsid w:val="00535CCE"/>
    <w:rsid w:val="00546351"/>
    <w:rsid w:val="00565341"/>
    <w:rsid w:val="00595650"/>
    <w:rsid w:val="005976B8"/>
    <w:rsid w:val="005A3EC0"/>
    <w:rsid w:val="005D0091"/>
    <w:rsid w:val="005D40C6"/>
    <w:rsid w:val="00614AC7"/>
    <w:rsid w:val="00621FED"/>
    <w:rsid w:val="00630A71"/>
    <w:rsid w:val="00630A82"/>
    <w:rsid w:val="006422B0"/>
    <w:rsid w:val="00647BD2"/>
    <w:rsid w:val="00650AB2"/>
    <w:rsid w:val="0065776B"/>
    <w:rsid w:val="00666522"/>
    <w:rsid w:val="006821D9"/>
    <w:rsid w:val="00686F51"/>
    <w:rsid w:val="00690387"/>
    <w:rsid w:val="00690D4F"/>
    <w:rsid w:val="00692C98"/>
    <w:rsid w:val="00697581"/>
    <w:rsid w:val="006A6D43"/>
    <w:rsid w:val="006B1151"/>
    <w:rsid w:val="006B2BEC"/>
    <w:rsid w:val="006B36E2"/>
    <w:rsid w:val="006B7E6D"/>
    <w:rsid w:val="006D53A3"/>
    <w:rsid w:val="006D7E9A"/>
    <w:rsid w:val="006E185A"/>
    <w:rsid w:val="006F08F6"/>
    <w:rsid w:val="00706585"/>
    <w:rsid w:val="007223E1"/>
    <w:rsid w:val="007249DD"/>
    <w:rsid w:val="007413E1"/>
    <w:rsid w:val="0074730B"/>
    <w:rsid w:val="00757E16"/>
    <w:rsid w:val="0076381E"/>
    <w:rsid w:val="00764B5F"/>
    <w:rsid w:val="00772C2B"/>
    <w:rsid w:val="007917D0"/>
    <w:rsid w:val="007B7668"/>
    <w:rsid w:val="007C1A61"/>
    <w:rsid w:val="007D34CC"/>
    <w:rsid w:val="007E25BC"/>
    <w:rsid w:val="007E7F1F"/>
    <w:rsid w:val="0080197D"/>
    <w:rsid w:val="00822593"/>
    <w:rsid w:val="00827AB9"/>
    <w:rsid w:val="00835665"/>
    <w:rsid w:val="00854B70"/>
    <w:rsid w:val="008752F2"/>
    <w:rsid w:val="00876B67"/>
    <w:rsid w:val="008B01EE"/>
    <w:rsid w:val="008B138F"/>
    <w:rsid w:val="008B5F14"/>
    <w:rsid w:val="008E3DA8"/>
    <w:rsid w:val="008E64E9"/>
    <w:rsid w:val="00924FB0"/>
    <w:rsid w:val="009364F5"/>
    <w:rsid w:val="00936AEF"/>
    <w:rsid w:val="009530D0"/>
    <w:rsid w:val="009532BD"/>
    <w:rsid w:val="00961E71"/>
    <w:rsid w:val="00963FFE"/>
    <w:rsid w:val="00966C2C"/>
    <w:rsid w:val="0098442E"/>
    <w:rsid w:val="009876D9"/>
    <w:rsid w:val="009933E6"/>
    <w:rsid w:val="009A0988"/>
    <w:rsid w:val="009A44A3"/>
    <w:rsid w:val="009C19D9"/>
    <w:rsid w:val="009D672D"/>
    <w:rsid w:val="009D6D20"/>
    <w:rsid w:val="009F02B8"/>
    <w:rsid w:val="00A117FE"/>
    <w:rsid w:val="00A12DEC"/>
    <w:rsid w:val="00A2567F"/>
    <w:rsid w:val="00A431CC"/>
    <w:rsid w:val="00A667BE"/>
    <w:rsid w:val="00A72642"/>
    <w:rsid w:val="00A7342B"/>
    <w:rsid w:val="00A95AEC"/>
    <w:rsid w:val="00A95DFC"/>
    <w:rsid w:val="00A9770B"/>
    <w:rsid w:val="00AB511F"/>
    <w:rsid w:val="00AC2F4C"/>
    <w:rsid w:val="00AD58AD"/>
    <w:rsid w:val="00AE19C8"/>
    <w:rsid w:val="00AE29AF"/>
    <w:rsid w:val="00AE48F4"/>
    <w:rsid w:val="00AE690D"/>
    <w:rsid w:val="00B23A8B"/>
    <w:rsid w:val="00B706E0"/>
    <w:rsid w:val="00B76E0D"/>
    <w:rsid w:val="00B82341"/>
    <w:rsid w:val="00B83315"/>
    <w:rsid w:val="00B84E73"/>
    <w:rsid w:val="00B87D50"/>
    <w:rsid w:val="00BA13FB"/>
    <w:rsid w:val="00BB0F3F"/>
    <w:rsid w:val="00BC6A21"/>
    <w:rsid w:val="00BD2F7E"/>
    <w:rsid w:val="00BE7B59"/>
    <w:rsid w:val="00C20A92"/>
    <w:rsid w:val="00C24E29"/>
    <w:rsid w:val="00C43598"/>
    <w:rsid w:val="00C44115"/>
    <w:rsid w:val="00C47BE2"/>
    <w:rsid w:val="00C5418A"/>
    <w:rsid w:val="00C544DC"/>
    <w:rsid w:val="00C62704"/>
    <w:rsid w:val="00C64164"/>
    <w:rsid w:val="00C64440"/>
    <w:rsid w:val="00C91780"/>
    <w:rsid w:val="00C91D7C"/>
    <w:rsid w:val="00CA5B5C"/>
    <w:rsid w:val="00CB2569"/>
    <w:rsid w:val="00CB43CE"/>
    <w:rsid w:val="00CC5659"/>
    <w:rsid w:val="00D0237B"/>
    <w:rsid w:val="00D06926"/>
    <w:rsid w:val="00D34F99"/>
    <w:rsid w:val="00D605D4"/>
    <w:rsid w:val="00D82034"/>
    <w:rsid w:val="00D84A96"/>
    <w:rsid w:val="00DA5711"/>
    <w:rsid w:val="00DB14B9"/>
    <w:rsid w:val="00DB3763"/>
    <w:rsid w:val="00DB3823"/>
    <w:rsid w:val="00DC0DDE"/>
    <w:rsid w:val="00DC373F"/>
    <w:rsid w:val="00DC77A2"/>
    <w:rsid w:val="00DF5100"/>
    <w:rsid w:val="00E14B31"/>
    <w:rsid w:val="00E45A19"/>
    <w:rsid w:val="00E66099"/>
    <w:rsid w:val="00E96094"/>
    <w:rsid w:val="00EB1835"/>
    <w:rsid w:val="00ED70A7"/>
    <w:rsid w:val="00EE377A"/>
    <w:rsid w:val="00EF7BB8"/>
    <w:rsid w:val="00F075DD"/>
    <w:rsid w:val="00F11C8E"/>
    <w:rsid w:val="00F11D64"/>
    <w:rsid w:val="00F46969"/>
    <w:rsid w:val="00F55BA9"/>
    <w:rsid w:val="00F6249A"/>
    <w:rsid w:val="00F67E0B"/>
    <w:rsid w:val="00F74F7D"/>
    <w:rsid w:val="00F9222D"/>
    <w:rsid w:val="00FC0644"/>
    <w:rsid w:val="00FC387C"/>
    <w:rsid w:val="00FD4452"/>
    <w:rsid w:val="00FE7209"/>
    <w:rsid w:val="00FF10E3"/>
    <w:rsid w:val="00FF6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52A70"/>
  <w15:chartTrackingRefBased/>
  <w15:docId w15:val="{351CDC42-B63F-4126-8869-4685C383C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D7C"/>
    <w:pPr>
      <w:ind w:left="720"/>
      <w:contextualSpacing/>
    </w:pPr>
  </w:style>
  <w:style w:type="character" w:styleId="Hyperlink">
    <w:name w:val="Hyperlink"/>
    <w:basedOn w:val="DefaultParagraphFont"/>
    <w:uiPriority w:val="99"/>
    <w:unhideWhenUsed/>
    <w:rsid w:val="00595650"/>
    <w:rPr>
      <w:color w:val="0563C1" w:themeColor="hyperlink"/>
      <w:u w:val="single"/>
    </w:rPr>
  </w:style>
  <w:style w:type="character" w:styleId="UnresolvedMention">
    <w:name w:val="Unresolved Mention"/>
    <w:basedOn w:val="DefaultParagraphFont"/>
    <w:uiPriority w:val="99"/>
    <w:semiHidden/>
    <w:unhideWhenUsed/>
    <w:rsid w:val="00595650"/>
    <w:rPr>
      <w:color w:val="605E5C"/>
      <w:shd w:val="clear" w:color="auto" w:fill="E1DFDD"/>
    </w:rPr>
  </w:style>
  <w:style w:type="paragraph" w:customStyle="1" w:styleId="phrase">
    <w:name w:val="phrase"/>
    <w:basedOn w:val="Normal"/>
    <w:rsid w:val="00E45A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35DB"/>
    <w:rPr>
      <w:color w:val="954F72" w:themeColor="followedHyperlink"/>
      <w:u w:val="single"/>
    </w:rPr>
  </w:style>
  <w:style w:type="paragraph" w:styleId="NormalWeb">
    <w:name w:val="Normal (Web)"/>
    <w:basedOn w:val="Normal"/>
    <w:uiPriority w:val="99"/>
    <w:semiHidden/>
    <w:unhideWhenUsed/>
    <w:rsid w:val="00236B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6B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2614">
      <w:bodyDiv w:val="1"/>
      <w:marLeft w:val="0"/>
      <w:marRight w:val="0"/>
      <w:marTop w:val="0"/>
      <w:marBottom w:val="0"/>
      <w:divBdr>
        <w:top w:val="none" w:sz="0" w:space="0" w:color="auto"/>
        <w:left w:val="none" w:sz="0" w:space="0" w:color="auto"/>
        <w:bottom w:val="none" w:sz="0" w:space="0" w:color="auto"/>
        <w:right w:val="none" w:sz="0" w:space="0" w:color="auto"/>
      </w:divBdr>
      <w:divsChild>
        <w:div w:id="1929805205">
          <w:marLeft w:val="432"/>
          <w:marRight w:val="0"/>
          <w:marTop w:val="116"/>
          <w:marBottom w:val="0"/>
          <w:divBdr>
            <w:top w:val="none" w:sz="0" w:space="0" w:color="auto"/>
            <w:left w:val="none" w:sz="0" w:space="0" w:color="auto"/>
            <w:bottom w:val="none" w:sz="0" w:space="0" w:color="auto"/>
            <w:right w:val="none" w:sz="0" w:space="0" w:color="auto"/>
          </w:divBdr>
        </w:div>
        <w:div w:id="205799667">
          <w:marLeft w:val="432"/>
          <w:marRight w:val="0"/>
          <w:marTop w:val="116"/>
          <w:marBottom w:val="0"/>
          <w:divBdr>
            <w:top w:val="none" w:sz="0" w:space="0" w:color="auto"/>
            <w:left w:val="none" w:sz="0" w:space="0" w:color="auto"/>
            <w:bottom w:val="none" w:sz="0" w:space="0" w:color="auto"/>
            <w:right w:val="none" w:sz="0" w:space="0" w:color="auto"/>
          </w:divBdr>
        </w:div>
        <w:div w:id="651176821">
          <w:marLeft w:val="432"/>
          <w:marRight w:val="0"/>
          <w:marTop w:val="116"/>
          <w:marBottom w:val="0"/>
          <w:divBdr>
            <w:top w:val="none" w:sz="0" w:space="0" w:color="auto"/>
            <w:left w:val="none" w:sz="0" w:space="0" w:color="auto"/>
            <w:bottom w:val="none" w:sz="0" w:space="0" w:color="auto"/>
            <w:right w:val="none" w:sz="0" w:space="0" w:color="auto"/>
          </w:divBdr>
        </w:div>
        <w:div w:id="1678270770">
          <w:marLeft w:val="432"/>
          <w:marRight w:val="0"/>
          <w:marTop w:val="116"/>
          <w:marBottom w:val="0"/>
          <w:divBdr>
            <w:top w:val="none" w:sz="0" w:space="0" w:color="auto"/>
            <w:left w:val="none" w:sz="0" w:space="0" w:color="auto"/>
            <w:bottom w:val="none" w:sz="0" w:space="0" w:color="auto"/>
            <w:right w:val="none" w:sz="0" w:space="0" w:color="auto"/>
          </w:divBdr>
        </w:div>
        <w:div w:id="954604006">
          <w:marLeft w:val="432"/>
          <w:marRight w:val="0"/>
          <w:marTop w:val="116"/>
          <w:marBottom w:val="0"/>
          <w:divBdr>
            <w:top w:val="none" w:sz="0" w:space="0" w:color="auto"/>
            <w:left w:val="none" w:sz="0" w:space="0" w:color="auto"/>
            <w:bottom w:val="none" w:sz="0" w:space="0" w:color="auto"/>
            <w:right w:val="none" w:sz="0" w:space="0" w:color="auto"/>
          </w:divBdr>
        </w:div>
        <w:div w:id="1201669517">
          <w:marLeft w:val="432"/>
          <w:marRight w:val="0"/>
          <w:marTop w:val="116"/>
          <w:marBottom w:val="0"/>
          <w:divBdr>
            <w:top w:val="none" w:sz="0" w:space="0" w:color="auto"/>
            <w:left w:val="none" w:sz="0" w:space="0" w:color="auto"/>
            <w:bottom w:val="none" w:sz="0" w:space="0" w:color="auto"/>
            <w:right w:val="none" w:sz="0" w:space="0" w:color="auto"/>
          </w:divBdr>
        </w:div>
        <w:div w:id="1017388508">
          <w:marLeft w:val="432"/>
          <w:marRight w:val="0"/>
          <w:marTop w:val="116"/>
          <w:marBottom w:val="0"/>
          <w:divBdr>
            <w:top w:val="none" w:sz="0" w:space="0" w:color="auto"/>
            <w:left w:val="none" w:sz="0" w:space="0" w:color="auto"/>
            <w:bottom w:val="none" w:sz="0" w:space="0" w:color="auto"/>
            <w:right w:val="none" w:sz="0" w:space="0" w:color="auto"/>
          </w:divBdr>
        </w:div>
      </w:divsChild>
    </w:div>
    <w:div w:id="171915740">
      <w:bodyDiv w:val="1"/>
      <w:marLeft w:val="0"/>
      <w:marRight w:val="0"/>
      <w:marTop w:val="0"/>
      <w:marBottom w:val="0"/>
      <w:divBdr>
        <w:top w:val="none" w:sz="0" w:space="0" w:color="auto"/>
        <w:left w:val="none" w:sz="0" w:space="0" w:color="auto"/>
        <w:bottom w:val="none" w:sz="0" w:space="0" w:color="auto"/>
        <w:right w:val="none" w:sz="0" w:space="0" w:color="auto"/>
      </w:divBdr>
    </w:div>
    <w:div w:id="225723313">
      <w:bodyDiv w:val="1"/>
      <w:marLeft w:val="0"/>
      <w:marRight w:val="0"/>
      <w:marTop w:val="0"/>
      <w:marBottom w:val="0"/>
      <w:divBdr>
        <w:top w:val="none" w:sz="0" w:space="0" w:color="auto"/>
        <w:left w:val="none" w:sz="0" w:space="0" w:color="auto"/>
        <w:bottom w:val="none" w:sz="0" w:space="0" w:color="auto"/>
        <w:right w:val="none" w:sz="0" w:space="0" w:color="auto"/>
      </w:divBdr>
    </w:div>
    <w:div w:id="300312458">
      <w:bodyDiv w:val="1"/>
      <w:marLeft w:val="0"/>
      <w:marRight w:val="0"/>
      <w:marTop w:val="0"/>
      <w:marBottom w:val="0"/>
      <w:divBdr>
        <w:top w:val="none" w:sz="0" w:space="0" w:color="auto"/>
        <w:left w:val="none" w:sz="0" w:space="0" w:color="auto"/>
        <w:bottom w:val="none" w:sz="0" w:space="0" w:color="auto"/>
        <w:right w:val="none" w:sz="0" w:space="0" w:color="auto"/>
      </w:divBdr>
    </w:div>
    <w:div w:id="444077055">
      <w:bodyDiv w:val="1"/>
      <w:marLeft w:val="0"/>
      <w:marRight w:val="0"/>
      <w:marTop w:val="0"/>
      <w:marBottom w:val="0"/>
      <w:divBdr>
        <w:top w:val="none" w:sz="0" w:space="0" w:color="auto"/>
        <w:left w:val="none" w:sz="0" w:space="0" w:color="auto"/>
        <w:bottom w:val="none" w:sz="0" w:space="0" w:color="auto"/>
        <w:right w:val="none" w:sz="0" w:space="0" w:color="auto"/>
      </w:divBdr>
    </w:div>
    <w:div w:id="452215952">
      <w:bodyDiv w:val="1"/>
      <w:marLeft w:val="0"/>
      <w:marRight w:val="0"/>
      <w:marTop w:val="0"/>
      <w:marBottom w:val="0"/>
      <w:divBdr>
        <w:top w:val="none" w:sz="0" w:space="0" w:color="auto"/>
        <w:left w:val="none" w:sz="0" w:space="0" w:color="auto"/>
        <w:bottom w:val="none" w:sz="0" w:space="0" w:color="auto"/>
        <w:right w:val="none" w:sz="0" w:space="0" w:color="auto"/>
      </w:divBdr>
    </w:div>
    <w:div w:id="494104646">
      <w:bodyDiv w:val="1"/>
      <w:marLeft w:val="0"/>
      <w:marRight w:val="0"/>
      <w:marTop w:val="0"/>
      <w:marBottom w:val="0"/>
      <w:divBdr>
        <w:top w:val="none" w:sz="0" w:space="0" w:color="auto"/>
        <w:left w:val="none" w:sz="0" w:space="0" w:color="auto"/>
        <w:bottom w:val="none" w:sz="0" w:space="0" w:color="auto"/>
        <w:right w:val="none" w:sz="0" w:space="0" w:color="auto"/>
      </w:divBdr>
    </w:div>
    <w:div w:id="1428891560">
      <w:bodyDiv w:val="1"/>
      <w:marLeft w:val="0"/>
      <w:marRight w:val="0"/>
      <w:marTop w:val="0"/>
      <w:marBottom w:val="0"/>
      <w:divBdr>
        <w:top w:val="none" w:sz="0" w:space="0" w:color="auto"/>
        <w:left w:val="none" w:sz="0" w:space="0" w:color="auto"/>
        <w:bottom w:val="none" w:sz="0" w:space="0" w:color="auto"/>
        <w:right w:val="none" w:sz="0" w:space="0" w:color="auto"/>
      </w:divBdr>
    </w:div>
    <w:div w:id="1644430460">
      <w:bodyDiv w:val="1"/>
      <w:marLeft w:val="0"/>
      <w:marRight w:val="0"/>
      <w:marTop w:val="0"/>
      <w:marBottom w:val="0"/>
      <w:divBdr>
        <w:top w:val="none" w:sz="0" w:space="0" w:color="auto"/>
        <w:left w:val="none" w:sz="0" w:space="0" w:color="auto"/>
        <w:bottom w:val="none" w:sz="0" w:space="0" w:color="auto"/>
        <w:right w:val="none" w:sz="0" w:space="0" w:color="auto"/>
      </w:divBdr>
    </w:div>
    <w:div w:id="1727560514">
      <w:bodyDiv w:val="1"/>
      <w:marLeft w:val="0"/>
      <w:marRight w:val="0"/>
      <w:marTop w:val="0"/>
      <w:marBottom w:val="0"/>
      <w:divBdr>
        <w:top w:val="none" w:sz="0" w:space="0" w:color="auto"/>
        <w:left w:val="none" w:sz="0" w:space="0" w:color="auto"/>
        <w:bottom w:val="none" w:sz="0" w:space="0" w:color="auto"/>
        <w:right w:val="none" w:sz="0" w:space="0" w:color="auto"/>
      </w:divBdr>
    </w:div>
    <w:div w:id="173743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etrevising.co.uk/grids/educational-approach-to-health-promo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1911</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cp:revision>
  <dcterms:created xsi:type="dcterms:W3CDTF">2021-11-25T19:32:00Z</dcterms:created>
  <dcterms:modified xsi:type="dcterms:W3CDTF">2021-11-25T19:32:00Z</dcterms:modified>
</cp:coreProperties>
</file>