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BE1ECDA" w14:textId="77777777" w:rsidR="004A062C" w:rsidRDefault="004A062C" w:rsidP="009E7C9D">
      <w:pPr>
        <w:spacing w:line="360" w:lineRule="auto"/>
        <w:jc w:val="center"/>
        <w:rPr>
          <w:rFonts w:ascii="Times New Roman" w:hAnsi="Times New Roman" w:cs="Times New Roman"/>
          <w:b/>
          <w:bCs/>
          <w:color w:val="000000" w:themeColor="text1"/>
          <w:lang w:val="en-GB"/>
        </w:rPr>
      </w:pPr>
    </w:p>
    <w:p w14:paraId="7A08F798" w14:textId="77777777" w:rsidR="004A062C" w:rsidRDefault="004A062C" w:rsidP="009E7C9D">
      <w:pPr>
        <w:spacing w:line="360" w:lineRule="auto"/>
        <w:jc w:val="center"/>
        <w:rPr>
          <w:rFonts w:ascii="Times New Roman" w:hAnsi="Times New Roman" w:cs="Times New Roman"/>
          <w:b/>
          <w:bCs/>
          <w:color w:val="000000" w:themeColor="text1"/>
          <w:lang w:val="en-GB"/>
        </w:rPr>
      </w:pPr>
    </w:p>
    <w:p w14:paraId="7EF15C37" w14:textId="5366B4F9" w:rsidR="004A062C" w:rsidRDefault="004B0A2C" w:rsidP="009E7C9D">
      <w:pPr>
        <w:spacing w:line="360" w:lineRule="auto"/>
        <w:jc w:val="center"/>
        <w:rPr>
          <w:rFonts w:ascii="Times New Roman" w:hAnsi="Times New Roman" w:cs="Times New Roman"/>
          <w:b/>
          <w:bCs/>
          <w:color w:val="000000" w:themeColor="text1"/>
          <w:lang w:val="en-GB"/>
        </w:rPr>
      </w:pPr>
      <w:r>
        <w:rPr>
          <w:rFonts w:ascii="Times New Roman" w:hAnsi="Times New Roman" w:cs="Times New Roman"/>
          <w:b/>
          <w:bCs/>
          <w:color w:val="000000" w:themeColor="text1"/>
          <w:lang w:val="en-GB"/>
        </w:rPr>
        <w:t>Written report for Ophthalmic Practitioner</w:t>
      </w:r>
    </w:p>
    <w:p w14:paraId="6908EB31" w14:textId="77777777" w:rsidR="004B0A2C" w:rsidRDefault="004B0A2C" w:rsidP="004B0A2C">
      <w:pPr>
        <w:spacing w:line="360" w:lineRule="auto"/>
        <w:rPr>
          <w:rFonts w:ascii="Times New Roman" w:hAnsi="Times New Roman" w:cs="Times New Roman"/>
          <w:b/>
          <w:bCs/>
          <w:color w:val="000000" w:themeColor="text1"/>
          <w:lang w:val="en-GB"/>
        </w:rPr>
      </w:pPr>
    </w:p>
    <w:p w14:paraId="58C6F59F" w14:textId="77777777" w:rsidR="004B0A2C" w:rsidRDefault="004B0A2C" w:rsidP="004B0A2C">
      <w:pPr>
        <w:spacing w:line="360" w:lineRule="auto"/>
        <w:rPr>
          <w:rFonts w:ascii="Times New Roman" w:hAnsi="Times New Roman" w:cs="Times New Roman"/>
          <w:b/>
          <w:bCs/>
          <w:color w:val="000000" w:themeColor="text1"/>
          <w:lang w:val="en-GB"/>
        </w:rPr>
      </w:pPr>
    </w:p>
    <w:p w14:paraId="4C055290" w14:textId="71DC8A43" w:rsidR="004B0A2C" w:rsidRDefault="004B0A2C" w:rsidP="004B0A2C">
      <w:pPr>
        <w:spacing w:line="360" w:lineRule="auto"/>
        <w:rPr>
          <w:rFonts w:ascii="Times New Roman" w:hAnsi="Times New Roman" w:cs="Times New Roman"/>
          <w:b/>
          <w:bCs/>
          <w:color w:val="000000" w:themeColor="text1"/>
          <w:lang w:val="en-GB"/>
        </w:rPr>
      </w:pPr>
      <w:r>
        <w:rPr>
          <w:rFonts w:ascii="Times New Roman" w:hAnsi="Times New Roman" w:cs="Times New Roman"/>
          <w:b/>
          <w:bCs/>
          <w:color w:val="000000" w:themeColor="text1"/>
          <w:lang w:val="en-GB"/>
        </w:rPr>
        <w:t>Valentino Fernando</w:t>
      </w:r>
    </w:p>
    <w:p w14:paraId="09186413" w14:textId="5665DF70" w:rsidR="004B0A2C" w:rsidRDefault="004B0A2C" w:rsidP="004B0A2C">
      <w:pPr>
        <w:spacing w:line="360" w:lineRule="auto"/>
        <w:rPr>
          <w:rFonts w:ascii="Times New Roman" w:hAnsi="Times New Roman" w:cs="Times New Roman"/>
          <w:b/>
          <w:bCs/>
          <w:color w:val="000000" w:themeColor="text1"/>
          <w:lang w:val="en-GB"/>
        </w:rPr>
      </w:pPr>
      <w:r>
        <w:rPr>
          <w:rFonts w:ascii="Times New Roman" w:hAnsi="Times New Roman" w:cs="Times New Roman"/>
          <w:b/>
          <w:bCs/>
          <w:color w:val="000000" w:themeColor="text1"/>
          <w:lang w:val="en-GB"/>
        </w:rPr>
        <w:t>2532545</w:t>
      </w:r>
    </w:p>
    <w:p w14:paraId="484DB52E" w14:textId="147624FA" w:rsidR="004B0A2C" w:rsidRDefault="004B0A2C" w:rsidP="004B0A2C">
      <w:pPr>
        <w:spacing w:line="360" w:lineRule="auto"/>
        <w:rPr>
          <w:rFonts w:ascii="Times New Roman" w:hAnsi="Times New Roman" w:cs="Times New Roman"/>
          <w:b/>
          <w:bCs/>
          <w:color w:val="000000" w:themeColor="text1"/>
          <w:lang w:val="en-GB"/>
        </w:rPr>
      </w:pPr>
      <w:r>
        <w:rPr>
          <w:rFonts w:ascii="Times New Roman" w:hAnsi="Times New Roman" w:cs="Times New Roman"/>
          <w:b/>
          <w:bCs/>
          <w:color w:val="000000" w:themeColor="text1"/>
          <w:lang w:val="en-GB"/>
        </w:rPr>
        <w:t>LCHS4001-LON</w:t>
      </w:r>
    </w:p>
    <w:p w14:paraId="0FD24E23" w14:textId="153164DD" w:rsidR="004B0A2C" w:rsidRDefault="004B0A2C" w:rsidP="004B0A2C">
      <w:pPr>
        <w:spacing w:line="360" w:lineRule="auto"/>
        <w:rPr>
          <w:rFonts w:ascii="Times New Roman" w:hAnsi="Times New Roman" w:cs="Times New Roman"/>
          <w:b/>
          <w:bCs/>
          <w:color w:val="000000" w:themeColor="text1"/>
          <w:lang w:val="en-GB"/>
        </w:rPr>
      </w:pPr>
      <w:r>
        <w:rPr>
          <w:rFonts w:ascii="Times New Roman" w:hAnsi="Times New Roman" w:cs="Times New Roman"/>
          <w:b/>
          <w:bCs/>
          <w:color w:val="000000" w:themeColor="text1"/>
          <w:lang w:val="en-GB"/>
        </w:rPr>
        <w:t>Academic teacher: Umma Suleiman</w:t>
      </w:r>
    </w:p>
    <w:p w14:paraId="145C75DA" w14:textId="77777777" w:rsidR="004B0A2C" w:rsidRDefault="004B0A2C" w:rsidP="004B0A2C">
      <w:pPr>
        <w:rPr>
          <w:lang w:val="en-GB"/>
        </w:rPr>
      </w:pPr>
    </w:p>
    <w:p w14:paraId="1B4129D2" w14:textId="77777777" w:rsidR="004A062C" w:rsidRDefault="004A062C" w:rsidP="009E7C9D">
      <w:pPr>
        <w:spacing w:line="360" w:lineRule="auto"/>
        <w:jc w:val="center"/>
        <w:rPr>
          <w:rFonts w:ascii="Times New Roman" w:hAnsi="Times New Roman" w:cs="Times New Roman"/>
          <w:b/>
          <w:bCs/>
          <w:color w:val="000000" w:themeColor="text1"/>
          <w:lang w:val="en-GB"/>
        </w:rPr>
      </w:pPr>
    </w:p>
    <w:p w14:paraId="201D2B5A" w14:textId="77777777" w:rsidR="004A062C" w:rsidRDefault="004A062C" w:rsidP="009E7C9D">
      <w:pPr>
        <w:spacing w:line="360" w:lineRule="auto"/>
        <w:jc w:val="center"/>
        <w:rPr>
          <w:rFonts w:ascii="Times New Roman" w:hAnsi="Times New Roman" w:cs="Times New Roman"/>
          <w:b/>
          <w:bCs/>
          <w:color w:val="000000" w:themeColor="text1"/>
          <w:lang w:val="en-GB"/>
        </w:rPr>
      </w:pPr>
    </w:p>
    <w:p w14:paraId="2F534F01" w14:textId="77777777" w:rsidR="004A062C" w:rsidRDefault="004A062C" w:rsidP="009E7C9D">
      <w:pPr>
        <w:spacing w:line="360" w:lineRule="auto"/>
        <w:jc w:val="center"/>
        <w:rPr>
          <w:rFonts w:ascii="Times New Roman" w:hAnsi="Times New Roman" w:cs="Times New Roman"/>
          <w:b/>
          <w:bCs/>
          <w:color w:val="000000" w:themeColor="text1"/>
          <w:lang w:val="en-GB"/>
        </w:rPr>
      </w:pPr>
    </w:p>
    <w:p w14:paraId="77EE3F08" w14:textId="4BC70268" w:rsidR="004A062C" w:rsidRDefault="00192CEA" w:rsidP="009E7C9D">
      <w:pPr>
        <w:spacing w:line="360" w:lineRule="auto"/>
        <w:jc w:val="center"/>
        <w:rPr>
          <w:rFonts w:ascii="Times New Roman" w:hAnsi="Times New Roman" w:cs="Times New Roman"/>
          <w:b/>
          <w:bCs/>
          <w:color w:val="000000" w:themeColor="text1"/>
          <w:lang w:val="en-GB"/>
        </w:rPr>
      </w:pPr>
      <w:r>
        <w:rPr>
          <w:rFonts w:ascii="Times New Roman" w:hAnsi="Times New Roman" w:cs="Times New Roman"/>
          <w:b/>
          <w:bCs/>
          <w:noProof/>
          <w:color w:val="000000" w:themeColor="text1"/>
          <w:lang w:val="en-GB"/>
        </w:rPr>
        <w:drawing>
          <wp:inline distT="0" distB="0" distL="0" distR="0" wp14:anchorId="2CB42859" wp14:editId="0A1B40A8">
            <wp:extent cx="4267200" cy="3124200"/>
            <wp:effectExtent l="0" t="0" r="0" b="0"/>
            <wp:docPr id="574839758" name="Picture 1" descr="The text appears to be a random sequence of letters and numbers without any clear context or mean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4839758" name="Picture 1" descr="The text appears to be a random sequence of letters and numbers without any clear context or meaning."/>
                    <pic:cNvPicPr/>
                  </pic:nvPicPr>
                  <pic:blipFill>
                    <a:blip r:embed="rId6" cstate="print">
                      <a:extLst>
                        <a:ext uri="{28A0092B-C50C-407E-A947-70E740481C1C}">
                          <a14:useLocalDpi xmlns:a14="http://schemas.microsoft.com/office/drawing/2010/main" val="0"/>
                        </a:ext>
                        <a:ext uri="{837473B0-CC2E-450A-ABE3-18F120FF3D39}">
                          <a1611:picAttrSrcUrl xmlns:a1611="http://schemas.microsoft.com/office/drawing/2016/11/main" r:id="rId7"/>
                        </a:ext>
                      </a:extLst>
                    </a:blip>
                    <a:stretch>
                      <a:fillRect/>
                    </a:stretch>
                  </pic:blipFill>
                  <pic:spPr>
                    <a:xfrm>
                      <a:off x="0" y="0"/>
                      <a:ext cx="4267200" cy="3124200"/>
                    </a:xfrm>
                    <a:prstGeom prst="rect">
                      <a:avLst/>
                    </a:prstGeom>
                  </pic:spPr>
                </pic:pic>
              </a:graphicData>
            </a:graphic>
          </wp:inline>
        </w:drawing>
      </w:r>
    </w:p>
    <w:p w14:paraId="0486277B" w14:textId="43F69F55" w:rsidR="009E7C9D" w:rsidRPr="004B0A2C" w:rsidRDefault="009E7C9D" w:rsidP="004B0A2C">
      <w:pPr>
        <w:pStyle w:val="Heading1"/>
        <w:rPr>
          <w:lang w:val="en-GB"/>
        </w:rPr>
      </w:pPr>
    </w:p>
    <w:sdt>
      <w:sdtPr>
        <w:rPr>
          <w:rFonts w:asciiTheme="minorHAnsi" w:eastAsiaTheme="minorHAnsi" w:hAnsiTheme="minorHAnsi" w:cstheme="minorBidi"/>
          <w:color w:val="auto"/>
          <w:kern w:val="2"/>
          <w:sz w:val="24"/>
          <w:szCs w:val="24"/>
          <w14:ligatures w14:val="standardContextual"/>
        </w:rPr>
        <w:id w:val="-636260391"/>
        <w:docPartObj>
          <w:docPartGallery w:val="Table of Contents"/>
          <w:docPartUnique/>
        </w:docPartObj>
      </w:sdtPr>
      <w:sdtEndPr>
        <w:rPr>
          <w:rFonts w:ascii="Times New Roman" w:hAnsi="Times New Roman" w:cs="Times New Roman"/>
          <w:b/>
          <w:bCs/>
          <w:noProof/>
        </w:rPr>
      </w:sdtEndPr>
      <w:sdtContent>
        <w:p w14:paraId="79772146" w14:textId="1A6EF65E" w:rsidR="00ED096B" w:rsidRDefault="00ED096B" w:rsidP="00ED096B">
          <w:pPr>
            <w:pStyle w:val="TOCHeading"/>
          </w:pPr>
        </w:p>
        <w:p w14:paraId="6A4470BD" w14:textId="35DE3727" w:rsidR="00840188" w:rsidRPr="00840188" w:rsidRDefault="00000000" w:rsidP="00840188">
          <w:pPr>
            <w:spacing w:line="360" w:lineRule="auto"/>
            <w:jc w:val="both"/>
            <w:rPr>
              <w:rFonts w:ascii="Times New Roman" w:hAnsi="Times New Roman" w:cs="Times New Roman"/>
            </w:rPr>
          </w:pPr>
        </w:p>
      </w:sdtContent>
    </w:sdt>
    <w:p w14:paraId="177ACE2A" w14:textId="16364D32" w:rsidR="00840188" w:rsidRPr="00ED096B" w:rsidRDefault="00840188">
      <w:pPr>
        <w:rPr>
          <w:rFonts w:ascii="Arial" w:hAnsi="Arial" w:cs="Arial"/>
          <w:b/>
          <w:bCs/>
          <w:color w:val="000000" w:themeColor="text1"/>
          <w:sz w:val="22"/>
          <w:szCs w:val="22"/>
          <w:lang w:val="en-GB"/>
        </w:rPr>
      </w:pPr>
      <w:r>
        <w:rPr>
          <w:rFonts w:ascii="Times New Roman" w:hAnsi="Times New Roman" w:cs="Times New Roman"/>
          <w:b/>
          <w:bCs/>
          <w:color w:val="000000" w:themeColor="text1"/>
          <w:lang w:val="en-GB"/>
        </w:rPr>
        <w:br w:type="page"/>
      </w:r>
    </w:p>
    <w:p w14:paraId="003108B9" w14:textId="77777777" w:rsidR="009E7C9D" w:rsidRPr="009E7C9D" w:rsidRDefault="009E7C9D" w:rsidP="009E7C9D">
      <w:pPr>
        <w:spacing w:line="360" w:lineRule="auto"/>
        <w:rPr>
          <w:rFonts w:ascii="Times New Roman" w:hAnsi="Times New Roman" w:cs="Times New Roman"/>
          <w:lang w:val="en-GB"/>
        </w:rPr>
      </w:pPr>
      <w:r w:rsidRPr="009E7C9D">
        <w:rPr>
          <w:rFonts w:ascii="Times New Roman" w:hAnsi="Times New Roman" w:cs="Times New Roman"/>
          <w:lang w:val="en-GB"/>
        </w:rPr>
        <w:lastRenderedPageBreak/>
        <w:br w:type="page"/>
      </w:r>
    </w:p>
    <w:p w14:paraId="3DB2CB75" w14:textId="77777777" w:rsidR="000B16FE" w:rsidRPr="009E7C9D" w:rsidRDefault="000B16FE" w:rsidP="009E7C9D">
      <w:pPr>
        <w:spacing w:line="360" w:lineRule="auto"/>
        <w:ind w:firstLine="720"/>
        <w:jc w:val="both"/>
        <w:rPr>
          <w:rFonts w:ascii="Times New Roman" w:hAnsi="Times New Roman" w:cs="Times New Roman"/>
          <w:lang w:val="en-GB"/>
        </w:rPr>
      </w:pPr>
    </w:p>
    <w:p w14:paraId="2B03664B" w14:textId="253523E4" w:rsidR="00CD0DEE" w:rsidRPr="00A34325" w:rsidRDefault="00CD0DEE" w:rsidP="009E7C9D">
      <w:pPr>
        <w:pStyle w:val="Heading2"/>
        <w:spacing w:line="360" w:lineRule="auto"/>
        <w:rPr>
          <w:rFonts w:ascii="Arial" w:hAnsi="Arial" w:cs="Arial"/>
          <w:sz w:val="22"/>
          <w:szCs w:val="22"/>
          <w:lang w:val="en-GB"/>
        </w:rPr>
      </w:pPr>
      <w:bookmarkStart w:id="0" w:name="_Toc225129492"/>
      <w:r w:rsidRPr="004B0A2C">
        <w:rPr>
          <w:rFonts w:ascii="Arial" w:hAnsi="Arial" w:cs="Arial"/>
          <w:sz w:val="22"/>
          <w:szCs w:val="22"/>
          <w:lang w:val="en-GB"/>
        </w:rPr>
        <w:t xml:space="preserve"> </w:t>
      </w:r>
      <w:r w:rsidRPr="00A34325">
        <w:rPr>
          <w:rFonts w:ascii="Arial" w:hAnsi="Arial" w:cs="Arial"/>
          <w:sz w:val="22"/>
          <w:szCs w:val="22"/>
          <w:lang w:val="en-GB"/>
        </w:rPr>
        <w:t>Introduction</w:t>
      </w:r>
      <w:bookmarkEnd w:id="0"/>
      <w:r w:rsidRPr="00A34325">
        <w:rPr>
          <w:rFonts w:ascii="Arial" w:hAnsi="Arial" w:cs="Arial"/>
          <w:sz w:val="22"/>
          <w:szCs w:val="22"/>
          <w:lang w:val="en-GB"/>
        </w:rPr>
        <w:t xml:space="preserve"> </w:t>
      </w:r>
    </w:p>
    <w:p w14:paraId="4C4E260B" w14:textId="77777777" w:rsidR="004B0A2C" w:rsidRPr="00A34325" w:rsidRDefault="00025ED8" w:rsidP="004B0A2C">
      <w:pPr>
        <w:spacing w:line="360" w:lineRule="auto"/>
        <w:ind w:firstLine="720"/>
        <w:jc w:val="both"/>
        <w:rPr>
          <w:rFonts w:ascii="Arial" w:hAnsi="Arial" w:cs="Arial"/>
          <w:sz w:val="22"/>
          <w:szCs w:val="22"/>
          <w:lang w:val="en-GB"/>
        </w:rPr>
      </w:pPr>
      <w:r w:rsidRPr="00A34325">
        <w:rPr>
          <w:rFonts w:ascii="Arial" w:hAnsi="Arial" w:cs="Arial"/>
          <w:sz w:val="22"/>
          <w:szCs w:val="22"/>
          <w:lang w:val="en-GB"/>
        </w:rPr>
        <w:t>Health and social care can be defined as the services that increase the well-being of people, both physically and by their mental conditions, providing professional care and treatment (NHS, 2025). An ophthalmic practitioner is a type of a healthcare professional focused on vision analysis and identification of eye disorders (Henderson et al., 2021). The purpose of this report is to examine this role, three key skills, and recommend potential improvement strategies. As an illustration, practitioners make sure that their patients are managing vision issues</w:t>
      </w:r>
      <w:bookmarkStart w:id="1" w:name="_Toc225129493"/>
    </w:p>
    <w:p w14:paraId="41C929A0" w14:textId="4F640CDC" w:rsidR="00CD0DEE" w:rsidRPr="004B0A2C" w:rsidRDefault="00CD0DEE" w:rsidP="004B0A2C">
      <w:pPr>
        <w:spacing w:line="360" w:lineRule="auto"/>
        <w:jc w:val="both"/>
        <w:rPr>
          <w:rFonts w:ascii="Times New Roman" w:hAnsi="Times New Roman" w:cs="Times New Roman"/>
          <w:b/>
          <w:bCs/>
          <w:lang w:val="en-GB"/>
        </w:rPr>
      </w:pPr>
      <w:r w:rsidRPr="009E7C9D">
        <w:rPr>
          <w:lang w:val="en-GB"/>
        </w:rPr>
        <w:t xml:space="preserve"> </w:t>
      </w:r>
      <w:r w:rsidRPr="004B0A2C">
        <w:rPr>
          <w:b/>
          <w:bCs/>
          <w:lang w:val="en-GB"/>
        </w:rPr>
        <w:t>Role Overview</w:t>
      </w:r>
      <w:bookmarkEnd w:id="1"/>
      <w:r w:rsidRPr="004B0A2C">
        <w:rPr>
          <w:b/>
          <w:bCs/>
          <w:lang w:val="en-GB"/>
        </w:rPr>
        <w:t xml:space="preserve"> </w:t>
      </w:r>
    </w:p>
    <w:p w14:paraId="48646BEF" w14:textId="7F8ADF25" w:rsidR="00B57272" w:rsidRPr="009E7C9D" w:rsidRDefault="00CC1A52" w:rsidP="009E7C9D">
      <w:pPr>
        <w:spacing w:line="360" w:lineRule="auto"/>
        <w:ind w:firstLine="720"/>
        <w:jc w:val="both"/>
        <w:rPr>
          <w:rFonts w:ascii="Times New Roman" w:hAnsi="Times New Roman" w:cs="Times New Roman"/>
          <w:lang w:val="en-GB"/>
        </w:rPr>
      </w:pPr>
      <w:r w:rsidRPr="00A34325">
        <w:rPr>
          <w:rFonts w:ascii="Arial" w:hAnsi="Arial" w:cs="Arial"/>
          <w:sz w:val="22"/>
          <w:szCs w:val="22"/>
          <w:lang w:val="en-GB"/>
        </w:rPr>
        <w:t>An Ophthalmic practitioner is a medical practitioner tasked with the role of organizing eye examinations, diagnosing eyesight issues, and undertaking treatment or referral of the same. They work at hospitals, clinics and optical centres. They have a role to play with vision that includes examinations, diagnoses of visual impairment, prescriptions of corrective lenses, and specialised equipment (NHS, 2025c). As illustrated in the graph below, eye examinations are expected to grow even more in 2024 at 2.45 million under the impact of the steep decline in 2020, particularly in comparison to 2006, when they stood at approximately 1.6 million. They also make referrals to the ophthalmologists when required to refer patients. The position is associated with diagnosing diseases ahead of time, including glaucoma and cataracts (NHS, 2025b). WHO (2024) states that early childhood eye care is the best option to enhance the outcome</w:t>
      </w:r>
      <w:r w:rsidRPr="009E7C9D">
        <w:rPr>
          <w:rFonts w:ascii="Times New Roman" w:hAnsi="Times New Roman" w:cs="Times New Roman"/>
          <w:lang w:val="en-GB"/>
        </w:rPr>
        <w:t xml:space="preserve"> </w:t>
      </w:r>
      <w:r w:rsidRPr="00A34325">
        <w:rPr>
          <w:rFonts w:ascii="Arial" w:hAnsi="Arial" w:cs="Arial"/>
          <w:sz w:val="22"/>
          <w:szCs w:val="22"/>
          <w:lang w:val="en-GB"/>
        </w:rPr>
        <w:t>and preventable</w:t>
      </w:r>
      <w:r w:rsidRPr="009E7C9D">
        <w:rPr>
          <w:rFonts w:ascii="Times New Roman" w:hAnsi="Times New Roman" w:cs="Times New Roman"/>
          <w:lang w:val="en-GB"/>
        </w:rPr>
        <w:t xml:space="preserve"> </w:t>
      </w:r>
      <w:r w:rsidRPr="00A34325">
        <w:rPr>
          <w:rFonts w:ascii="Arial" w:hAnsi="Arial" w:cs="Arial"/>
          <w:sz w:val="22"/>
          <w:szCs w:val="22"/>
          <w:lang w:val="en-GB"/>
        </w:rPr>
        <w:t>blindness in most countries</w:t>
      </w:r>
      <w:r w:rsidR="00B57272" w:rsidRPr="00A34325">
        <w:rPr>
          <w:rFonts w:ascii="Arial" w:hAnsi="Arial" w:cs="Arial"/>
          <w:sz w:val="22"/>
          <w:szCs w:val="22"/>
          <w:lang w:val="en-GB"/>
        </w:rPr>
        <w:t>.</w:t>
      </w:r>
    </w:p>
    <w:p w14:paraId="7318772F" w14:textId="011ECF2E" w:rsidR="00077C44" w:rsidRPr="009E7C9D" w:rsidRDefault="00077C44" w:rsidP="009E7C9D">
      <w:pPr>
        <w:spacing w:line="360" w:lineRule="auto"/>
        <w:ind w:firstLine="720"/>
        <w:jc w:val="center"/>
        <w:rPr>
          <w:rFonts w:ascii="Times New Roman" w:hAnsi="Times New Roman" w:cs="Times New Roman"/>
          <w:i/>
          <w:iCs/>
          <w:lang w:val="en-GB"/>
        </w:rPr>
      </w:pPr>
      <w:r w:rsidRPr="009E7C9D">
        <w:rPr>
          <w:rFonts w:ascii="Times New Roman" w:hAnsi="Times New Roman" w:cs="Times New Roman"/>
          <w:i/>
          <w:iCs/>
          <w:noProof/>
          <w:lang w:val="en-GB"/>
        </w:rPr>
        <w:drawing>
          <wp:inline distT="0" distB="0" distL="0" distR="0" wp14:anchorId="15FED993" wp14:editId="20B68AEA">
            <wp:extent cx="4239010" cy="1716437"/>
            <wp:effectExtent l="0" t="0" r="9525" b="0"/>
            <wp:docPr id="10416490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1649058" name=""/>
                    <pic:cNvPicPr/>
                  </pic:nvPicPr>
                  <pic:blipFill>
                    <a:blip r:embed="rId8"/>
                    <a:stretch>
                      <a:fillRect/>
                    </a:stretch>
                  </pic:blipFill>
                  <pic:spPr>
                    <a:xfrm>
                      <a:off x="0" y="0"/>
                      <a:ext cx="4243851" cy="1718397"/>
                    </a:xfrm>
                    <a:prstGeom prst="rect">
                      <a:avLst/>
                    </a:prstGeom>
                  </pic:spPr>
                </pic:pic>
              </a:graphicData>
            </a:graphic>
          </wp:inline>
        </w:drawing>
      </w:r>
    </w:p>
    <w:p w14:paraId="022E36A0" w14:textId="26B6000E" w:rsidR="00077C44" w:rsidRPr="009E7C9D" w:rsidRDefault="00077C44" w:rsidP="009E7C9D">
      <w:pPr>
        <w:spacing w:line="360" w:lineRule="auto"/>
        <w:ind w:firstLine="720"/>
        <w:jc w:val="center"/>
        <w:rPr>
          <w:rFonts w:ascii="Times New Roman" w:hAnsi="Times New Roman" w:cs="Times New Roman"/>
          <w:i/>
          <w:iCs/>
          <w:lang w:val="en-GB"/>
        </w:rPr>
      </w:pPr>
      <w:r w:rsidRPr="009E7C9D">
        <w:rPr>
          <w:rFonts w:ascii="Times New Roman" w:hAnsi="Times New Roman" w:cs="Times New Roman"/>
          <w:i/>
          <w:iCs/>
          <w:lang w:val="en-GB"/>
        </w:rPr>
        <w:t xml:space="preserve">Figure </w:t>
      </w:r>
      <w:r w:rsidRPr="009E7C9D">
        <w:rPr>
          <w:rFonts w:ascii="Times New Roman" w:hAnsi="Times New Roman" w:cs="Times New Roman"/>
          <w:i/>
          <w:iCs/>
          <w:lang w:val="en-GB"/>
        </w:rPr>
        <w:fldChar w:fldCharType="begin"/>
      </w:r>
      <w:r w:rsidRPr="009E7C9D">
        <w:rPr>
          <w:rFonts w:ascii="Times New Roman" w:hAnsi="Times New Roman" w:cs="Times New Roman"/>
          <w:i/>
          <w:iCs/>
          <w:lang w:val="en-GB"/>
        </w:rPr>
        <w:instrText xml:space="preserve"> SEQ Figure \* ARABIC </w:instrText>
      </w:r>
      <w:r w:rsidRPr="009E7C9D">
        <w:rPr>
          <w:rFonts w:ascii="Times New Roman" w:hAnsi="Times New Roman" w:cs="Times New Roman"/>
          <w:i/>
          <w:iCs/>
          <w:lang w:val="en-GB"/>
        </w:rPr>
        <w:fldChar w:fldCharType="separate"/>
      </w:r>
      <w:r w:rsidR="001C3F46" w:rsidRPr="009E7C9D">
        <w:rPr>
          <w:rFonts w:ascii="Times New Roman" w:hAnsi="Times New Roman" w:cs="Times New Roman"/>
          <w:i/>
          <w:iCs/>
          <w:noProof/>
          <w:lang w:val="en-GB"/>
        </w:rPr>
        <w:t>5</w:t>
      </w:r>
      <w:r w:rsidRPr="009E7C9D">
        <w:rPr>
          <w:rFonts w:ascii="Times New Roman" w:hAnsi="Times New Roman" w:cs="Times New Roman"/>
          <w:i/>
          <w:iCs/>
          <w:lang w:val="en-GB"/>
        </w:rPr>
        <w:fldChar w:fldCharType="end"/>
      </w:r>
      <w:r w:rsidRPr="009E7C9D">
        <w:rPr>
          <w:rFonts w:ascii="Times New Roman" w:hAnsi="Times New Roman" w:cs="Times New Roman"/>
          <w:i/>
          <w:iCs/>
          <w:lang w:val="en-GB"/>
        </w:rPr>
        <w:t>: Growth in Eye Examination Services Over Time</w:t>
      </w:r>
    </w:p>
    <w:p w14:paraId="70829CA8" w14:textId="116E6EAD" w:rsidR="00077C44" w:rsidRPr="009E7C9D" w:rsidRDefault="00077C44" w:rsidP="009E7C9D">
      <w:pPr>
        <w:spacing w:line="360" w:lineRule="auto"/>
        <w:ind w:firstLine="720"/>
        <w:jc w:val="center"/>
        <w:rPr>
          <w:rFonts w:ascii="Times New Roman" w:hAnsi="Times New Roman" w:cs="Times New Roman"/>
          <w:i/>
          <w:iCs/>
          <w:lang w:val="en-GB"/>
        </w:rPr>
      </w:pPr>
      <w:r w:rsidRPr="009E7C9D">
        <w:rPr>
          <w:rFonts w:ascii="Times New Roman" w:hAnsi="Times New Roman" w:cs="Times New Roman"/>
          <w:i/>
          <w:iCs/>
          <w:lang w:val="en-GB"/>
        </w:rPr>
        <w:t>Source: (NHS., 2025b)</w:t>
      </w:r>
    </w:p>
    <w:p w14:paraId="05EB2571" w14:textId="6E9A3F0D" w:rsidR="00CD0DEE" w:rsidRPr="009E7C9D" w:rsidRDefault="00CD0DEE" w:rsidP="009E7C9D">
      <w:pPr>
        <w:pStyle w:val="Heading2"/>
        <w:spacing w:line="360" w:lineRule="auto"/>
        <w:rPr>
          <w:lang w:val="en-GB"/>
        </w:rPr>
      </w:pPr>
      <w:bookmarkStart w:id="2" w:name="_Toc225129494"/>
      <w:r w:rsidRPr="009E7C9D">
        <w:rPr>
          <w:lang w:val="en-GB"/>
        </w:rPr>
        <w:t xml:space="preserve"> Communication</w:t>
      </w:r>
      <w:bookmarkEnd w:id="2"/>
      <w:r w:rsidRPr="009E7C9D">
        <w:rPr>
          <w:lang w:val="en-GB"/>
        </w:rPr>
        <w:t xml:space="preserve"> </w:t>
      </w:r>
    </w:p>
    <w:p w14:paraId="5A94989F" w14:textId="50427CAC" w:rsidR="00FD5A75" w:rsidRPr="00A34325" w:rsidRDefault="00346095" w:rsidP="009E7C9D">
      <w:pPr>
        <w:spacing w:line="360" w:lineRule="auto"/>
        <w:ind w:firstLine="720"/>
        <w:jc w:val="both"/>
        <w:rPr>
          <w:rFonts w:ascii="Arial" w:hAnsi="Arial" w:cs="Arial"/>
          <w:sz w:val="22"/>
          <w:szCs w:val="22"/>
          <w:lang w:val="en-GB"/>
        </w:rPr>
      </w:pPr>
      <w:r w:rsidRPr="00A34325">
        <w:rPr>
          <w:rFonts w:ascii="Arial" w:hAnsi="Arial" w:cs="Arial"/>
          <w:sz w:val="22"/>
          <w:szCs w:val="22"/>
          <w:lang w:val="en-GB"/>
        </w:rPr>
        <w:lastRenderedPageBreak/>
        <w:t xml:space="preserve">Effective communication is a core competence that an ophthalmic practitioner </w:t>
      </w:r>
      <w:proofErr w:type="gramStart"/>
      <w:r w:rsidRPr="00A34325">
        <w:rPr>
          <w:rFonts w:ascii="Arial" w:hAnsi="Arial" w:cs="Arial"/>
          <w:sz w:val="22"/>
          <w:szCs w:val="22"/>
          <w:lang w:val="en-GB"/>
        </w:rPr>
        <w:t>has</w:t>
      </w:r>
      <w:proofErr w:type="gramEnd"/>
      <w:r w:rsidRPr="00A34325">
        <w:rPr>
          <w:rFonts w:ascii="Arial" w:hAnsi="Arial" w:cs="Arial"/>
          <w:sz w:val="22"/>
          <w:szCs w:val="22"/>
          <w:lang w:val="en-GB"/>
        </w:rPr>
        <w:t xml:space="preserve"> and it entails the exchange of information with patients both orally and non-orally. It assists the practitioners to describe the eye conditions, treatment plans, and test outcomes in understandable terms. As observed in the graph below, the outstanding percentage of frustration due to delay of information is the highest at 57%, then technical, at 17, indicates that communication barriers have a strong influence on healthcare coordination. Trust and patient understanding can be guaranteed with competent communication (</w:t>
      </w:r>
      <w:proofErr w:type="spellStart"/>
      <w:r w:rsidRPr="00A34325">
        <w:rPr>
          <w:rFonts w:ascii="Arial" w:hAnsi="Arial" w:cs="Arial"/>
          <w:sz w:val="22"/>
          <w:szCs w:val="22"/>
          <w:lang w:val="en-GB"/>
        </w:rPr>
        <w:t>Sermo</w:t>
      </w:r>
      <w:proofErr w:type="spellEnd"/>
      <w:r w:rsidRPr="00A34325">
        <w:rPr>
          <w:rFonts w:ascii="Arial" w:hAnsi="Arial" w:cs="Arial"/>
          <w:sz w:val="22"/>
          <w:szCs w:val="22"/>
          <w:lang w:val="en-GB"/>
        </w:rPr>
        <w:t xml:space="preserve">, 2025). </w:t>
      </w:r>
      <w:r w:rsidR="00E16E1F" w:rsidRPr="00A34325">
        <w:rPr>
          <w:rFonts w:ascii="Arial" w:hAnsi="Arial" w:cs="Arial"/>
          <w:sz w:val="22"/>
          <w:szCs w:val="22"/>
          <w:lang w:val="en-GB"/>
        </w:rPr>
        <w:t xml:space="preserve">An </w:t>
      </w:r>
      <w:r w:rsidRPr="00A34325">
        <w:rPr>
          <w:rFonts w:ascii="Arial" w:hAnsi="Arial" w:cs="Arial"/>
          <w:sz w:val="22"/>
          <w:szCs w:val="22"/>
          <w:lang w:val="en-GB"/>
        </w:rPr>
        <w:t>example, older patients need straightforward explanations to acquire knowledge about treatment. Moreover, effective communication enhances the level of patient satisfaction. Hence, quality care and positive working relationships with patients cannot have been provided without strong communication skills (Scheffer et al., 2025).</w:t>
      </w:r>
    </w:p>
    <w:p w14:paraId="04FDAE89" w14:textId="1849EB1C" w:rsidR="00FD5A75" w:rsidRPr="009E7C9D" w:rsidRDefault="00FD5A75" w:rsidP="009E7C9D">
      <w:pPr>
        <w:spacing w:line="360" w:lineRule="auto"/>
        <w:jc w:val="center"/>
        <w:rPr>
          <w:rFonts w:ascii="Times New Roman" w:hAnsi="Times New Roman" w:cs="Times New Roman"/>
          <w:lang w:val="en-GB"/>
        </w:rPr>
      </w:pPr>
      <w:r w:rsidRPr="009E7C9D">
        <w:rPr>
          <w:rFonts w:ascii="Times New Roman" w:hAnsi="Times New Roman" w:cs="Times New Roman"/>
          <w:noProof/>
          <w:lang w:val="en-GB"/>
        </w:rPr>
        <w:drawing>
          <wp:inline distT="0" distB="0" distL="0" distR="0" wp14:anchorId="66CD42EC" wp14:editId="38A965FE">
            <wp:extent cx="3232331" cy="2112411"/>
            <wp:effectExtent l="0" t="0" r="6350" b="2540"/>
            <wp:docPr id="9578601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7860188" name=""/>
                    <pic:cNvPicPr/>
                  </pic:nvPicPr>
                  <pic:blipFill>
                    <a:blip r:embed="rId9"/>
                    <a:stretch>
                      <a:fillRect/>
                    </a:stretch>
                  </pic:blipFill>
                  <pic:spPr>
                    <a:xfrm>
                      <a:off x="0" y="0"/>
                      <a:ext cx="3238160" cy="2116221"/>
                    </a:xfrm>
                    <a:prstGeom prst="rect">
                      <a:avLst/>
                    </a:prstGeom>
                  </pic:spPr>
                </pic:pic>
              </a:graphicData>
            </a:graphic>
          </wp:inline>
        </w:drawing>
      </w:r>
    </w:p>
    <w:p w14:paraId="546FB5C9" w14:textId="5E58C5CE" w:rsidR="00FD5A75" w:rsidRPr="009E7C9D" w:rsidRDefault="00FD5A75" w:rsidP="009E7C9D">
      <w:pPr>
        <w:spacing w:line="360" w:lineRule="auto"/>
        <w:ind w:firstLine="720"/>
        <w:jc w:val="center"/>
        <w:rPr>
          <w:rFonts w:ascii="Times New Roman" w:hAnsi="Times New Roman" w:cs="Times New Roman"/>
          <w:i/>
          <w:iCs/>
          <w:lang w:val="en-GB"/>
        </w:rPr>
      </w:pPr>
      <w:r w:rsidRPr="009E7C9D">
        <w:rPr>
          <w:rFonts w:ascii="Times New Roman" w:hAnsi="Times New Roman" w:cs="Times New Roman"/>
          <w:i/>
          <w:iCs/>
          <w:lang w:val="en-GB"/>
        </w:rPr>
        <w:t xml:space="preserve">Figure </w:t>
      </w:r>
      <w:r w:rsidRPr="009E7C9D">
        <w:rPr>
          <w:rFonts w:ascii="Times New Roman" w:hAnsi="Times New Roman" w:cs="Times New Roman"/>
          <w:i/>
          <w:iCs/>
          <w:lang w:val="en-GB"/>
        </w:rPr>
        <w:fldChar w:fldCharType="begin"/>
      </w:r>
      <w:r w:rsidRPr="009E7C9D">
        <w:rPr>
          <w:rFonts w:ascii="Times New Roman" w:hAnsi="Times New Roman" w:cs="Times New Roman"/>
          <w:i/>
          <w:iCs/>
          <w:lang w:val="en-GB"/>
        </w:rPr>
        <w:instrText xml:space="preserve"> SEQ Figure \* ARABIC </w:instrText>
      </w:r>
      <w:r w:rsidRPr="009E7C9D">
        <w:rPr>
          <w:rFonts w:ascii="Times New Roman" w:hAnsi="Times New Roman" w:cs="Times New Roman"/>
          <w:i/>
          <w:iCs/>
          <w:lang w:val="en-GB"/>
        </w:rPr>
        <w:fldChar w:fldCharType="separate"/>
      </w:r>
      <w:r w:rsidR="001C3F46" w:rsidRPr="009E7C9D">
        <w:rPr>
          <w:rFonts w:ascii="Times New Roman" w:hAnsi="Times New Roman" w:cs="Times New Roman"/>
          <w:i/>
          <w:iCs/>
          <w:noProof/>
          <w:lang w:val="en-GB"/>
        </w:rPr>
        <w:t>6</w:t>
      </w:r>
      <w:r w:rsidRPr="009E7C9D">
        <w:rPr>
          <w:rFonts w:ascii="Times New Roman" w:hAnsi="Times New Roman" w:cs="Times New Roman"/>
          <w:i/>
          <w:iCs/>
          <w:lang w:val="en-GB"/>
        </w:rPr>
        <w:fldChar w:fldCharType="end"/>
      </w:r>
      <w:r w:rsidRPr="009E7C9D">
        <w:rPr>
          <w:rFonts w:ascii="Times New Roman" w:hAnsi="Times New Roman" w:cs="Times New Roman"/>
          <w:i/>
          <w:iCs/>
          <w:lang w:val="en-GB"/>
        </w:rPr>
        <w:t>: Impact of communication on patient satisfaction in healthcare</w:t>
      </w:r>
    </w:p>
    <w:p w14:paraId="23FCB6AD" w14:textId="5F986EF1" w:rsidR="00FD5A75" w:rsidRPr="009E7C9D" w:rsidRDefault="00FD5A75" w:rsidP="009E7C9D">
      <w:pPr>
        <w:spacing w:line="360" w:lineRule="auto"/>
        <w:ind w:firstLine="720"/>
        <w:jc w:val="center"/>
        <w:rPr>
          <w:rFonts w:ascii="Times New Roman" w:hAnsi="Times New Roman" w:cs="Times New Roman"/>
          <w:i/>
          <w:iCs/>
          <w:lang w:val="en-GB"/>
        </w:rPr>
      </w:pPr>
      <w:r w:rsidRPr="009E7C9D">
        <w:rPr>
          <w:rFonts w:ascii="Times New Roman" w:hAnsi="Times New Roman" w:cs="Times New Roman"/>
          <w:i/>
          <w:iCs/>
          <w:lang w:val="en-GB"/>
        </w:rPr>
        <w:t>Source: (</w:t>
      </w:r>
      <w:proofErr w:type="spellStart"/>
      <w:r w:rsidRPr="009E7C9D">
        <w:rPr>
          <w:rFonts w:ascii="Times New Roman" w:hAnsi="Times New Roman" w:cs="Times New Roman"/>
          <w:i/>
          <w:iCs/>
          <w:lang w:val="en-GB"/>
        </w:rPr>
        <w:t>Sermo</w:t>
      </w:r>
      <w:proofErr w:type="spellEnd"/>
      <w:r w:rsidRPr="009E7C9D">
        <w:rPr>
          <w:rFonts w:ascii="Times New Roman" w:hAnsi="Times New Roman" w:cs="Times New Roman"/>
          <w:i/>
          <w:iCs/>
          <w:lang w:val="en-GB"/>
        </w:rPr>
        <w:t>, 2025)</w:t>
      </w:r>
    </w:p>
    <w:p w14:paraId="5E2D5C8F" w14:textId="764C2209" w:rsidR="00CD0DEE" w:rsidRPr="009E7C9D" w:rsidRDefault="00CD0DEE" w:rsidP="009E7C9D">
      <w:pPr>
        <w:pStyle w:val="Heading2"/>
        <w:spacing w:line="360" w:lineRule="auto"/>
        <w:rPr>
          <w:lang w:val="en-GB"/>
        </w:rPr>
      </w:pPr>
      <w:bookmarkStart w:id="3" w:name="_Toc225129495"/>
      <w:r w:rsidRPr="009E7C9D">
        <w:rPr>
          <w:lang w:val="en-GB"/>
        </w:rPr>
        <w:t>Strategies to Improve Communication</w:t>
      </w:r>
      <w:bookmarkEnd w:id="3"/>
      <w:r w:rsidRPr="009E7C9D">
        <w:rPr>
          <w:lang w:val="en-GB"/>
        </w:rPr>
        <w:t xml:space="preserve"> </w:t>
      </w:r>
    </w:p>
    <w:p w14:paraId="492CF825" w14:textId="77777777" w:rsidR="004B0A2C" w:rsidRPr="00A34325" w:rsidRDefault="000D1BC8" w:rsidP="004B0A2C">
      <w:pPr>
        <w:spacing w:line="360" w:lineRule="auto"/>
        <w:ind w:firstLine="720"/>
        <w:jc w:val="both"/>
        <w:rPr>
          <w:rFonts w:ascii="Arial" w:hAnsi="Arial" w:cs="Arial"/>
          <w:sz w:val="22"/>
          <w:szCs w:val="22"/>
          <w:lang w:val="en-GB"/>
        </w:rPr>
      </w:pPr>
      <w:r w:rsidRPr="00A34325">
        <w:rPr>
          <w:rFonts w:ascii="Arial" w:hAnsi="Arial" w:cs="Arial"/>
          <w:sz w:val="22"/>
          <w:szCs w:val="22"/>
          <w:lang w:val="en-GB"/>
        </w:rPr>
        <w:t xml:space="preserve">To enhance the communication skills, ophthalmic practitioners may participate in training seminars devoted to the practice of communicating with a patient and clinical communication. These are workshops that aid in the enhancement of clear speaking and listening skills. The practice of active listening does also play an important role because it makes patients feel understood and respected (Mannis et al., 2025). As an </w:t>
      </w:r>
      <w:r w:rsidR="00330E55" w:rsidRPr="00A34325">
        <w:rPr>
          <w:rFonts w:ascii="Arial" w:hAnsi="Arial" w:cs="Arial"/>
          <w:sz w:val="22"/>
          <w:szCs w:val="22"/>
          <w:lang w:val="en-GB"/>
        </w:rPr>
        <w:t>example</w:t>
      </w:r>
      <w:r w:rsidRPr="00A34325">
        <w:rPr>
          <w:rFonts w:ascii="Arial" w:hAnsi="Arial" w:cs="Arial"/>
          <w:sz w:val="22"/>
          <w:szCs w:val="22"/>
          <w:lang w:val="en-GB"/>
        </w:rPr>
        <w:t>, trust and diagnosis can be better diagnosed by listening carefully to the concerns of an elderly patient. Moreover, clinical practice experience also contributes to the enhancement of confidence and clarity during communication</w:t>
      </w:r>
      <w:r w:rsidRPr="009E7C9D">
        <w:rPr>
          <w:rFonts w:ascii="Times New Roman" w:hAnsi="Times New Roman" w:cs="Times New Roman"/>
          <w:lang w:val="en-GB"/>
        </w:rPr>
        <w:t xml:space="preserve"> </w:t>
      </w:r>
      <w:r w:rsidRPr="00A34325">
        <w:rPr>
          <w:rFonts w:ascii="Arial" w:hAnsi="Arial" w:cs="Arial"/>
          <w:sz w:val="22"/>
          <w:szCs w:val="22"/>
          <w:lang w:val="en-GB"/>
        </w:rPr>
        <w:lastRenderedPageBreak/>
        <w:t>by providing the patient contact experience (Ferrey, Moore and Jolly, 2022). It is stated that proper communication leads to better patient satisfaction and treatment outcomes (NHS, 2025a)</w:t>
      </w:r>
      <w:r w:rsidR="00ED2004" w:rsidRPr="00A34325">
        <w:rPr>
          <w:rFonts w:ascii="Arial" w:hAnsi="Arial" w:cs="Arial"/>
          <w:sz w:val="22"/>
          <w:szCs w:val="22"/>
          <w:lang w:val="en-GB"/>
        </w:rPr>
        <w:t>.</w:t>
      </w:r>
      <w:bookmarkStart w:id="4" w:name="_Toc225129496"/>
    </w:p>
    <w:p w14:paraId="3B629110" w14:textId="1C66AF0F" w:rsidR="00CD0DEE" w:rsidRPr="00A34325" w:rsidRDefault="00CD0DEE" w:rsidP="004B0A2C">
      <w:pPr>
        <w:spacing w:line="360" w:lineRule="auto"/>
        <w:jc w:val="both"/>
        <w:rPr>
          <w:rFonts w:ascii="Arial" w:hAnsi="Arial" w:cs="Arial"/>
          <w:sz w:val="22"/>
          <w:szCs w:val="22"/>
          <w:lang w:val="en-GB"/>
        </w:rPr>
      </w:pPr>
      <w:r w:rsidRPr="00A34325">
        <w:rPr>
          <w:rFonts w:ascii="Arial" w:hAnsi="Arial" w:cs="Arial"/>
          <w:sz w:val="22"/>
          <w:szCs w:val="22"/>
          <w:lang w:val="en-GB"/>
        </w:rPr>
        <w:t xml:space="preserve">  Attention to Detail</w:t>
      </w:r>
      <w:bookmarkEnd w:id="4"/>
      <w:r w:rsidRPr="00A34325">
        <w:rPr>
          <w:rFonts w:ascii="Arial" w:hAnsi="Arial" w:cs="Arial"/>
          <w:sz w:val="22"/>
          <w:szCs w:val="22"/>
          <w:lang w:val="en-GB"/>
        </w:rPr>
        <w:t xml:space="preserve"> </w:t>
      </w:r>
    </w:p>
    <w:p w14:paraId="3DE9FC5E" w14:textId="3BF8C466" w:rsidR="00563E6D" w:rsidRPr="009E7C9D" w:rsidRDefault="00C26F62" w:rsidP="009E7C9D">
      <w:pPr>
        <w:spacing w:line="360" w:lineRule="auto"/>
        <w:ind w:firstLine="720"/>
        <w:jc w:val="both"/>
        <w:rPr>
          <w:rFonts w:ascii="Times New Roman" w:hAnsi="Times New Roman" w:cs="Times New Roman"/>
          <w:lang w:val="en-GB"/>
        </w:rPr>
      </w:pPr>
      <w:r w:rsidRPr="00A34325">
        <w:rPr>
          <w:rFonts w:ascii="Arial" w:hAnsi="Arial" w:cs="Arial"/>
          <w:sz w:val="22"/>
          <w:szCs w:val="22"/>
          <w:lang w:val="en-GB"/>
        </w:rPr>
        <w:t xml:space="preserve">One of the skills that an ophthalmic practitioner must consider carefully is attention to detail since this will mean that the conditions of the eye </w:t>
      </w:r>
      <w:r w:rsidR="00DB58B7" w:rsidRPr="00A34325">
        <w:rPr>
          <w:rFonts w:ascii="Arial" w:hAnsi="Arial" w:cs="Arial"/>
          <w:sz w:val="22"/>
          <w:szCs w:val="22"/>
          <w:lang w:val="en-GB"/>
        </w:rPr>
        <w:t>has been</w:t>
      </w:r>
      <w:r w:rsidRPr="00A34325">
        <w:rPr>
          <w:rFonts w:ascii="Arial" w:hAnsi="Arial" w:cs="Arial"/>
          <w:sz w:val="22"/>
          <w:szCs w:val="22"/>
          <w:lang w:val="en-GB"/>
        </w:rPr>
        <w:t xml:space="preserve"> correctly diagnosed. It is a skill that can assist practitioners to detect any minor changes in vision that can mean significant problems (</w:t>
      </w:r>
      <w:proofErr w:type="spellStart"/>
      <w:r w:rsidRPr="00A34325">
        <w:rPr>
          <w:rFonts w:ascii="Arial" w:hAnsi="Arial" w:cs="Arial"/>
          <w:sz w:val="22"/>
          <w:szCs w:val="22"/>
          <w:lang w:val="en-GB"/>
        </w:rPr>
        <w:t>Brunyé</w:t>
      </w:r>
      <w:proofErr w:type="spellEnd"/>
      <w:r w:rsidRPr="00A34325">
        <w:rPr>
          <w:rFonts w:ascii="Arial" w:hAnsi="Arial" w:cs="Arial"/>
          <w:sz w:val="22"/>
          <w:szCs w:val="22"/>
          <w:lang w:val="en-GB"/>
        </w:rPr>
        <w:t xml:space="preserve"> et al., 2019). As observed on the graph below, agreeability between AI and clinicians (0.81 to 0.86), moderate between AI and DEWS (0.52 to 0.58), and at the same time, DED-type agreement shows a low level of agreement at all the levels of observations. It will play a role in helping to avoid medical errors and enhance the safety of patients (Mejia-Salgado et al., 2025). As an illustration, the fact that a slight change in the vision imaging can be detected </w:t>
      </w:r>
      <w:proofErr w:type="gramStart"/>
      <w:r w:rsidRPr="00A34325">
        <w:rPr>
          <w:rFonts w:ascii="Arial" w:hAnsi="Arial" w:cs="Arial"/>
          <w:sz w:val="22"/>
          <w:szCs w:val="22"/>
          <w:lang w:val="en-GB"/>
        </w:rPr>
        <w:t>in the course of</w:t>
      </w:r>
      <w:proofErr w:type="gramEnd"/>
      <w:r w:rsidRPr="00A34325">
        <w:rPr>
          <w:rFonts w:ascii="Arial" w:hAnsi="Arial" w:cs="Arial"/>
          <w:sz w:val="22"/>
          <w:szCs w:val="22"/>
          <w:lang w:val="en-GB"/>
        </w:rPr>
        <w:t xml:space="preserve"> an eye test can be used to diagnose the early </w:t>
      </w:r>
      <w:r w:rsidR="00DB58B7" w:rsidRPr="00A34325">
        <w:rPr>
          <w:rFonts w:ascii="Arial" w:hAnsi="Arial" w:cs="Arial"/>
          <w:sz w:val="22"/>
          <w:szCs w:val="22"/>
          <w:lang w:val="en-GB"/>
        </w:rPr>
        <w:t>stages</w:t>
      </w:r>
      <w:r w:rsidRPr="00A34325">
        <w:rPr>
          <w:rFonts w:ascii="Arial" w:hAnsi="Arial" w:cs="Arial"/>
          <w:sz w:val="22"/>
          <w:szCs w:val="22"/>
          <w:lang w:val="en-GB"/>
        </w:rPr>
        <w:t xml:space="preserve"> of glaucoma (Stein et al., 2021</w:t>
      </w:r>
      <w:r w:rsidRPr="009E7C9D">
        <w:rPr>
          <w:rFonts w:ascii="Times New Roman" w:hAnsi="Times New Roman" w:cs="Times New Roman"/>
          <w:lang w:val="en-GB"/>
        </w:rPr>
        <w:t>).</w:t>
      </w:r>
    </w:p>
    <w:p w14:paraId="747E06D5" w14:textId="77777777" w:rsidR="00571B76" w:rsidRPr="009E7C9D" w:rsidRDefault="00571B76" w:rsidP="009E7C9D">
      <w:pPr>
        <w:spacing w:line="360" w:lineRule="auto"/>
        <w:ind w:firstLine="720"/>
        <w:jc w:val="both"/>
        <w:rPr>
          <w:rFonts w:ascii="Times New Roman" w:hAnsi="Times New Roman" w:cs="Times New Roman"/>
          <w:lang w:val="en-GB"/>
        </w:rPr>
      </w:pPr>
    </w:p>
    <w:p w14:paraId="203E804F" w14:textId="78413FE4" w:rsidR="00571B76" w:rsidRPr="004B0A2C" w:rsidRDefault="00571B76" w:rsidP="009E7C9D">
      <w:pPr>
        <w:spacing w:line="360" w:lineRule="auto"/>
        <w:ind w:firstLine="720"/>
        <w:jc w:val="center"/>
        <w:rPr>
          <w:rFonts w:ascii="Arial" w:hAnsi="Arial" w:cs="Arial"/>
          <w:i/>
          <w:iCs/>
          <w:sz w:val="22"/>
          <w:szCs w:val="22"/>
          <w:lang w:val="en-GB"/>
        </w:rPr>
      </w:pPr>
      <w:r w:rsidRPr="009E7C9D">
        <w:rPr>
          <w:rFonts w:ascii="Times New Roman" w:hAnsi="Times New Roman" w:cs="Times New Roman"/>
          <w:i/>
          <w:iCs/>
          <w:noProof/>
          <w:lang w:val="en-GB"/>
        </w:rPr>
        <w:drawing>
          <wp:inline distT="0" distB="0" distL="0" distR="0" wp14:anchorId="4E38DBB5" wp14:editId="18765470">
            <wp:extent cx="3323158" cy="3985304"/>
            <wp:effectExtent l="0" t="0" r="0" b="0"/>
            <wp:docPr id="107481797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329704" cy="3993155"/>
                    </a:xfrm>
                    <a:prstGeom prst="rect">
                      <a:avLst/>
                    </a:prstGeom>
                    <a:noFill/>
                    <a:ln>
                      <a:noFill/>
                    </a:ln>
                  </pic:spPr>
                </pic:pic>
              </a:graphicData>
            </a:graphic>
          </wp:inline>
        </w:drawing>
      </w:r>
    </w:p>
    <w:p w14:paraId="168F69B8" w14:textId="22D7F2C4" w:rsidR="00571B76" w:rsidRPr="009E7C9D" w:rsidRDefault="00571B76" w:rsidP="009E7C9D">
      <w:pPr>
        <w:spacing w:line="360" w:lineRule="auto"/>
        <w:ind w:firstLine="720"/>
        <w:jc w:val="center"/>
        <w:rPr>
          <w:rFonts w:ascii="Times New Roman" w:hAnsi="Times New Roman" w:cs="Times New Roman"/>
          <w:i/>
          <w:iCs/>
          <w:lang w:val="en-GB"/>
        </w:rPr>
      </w:pPr>
      <w:r w:rsidRPr="009E7C9D">
        <w:rPr>
          <w:rFonts w:ascii="Times New Roman" w:hAnsi="Times New Roman" w:cs="Times New Roman"/>
          <w:i/>
          <w:iCs/>
          <w:lang w:val="en-GB"/>
        </w:rPr>
        <w:t xml:space="preserve">Figure </w:t>
      </w:r>
      <w:r w:rsidRPr="009E7C9D">
        <w:rPr>
          <w:rFonts w:ascii="Times New Roman" w:hAnsi="Times New Roman" w:cs="Times New Roman"/>
          <w:i/>
          <w:iCs/>
          <w:lang w:val="en-GB"/>
        </w:rPr>
        <w:fldChar w:fldCharType="begin"/>
      </w:r>
      <w:r w:rsidRPr="009E7C9D">
        <w:rPr>
          <w:rFonts w:ascii="Times New Roman" w:hAnsi="Times New Roman" w:cs="Times New Roman"/>
          <w:i/>
          <w:iCs/>
          <w:lang w:val="en-GB"/>
        </w:rPr>
        <w:instrText xml:space="preserve"> SEQ Figure \* ARABIC </w:instrText>
      </w:r>
      <w:r w:rsidRPr="009E7C9D">
        <w:rPr>
          <w:rFonts w:ascii="Times New Roman" w:hAnsi="Times New Roman" w:cs="Times New Roman"/>
          <w:i/>
          <w:iCs/>
          <w:lang w:val="en-GB"/>
        </w:rPr>
        <w:fldChar w:fldCharType="separate"/>
      </w:r>
      <w:r w:rsidR="001C3F46" w:rsidRPr="009E7C9D">
        <w:rPr>
          <w:rFonts w:ascii="Times New Roman" w:hAnsi="Times New Roman" w:cs="Times New Roman"/>
          <w:i/>
          <w:iCs/>
          <w:noProof/>
          <w:lang w:val="en-GB"/>
        </w:rPr>
        <w:t>7</w:t>
      </w:r>
      <w:r w:rsidRPr="009E7C9D">
        <w:rPr>
          <w:rFonts w:ascii="Times New Roman" w:hAnsi="Times New Roman" w:cs="Times New Roman"/>
          <w:i/>
          <w:iCs/>
          <w:lang w:val="en-GB"/>
        </w:rPr>
        <w:fldChar w:fldCharType="end"/>
      </w:r>
      <w:r w:rsidRPr="009E7C9D">
        <w:rPr>
          <w:rFonts w:ascii="Times New Roman" w:hAnsi="Times New Roman" w:cs="Times New Roman"/>
          <w:i/>
          <w:iCs/>
          <w:lang w:val="en-GB"/>
        </w:rPr>
        <w:t>: Accuracy and Agreement in DED Diagnosis Between AI Models and Healthcare Professionals</w:t>
      </w:r>
    </w:p>
    <w:p w14:paraId="7481D75A" w14:textId="77777777" w:rsidR="004B0A2C" w:rsidRDefault="00571B76" w:rsidP="004B0A2C">
      <w:pPr>
        <w:spacing w:line="360" w:lineRule="auto"/>
        <w:ind w:firstLine="720"/>
        <w:jc w:val="center"/>
        <w:rPr>
          <w:rFonts w:ascii="Times New Roman" w:hAnsi="Times New Roman" w:cs="Times New Roman"/>
          <w:i/>
          <w:iCs/>
          <w:lang w:val="en-GB"/>
        </w:rPr>
      </w:pPr>
      <w:r w:rsidRPr="009E7C9D">
        <w:rPr>
          <w:rFonts w:ascii="Times New Roman" w:hAnsi="Times New Roman" w:cs="Times New Roman"/>
          <w:i/>
          <w:iCs/>
          <w:lang w:val="en-GB"/>
        </w:rPr>
        <w:lastRenderedPageBreak/>
        <w:t>Source: (Mejía-Salgado et al., 2025)</w:t>
      </w:r>
      <w:bookmarkStart w:id="5" w:name="_Toc225129497"/>
    </w:p>
    <w:p w14:paraId="546FEFE0" w14:textId="342F841E" w:rsidR="00CD0DEE" w:rsidRPr="004B0A2C" w:rsidRDefault="00CD0DEE" w:rsidP="00A34325">
      <w:pPr>
        <w:pStyle w:val="Heading2"/>
        <w:rPr>
          <w:i/>
          <w:iCs/>
          <w:lang w:val="en-GB"/>
        </w:rPr>
      </w:pPr>
      <w:r w:rsidRPr="009E7C9D">
        <w:rPr>
          <w:lang w:val="en-GB"/>
        </w:rPr>
        <w:t xml:space="preserve"> Strategies to Improve Attention to Detail</w:t>
      </w:r>
      <w:bookmarkEnd w:id="5"/>
      <w:r w:rsidRPr="009E7C9D">
        <w:rPr>
          <w:lang w:val="en-GB"/>
        </w:rPr>
        <w:t xml:space="preserve"> </w:t>
      </w:r>
    </w:p>
    <w:p w14:paraId="56051402" w14:textId="77777777" w:rsidR="004B0A2C" w:rsidRDefault="00CF5ACB" w:rsidP="004B0A2C">
      <w:pPr>
        <w:spacing w:line="360" w:lineRule="auto"/>
        <w:ind w:firstLine="720"/>
        <w:jc w:val="both"/>
        <w:rPr>
          <w:rFonts w:ascii="Times New Roman" w:hAnsi="Times New Roman" w:cs="Times New Roman"/>
          <w:lang w:val="en-GB"/>
        </w:rPr>
      </w:pPr>
      <w:r w:rsidRPr="00A34325">
        <w:rPr>
          <w:rFonts w:ascii="Arial" w:hAnsi="Arial" w:cs="Arial"/>
          <w:sz w:val="22"/>
          <w:szCs w:val="22"/>
          <w:lang w:val="en-GB"/>
        </w:rPr>
        <w:t xml:space="preserve">Practice-based learning and continuous clinical training can be involved in improving the practice of attention to detail. Checklists can be used when carrying out eye examinations to make sure that all the procedures are done correctly. Accuracy can also be enhanced through frequent evaluation and feedback. As an illustration, consideration of cases involving the patient may facilitate the detection of errors (Ghattas, 2025). NHS (2024) </w:t>
      </w:r>
      <w:r w:rsidR="00092C85" w:rsidRPr="00A34325">
        <w:rPr>
          <w:rFonts w:ascii="Arial" w:hAnsi="Arial" w:cs="Arial"/>
          <w:sz w:val="22"/>
          <w:szCs w:val="22"/>
          <w:lang w:val="en-GB"/>
        </w:rPr>
        <w:t>demonstrates</w:t>
      </w:r>
      <w:r w:rsidRPr="00A34325">
        <w:rPr>
          <w:rFonts w:ascii="Arial" w:hAnsi="Arial" w:cs="Arial"/>
          <w:sz w:val="22"/>
          <w:szCs w:val="22"/>
          <w:lang w:val="en-GB"/>
        </w:rPr>
        <w:t xml:space="preserve"> that in a healthcare facility, structured practice enhances clinical accuracy and minimizes health care errors</w:t>
      </w:r>
      <w:r w:rsidR="00C65A80" w:rsidRPr="009E7C9D">
        <w:rPr>
          <w:rFonts w:ascii="Times New Roman" w:hAnsi="Times New Roman" w:cs="Times New Roman"/>
          <w:lang w:val="en-GB"/>
        </w:rPr>
        <w:t>.</w:t>
      </w:r>
      <w:bookmarkStart w:id="6" w:name="_Toc225129498"/>
    </w:p>
    <w:p w14:paraId="72335361" w14:textId="616CC0E2" w:rsidR="00CD0DEE" w:rsidRPr="004B0A2C" w:rsidRDefault="00CD0DEE" w:rsidP="004B0A2C">
      <w:pPr>
        <w:spacing w:line="360" w:lineRule="auto"/>
        <w:jc w:val="both"/>
        <w:rPr>
          <w:rFonts w:ascii="Times New Roman" w:hAnsi="Times New Roman" w:cs="Times New Roman"/>
          <w:lang w:val="en-GB"/>
        </w:rPr>
      </w:pPr>
      <w:r w:rsidRPr="009E7C9D">
        <w:rPr>
          <w:lang w:val="en-GB"/>
        </w:rPr>
        <w:t xml:space="preserve"> Technical Skills</w:t>
      </w:r>
      <w:bookmarkEnd w:id="6"/>
      <w:r w:rsidRPr="009E7C9D">
        <w:rPr>
          <w:lang w:val="en-GB"/>
        </w:rPr>
        <w:t xml:space="preserve"> </w:t>
      </w:r>
    </w:p>
    <w:p w14:paraId="0F0212CF" w14:textId="4EA794C0" w:rsidR="00704D42" w:rsidRPr="00A34325" w:rsidRDefault="00092C85" w:rsidP="009E7C9D">
      <w:pPr>
        <w:spacing w:line="360" w:lineRule="auto"/>
        <w:ind w:firstLine="720"/>
        <w:jc w:val="both"/>
        <w:rPr>
          <w:rFonts w:ascii="Arial" w:hAnsi="Arial" w:cs="Arial"/>
          <w:sz w:val="22"/>
          <w:szCs w:val="22"/>
          <w:lang w:val="en-GB"/>
        </w:rPr>
      </w:pPr>
      <w:r w:rsidRPr="00A34325">
        <w:rPr>
          <w:rFonts w:ascii="Arial" w:hAnsi="Arial" w:cs="Arial"/>
          <w:sz w:val="22"/>
          <w:szCs w:val="22"/>
          <w:lang w:val="en-GB"/>
        </w:rPr>
        <w:t xml:space="preserve">Ophthalmic practitioners require technical skills because they have been trained to work with specialised equipment needed to analyse eyes and diagnose illnesses. These competencies guarantee appropriate diagnosis and quality treatment. The increase in market value is reported to be between $13.5 billion in 2020 and 22.2 billion in 2035, which reflects growing dependence on diagnostic technologies on the global level (Fact MR, 2025). An example includes the use of slit lamps to see the vision issues clearly. In addition, health care practices using medical equipment can enhance the quality of patient care and clinical outcomes in medical departments (Shu, Wang and Hu, 2019). </w:t>
      </w:r>
    </w:p>
    <w:p w14:paraId="64DDD045" w14:textId="77777777" w:rsidR="00704D42" w:rsidRPr="009E7C9D" w:rsidRDefault="00704D42" w:rsidP="009E7C9D">
      <w:pPr>
        <w:spacing w:line="360" w:lineRule="auto"/>
        <w:jc w:val="both"/>
        <w:rPr>
          <w:rFonts w:ascii="Times New Roman" w:hAnsi="Times New Roman" w:cs="Times New Roman"/>
          <w:lang w:val="en-GB"/>
        </w:rPr>
      </w:pPr>
    </w:p>
    <w:p w14:paraId="5E1A8486" w14:textId="3EE147AB" w:rsidR="001F3EB1" w:rsidRPr="009E7C9D" w:rsidRDefault="001F3EB1" w:rsidP="009E7C9D">
      <w:pPr>
        <w:spacing w:line="360" w:lineRule="auto"/>
        <w:jc w:val="center"/>
        <w:rPr>
          <w:rFonts w:ascii="Times New Roman" w:hAnsi="Times New Roman" w:cs="Times New Roman"/>
          <w:lang w:val="en-GB"/>
        </w:rPr>
      </w:pPr>
      <w:r w:rsidRPr="009E7C9D">
        <w:rPr>
          <w:rFonts w:ascii="Times New Roman" w:hAnsi="Times New Roman" w:cs="Times New Roman"/>
          <w:noProof/>
          <w:lang w:val="en-GB"/>
        </w:rPr>
        <w:drawing>
          <wp:inline distT="0" distB="0" distL="0" distR="0" wp14:anchorId="63874063" wp14:editId="1568E179">
            <wp:extent cx="3692969" cy="2093077"/>
            <wp:effectExtent l="0" t="0" r="3175" b="2540"/>
            <wp:docPr id="563583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358345" name=""/>
                    <pic:cNvPicPr/>
                  </pic:nvPicPr>
                  <pic:blipFill>
                    <a:blip r:embed="rId11"/>
                    <a:stretch>
                      <a:fillRect/>
                    </a:stretch>
                  </pic:blipFill>
                  <pic:spPr>
                    <a:xfrm>
                      <a:off x="0" y="0"/>
                      <a:ext cx="3696022" cy="2094808"/>
                    </a:xfrm>
                    <a:prstGeom prst="rect">
                      <a:avLst/>
                    </a:prstGeom>
                  </pic:spPr>
                </pic:pic>
              </a:graphicData>
            </a:graphic>
          </wp:inline>
        </w:drawing>
      </w:r>
    </w:p>
    <w:p w14:paraId="0F85A3C3" w14:textId="629DE09D" w:rsidR="001C3F46" w:rsidRPr="009E7C9D" w:rsidRDefault="001C3F46" w:rsidP="009E7C9D">
      <w:pPr>
        <w:spacing w:line="360" w:lineRule="auto"/>
        <w:ind w:firstLine="720"/>
        <w:jc w:val="center"/>
        <w:rPr>
          <w:rFonts w:ascii="Times New Roman" w:hAnsi="Times New Roman" w:cs="Times New Roman"/>
          <w:i/>
          <w:iCs/>
          <w:lang w:val="en-GB"/>
        </w:rPr>
      </w:pPr>
      <w:r w:rsidRPr="009E7C9D">
        <w:rPr>
          <w:rFonts w:ascii="Times New Roman" w:hAnsi="Times New Roman" w:cs="Times New Roman"/>
          <w:i/>
          <w:iCs/>
          <w:lang w:val="en-GB"/>
        </w:rPr>
        <w:t xml:space="preserve">Figure </w:t>
      </w:r>
      <w:r w:rsidRPr="009E7C9D">
        <w:rPr>
          <w:rFonts w:ascii="Times New Roman" w:hAnsi="Times New Roman" w:cs="Times New Roman"/>
          <w:i/>
          <w:iCs/>
          <w:lang w:val="en-GB"/>
        </w:rPr>
        <w:fldChar w:fldCharType="begin"/>
      </w:r>
      <w:r w:rsidRPr="009E7C9D">
        <w:rPr>
          <w:rFonts w:ascii="Times New Roman" w:hAnsi="Times New Roman" w:cs="Times New Roman"/>
          <w:i/>
          <w:iCs/>
          <w:lang w:val="en-GB"/>
        </w:rPr>
        <w:instrText xml:space="preserve"> SEQ Figure \* ARABIC </w:instrText>
      </w:r>
      <w:r w:rsidRPr="009E7C9D">
        <w:rPr>
          <w:rFonts w:ascii="Times New Roman" w:hAnsi="Times New Roman" w:cs="Times New Roman"/>
          <w:i/>
          <w:iCs/>
          <w:lang w:val="en-GB"/>
        </w:rPr>
        <w:fldChar w:fldCharType="separate"/>
      </w:r>
      <w:r w:rsidRPr="009E7C9D">
        <w:rPr>
          <w:rFonts w:ascii="Times New Roman" w:hAnsi="Times New Roman" w:cs="Times New Roman"/>
          <w:i/>
          <w:iCs/>
          <w:lang w:val="en-GB"/>
        </w:rPr>
        <w:t>8</w:t>
      </w:r>
      <w:r w:rsidRPr="009E7C9D">
        <w:rPr>
          <w:rFonts w:ascii="Times New Roman" w:hAnsi="Times New Roman" w:cs="Times New Roman"/>
          <w:i/>
          <w:iCs/>
          <w:lang w:val="en-GB"/>
        </w:rPr>
        <w:fldChar w:fldCharType="end"/>
      </w:r>
      <w:r w:rsidRPr="009E7C9D">
        <w:rPr>
          <w:rFonts w:ascii="Times New Roman" w:hAnsi="Times New Roman" w:cs="Times New Roman"/>
          <w:i/>
          <w:iCs/>
          <w:lang w:val="en-GB"/>
        </w:rPr>
        <w:t>:</w:t>
      </w:r>
      <w:r w:rsidR="00B0134F" w:rsidRPr="009E7C9D">
        <w:rPr>
          <w:rFonts w:ascii="Times New Roman" w:hAnsi="Times New Roman" w:cs="Times New Roman"/>
          <w:i/>
          <w:iCs/>
          <w:lang w:val="en-GB"/>
        </w:rPr>
        <w:t xml:space="preserve"> Ophthalmic Diagnostic Devices Market</w:t>
      </w:r>
    </w:p>
    <w:p w14:paraId="66977CB1" w14:textId="77777777" w:rsidR="004B0A2C" w:rsidRDefault="001C3F46" w:rsidP="004B0A2C">
      <w:pPr>
        <w:spacing w:line="360" w:lineRule="auto"/>
        <w:ind w:firstLine="720"/>
        <w:jc w:val="center"/>
        <w:rPr>
          <w:rFonts w:ascii="Times New Roman" w:hAnsi="Times New Roman" w:cs="Times New Roman"/>
          <w:i/>
          <w:iCs/>
          <w:lang w:val="en-GB"/>
        </w:rPr>
      </w:pPr>
      <w:r w:rsidRPr="009E7C9D">
        <w:rPr>
          <w:rFonts w:ascii="Times New Roman" w:hAnsi="Times New Roman" w:cs="Times New Roman"/>
          <w:i/>
          <w:iCs/>
          <w:lang w:val="en-GB"/>
        </w:rPr>
        <w:t>Source: (Fact MR, 2025)</w:t>
      </w:r>
      <w:bookmarkStart w:id="7" w:name="_Toc225129499"/>
    </w:p>
    <w:p w14:paraId="361297B7" w14:textId="3B953823" w:rsidR="00CD0DEE" w:rsidRPr="004B0A2C" w:rsidRDefault="00CD0DEE" w:rsidP="00A34325">
      <w:pPr>
        <w:pStyle w:val="Heading2"/>
        <w:rPr>
          <w:i/>
          <w:iCs/>
          <w:lang w:val="en-GB"/>
        </w:rPr>
      </w:pPr>
      <w:r w:rsidRPr="009E7C9D">
        <w:rPr>
          <w:lang w:val="en-GB"/>
        </w:rPr>
        <w:t xml:space="preserve"> Strategies to Improve Technical Skills</w:t>
      </w:r>
      <w:bookmarkEnd w:id="7"/>
    </w:p>
    <w:p w14:paraId="71AD6CEE" w14:textId="775BA9E0" w:rsidR="004B0A2C" w:rsidRPr="00A34325" w:rsidRDefault="005A1F0F" w:rsidP="004B0A2C">
      <w:pPr>
        <w:spacing w:line="360" w:lineRule="auto"/>
        <w:ind w:firstLine="720"/>
        <w:jc w:val="both"/>
        <w:rPr>
          <w:rFonts w:ascii="Arial" w:hAnsi="Arial" w:cs="Arial"/>
          <w:sz w:val="22"/>
          <w:szCs w:val="22"/>
          <w:lang w:val="en-GB"/>
        </w:rPr>
      </w:pPr>
      <w:r w:rsidRPr="00A34325">
        <w:rPr>
          <w:rFonts w:ascii="Arial" w:hAnsi="Arial" w:cs="Arial"/>
          <w:sz w:val="22"/>
          <w:szCs w:val="22"/>
          <w:lang w:val="en-GB"/>
        </w:rPr>
        <w:lastRenderedPageBreak/>
        <w:t xml:space="preserve">It is possible to enhance the technical skills of employees utilizing practical training and working in a clinical environment. Participation in workshops will assist practitioners to understand how to handle the modern equipment used in eye care. Strong commitment to the continuous development of the skills also makes sure that the skills are </w:t>
      </w:r>
      <w:r w:rsidR="00A34325" w:rsidRPr="00A34325">
        <w:rPr>
          <w:rFonts w:ascii="Arial" w:hAnsi="Arial" w:cs="Arial"/>
          <w:sz w:val="22"/>
          <w:szCs w:val="22"/>
          <w:lang w:val="en-GB"/>
        </w:rPr>
        <w:t>up to date</w:t>
      </w:r>
      <w:r w:rsidRPr="00A34325">
        <w:rPr>
          <w:rFonts w:ascii="Arial" w:hAnsi="Arial" w:cs="Arial"/>
          <w:sz w:val="22"/>
          <w:szCs w:val="22"/>
          <w:lang w:val="en-GB"/>
        </w:rPr>
        <w:t xml:space="preserve">. As an illustration, accuracy is enhanced when regular training on diagnostic equipment is conducted (Garg, Reddy and Nelluri, 2024). To sustain the high standards of the healthcare practice, Mlambo, </w:t>
      </w:r>
      <w:proofErr w:type="spellStart"/>
      <w:r w:rsidRPr="00A34325">
        <w:rPr>
          <w:rFonts w:ascii="Arial" w:hAnsi="Arial" w:cs="Arial"/>
          <w:sz w:val="22"/>
          <w:szCs w:val="22"/>
          <w:lang w:val="en-GB"/>
        </w:rPr>
        <w:t>Silén</w:t>
      </w:r>
      <w:proofErr w:type="spellEnd"/>
      <w:r w:rsidRPr="00A34325">
        <w:rPr>
          <w:rFonts w:ascii="Arial" w:hAnsi="Arial" w:cs="Arial"/>
          <w:sz w:val="22"/>
          <w:szCs w:val="22"/>
          <w:lang w:val="en-GB"/>
        </w:rPr>
        <w:t xml:space="preserve"> and McGrath (2021) explain that continual learning is necessary</w:t>
      </w:r>
      <w:r w:rsidR="00454A99" w:rsidRPr="00A34325">
        <w:rPr>
          <w:rFonts w:ascii="Arial" w:hAnsi="Arial" w:cs="Arial"/>
          <w:sz w:val="22"/>
          <w:szCs w:val="22"/>
          <w:lang w:val="en-GB"/>
        </w:rPr>
        <w:t>.</w:t>
      </w:r>
      <w:bookmarkStart w:id="8" w:name="_Toc225129500"/>
    </w:p>
    <w:p w14:paraId="608C8AEE" w14:textId="3B456E83" w:rsidR="00CD0DEE" w:rsidRPr="004B0A2C" w:rsidRDefault="00CD0DEE" w:rsidP="004B0A2C">
      <w:pPr>
        <w:spacing w:line="360" w:lineRule="auto"/>
        <w:jc w:val="both"/>
        <w:rPr>
          <w:rFonts w:ascii="Times New Roman" w:hAnsi="Times New Roman" w:cs="Times New Roman"/>
          <w:lang w:val="en-GB"/>
        </w:rPr>
      </w:pPr>
      <w:r w:rsidRPr="009E7C9D">
        <w:rPr>
          <w:lang w:val="en-GB"/>
        </w:rPr>
        <w:t xml:space="preserve"> Challenges in Role</w:t>
      </w:r>
      <w:bookmarkEnd w:id="8"/>
      <w:r w:rsidRPr="009E7C9D">
        <w:rPr>
          <w:lang w:val="en-GB"/>
        </w:rPr>
        <w:t xml:space="preserve"> </w:t>
      </w:r>
    </w:p>
    <w:p w14:paraId="644C31B4" w14:textId="0017FC3C" w:rsidR="004B0A2C" w:rsidRPr="00A34325" w:rsidRDefault="00E30694" w:rsidP="004B0A2C">
      <w:pPr>
        <w:spacing w:line="360" w:lineRule="auto"/>
        <w:ind w:firstLine="720"/>
        <w:jc w:val="both"/>
        <w:rPr>
          <w:rFonts w:ascii="Arial" w:hAnsi="Arial" w:cs="Arial"/>
          <w:sz w:val="22"/>
          <w:szCs w:val="22"/>
          <w:lang w:val="en-GB"/>
        </w:rPr>
      </w:pPr>
      <w:r w:rsidRPr="00A34325">
        <w:rPr>
          <w:rFonts w:ascii="Arial" w:hAnsi="Arial" w:cs="Arial"/>
          <w:sz w:val="22"/>
          <w:szCs w:val="22"/>
          <w:lang w:val="en-GB"/>
        </w:rPr>
        <w:t xml:space="preserve">Some of the difficulties that ophthalmic practitioners are exposed to in their line of work include handling not </w:t>
      </w:r>
      <w:r w:rsidR="00A34325" w:rsidRPr="00A34325">
        <w:rPr>
          <w:rFonts w:ascii="Arial" w:hAnsi="Arial" w:cs="Arial"/>
          <w:sz w:val="22"/>
          <w:szCs w:val="22"/>
          <w:lang w:val="en-GB"/>
        </w:rPr>
        <w:t>easily managed</w:t>
      </w:r>
      <w:r w:rsidRPr="00A34325">
        <w:rPr>
          <w:rFonts w:ascii="Arial" w:hAnsi="Arial" w:cs="Arial"/>
          <w:sz w:val="22"/>
          <w:szCs w:val="22"/>
          <w:lang w:val="en-GB"/>
        </w:rPr>
        <w:t xml:space="preserve"> patients and handling a high level of responsibility during diagnosis. As an </w:t>
      </w:r>
      <w:r w:rsidR="00A34325" w:rsidRPr="00A34325">
        <w:rPr>
          <w:rFonts w:ascii="Arial" w:hAnsi="Arial" w:cs="Arial"/>
          <w:sz w:val="22"/>
          <w:szCs w:val="22"/>
          <w:lang w:val="en-GB"/>
        </w:rPr>
        <w:t>illustration, there</w:t>
      </w:r>
      <w:r w:rsidRPr="00A34325">
        <w:rPr>
          <w:rFonts w:ascii="Arial" w:hAnsi="Arial" w:cs="Arial"/>
          <w:sz w:val="22"/>
          <w:szCs w:val="22"/>
          <w:lang w:val="en-GB"/>
        </w:rPr>
        <w:t xml:space="preserve"> are certain patients who might be nervous during eye checkups and therefore they might not communicate well. Moreover, the rapid transformation in technologies </w:t>
      </w:r>
      <w:r w:rsidR="00A84704" w:rsidRPr="00A34325">
        <w:rPr>
          <w:rFonts w:ascii="Arial" w:hAnsi="Arial" w:cs="Arial"/>
          <w:sz w:val="22"/>
          <w:szCs w:val="22"/>
          <w:lang w:val="en-GB"/>
        </w:rPr>
        <w:t>assumes</w:t>
      </w:r>
      <w:r w:rsidRPr="00A34325">
        <w:rPr>
          <w:rFonts w:ascii="Arial" w:hAnsi="Arial" w:cs="Arial"/>
          <w:sz w:val="22"/>
          <w:szCs w:val="22"/>
          <w:lang w:val="en-GB"/>
        </w:rPr>
        <w:t xml:space="preserve"> permanent learning as an update that will keep pace with the latest equipment (Cicinelli, </w:t>
      </w:r>
      <w:proofErr w:type="spellStart"/>
      <w:r w:rsidRPr="00A34325">
        <w:rPr>
          <w:rFonts w:ascii="Arial" w:hAnsi="Arial" w:cs="Arial"/>
          <w:sz w:val="22"/>
          <w:szCs w:val="22"/>
          <w:lang w:val="en-GB"/>
        </w:rPr>
        <w:t>Marmamula</w:t>
      </w:r>
      <w:proofErr w:type="spellEnd"/>
      <w:r w:rsidRPr="00A34325">
        <w:rPr>
          <w:rFonts w:ascii="Arial" w:hAnsi="Arial" w:cs="Arial"/>
          <w:sz w:val="22"/>
          <w:szCs w:val="22"/>
          <w:lang w:val="en-GB"/>
        </w:rPr>
        <w:t xml:space="preserve"> and Khanna, 2020).</w:t>
      </w:r>
      <w:r w:rsidR="00F52A67" w:rsidRPr="00A34325">
        <w:rPr>
          <w:rFonts w:ascii="Arial" w:hAnsi="Arial" w:cs="Arial"/>
          <w:sz w:val="22"/>
          <w:szCs w:val="22"/>
          <w:lang w:val="en-GB"/>
        </w:rPr>
        <w:t xml:space="preserve"> </w:t>
      </w:r>
      <w:bookmarkStart w:id="9" w:name="_Toc225129501"/>
    </w:p>
    <w:p w14:paraId="39D58DAD" w14:textId="1FAA5359" w:rsidR="00CD0DEE" w:rsidRPr="004B0A2C" w:rsidRDefault="00CD0DEE" w:rsidP="00A34325">
      <w:pPr>
        <w:pStyle w:val="Heading2"/>
        <w:rPr>
          <w:lang w:val="en-GB"/>
        </w:rPr>
      </w:pPr>
      <w:r w:rsidRPr="009E7C9D">
        <w:rPr>
          <w:lang w:val="en-GB"/>
        </w:rPr>
        <w:t xml:space="preserve"> Professional Development</w:t>
      </w:r>
      <w:bookmarkEnd w:id="9"/>
      <w:r w:rsidRPr="009E7C9D">
        <w:rPr>
          <w:lang w:val="en-GB"/>
        </w:rPr>
        <w:t xml:space="preserve"> </w:t>
      </w:r>
    </w:p>
    <w:p w14:paraId="4DB5072A" w14:textId="77777777" w:rsidR="004B0A2C" w:rsidRPr="00A34325" w:rsidRDefault="00BF136F" w:rsidP="004B0A2C">
      <w:pPr>
        <w:spacing w:line="360" w:lineRule="auto"/>
        <w:ind w:firstLine="720"/>
        <w:jc w:val="both"/>
        <w:rPr>
          <w:rFonts w:ascii="Arial" w:hAnsi="Arial" w:cs="Arial"/>
          <w:sz w:val="22"/>
          <w:szCs w:val="22"/>
          <w:lang w:val="en-GB"/>
        </w:rPr>
      </w:pPr>
      <w:r w:rsidRPr="00A34325">
        <w:rPr>
          <w:rFonts w:ascii="Arial" w:hAnsi="Arial" w:cs="Arial"/>
          <w:sz w:val="22"/>
          <w:szCs w:val="22"/>
          <w:lang w:val="en-GB"/>
        </w:rPr>
        <w:t>Ophthalmic practitioners need to practice with high quality standards, which is why professional development is significant. Lifelong learning will be helpful in enabling the practitioners to keep up with they learn and invent new technologies. Clinical competence and confidence are enhanced through Certifications and training programmes. As an illustration, the ability to improve practical skills by participating in workshops about new diagnostic tools (</w:t>
      </w:r>
      <w:proofErr w:type="spellStart"/>
      <w:r w:rsidRPr="00A34325">
        <w:rPr>
          <w:rFonts w:ascii="Arial" w:hAnsi="Arial" w:cs="Arial"/>
          <w:sz w:val="22"/>
          <w:szCs w:val="22"/>
          <w:lang w:val="en-GB"/>
        </w:rPr>
        <w:t>Sharbini</w:t>
      </w:r>
      <w:proofErr w:type="spellEnd"/>
      <w:r w:rsidRPr="00A34325">
        <w:rPr>
          <w:rFonts w:ascii="Arial" w:hAnsi="Arial" w:cs="Arial"/>
          <w:sz w:val="22"/>
          <w:szCs w:val="22"/>
          <w:lang w:val="en-GB"/>
        </w:rPr>
        <w:t>, Abdul-Mumin and McKenna, 2025). Al-Mutairi et al. (2024) report that continuous professional development is associated with efficient healthcare provision and positively changes patient outcomes in the clinical practice</w:t>
      </w:r>
      <w:r w:rsidR="00F52A67" w:rsidRPr="00A34325">
        <w:rPr>
          <w:rFonts w:ascii="Arial" w:hAnsi="Arial" w:cs="Arial"/>
          <w:sz w:val="22"/>
          <w:szCs w:val="22"/>
          <w:lang w:val="en-GB"/>
        </w:rPr>
        <w:t>.</w:t>
      </w:r>
      <w:bookmarkStart w:id="10" w:name="_Toc225129502"/>
    </w:p>
    <w:p w14:paraId="50A909E0" w14:textId="30587CB5" w:rsidR="00CD0DEE" w:rsidRPr="004B0A2C" w:rsidRDefault="00CD0DEE" w:rsidP="004B0A2C">
      <w:pPr>
        <w:spacing w:line="360" w:lineRule="auto"/>
        <w:jc w:val="both"/>
        <w:rPr>
          <w:rFonts w:ascii="Times New Roman" w:hAnsi="Times New Roman" w:cs="Times New Roman"/>
          <w:lang w:val="en-GB"/>
        </w:rPr>
      </w:pPr>
      <w:r w:rsidRPr="009E7C9D">
        <w:rPr>
          <w:lang w:val="en-GB"/>
        </w:rPr>
        <w:t xml:space="preserve"> Conclusion</w:t>
      </w:r>
      <w:bookmarkEnd w:id="10"/>
      <w:r w:rsidRPr="009E7C9D">
        <w:rPr>
          <w:lang w:val="en-GB"/>
        </w:rPr>
        <w:t xml:space="preserve"> </w:t>
      </w:r>
    </w:p>
    <w:p w14:paraId="15C22BE9" w14:textId="0842D6D5" w:rsidR="00F52A67" w:rsidRPr="00A34325" w:rsidRDefault="00CD79C5" w:rsidP="009E7C9D">
      <w:pPr>
        <w:spacing w:line="360" w:lineRule="auto"/>
        <w:ind w:firstLine="720"/>
        <w:jc w:val="both"/>
        <w:rPr>
          <w:rFonts w:ascii="Arial" w:hAnsi="Arial" w:cs="Arial"/>
          <w:sz w:val="22"/>
          <w:szCs w:val="22"/>
          <w:lang w:val="en-GB"/>
        </w:rPr>
      </w:pPr>
      <w:r w:rsidRPr="00A34325">
        <w:rPr>
          <w:rFonts w:ascii="Arial" w:hAnsi="Arial" w:cs="Arial"/>
          <w:sz w:val="22"/>
          <w:szCs w:val="22"/>
        </w:rPr>
        <w:t>An ophthalmic practitioner can play a crucial role in enhancing the outcome of patients, as well as in the prompt diagnosis and treatment of eye diseases. The skills which are required are major skills like communication, attention to detail and technical skills which can be essential to practice. An example would be that vision loss can be avoided through proper diagnosis. To ensure high standards, it needs continuous professional development. In addition, talented medical staff members enhance the general health standards of the population</w:t>
      </w:r>
      <w:r w:rsidR="00F52A67" w:rsidRPr="00A34325">
        <w:rPr>
          <w:rFonts w:ascii="Arial" w:hAnsi="Arial" w:cs="Arial"/>
          <w:sz w:val="22"/>
          <w:szCs w:val="22"/>
          <w:lang w:val="en-GB"/>
        </w:rPr>
        <w:t>.</w:t>
      </w:r>
    </w:p>
    <w:p w14:paraId="4CA22770" w14:textId="688C4F47" w:rsidR="00D66477" w:rsidRPr="009E7C9D" w:rsidRDefault="00D66477" w:rsidP="009E7C9D">
      <w:pPr>
        <w:spacing w:line="360" w:lineRule="auto"/>
        <w:rPr>
          <w:rFonts w:ascii="Times New Roman" w:hAnsi="Times New Roman" w:cs="Times New Roman"/>
          <w:color w:val="000000" w:themeColor="text1"/>
          <w:lang w:val="en-GB"/>
        </w:rPr>
      </w:pPr>
      <w:r w:rsidRPr="009E7C9D">
        <w:rPr>
          <w:rFonts w:ascii="Times New Roman" w:hAnsi="Times New Roman" w:cs="Times New Roman"/>
          <w:color w:val="000000" w:themeColor="text1"/>
          <w:lang w:val="en-GB"/>
        </w:rPr>
        <w:br w:type="page"/>
      </w:r>
    </w:p>
    <w:p w14:paraId="49EE1F0D" w14:textId="508512C6" w:rsidR="009E7C9D" w:rsidRPr="009E7C9D" w:rsidRDefault="00CD0DEE" w:rsidP="009E7C9D">
      <w:pPr>
        <w:pStyle w:val="Heading1"/>
        <w:spacing w:line="360" w:lineRule="auto"/>
        <w:rPr>
          <w:lang w:val="en-GB"/>
        </w:rPr>
      </w:pPr>
      <w:bookmarkStart w:id="11" w:name="_Toc225129503"/>
      <w:r w:rsidRPr="009E7C9D">
        <w:rPr>
          <w:lang w:val="en-GB"/>
        </w:rPr>
        <w:lastRenderedPageBreak/>
        <w:t>References</w:t>
      </w:r>
      <w:bookmarkEnd w:id="11"/>
    </w:p>
    <w:p w14:paraId="767F3552" w14:textId="6D2EF783" w:rsidR="00840188" w:rsidRPr="00192CEA" w:rsidRDefault="00840188" w:rsidP="009E7C9D">
      <w:pPr>
        <w:spacing w:line="360" w:lineRule="auto"/>
        <w:ind w:left="720" w:hanging="720"/>
        <w:jc w:val="both"/>
        <w:rPr>
          <w:rFonts w:ascii="Arial" w:hAnsi="Arial" w:cs="Arial"/>
          <w:sz w:val="22"/>
          <w:szCs w:val="22"/>
          <w:lang w:val="en-GB"/>
        </w:rPr>
      </w:pPr>
      <w:r w:rsidRPr="00192CEA">
        <w:rPr>
          <w:rFonts w:ascii="Arial" w:hAnsi="Arial" w:cs="Arial"/>
          <w:sz w:val="22"/>
          <w:szCs w:val="22"/>
          <w:lang w:val="en-GB"/>
        </w:rPr>
        <w:t xml:space="preserve">Al-Mutairi, D.S., Almutairi, R.G., </w:t>
      </w:r>
      <w:proofErr w:type="spellStart"/>
      <w:r w:rsidRPr="00192CEA">
        <w:rPr>
          <w:rFonts w:ascii="Arial" w:hAnsi="Arial" w:cs="Arial"/>
          <w:sz w:val="22"/>
          <w:szCs w:val="22"/>
          <w:lang w:val="en-GB"/>
        </w:rPr>
        <w:t>Aldusaeri</w:t>
      </w:r>
      <w:proofErr w:type="spellEnd"/>
      <w:r w:rsidRPr="00192CEA">
        <w:rPr>
          <w:rFonts w:ascii="Arial" w:hAnsi="Arial" w:cs="Arial"/>
          <w:sz w:val="22"/>
          <w:szCs w:val="22"/>
          <w:lang w:val="en-GB"/>
        </w:rPr>
        <w:t xml:space="preserve">, A.F., Aljaber, K.S., </w:t>
      </w:r>
      <w:proofErr w:type="spellStart"/>
      <w:r w:rsidRPr="00192CEA">
        <w:rPr>
          <w:rFonts w:ascii="Arial" w:hAnsi="Arial" w:cs="Arial"/>
          <w:sz w:val="22"/>
          <w:szCs w:val="22"/>
          <w:lang w:val="en-GB"/>
        </w:rPr>
        <w:t>Alzahed</w:t>
      </w:r>
      <w:proofErr w:type="spellEnd"/>
      <w:r w:rsidRPr="00192CEA">
        <w:rPr>
          <w:rFonts w:ascii="Arial" w:hAnsi="Arial" w:cs="Arial"/>
          <w:sz w:val="22"/>
          <w:szCs w:val="22"/>
          <w:lang w:val="en-GB"/>
        </w:rPr>
        <w:t xml:space="preserve">, L.A., Alzahrani, M.S., </w:t>
      </w:r>
      <w:proofErr w:type="spellStart"/>
      <w:r w:rsidRPr="00192CEA">
        <w:rPr>
          <w:rFonts w:ascii="Arial" w:hAnsi="Arial" w:cs="Arial"/>
          <w:sz w:val="22"/>
          <w:szCs w:val="22"/>
          <w:lang w:val="en-GB"/>
        </w:rPr>
        <w:t>Algarni</w:t>
      </w:r>
      <w:proofErr w:type="spellEnd"/>
      <w:r w:rsidRPr="00192CEA">
        <w:rPr>
          <w:rFonts w:ascii="Arial" w:hAnsi="Arial" w:cs="Arial"/>
          <w:sz w:val="22"/>
          <w:szCs w:val="22"/>
          <w:lang w:val="en-GB"/>
        </w:rPr>
        <w:t xml:space="preserve">, A.M.A. and </w:t>
      </w:r>
      <w:proofErr w:type="spellStart"/>
      <w:r w:rsidRPr="00192CEA">
        <w:rPr>
          <w:rFonts w:ascii="Arial" w:hAnsi="Arial" w:cs="Arial"/>
          <w:sz w:val="22"/>
          <w:szCs w:val="22"/>
          <w:lang w:val="en-GB"/>
        </w:rPr>
        <w:t>ALotaibe</w:t>
      </w:r>
      <w:proofErr w:type="spellEnd"/>
      <w:r w:rsidRPr="00192CEA">
        <w:rPr>
          <w:rFonts w:ascii="Arial" w:hAnsi="Arial" w:cs="Arial"/>
          <w:sz w:val="22"/>
          <w:szCs w:val="22"/>
          <w:lang w:val="en-GB"/>
        </w:rPr>
        <w:t>, M.J., 2024. The Role of Continuous Professional Development (CPD) in Enhancing Nursing Competence and Patient Care. </w:t>
      </w:r>
      <w:r w:rsidRPr="00192CEA">
        <w:rPr>
          <w:rFonts w:ascii="Arial" w:hAnsi="Arial" w:cs="Arial"/>
          <w:i/>
          <w:iCs/>
          <w:sz w:val="22"/>
          <w:szCs w:val="22"/>
          <w:lang w:val="en-GB"/>
        </w:rPr>
        <w:t>Journal of International Crisis and Risk Communication Research</w:t>
      </w:r>
      <w:r w:rsidRPr="00192CEA">
        <w:rPr>
          <w:rFonts w:ascii="Arial" w:hAnsi="Arial" w:cs="Arial"/>
          <w:sz w:val="22"/>
          <w:szCs w:val="22"/>
          <w:lang w:val="en-GB"/>
        </w:rPr>
        <w:t>, </w:t>
      </w:r>
      <w:r w:rsidRPr="00192CEA">
        <w:rPr>
          <w:rFonts w:ascii="Arial" w:hAnsi="Arial" w:cs="Arial"/>
          <w:i/>
          <w:iCs/>
          <w:sz w:val="22"/>
          <w:szCs w:val="22"/>
          <w:lang w:val="en-GB"/>
        </w:rPr>
        <w:t>7</w:t>
      </w:r>
      <w:r w:rsidRPr="00192CEA">
        <w:rPr>
          <w:rFonts w:ascii="Arial" w:hAnsi="Arial" w:cs="Arial"/>
          <w:sz w:val="22"/>
          <w:szCs w:val="22"/>
          <w:lang w:val="en-GB"/>
        </w:rPr>
        <w:t>(S3), p.553.</w:t>
      </w:r>
    </w:p>
    <w:p w14:paraId="092D8F1E" w14:textId="3DDA5706" w:rsidR="00840188" w:rsidRPr="00192CEA" w:rsidRDefault="00840188" w:rsidP="009E7C9D">
      <w:pPr>
        <w:spacing w:line="360" w:lineRule="auto"/>
        <w:ind w:left="720" w:hanging="720"/>
        <w:jc w:val="both"/>
        <w:rPr>
          <w:rFonts w:ascii="Arial" w:hAnsi="Arial" w:cs="Arial"/>
          <w:sz w:val="22"/>
          <w:szCs w:val="22"/>
          <w:lang w:val="en-GB"/>
        </w:rPr>
      </w:pPr>
      <w:proofErr w:type="spellStart"/>
      <w:r w:rsidRPr="00192CEA">
        <w:rPr>
          <w:rFonts w:ascii="Arial" w:hAnsi="Arial" w:cs="Arial"/>
          <w:sz w:val="22"/>
          <w:szCs w:val="22"/>
          <w:lang w:val="en-GB"/>
        </w:rPr>
        <w:t>Brunyé</w:t>
      </w:r>
      <w:proofErr w:type="spellEnd"/>
      <w:r w:rsidRPr="00192CEA">
        <w:rPr>
          <w:rFonts w:ascii="Arial" w:hAnsi="Arial" w:cs="Arial"/>
          <w:sz w:val="22"/>
          <w:szCs w:val="22"/>
          <w:lang w:val="en-GB"/>
        </w:rPr>
        <w:t>, T.T., Drew, T., Weaver, D.L. and Elmore, J.G., 2019. A review of eye tracking for understanding and improving diagnostic interpretation. </w:t>
      </w:r>
      <w:r w:rsidRPr="00192CEA">
        <w:rPr>
          <w:rFonts w:ascii="Arial" w:hAnsi="Arial" w:cs="Arial"/>
          <w:i/>
          <w:iCs/>
          <w:sz w:val="22"/>
          <w:szCs w:val="22"/>
          <w:lang w:val="en-GB"/>
        </w:rPr>
        <w:t>Cognitive research: principles and implications</w:t>
      </w:r>
      <w:r w:rsidRPr="00192CEA">
        <w:rPr>
          <w:rFonts w:ascii="Arial" w:hAnsi="Arial" w:cs="Arial"/>
          <w:sz w:val="22"/>
          <w:szCs w:val="22"/>
          <w:lang w:val="en-GB"/>
        </w:rPr>
        <w:t>, </w:t>
      </w:r>
      <w:r w:rsidRPr="00192CEA">
        <w:rPr>
          <w:rFonts w:ascii="Arial" w:hAnsi="Arial" w:cs="Arial"/>
          <w:i/>
          <w:iCs/>
          <w:sz w:val="22"/>
          <w:szCs w:val="22"/>
          <w:lang w:val="en-GB"/>
        </w:rPr>
        <w:t>4</w:t>
      </w:r>
      <w:r w:rsidRPr="00192CEA">
        <w:rPr>
          <w:rFonts w:ascii="Arial" w:hAnsi="Arial" w:cs="Arial"/>
          <w:sz w:val="22"/>
          <w:szCs w:val="22"/>
          <w:lang w:val="en-GB"/>
        </w:rPr>
        <w:t>(1), p.7.</w:t>
      </w:r>
    </w:p>
    <w:p w14:paraId="04DCB409" w14:textId="24162D6C" w:rsidR="00840188" w:rsidRPr="00192CEA" w:rsidRDefault="00840188" w:rsidP="009E7C9D">
      <w:pPr>
        <w:spacing w:line="360" w:lineRule="auto"/>
        <w:ind w:left="720" w:hanging="720"/>
        <w:jc w:val="both"/>
        <w:rPr>
          <w:rFonts w:ascii="Arial" w:hAnsi="Arial" w:cs="Arial"/>
          <w:sz w:val="22"/>
          <w:szCs w:val="22"/>
          <w:lang w:val="en-GB"/>
        </w:rPr>
      </w:pPr>
      <w:r w:rsidRPr="00192CEA">
        <w:rPr>
          <w:rFonts w:ascii="Arial" w:hAnsi="Arial" w:cs="Arial"/>
          <w:sz w:val="22"/>
          <w:szCs w:val="22"/>
          <w:lang w:val="en-GB"/>
        </w:rPr>
        <w:t>Cicinelli, M.V., Marmamula, S. and Khanna, R.C., 2020. Comprehensive eye care-Issues, challenges, and way forward. </w:t>
      </w:r>
      <w:r w:rsidRPr="00192CEA">
        <w:rPr>
          <w:rFonts w:ascii="Arial" w:hAnsi="Arial" w:cs="Arial"/>
          <w:i/>
          <w:iCs/>
          <w:sz w:val="22"/>
          <w:szCs w:val="22"/>
          <w:lang w:val="en-GB"/>
        </w:rPr>
        <w:t>Indian journal of ophthalmology</w:t>
      </w:r>
      <w:r w:rsidRPr="00192CEA">
        <w:rPr>
          <w:rFonts w:ascii="Arial" w:hAnsi="Arial" w:cs="Arial"/>
          <w:sz w:val="22"/>
          <w:szCs w:val="22"/>
          <w:lang w:val="en-GB"/>
        </w:rPr>
        <w:t>, </w:t>
      </w:r>
      <w:r w:rsidRPr="00192CEA">
        <w:rPr>
          <w:rFonts w:ascii="Arial" w:hAnsi="Arial" w:cs="Arial"/>
          <w:i/>
          <w:iCs/>
          <w:sz w:val="22"/>
          <w:szCs w:val="22"/>
          <w:lang w:val="en-GB"/>
        </w:rPr>
        <w:t>68</w:t>
      </w:r>
      <w:r w:rsidRPr="00192CEA">
        <w:rPr>
          <w:rFonts w:ascii="Arial" w:hAnsi="Arial" w:cs="Arial"/>
          <w:sz w:val="22"/>
          <w:szCs w:val="22"/>
          <w:lang w:val="en-GB"/>
        </w:rPr>
        <w:t>(2), pp.316-323.</w:t>
      </w:r>
    </w:p>
    <w:p w14:paraId="607638BE" w14:textId="07669497" w:rsidR="00840188" w:rsidRPr="00192CEA" w:rsidRDefault="001B5C94" w:rsidP="009E7C9D">
      <w:pPr>
        <w:spacing w:line="360" w:lineRule="auto"/>
        <w:ind w:left="720" w:hanging="720"/>
        <w:jc w:val="both"/>
        <w:rPr>
          <w:rFonts w:ascii="Arial" w:hAnsi="Arial" w:cs="Arial"/>
          <w:sz w:val="22"/>
          <w:szCs w:val="22"/>
          <w:lang w:val="en-GB"/>
        </w:rPr>
      </w:pPr>
      <w:r w:rsidRPr="00192CEA">
        <w:rPr>
          <w:rFonts w:ascii="Arial" w:hAnsi="Arial" w:cs="Arial"/>
          <w:sz w:val="22"/>
          <w:szCs w:val="22"/>
          <w:lang w:val="en-GB"/>
        </w:rPr>
        <w:t>@</w:t>
      </w:r>
      <w:r w:rsidR="00840188" w:rsidRPr="00192CEA">
        <w:rPr>
          <w:rFonts w:ascii="Arial" w:hAnsi="Arial" w:cs="Arial"/>
          <w:sz w:val="22"/>
          <w:szCs w:val="22"/>
          <w:lang w:val="en-GB"/>
        </w:rPr>
        <w:t xml:space="preserve">Fact MR., 2025. Ophthalmic Diagnostic Devices Market: Global Market Analysis Report - </w:t>
      </w:r>
      <w:proofErr w:type="gramStart"/>
      <w:r w:rsidR="00840188" w:rsidRPr="00192CEA">
        <w:rPr>
          <w:rFonts w:ascii="Arial" w:hAnsi="Arial" w:cs="Arial"/>
          <w:sz w:val="22"/>
          <w:szCs w:val="22"/>
          <w:lang w:val="en-GB"/>
        </w:rPr>
        <w:t>2035 ,</w:t>
      </w:r>
      <w:proofErr w:type="gramEnd"/>
      <w:r w:rsidR="00840188" w:rsidRPr="00192CEA">
        <w:rPr>
          <w:rFonts w:ascii="Arial" w:hAnsi="Arial" w:cs="Arial"/>
          <w:sz w:val="22"/>
          <w:szCs w:val="22"/>
          <w:lang w:val="en-GB"/>
        </w:rPr>
        <w:t xml:space="preserve"> Market Research Company. Available at: https://www.factmr.com/report/ophthalmic-diagnostic-devices-market (Accessed: 22 March 2026).</w:t>
      </w:r>
    </w:p>
    <w:p w14:paraId="326BC95C" w14:textId="3CAF53AA" w:rsidR="00840188" w:rsidRPr="00192CEA" w:rsidRDefault="00840188" w:rsidP="009E7C9D">
      <w:pPr>
        <w:spacing w:line="360" w:lineRule="auto"/>
        <w:ind w:left="720" w:hanging="720"/>
        <w:jc w:val="both"/>
        <w:rPr>
          <w:rFonts w:ascii="Arial" w:hAnsi="Arial" w:cs="Arial"/>
          <w:sz w:val="22"/>
          <w:szCs w:val="22"/>
          <w:lang w:val="en-GB"/>
        </w:rPr>
      </w:pPr>
      <w:r w:rsidRPr="00192CEA">
        <w:rPr>
          <w:rFonts w:ascii="Arial" w:hAnsi="Arial" w:cs="Arial"/>
          <w:sz w:val="22"/>
          <w:szCs w:val="22"/>
          <w:lang w:val="en-GB"/>
        </w:rPr>
        <w:t>Ferrey, A., Moore, L. and Jolly, J.K., 2022. ‘It was like being hit with a brick’: a qualitative study on the effect of clinicians’ delivery of a diagnosis of eye disease for patients in primary and secondary care. </w:t>
      </w:r>
      <w:r w:rsidRPr="00192CEA">
        <w:rPr>
          <w:rFonts w:ascii="Arial" w:hAnsi="Arial" w:cs="Arial"/>
          <w:i/>
          <w:iCs/>
          <w:sz w:val="22"/>
          <w:szCs w:val="22"/>
          <w:lang w:val="en-GB"/>
        </w:rPr>
        <w:t>BMJ open</w:t>
      </w:r>
      <w:r w:rsidRPr="00192CEA">
        <w:rPr>
          <w:rFonts w:ascii="Arial" w:hAnsi="Arial" w:cs="Arial"/>
          <w:sz w:val="22"/>
          <w:szCs w:val="22"/>
          <w:lang w:val="en-GB"/>
        </w:rPr>
        <w:t>, </w:t>
      </w:r>
      <w:r w:rsidRPr="00192CEA">
        <w:rPr>
          <w:rFonts w:ascii="Arial" w:hAnsi="Arial" w:cs="Arial"/>
          <w:i/>
          <w:iCs/>
          <w:sz w:val="22"/>
          <w:szCs w:val="22"/>
          <w:lang w:val="en-GB"/>
        </w:rPr>
        <w:t>12</w:t>
      </w:r>
      <w:r w:rsidRPr="00192CEA">
        <w:rPr>
          <w:rFonts w:ascii="Arial" w:hAnsi="Arial" w:cs="Arial"/>
          <w:sz w:val="22"/>
          <w:szCs w:val="22"/>
          <w:lang w:val="en-GB"/>
        </w:rPr>
        <w:t>(7), p.e059970.</w:t>
      </w:r>
    </w:p>
    <w:p w14:paraId="075836E6" w14:textId="2B22B750" w:rsidR="00840188" w:rsidRPr="00192CEA" w:rsidRDefault="00840188" w:rsidP="009E7C9D">
      <w:pPr>
        <w:spacing w:line="360" w:lineRule="auto"/>
        <w:ind w:left="720" w:hanging="720"/>
        <w:jc w:val="both"/>
        <w:rPr>
          <w:rFonts w:ascii="Arial" w:hAnsi="Arial" w:cs="Arial"/>
          <w:sz w:val="22"/>
          <w:szCs w:val="22"/>
          <w:lang w:val="en-GB"/>
        </w:rPr>
      </w:pPr>
      <w:r w:rsidRPr="00192CEA">
        <w:rPr>
          <w:rFonts w:ascii="Arial" w:hAnsi="Arial" w:cs="Arial"/>
          <w:sz w:val="22"/>
          <w:szCs w:val="22"/>
          <w:lang w:val="en-GB"/>
        </w:rPr>
        <w:t>Garg, P., Reddy, S. and Nelluri, C., 2024. Training the eye care team: principles and practice. </w:t>
      </w:r>
      <w:r w:rsidRPr="00192CEA">
        <w:rPr>
          <w:rFonts w:ascii="Arial" w:hAnsi="Arial" w:cs="Arial"/>
          <w:i/>
          <w:iCs/>
          <w:sz w:val="22"/>
          <w:szCs w:val="22"/>
          <w:lang w:val="en-GB"/>
        </w:rPr>
        <w:t>Middle East African journal of ophthalmology</w:t>
      </w:r>
      <w:r w:rsidRPr="00192CEA">
        <w:rPr>
          <w:rFonts w:ascii="Arial" w:hAnsi="Arial" w:cs="Arial"/>
          <w:sz w:val="22"/>
          <w:szCs w:val="22"/>
          <w:lang w:val="en-GB"/>
        </w:rPr>
        <w:t>, </w:t>
      </w:r>
      <w:r w:rsidRPr="00192CEA">
        <w:rPr>
          <w:rFonts w:ascii="Arial" w:hAnsi="Arial" w:cs="Arial"/>
          <w:i/>
          <w:iCs/>
          <w:sz w:val="22"/>
          <w:szCs w:val="22"/>
          <w:lang w:val="en-GB"/>
        </w:rPr>
        <w:t>21</w:t>
      </w:r>
      <w:r w:rsidRPr="00192CEA">
        <w:rPr>
          <w:rFonts w:ascii="Arial" w:hAnsi="Arial" w:cs="Arial"/>
          <w:sz w:val="22"/>
          <w:szCs w:val="22"/>
          <w:lang w:val="en-GB"/>
        </w:rPr>
        <w:t>(2), pp.128-133.</w:t>
      </w:r>
    </w:p>
    <w:p w14:paraId="5E3EBC71" w14:textId="6DDF4490" w:rsidR="00840188" w:rsidRPr="00192CEA" w:rsidRDefault="00840188" w:rsidP="009E7C9D">
      <w:pPr>
        <w:spacing w:line="360" w:lineRule="auto"/>
        <w:ind w:left="720" w:hanging="720"/>
        <w:jc w:val="both"/>
        <w:rPr>
          <w:rFonts w:ascii="Arial" w:hAnsi="Arial" w:cs="Arial"/>
          <w:sz w:val="22"/>
          <w:szCs w:val="22"/>
          <w:lang w:val="en-GB"/>
        </w:rPr>
      </w:pPr>
      <w:r w:rsidRPr="00192CEA">
        <w:rPr>
          <w:rFonts w:ascii="Arial" w:hAnsi="Arial" w:cs="Arial"/>
          <w:sz w:val="22"/>
          <w:szCs w:val="22"/>
          <w:lang w:val="en-GB"/>
        </w:rPr>
        <w:t xml:space="preserve">Ghattas, A.H.S., 2025. Effect of eye care clinical guidelines training on nurses’ knowledge, attitude, and practice and eye complications among critically ill patients: </w:t>
      </w:r>
      <w:proofErr w:type="gramStart"/>
      <w:r w:rsidRPr="00192CEA">
        <w:rPr>
          <w:rFonts w:ascii="Arial" w:hAnsi="Arial" w:cs="Arial"/>
          <w:sz w:val="22"/>
          <w:szCs w:val="22"/>
          <w:lang w:val="en-GB"/>
        </w:rPr>
        <w:t>pre</w:t>
      </w:r>
      <w:proofErr w:type="gramEnd"/>
      <w:r w:rsidRPr="00192CEA">
        <w:rPr>
          <w:rFonts w:ascii="Arial" w:hAnsi="Arial" w:cs="Arial"/>
          <w:sz w:val="22"/>
          <w:szCs w:val="22"/>
          <w:lang w:val="en-GB"/>
        </w:rPr>
        <w:t xml:space="preserve"> and post-study design. </w:t>
      </w:r>
      <w:r w:rsidRPr="00192CEA">
        <w:rPr>
          <w:rFonts w:ascii="Arial" w:hAnsi="Arial" w:cs="Arial"/>
          <w:i/>
          <w:iCs/>
          <w:sz w:val="22"/>
          <w:szCs w:val="22"/>
          <w:lang w:val="en-GB"/>
        </w:rPr>
        <w:t>BMC nursing</w:t>
      </w:r>
      <w:r w:rsidRPr="00192CEA">
        <w:rPr>
          <w:rFonts w:ascii="Arial" w:hAnsi="Arial" w:cs="Arial"/>
          <w:sz w:val="22"/>
          <w:szCs w:val="22"/>
          <w:lang w:val="en-GB"/>
        </w:rPr>
        <w:t>, </w:t>
      </w:r>
      <w:r w:rsidRPr="00192CEA">
        <w:rPr>
          <w:rFonts w:ascii="Arial" w:hAnsi="Arial" w:cs="Arial"/>
          <w:i/>
          <w:iCs/>
          <w:sz w:val="22"/>
          <w:szCs w:val="22"/>
          <w:lang w:val="en-GB"/>
        </w:rPr>
        <w:t>24</w:t>
      </w:r>
      <w:r w:rsidRPr="00192CEA">
        <w:rPr>
          <w:rFonts w:ascii="Arial" w:hAnsi="Arial" w:cs="Arial"/>
          <w:sz w:val="22"/>
          <w:szCs w:val="22"/>
          <w:lang w:val="en-GB"/>
        </w:rPr>
        <w:t>(1), p.674.</w:t>
      </w:r>
    </w:p>
    <w:p w14:paraId="27D01F4E" w14:textId="2956339D" w:rsidR="00840188" w:rsidRPr="00192CEA" w:rsidRDefault="00840188" w:rsidP="009E7C9D">
      <w:pPr>
        <w:spacing w:line="360" w:lineRule="auto"/>
        <w:ind w:left="720" w:hanging="720"/>
        <w:jc w:val="both"/>
        <w:rPr>
          <w:rFonts w:ascii="Arial" w:hAnsi="Arial" w:cs="Arial"/>
          <w:sz w:val="22"/>
          <w:szCs w:val="22"/>
          <w:lang w:val="en-GB"/>
        </w:rPr>
      </w:pPr>
      <w:r w:rsidRPr="00192CEA">
        <w:rPr>
          <w:rFonts w:ascii="Arial" w:hAnsi="Arial" w:cs="Arial"/>
          <w:sz w:val="22"/>
          <w:szCs w:val="22"/>
          <w:lang w:val="en-GB"/>
        </w:rPr>
        <w:t>Henderson, L., Bain, H., Allan, E. and Kennedy, C., 2021. Integrated health and social care in the community: A critical integrative review of the experiences and well</w:t>
      </w:r>
      <w:r w:rsidRPr="00192CEA">
        <w:rPr>
          <w:rFonts w:ascii="Cambria Math" w:hAnsi="Cambria Math" w:cs="Cambria Math"/>
          <w:sz w:val="22"/>
          <w:szCs w:val="22"/>
          <w:lang w:val="en-GB"/>
        </w:rPr>
        <w:t>‐</w:t>
      </w:r>
      <w:r w:rsidRPr="00192CEA">
        <w:rPr>
          <w:rFonts w:ascii="Arial" w:hAnsi="Arial" w:cs="Arial"/>
          <w:sz w:val="22"/>
          <w:szCs w:val="22"/>
          <w:lang w:val="en-GB"/>
        </w:rPr>
        <w:t>being needs of service users and their families. </w:t>
      </w:r>
      <w:r w:rsidRPr="00192CEA">
        <w:rPr>
          <w:rFonts w:ascii="Arial" w:hAnsi="Arial" w:cs="Arial"/>
          <w:i/>
          <w:iCs/>
          <w:sz w:val="22"/>
          <w:szCs w:val="22"/>
          <w:lang w:val="en-GB"/>
        </w:rPr>
        <w:t>Health &amp; social care in the community</w:t>
      </w:r>
      <w:r w:rsidRPr="00192CEA">
        <w:rPr>
          <w:rFonts w:ascii="Arial" w:hAnsi="Arial" w:cs="Arial"/>
          <w:sz w:val="22"/>
          <w:szCs w:val="22"/>
          <w:lang w:val="en-GB"/>
        </w:rPr>
        <w:t>, </w:t>
      </w:r>
      <w:r w:rsidRPr="00192CEA">
        <w:rPr>
          <w:rFonts w:ascii="Arial" w:hAnsi="Arial" w:cs="Arial"/>
          <w:i/>
          <w:iCs/>
          <w:sz w:val="22"/>
          <w:szCs w:val="22"/>
          <w:lang w:val="en-GB"/>
        </w:rPr>
        <w:t>29</w:t>
      </w:r>
      <w:r w:rsidRPr="00192CEA">
        <w:rPr>
          <w:rFonts w:ascii="Arial" w:hAnsi="Arial" w:cs="Arial"/>
          <w:sz w:val="22"/>
          <w:szCs w:val="22"/>
          <w:lang w:val="en-GB"/>
        </w:rPr>
        <w:t>(4), pp.1145-1168.</w:t>
      </w:r>
    </w:p>
    <w:p w14:paraId="764DCE85" w14:textId="7DDB8904" w:rsidR="00840188" w:rsidRPr="002F5C3F" w:rsidRDefault="00840188" w:rsidP="009E7C9D">
      <w:pPr>
        <w:spacing w:line="360" w:lineRule="auto"/>
        <w:ind w:left="720" w:hanging="720"/>
        <w:jc w:val="both"/>
        <w:rPr>
          <w:rFonts w:ascii="Times New Roman" w:hAnsi="Times New Roman" w:cs="Times New Roman"/>
          <w:lang w:val="en-GB"/>
        </w:rPr>
      </w:pPr>
      <w:r w:rsidRPr="009E7C9D">
        <w:rPr>
          <w:rFonts w:ascii="Times New Roman" w:hAnsi="Times New Roman" w:cs="Times New Roman"/>
          <w:lang w:val="en-GB"/>
        </w:rPr>
        <w:t>.</w:t>
      </w:r>
    </w:p>
    <w:p w14:paraId="21F8C6B2" w14:textId="4252CFF7" w:rsidR="00840188" w:rsidRPr="009E7C9D" w:rsidRDefault="00840188" w:rsidP="009E7C9D">
      <w:pPr>
        <w:spacing w:line="360" w:lineRule="auto"/>
        <w:ind w:left="720" w:hanging="720"/>
        <w:jc w:val="both"/>
        <w:rPr>
          <w:rFonts w:ascii="Times New Roman" w:hAnsi="Times New Roman" w:cs="Times New Roman"/>
          <w:lang w:val="en-GB"/>
        </w:rPr>
      </w:pPr>
      <w:r w:rsidRPr="009E7C9D">
        <w:rPr>
          <w:rFonts w:ascii="Times New Roman" w:hAnsi="Times New Roman" w:cs="Times New Roman"/>
          <w:lang w:val="en-GB"/>
        </w:rPr>
        <w:t>.</w:t>
      </w:r>
    </w:p>
    <w:p w14:paraId="5FEB503C" w14:textId="7E00FC56" w:rsidR="00840188" w:rsidRPr="00192CEA" w:rsidRDefault="00840188" w:rsidP="009E7C9D">
      <w:pPr>
        <w:spacing w:line="360" w:lineRule="auto"/>
        <w:ind w:left="720" w:hanging="720"/>
        <w:jc w:val="both"/>
        <w:rPr>
          <w:rFonts w:ascii="Arial" w:hAnsi="Arial" w:cs="Arial"/>
          <w:sz w:val="22"/>
          <w:szCs w:val="22"/>
          <w:lang w:val="en-GB"/>
        </w:rPr>
      </w:pPr>
      <w:r w:rsidRPr="00192CEA">
        <w:rPr>
          <w:rFonts w:ascii="Arial" w:hAnsi="Arial" w:cs="Arial"/>
          <w:sz w:val="22"/>
          <w:szCs w:val="22"/>
          <w:lang w:val="en-GB"/>
        </w:rPr>
        <w:t xml:space="preserve">Mannis, M. J., Zadnik, K., Coral-Ghanem, C. and Kara-José, N. (2025). </w:t>
      </w:r>
      <w:hyperlink r:id="rId12" w:history="1">
        <w:proofErr w:type="spellStart"/>
        <w:r w:rsidRPr="00192CEA">
          <w:rPr>
            <w:rStyle w:val="Hyperlink"/>
            <w:rFonts w:ascii="Arial" w:hAnsi="Arial" w:cs="Arial"/>
            <w:sz w:val="22"/>
            <w:szCs w:val="22"/>
            <w:lang w:val="en-GB"/>
          </w:rPr>
          <w:t>doi</w:t>
        </w:r>
        <w:proofErr w:type="spellEnd"/>
        <w:r w:rsidRPr="00192CEA">
          <w:rPr>
            <w:rStyle w:val="Hyperlink"/>
            <w:rFonts w:ascii="Arial" w:hAnsi="Arial" w:cs="Arial"/>
            <w:sz w:val="22"/>
            <w:szCs w:val="22"/>
            <w:lang w:val="en-GB"/>
          </w:rPr>
          <w:t>: 10.1007/b97494.</w:t>
        </w:r>
      </w:hyperlink>
    </w:p>
    <w:p w14:paraId="61720921" w14:textId="06DD65A2" w:rsidR="00840188" w:rsidRPr="00192CEA" w:rsidRDefault="00840188" w:rsidP="009E7C9D">
      <w:pPr>
        <w:spacing w:line="360" w:lineRule="auto"/>
        <w:ind w:left="720" w:hanging="720"/>
        <w:jc w:val="both"/>
        <w:rPr>
          <w:rFonts w:ascii="Arial" w:hAnsi="Arial" w:cs="Arial"/>
          <w:sz w:val="22"/>
          <w:szCs w:val="22"/>
          <w:lang w:val="en-GB"/>
        </w:rPr>
      </w:pPr>
      <w:r w:rsidRPr="00192CEA">
        <w:rPr>
          <w:rFonts w:ascii="Arial" w:hAnsi="Arial" w:cs="Arial"/>
          <w:sz w:val="22"/>
          <w:szCs w:val="22"/>
          <w:lang w:val="en-GB"/>
        </w:rPr>
        <w:t>Mejía-Salgado, G., Rojas-Carabali, W., Cifuentes-González, C., Bernal-Valencia, M.A., Saboya-Galindo, P., Soto-</w:t>
      </w:r>
      <w:proofErr w:type="spellStart"/>
      <w:r w:rsidRPr="00192CEA">
        <w:rPr>
          <w:rFonts w:ascii="Arial" w:hAnsi="Arial" w:cs="Arial"/>
          <w:sz w:val="22"/>
          <w:szCs w:val="22"/>
          <w:lang w:val="en-GB"/>
        </w:rPr>
        <w:t>Ariño</w:t>
      </w:r>
      <w:proofErr w:type="spellEnd"/>
      <w:r w:rsidRPr="00192CEA">
        <w:rPr>
          <w:rFonts w:ascii="Arial" w:hAnsi="Arial" w:cs="Arial"/>
          <w:sz w:val="22"/>
          <w:szCs w:val="22"/>
          <w:lang w:val="en-GB"/>
        </w:rPr>
        <w:t xml:space="preserve">, J., Dumar-Kerguelen, V., Marroquín-Gómez, G., Moreno-Pardo, </w:t>
      </w:r>
      <w:r w:rsidRPr="00192CEA">
        <w:rPr>
          <w:rFonts w:ascii="Arial" w:hAnsi="Arial" w:cs="Arial"/>
          <w:sz w:val="22"/>
          <w:szCs w:val="22"/>
          <w:lang w:val="en-GB"/>
        </w:rPr>
        <w:lastRenderedPageBreak/>
        <w:t>M.L., Tirado-Ángel, J. and Galor, A., 2025. Diagnostic accuracy in dry eye: Insights into clinical and artificial intelligence limitations: Limitations of diagnostic accuracy in dry eye. </w:t>
      </w:r>
      <w:r w:rsidRPr="00192CEA">
        <w:rPr>
          <w:rFonts w:ascii="Arial" w:hAnsi="Arial" w:cs="Arial"/>
          <w:i/>
          <w:iCs/>
          <w:sz w:val="22"/>
          <w:szCs w:val="22"/>
          <w:lang w:val="en-GB"/>
        </w:rPr>
        <w:t>Contact Lens and Anterior Eye</w:t>
      </w:r>
      <w:r w:rsidRPr="00192CEA">
        <w:rPr>
          <w:rFonts w:ascii="Arial" w:hAnsi="Arial" w:cs="Arial"/>
          <w:sz w:val="22"/>
          <w:szCs w:val="22"/>
          <w:lang w:val="en-GB"/>
        </w:rPr>
        <w:t>, p.102509.</w:t>
      </w:r>
    </w:p>
    <w:p w14:paraId="6ED51013" w14:textId="7690AB06" w:rsidR="00840188" w:rsidRPr="00192CEA" w:rsidRDefault="00840188" w:rsidP="009E7C9D">
      <w:pPr>
        <w:spacing w:line="360" w:lineRule="auto"/>
        <w:ind w:left="720" w:hanging="720"/>
        <w:jc w:val="both"/>
        <w:rPr>
          <w:rFonts w:ascii="Arial" w:hAnsi="Arial" w:cs="Arial"/>
          <w:sz w:val="22"/>
          <w:szCs w:val="22"/>
          <w:lang w:val="en-GB"/>
        </w:rPr>
      </w:pPr>
      <w:r w:rsidRPr="00192CEA">
        <w:rPr>
          <w:rFonts w:ascii="Arial" w:hAnsi="Arial" w:cs="Arial"/>
          <w:sz w:val="22"/>
          <w:szCs w:val="22"/>
          <w:lang w:val="en-GB"/>
        </w:rPr>
        <w:t xml:space="preserve">Mlambo, M., Silén, C. and McGrath, C., 2021. Lifelong learning and nurses’ continuing professional development, a </w:t>
      </w:r>
      <w:proofErr w:type="spellStart"/>
      <w:r w:rsidRPr="00192CEA">
        <w:rPr>
          <w:rFonts w:ascii="Arial" w:hAnsi="Arial" w:cs="Arial"/>
          <w:sz w:val="22"/>
          <w:szCs w:val="22"/>
          <w:lang w:val="en-GB"/>
        </w:rPr>
        <w:t>metasynthesis</w:t>
      </w:r>
      <w:proofErr w:type="spellEnd"/>
      <w:r w:rsidRPr="00192CEA">
        <w:rPr>
          <w:rFonts w:ascii="Arial" w:hAnsi="Arial" w:cs="Arial"/>
          <w:sz w:val="22"/>
          <w:szCs w:val="22"/>
          <w:lang w:val="en-GB"/>
        </w:rPr>
        <w:t xml:space="preserve"> of the literature. </w:t>
      </w:r>
      <w:r w:rsidRPr="00192CEA">
        <w:rPr>
          <w:rFonts w:ascii="Arial" w:hAnsi="Arial" w:cs="Arial"/>
          <w:i/>
          <w:iCs/>
          <w:sz w:val="22"/>
          <w:szCs w:val="22"/>
          <w:lang w:val="en-GB"/>
        </w:rPr>
        <w:t>BMC nursing</w:t>
      </w:r>
      <w:r w:rsidRPr="00192CEA">
        <w:rPr>
          <w:rFonts w:ascii="Arial" w:hAnsi="Arial" w:cs="Arial"/>
          <w:sz w:val="22"/>
          <w:szCs w:val="22"/>
          <w:lang w:val="en-GB"/>
        </w:rPr>
        <w:t>, </w:t>
      </w:r>
      <w:r w:rsidRPr="00192CEA">
        <w:rPr>
          <w:rFonts w:ascii="Arial" w:hAnsi="Arial" w:cs="Arial"/>
          <w:i/>
          <w:iCs/>
          <w:sz w:val="22"/>
          <w:szCs w:val="22"/>
          <w:lang w:val="en-GB"/>
        </w:rPr>
        <w:t>20</w:t>
      </w:r>
      <w:r w:rsidRPr="00192CEA">
        <w:rPr>
          <w:rFonts w:ascii="Arial" w:hAnsi="Arial" w:cs="Arial"/>
          <w:sz w:val="22"/>
          <w:szCs w:val="22"/>
          <w:lang w:val="en-GB"/>
        </w:rPr>
        <w:t>(1), p.62.</w:t>
      </w:r>
    </w:p>
    <w:p w14:paraId="0BF7246D" w14:textId="45EAB32C" w:rsidR="00840188" w:rsidRPr="00192CEA" w:rsidRDefault="00840188" w:rsidP="009E7C9D">
      <w:pPr>
        <w:spacing w:line="360" w:lineRule="auto"/>
        <w:ind w:left="720" w:hanging="720"/>
        <w:jc w:val="both"/>
        <w:rPr>
          <w:rFonts w:ascii="Arial" w:hAnsi="Arial" w:cs="Arial"/>
          <w:sz w:val="22"/>
          <w:szCs w:val="22"/>
          <w:lang w:val="en-GB"/>
        </w:rPr>
      </w:pPr>
      <w:r w:rsidRPr="00192CEA">
        <w:rPr>
          <w:rFonts w:ascii="Arial" w:hAnsi="Arial" w:cs="Arial"/>
          <w:sz w:val="22"/>
          <w:szCs w:val="22"/>
          <w:lang w:val="en-GB"/>
        </w:rPr>
        <w:t>NHS., 2025.  </w:t>
      </w:r>
      <w:r w:rsidRPr="00192CEA">
        <w:rPr>
          <w:rFonts w:ascii="Arial" w:hAnsi="Arial" w:cs="Arial"/>
          <w:i/>
          <w:iCs/>
          <w:sz w:val="22"/>
          <w:szCs w:val="22"/>
          <w:lang w:val="en-GB"/>
        </w:rPr>
        <w:t>NHS Choices</w:t>
      </w:r>
      <w:r w:rsidRPr="00192CEA">
        <w:rPr>
          <w:rFonts w:ascii="Arial" w:hAnsi="Arial" w:cs="Arial"/>
          <w:sz w:val="22"/>
          <w:szCs w:val="22"/>
          <w:lang w:val="en-GB"/>
        </w:rPr>
        <w:t>. NHS. Available at: https://www.healthcareers.nhs.uk/explore-roles/doctors/roles-doctors/ophthalmology (Accessed: 22 March 2026).</w:t>
      </w:r>
    </w:p>
    <w:p w14:paraId="233D0DCA" w14:textId="57E870BB" w:rsidR="00840188" w:rsidRPr="00192CEA" w:rsidRDefault="00840188" w:rsidP="009E7C9D">
      <w:pPr>
        <w:spacing w:line="360" w:lineRule="auto"/>
        <w:ind w:left="720" w:hanging="720"/>
        <w:jc w:val="both"/>
        <w:rPr>
          <w:rFonts w:ascii="Arial" w:hAnsi="Arial" w:cs="Arial"/>
          <w:sz w:val="22"/>
          <w:szCs w:val="22"/>
          <w:lang w:val="en-GB"/>
        </w:rPr>
      </w:pPr>
      <w:r w:rsidRPr="00192CEA">
        <w:rPr>
          <w:rFonts w:ascii="Arial" w:hAnsi="Arial" w:cs="Arial"/>
          <w:sz w:val="22"/>
          <w:szCs w:val="22"/>
          <w:lang w:val="en-GB"/>
        </w:rPr>
        <w:t xml:space="preserve">NHS., 2025a. </w:t>
      </w:r>
      <w:r w:rsidRPr="00192CEA">
        <w:rPr>
          <w:rFonts w:ascii="Arial" w:hAnsi="Arial" w:cs="Arial"/>
          <w:i/>
          <w:iCs/>
          <w:sz w:val="22"/>
          <w:szCs w:val="22"/>
          <w:lang w:val="en-GB"/>
        </w:rPr>
        <w:t>NHS Choices</w:t>
      </w:r>
      <w:r w:rsidRPr="00192CEA">
        <w:rPr>
          <w:rFonts w:ascii="Arial" w:hAnsi="Arial" w:cs="Arial"/>
          <w:sz w:val="22"/>
          <w:szCs w:val="22"/>
          <w:lang w:val="en-GB"/>
        </w:rPr>
        <w:t>. NHS. Available at: https://www.hee.nhs.uk/our-work/cancer-diagnostics/cancer-communications-resource-hub/patient/how-good-communication-skills-benefit-patients-service-users-people-affected (Accessed: 22 March 2026).</w:t>
      </w:r>
    </w:p>
    <w:p w14:paraId="7846CDF4" w14:textId="0B39964C" w:rsidR="00840188" w:rsidRPr="00192CEA" w:rsidRDefault="00840188" w:rsidP="009E7C9D">
      <w:pPr>
        <w:spacing w:line="360" w:lineRule="auto"/>
        <w:ind w:left="720" w:hanging="720"/>
        <w:jc w:val="both"/>
        <w:rPr>
          <w:rFonts w:ascii="Arial" w:hAnsi="Arial" w:cs="Arial"/>
          <w:sz w:val="22"/>
          <w:szCs w:val="22"/>
          <w:lang w:val="en-GB"/>
        </w:rPr>
      </w:pPr>
      <w:r w:rsidRPr="00192CEA">
        <w:rPr>
          <w:rFonts w:ascii="Arial" w:hAnsi="Arial" w:cs="Arial"/>
          <w:sz w:val="22"/>
          <w:szCs w:val="22"/>
          <w:lang w:val="en-GB"/>
        </w:rPr>
        <w:t>NHS., 2025b. Scotland, P. H. (no date) </w:t>
      </w:r>
      <w:r w:rsidRPr="00192CEA">
        <w:rPr>
          <w:rFonts w:ascii="Arial" w:hAnsi="Arial" w:cs="Arial"/>
          <w:i/>
          <w:iCs/>
          <w:sz w:val="22"/>
          <w:szCs w:val="22"/>
          <w:lang w:val="en-GB"/>
        </w:rPr>
        <w:t xml:space="preserve">Ophthalmic workload </w:t>
      </w:r>
      <w:proofErr w:type="spellStart"/>
      <w:r w:rsidRPr="00192CEA">
        <w:rPr>
          <w:rFonts w:ascii="Arial" w:hAnsi="Arial" w:cs="Arial"/>
          <w:i/>
          <w:iCs/>
          <w:sz w:val="22"/>
          <w:szCs w:val="22"/>
          <w:lang w:val="en-GB"/>
        </w:rPr>
        <w:t>statisticsStatistics</w:t>
      </w:r>
      <w:proofErr w:type="spellEnd"/>
      <w:r w:rsidRPr="00192CEA">
        <w:rPr>
          <w:rFonts w:ascii="Arial" w:hAnsi="Arial" w:cs="Arial"/>
          <w:i/>
          <w:iCs/>
          <w:sz w:val="22"/>
          <w:szCs w:val="22"/>
          <w:lang w:val="en-GB"/>
        </w:rPr>
        <w:t xml:space="preserve"> as at year ending March 2025</w:t>
      </w:r>
      <w:r w:rsidRPr="00192CEA">
        <w:rPr>
          <w:rFonts w:ascii="Arial" w:hAnsi="Arial" w:cs="Arial"/>
          <w:sz w:val="22"/>
          <w:szCs w:val="22"/>
          <w:lang w:val="en-GB"/>
        </w:rPr>
        <w:t>, </w:t>
      </w:r>
      <w:r w:rsidRPr="00192CEA">
        <w:rPr>
          <w:rFonts w:ascii="Arial" w:hAnsi="Arial" w:cs="Arial"/>
          <w:i/>
          <w:iCs/>
          <w:sz w:val="22"/>
          <w:szCs w:val="22"/>
          <w:lang w:val="en-GB"/>
        </w:rPr>
        <w:t>Ophthalmic workload statistics - Statistics as at year ending March 2025 - Ophthalmic workload statistics - Publications - Public Health Scotland</w:t>
      </w:r>
      <w:r w:rsidRPr="00192CEA">
        <w:rPr>
          <w:rFonts w:ascii="Arial" w:hAnsi="Arial" w:cs="Arial"/>
          <w:sz w:val="22"/>
          <w:szCs w:val="22"/>
          <w:lang w:val="en-GB"/>
        </w:rPr>
        <w:t>. Available at: https://publichealthscotland.scot/publications/ophthalmic-workload-statistics/ophthalmic-workload-statistics-statistics-as-at-year-ending-march-2025/ (Accessed: 22 March 2026).</w:t>
      </w:r>
    </w:p>
    <w:p w14:paraId="4F580619" w14:textId="3B47855A" w:rsidR="00840188" w:rsidRPr="00DD6A86" w:rsidRDefault="00840188" w:rsidP="009E7C9D">
      <w:pPr>
        <w:spacing w:line="360" w:lineRule="auto"/>
        <w:ind w:left="720" w:hanging="720"/>
        <w:jc w:val="both"/>
        <w:rPr>
          <w:rFonts w:ascii="Arial" w:hAnsi="Arial" w:cs="Arial"/>
          <w:sz w:val="22"/>
          <w:szCs w:val="22"/>
          <w:lang w:val="en-GB"/>
        </w:rPr>
      </w:pPr>
      <w:r w:rsidRPr="00192CEA">
        <w:rPr>
          <w:rFonts w:ascii="Arial" w:hAnsi="Arial" w:cs="Arial"/>
          <w:sz w:val="22"/>
          <w:szCs w:val="22"/>
          <w:lang w:val="en-GB"/>
        </w:rPr>
        <w:t>NHS., 2025c. </w:t>
      </w:r>
      <w:r w:rsidRPr="00192CEA">
        <w:rPr>
          <w:rFonts w:ascii="Arial" w:hAnsi="Arial" w:cs="Arial"/>
          <w:i/>
          <w:iCs/>
          <w:sz w:val="22"/>
          <w:szCs w:val="22"/>
          <w:lang w:val="en-GB"/>
        </w:rPr>
        <w:t>NHS Choices</w:t>
      </w:r>
      <w:r w:rsidRPr="00192CEA">
        <w:rPr>
          <w:rFonts w:ascii="Arial" w:hAnsi="Arial" w:cs="Arial"/>
          <w:sz w:val="22"/>
          <w:szCs w:val="22"/>
          <w:lang w:val="en-GB"/>
        </w:rPr>
        <w:t>. NHS. Available at: https://www.nhs.uk/nhs-services/opticians/visiting-an-optician/ (Accessed: 22 March 2026</w:t>
      </w:r>
      <w:r w:rsidRPr="00DD6A86">
        <w:rPr>
          <w:rFonts w:ascii="Arial" w:hAnsi="Arial" w:cs="Arial"/>
          <w:sz w:val="22"/>
          <w:szCs w:val="22"/>
          <w:lang w:val="en-GB"/>
        </w:rPr>
        <w:t>).</w:t>
      </w:r>
    </w:p>
    <w:p w14:paraId="27A2F0CF" w14:textId="5733FFC2" w:rsidR="00840188" w:rsidRPr="00DD6A86" w:rsidRDefault="00840188" w:rsidP="009E7C9D">
      <w:pPr>
        <w:spacing w:line="360" w:lineRule="auto"/>
        <w:ind w:left="720" w:hanging="720"/>
        <w:jc w:val="both"/>
        <w:rPr>
          <w:rFonts w:ascii="Arial" w:hAnsi="Arial" w:cs="Arial"/>
          <w:sz w:val="22"/>
          <w:szCs w:val="22"/>
          <w:lang w:val="en-GB"/>
        </w:rPr>
      </w:pPr>
    </w:p>
    <w:p w14:paraId="30FCEC93" w14:textId="00E7AABE" w:rsidR="00840188" w:rsidRPr="00DD6A86" w:rsidRDefault="00840188" w:rsidP="009E7C9D">
      <w:pPr>
        <w:spacing w:line="360" w:lineRule="auto"/>
        <w:ind w:left="720" w:hanging="720"/>
        <w:jc w:val="both"/>
        <w:rPr>
          <w:rFonts w:ascii="Arial" w:hAnsi="Arial" w:cs="Arial"/>
          <w:sz w:val="22"/>
          <w:szCs w:val="22"/>
          <w:lang w:val="en-GB"/>
        </w:rPr>
      </w:pPr>
      <w:r w:rsidRPr="00DD6A86">
        <w:rPr>
          <w:rFonts w:ascii="Arial" w:hAnsi="Arial" w:cs="Arial"/>
          <w:sz w:val="22"/>
          <w:szCs w:val="22"/>
          <w:lang w:val="en-GB"/>
        </w:rPr>
        <w:t>Scheffer, M., Menting, J., Rausch</w:t>
      </w:r>
      <w:r w:rsidRPr="00DD6A86">
        <w:rPr>
          <w:rFonts w:ascii="Cambria Math" w:hAnsi="Cambria Math" w:cs="Cambria Math"/>
          <w:sz w:val="22"/>
          <w:szCs w:val="22"/>
          <w:lang w:val="en-GB"/>
        </w:rPr>
        <w:t>‐</w:t>
      </w:r>
      <w:r w:rsidRPr="00DD6A86">
        <w:rPr>
          <w:rFonts w:ascii="Arial" w:hAnsi="Arial" w:cs="Arial"/>
          <w:sz w:val="22"/>
          <w:szCs w:val="22"/>
          <w:lang w:val="en-GB"/>
        </w:rPr>
        <w:t xml:space="preserve">Koster, P., van </w:t>
      </w:r>
      <w:proofErr w:type="spellStart"/>
      <w:r w:rsidRPr="00DD6A86">
        <w:rPr>
          <w:rFonts w:ascii="Arial" w:hAnsi="Arial" w:cs="Arial"/>
          <w:sz w:val="22"/>
          <w:szCs w:val="22"/>
          <w:lang w:val="en-GB"/>
        </w:rPr>
        <w:t>Nispen</w:t>
      </w:r>
      <w:proofErr w:type="spellEnd"/>
      <w:r w:rsidRPr="00DD6A86">
        <w:rPr>
          <w:rFonts w:ascii="Arial" w:hAnsi="Arial" w:cs="Arial"/>
          <w:sz w:val="22"/>
          <w:szCs w:val="22"/>
          <w:lang w:val="en-GB"/>
        </w:rPr>
        <w:t xml:space="preserve">, R. and van </w:t>
      </w:r>
      <w:proofErr w:type="spellStart"/>
      <w:r w:rsidRPr="00DD6A86">
        <w:rPr>
          <w:rFonts w:ascii="Arial" w:hAnsi="Arial" w:cs="Arial"/>
          <w:sz w:val="22"/>
          <w:szCs w:val="22"/>
          <w:lang w:val="en-GB"/>
        </w:rPr>
        <w:t>Dulmen</w:t>
      </w:r>
      <w:proofErr w:type="spellEnd"/>
      <w:r w:rsidRPr="00DD6A86">
        <w:rPr>
          <w:rFonts w:ascii="Arial" w:hAnsi="Arial" w:cs="Arial"/>
          <w:sz w:val="22"/>
          <w:szCs w:val="22"/>
          <w:lang w:val="en-GB"/>
        </w:rPr>
        <w:t>, S., 2025. Looking beyond the eyes of the patient: The importance of effective communication in the treatment of age</w:t>
      </w:r>
      <w:r w:rsidRPr="00DD6A86">
        <w:rPr>
          <w:rFonts w:ascii="Cambria Math" w:hAnsi="Cambria Math" w:cs="Cambria Math"/>
          <w:sz w:val="22"/>
          <w:szCs w:val="22"/>
          <w:lang w:val="en-GB"/>
        </w:rPr>
        <w:t>‐</w:t>
      </w:r>
      <w:r w:rsidRPr="00DD6A86">
        <w:rPr>
          <w:rFonts w:ascii="Arial" w:hAnsi="Arial" w:cs="Arial"/>
          <w:sz w:val="22"/>
          <w:szCs w:val="22"/>
          <w:lang w:val="en-GB"/>
        </w:rPr>
        <w:t>related macular degeneration. </w:t>
      </w:r>
      <w:r w:rsidRPr="00DD6A86">
        <w:rPr>
          <w:rFonts w:ascii="Arial" w:hAnsi="Arial" w:cs="Arial"/>
          <w:i/>
          <w:iCs/>
          <w:sz w:val="22"/>
          <w:szCs w:val="22"/>
          <w:lang w:val="en-GB"/>
        </w:rPr>
        <w:t xml:space="preserve">Acta </w:t>
      </w:r>
      <w:proofErr w:type="spellStart"/>
      <w:r w:rsidRPr="00DD6A86">
        <w:rPr>
          <w:rFonts w:ascii="Arial" w:hAnsi="Arial" w:cs="Arial"/>
          <w:i/>
          <w:iCs/>
          <w:sz w:val="22"/>
          <w:szCs w:val="22"/>
          <w:lang w:val="en-GB"/>
        </w:rPr>
        <w:t>Ophthalmologica</w:t>
      </w:r>
      <w:proofErr w:type="spellEnd"/>
      <w:r w:rsidRPr="00DD6A86">
        <w:rPr>
          <w:rFonts w:ascii="Arial" w:hAnsi="Arial" w:cs="Arial"/>
          <w:sz w:val="22"/>
          <w:szCs w:val="22"/>
          <w:lang w:val="en-GB"/>
        </w:rPr>
        <w:t>, </w:t>
      </w:r>
      <w:r w:rsidRPr="00DD6A86">
        <w:rPr>
          <w:rFonts w:ascii="Arial" w:hAnsi="Arial" w:cs="Arial"/>
          <w:i/>
          <w:iCs/>
          <w:sz w:val="22"/>
          <w:szCs w:val="22"/>
          <w:lang w:val="en-GB"/>
        </w:rPr>
        <w:t>103</w:t>
      </w:r>
      <w:r w:rsidRPr="00DD6A86">
        <w:rPr>
          <w:rFonts w:ascii="Arial" w:hAnsi="Arial" w:cs="Arial"/>
          <w:sz w:val="22"/>
          <w:szCs w:val="22"/>
          <w:lang w:val="en-GB"/>
        </w:rPr>
        <w:t>(2), pp.205-214.</w:t>
      </w:r>
    </w:p>
    <w:p w14:paraId="720C7FCB" w14:textId="528DF8C3" w:rsidR="00840188" w:rsidRPr="00DD6A86" w:rsidRDefault="00840188" w:rsidP="009E7C9D">
      <w:pPr>
        <w:spacing w:line="360" w:lineRule="auto"/>
        <w:ind w:left="720" w:hanging="720"/>
        <w:jc w:val="both"/>
        <w:rPr>
          <w:rFonts w:ascii="Arial" w:hAnsi="Arial" w:cs="Arial"/>
          <w:sz w:val="22"/>
          <w:szCs w:val="22"/>
          <w:lang w:val="en-GB"/>
        </w:rPr>
      </w:pPr>
      <w:proofErr w:type="spellStart"/>
      <w:r w:rsidRPr="00DD6A86">
        <w:rPr>
          <w:rFonts w:ascii="Arial" w:hAnsi="Arial" w:cs="Arial"/>
          <w:sz w:val="22"/>
          <w:szCs w:val="22"/>
          <w:lang w:val="en-GB"/>
        </w:rPr>
        <w:t>Sermo</w:t>
      </w:r>
      <w:proofErr w:type="spellEnd"/>
      <w:r w:rsidRPr="00DD6A86">
        <w:rPr>
          <w:rFonts w:ascii="Arial" w:hAnsi="Arial" w:cs="Arial"/>
          <w:sz w:val="22"/>
          <w:szCs w:val="22"/>
          <w:lang w:val="en-GB"/>
        </w:rPr>
        <w:t xml:space="preserve">., 2025. </w:t>
      </w:r>
      <w:r w:rsidRPr="00DD6A86">
        <w:rPr>
          <w:rFonts w:ascii="Arial" w:hAnsi="Arial" w:cs="Arial"/>
          <w:i/>
          <w:iCs/>
          <w:sz w:val="22"/>
          <w:szCs w:val="22"/>
          <w:lang w:val="en-GB"/>
        </w:rPr>
        <w:t>Importance of effective communication in healthcare</w:t>
      </w:r>
      <w:r w:rsidRPr="00DD6A86">
        <w:rPr>
          <w:rFonts w:ascii="Arial" w:hAnsi="Arial" w:cs="Arial"/>
          <w:sz w:val="22"/>
          <w:szCs w:val="22"/>
          <w:lang w:val="en-GB"/>
        </w:rPr>
        <w:t>, </w:t>
      </w:r>
      <w:proofErr w:type="spellStart"/>
      <w:r w:rsidRPr="00DD6A86">
        <w:rPr>
          <w:rFonts w:ascii="Arial" w:hAnsi="Arial" w:cs="Arial"/>
          <w:i/>
          <w:iCs/>
          <w:sz w:val="22"/>
          <w:szCs w:val="22"/>
          <w:lang w:val="en-GB"/>
        </w:rPr>
        <w:t>Sermo</w:t>
      </w:r>
      <w:proofErr w:type="spellEnd"/>
      <w:r w:rsidRPr="00DD6A86">
        <w:rPr>
          <w:rFonts w:ascii="Arial" w:hAnsi="Arial" w:cs="Arial"/>
          <w:sz w:val="22"/>
          <w:szCs w:val="22"/>
          <w:lang w:val="en-GB"/>
        </w:rPr>
        <w:t>. Available at: https://www.sermo.com/en-gb/resources/importance-of-effective-communication-in-healthcare/ (Accessed: 22 March 2026).</w:t>
      </w:r>
    </w:p>
    <w:p w14:paraId="648F7805" w14:textId="2B8D4475" w:rsidR="00840188" w:rsidRPr="00DD6A86" w:rsidRDefault="00840188" w:rsidP="009E7C9D">
      <w:pPr>
        <w:spacing w:line="360" w:lineRule="auto"/>
        <w:ind w:left="720" w:hanging="720"/>
        <w:jc w:val="both"/>
        <w:rPr>
          <w:rFonts w:ascii="Arial" w:hAnsi="Arial" w:cs="Arial"/>
          <w:sz w:val="22"/>
          <w:szCs w:val="22"/>
          <w:lang w:val="en-GB"/>
        </w:rPr>
      </w:pPr>
      <w:r w:rsidRPr="00DD6A86">
        <w:rPr>
          <w:rFonts w:ascii="Arial" w:hAnsi="Arial" w:cs="Arial"/>
          <w:sz w:val="22"/>
          <w:szCs w:val="22"/>
          <w:lang w:val="en-GB"/>
        </w:rPr>
        <w:t>Sharbini, S., Abdul-Mumin, K.H. and McKenna, L., 2025. Ophthalmic care education and training in nursing: A scoping review. </w:t>
      </w:r>
      <w:r w:rsidRPr="00DD6A86">
        <w:rPr>
          <w:rFonts w:ascii="Arial" w:hAnsi="Arial" w:cs="Arial"/>
          <w:i/>
          <w:iCs/>
          <w:sz w:val="22"/>
          <w:szCs w:val="22"/>
          <w:lang w:val="en-GB"/>
        </w:rPr>
        <w:t>Nurse Education Today</w:t>
      </w:r>
      <w:r w:rsidRPr="00DD6A86">
        <w:rPr>
          <w:rFonts w:ascii="Arial" w:hAnsi="Arial" w:cs="Arial"/>
          <w:sz w:val="22"/>
          <w:szCs w:val="22"/>
          <w:lang w:val="en-GB"/>
        </w:rPr>
        <w:t>, </w:t>
      </w:r>
      <w:r w:rsidRPr="00DD6A86">
        <w:rPr>
          <w:rFonts w:ascii="Arial" w:hAnsi="Arial" w:cs="Arial"/>
          <w:i/>
          <w:iCs/>
          <w:sz w:val="22"/>
          <w:szCs w:val="22"/>
          <w:lang w:val="en-GB"/>
        </w:rPr>
        <w:t>144</w:t>
      </w:r>
      <w:r w:rsidRPr="00DD6A86">
        <w:rPr>
          <w:rFonts w:ascii="Arial" w:hAnsi="Arial" w:cs="Arial"/>
          <w:sz w:val="22"/>
          <w:szCs w:val="22"/>
          <w:lang w:val="en-GB"/>
        </w:rPr>
        <w:t>, p.106484.</w:t>
      </w:r>
    </w:p>
    <w:p w14:paraId="6EFC3998" w14:textId="658805DB" w:rsidR="00840188" w:rsidRPr="00DD6A86" w:rsidRDefault="00840188" w:rsidP="009E7C9D">
      <w:pPr>
        <w:spacing w:line="360" w:lineRule="auto"/>
        <w:ind w:left="720" w:hanging="720"/>
        <w:jc w:val="both"/>
        <w:rPr>
          <w:rFonts w:ascii="Arial" w:hAnsi="Arial" w:cs="Arial"/>
          <w:sz w:val="22"/>
          <w:szCs w:val="22"/>
          <w:lang w:val="en-GB"/>
        </w:rPr>
      </w:pPr>
      <w:r w:rsidRPr="00DD6A86">
        <w:rPr>
          <w:rFonts w:ascii="Arial" w:hAnsi="Arial" w:cs="Arial"/>
          <w:sz w:val="22"/>
          <w:szCs w:val="22"/>
          <w:lang w:val="en-GB"/>
        </w:rPr>
        <w:t xml:space="preserve">Shu, X., Wang, J. and Hu, L., 2019. A review of functional slit lamp </w:t>
      </w:r>
      <w:proofErr w:type="spellStart"/>
      <w:r w:rsidRPr="00DD6A86">
        <w:rPr>
          <w:rFonts w:ascii="Arial" w:hAnsi="Arial" w:cs="Arial"/>
          <w:sz w:val="22"/>
          <w:szCs w:val="22"/>
          <w:lang w:val="en-GB"/>
        </w:rPr>
        <w:t>biomicroscopy</w:t>
      </w:r>
      <w:proofErr w:type="spellEnd"/>
      <w:r w:rsidRPr="00DD6A86">
        <w:rPr>
          <w:rFonts w:ascii="Arial" w:hAnsi="Arial" w:cs="Arial"/>
          <w:sz w:val="22"/>
          <w:szCs w:val="22"/>
          <w:lang w:val="en-GB"/>
        </w:rPr>
        <w:t>. </w:t>
      </w:r>
      <w:r w:rsidRPr="00DD6A86">
        <w:rPr>
          <w:rFonts w:ascii="Arial" w:hAnsi="Arial" w:cs="Arial"/>
          <w:i/>
          <w:iCs/>
          <w:sz w:val="22"/>
          <w:szCs w:val="22"/>
          <w:lang w:val="en-GB"/>
        </w:rPr>
        <w:t>Eye and Vision</w:t>
      </w:r>
      <w:r w:rsidRPr="00DD6A86">
        <w:rPr>
          <w:rFonts w:ascii="Arial" w:hAnsi="Arial" w:cs="Arial"/>
          <w:sz w:val="22"/>
          <w:szCs w:val="22"/>
          <w:lang w:val="en-GB"/>
        </w:rPr>
        <w:t>, </w:t>
      </w:r>
      <w:r w:rsidRPr="00DD6A86">
        <w:rPr>
          <w:rFonts w:ascii="Arial" w:hAnsi="Arial" w:cs="Arial"/>
          <w:i/>
          <w:iCs/>
          <w:sz w:val="22"/>
          <w:szCs w:val="22"/>
          <w:lang w:val="en-GB"/>
        </w:rPr>
        <w:t>6</w:t>
      </w:r>
      <w:r w:rsidRPr="00DD6A86">
        <w:rPr>
          <w:rFonts w:ascii="Arial" w:hAnsi="Arial" w:cs="Arial"/>
          <w:sz w:val="22"/>
          <w:szCs w:val="22"/>
          <w:lang w:val="en-GB"/>
        </w:rPr>
        <w:t>(1), p.15.</w:t>
      </w:r>
    </w:p>
    <w:p w14:paraId="5D3A7DFE" w14:textId="2E559C18" w:rsidR="00840188" w:rsidRPr="00DD6A86" w:rsidRDefault="00840188" w:rsidP="009E7C9D">
      <w:pPr>
        <w:spacing w:line="360" w:lineRule="auto"/>
        <w:ind w:left="720" w:hanging="720"/>
        <w:jc w:val="both"/>
        <w:rPr>
          <w:rFonts w:ascii="Arial" w:hAnsi="Arial" w:cs="Arial"/>
          <w:sz w:val="22"/>
          <w:szCs w:val="22"/>
          <w:lang w:val="en-GB"/>
        </w:rPr>
      </w:pPr>
      <w:r w:rsidRPr="00DD6A86">
        <w:rPr>
          <w:rFonts w:ascii="Arial" w:hAnsi="Arial" w:cs="Arial"/>
          <w:sz w:val="22"/>
          <w:szCs w:val="22"/>
          <w:lang w:val="en-GB"/>
        </w:rPr>
        <w:lastRenderedPageBreak/>
        <w:t>Stein, J.D., Khawaja, A.P. and Weizer, J.S., 2021. Glaucoma in adults—screening, diagnosis, and management: a review. </w:t>
      </w:r>
      <w:r w:rsidRPr="00DD6A86">
        <w:rPr>
          <w:rFonts w:ascii="Arial" w:hAnsi="Arial" w:cs="Arial"/>
          <w:i/>
          <w:iCs/>
          <w:sz w:val="22"/>
          <w:szCs w:val="22"/>
          <w:lang w:val="en-GB"/>
        </w:rPr>
        <w:t>Jama</w:t>
      </w:r>
      <w:r w:rsidRPr="00DD6A86">
        <w:rPr>
          <w:rFonts w:ascii="Arial" w:hAnsi="Arial" w:cs="Arial"/>
          <w:sz w:val="22"/>
          <w:szCs w:val="22"/>
          <w:lang w:val="en-GB"/>
        </w:rPr>
        <w:t>, </w:t>
      </w:r>
      <w:r w:rsidRPr="00DD6A86">
        <w:rPr>
          <w:rFonts w:ascii="Arial" w:hAnsi="Arial" w:cs="Arial"/>
          <w:i/>
          <w:iCs/>
          <w:sz w:val="22"/>
          <w:szCs w:val="22"/>
          <w:lang w:val="en-GB"/>
        </w:rPr>
        <w:t>325</w:t>
      </w:r>
      <w:r w:rsidRPr="00DD6A86">
        <w:rPr>
          <w:rFonts w:ascii="Arial" w:hAnsi="Arial" w:cs="Arial"/>
          <w:sz w:val="22"/>
          <w:szCs w:val="22"/>
          <w:lang w:val="en-GB"/>
        </w:rPr>
        <w:t>(2), pp.164-174.</w:t>
      </w:r>
    </w:p>
    <w:p w14:paraId="28006A31" w14:textId="2A689B51" w:rsidR="00840188" w:rsidRPr="00DD6A86" w:rsidRDefault="00840188" w:rsidP="009E7C9D">
      <w:pPr>
        <w:spacing w:line="360" w:lineRule="auto"/>
        <w:ind w:left="720" w:hanging="720"/>
        <w:jc w:val="both"/>
        <w:rPr>
          <w:rFonts w:ascii="Arial" w:hAnsi="Arial" w:cs="Arial"/>
          <w:sz w:val="22"/>
          <w:szCs w:val="22"/>
          <w:lang w:val="en-GB"/>
        </w:rPr>
      </w:pPr>
      <w:r w:rsidRPr="00DD6A86">
        <w:rPr>
          <w:rFonts w:ascii="Arial" w:hAnsi="Arial" w:cs="Arial"/>
          <w:sz w:val="22"/>
          <w:szCs w:val="22"/>
          <w:lang w:val="en-GB"/>
        </w:rPr>
        <w:t>WHO.,</w:t>
      </w:r>
      <w:r w:rsidR="00192CEA">
        <w:rPr>
          <w:rFonts w:ascii="Arial" w:hAnsi="Arial" w:cs="Arial"/>
          <w:sz w:val="22"/>
          <w:szCs w:val="22"/>
          <w:lang w:val="en-GB"/>
        </w:rPr>
        <w:t xml:space="preserve"> </w:t>
      </w:r>
      <w:r w:rsidRPr="00DD6A86">
        <w:rPr>
          <w:rFonts w:ascii="Arial" w:hAnsi="Arial" w:cs="Arial"/>
          <w:sz w:val="22"/>
          <w:szCs w:val="22"/>
          <w:lang w:val="en-GB"/>
        </w:rPr>
        <w:t>2024. World report on vision. https://www.who.int/docs/default-source/documents/publications/world-vision-report-accessible.pdf</w:t>
      </w:r>
    </w:p>
    <w:sectPr w:rsidR="00840188" w:rsidRPr="00DD6A8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Cordia New">
    <w:panose1 w:val="020B0304020202020204"/>
    <w:charset w:val="DE"/>
    <w:family w:val="swiss"/>
    <w:pitch w:val="variable"/>
    <w:sig w:usb0="81000003" w:usb1="00000000" w:usb2="00000000" w:usb3="00000000" w:csb0="00010001" w:csb1="00000000"/>
  </w:font>
  <w:font w:name="Angsana New">
    <w:panose1 w:val="02020603050405020304"/>
    <w:charset w:val="DE"/>
    <w:family w:val="roman"/>
    <w:pitch w:val="variable"/>
    <w:sig w:usb0="81000003" w:usb1="00000000" w:usb2="00000000" w:usb3="00000000" w:csb0="00010001"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485A10"/>
    <w:multiLevelType w:val="multilevel"/>
    <w:tmpl w:val="B25A95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95427F"/>
    <w:multiLevelType w:val="multilevel"/>
    <w:tmpl w:val="7254718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40E36DE"/>
    <w:multiLevelType w:val="multilevel"/>
    <w:tmpl w:val="5EAC41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43B017D"/>
    <w:multiLevelType w:val="multilevel"/>
    <w:tmpl w:val="B3E853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7420F3C"/>
    <w:multiLevelType w:val="multilevel"/>
    <w:tmpl w:val="24AE88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C890A61"/>
    <w:multiLevelType w:val="multilevel"/>
    <w:tmpl w:val="DF0ED1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DB74A59"/>
    <w:multiLevelType w:val="multilevel"/>
    <w:tmpl w:val="E0A004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FC0758C"/>
    <w:multiLevelType w:val="multilevel"/>
    <w:tmpl w:val="7786C5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19E0D9D"/>
    <w:multiLevelType w:val="multilevel"/>
    <w:tmpl w:val="02D615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4292770"/>
    <w:multiLevelType w:val="multilevel"/>
    <w:tmpl w:val="7F6CE9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44A0982"/>
    <w:multiLevelType w:val="multilevel"/>
    <w:tmpl w:val="0100D4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6527E6B"/>
    <w:multiLevelType w:val="multilevel"/>
    <w:tmpl w:val="307455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8496A87"/>
    <w:multiLevelType w:val="multilevel"/>
    <w:tmpl w:val="064AC3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A3A4C5D"/>
    <w:multiLevelType w:val="multilevel"/>
    <w:tmpl w:val="B50C3B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1A944722"/>
    <w:multiLevelType w:val="multilevel"/>
    <w:tmpl w:val="3A5ADB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1FBD4F12"/>
    <w:multiLevelType w:val="multilevel"/>
    <w:tmpl w:val="788065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0077709"/>
    <w:multiLevelType w:val="multilevel"/>
    <w:tmpl w:val="CBC276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2B83655"/>
    <w:multiLevelType w:val="multilevel"/>
    <w:tmpl w:val="10BECD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79A7FAF"/>
    <w:multiLevelType w:val="multilevel"/>
    <w:tmpl w:val="67FC9D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2A6050BE"/>
    <w:multiLevelType w:val="multilevel"/>
    <w:tmpl w:val="B1EAF9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2E4F4F2F"/>
    <w:multiLevelType w:val="multilevel"/>
    <w:tmpl w:val="EE2248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3800563"/>
    <w:multiLevelType w:val="multilevel"/>
    <w:tmpl w:val="CD2CA9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3BE2D52"/>
    <w:multiLevelType w:val="multilevel"/>
    <w:tmpl w:val="9DAEB0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358F72DC"/>
    <w:multiLevelType w:val="multilevel"/>
    <w:tmpl w:val="50DA0D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384B66D2"/>
    <w:multiLevelType w:val="multilevel"/>
    <w:tmpl w:val="8C948D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3AF21C31"/>
    <w:multiLevelType w:val="multilevel"/>
    <w:tmpl w:val="5DBA10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3E8B12FE"/>
    <w:multiLevelType w:val="multilevel"/>
    <w:tmpl w:val="7B4A30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3EFF7ED6"/>
    <w:multiLevelType w:val="multilevel"/>
    <w:tmpl w:val="3AB6E6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1E659E0"/>
    <w:multiLevelType w:val="multilevel"/>
    <w:tmpl w:val="7B946B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43927F61"/>
    <w:multiLevelType w:val="multilevel"/>
    <w:tmpl w:val="FEFCB2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43BA6E6D"/>
    <w:multiLevelType w:val="multilevel"/>
    <w:tmpl w:val="101EB4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44216606"/>
    <w:multiLevelType w:val="multilevel"/>
    <w:tmpl w:val="72467D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480B20BE"/>
    <w:multiLevelType w:val="multilevel"/>
    <w:tmpl w:val="8E12B9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4988325E"/>
    <w:multiLevelType w:val="multilevel"/>
    <w:tmpl w:val="062E5C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4A3D42EF"/>
    <w:multiLevelType w:val="multilevel"/>
    <w:tmpl w:val="0F8A8C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4AD76DD8"/>
    <w:multiLevelType w:val="multilevel"/>
    <w:tmpl w:val="91329D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4D8522E7"/>
    <w:multiLevelType w:val="multilevel"/>
    <w:tmpl w:val="733C4C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4FC469FE"/>
    <w:multiLevelType w:val="multilevel"/>
    <w:tmpl w:val="264EE2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504E0BD0"/>
    <w:multiLevelType w:val="multilevel"/>
    <w:tmpl w:val="CFBC0A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545D4017"/>
    <w:multiLevelType w:val="multilevel"/>
    <w:tmpl w:val="09D0BC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5E2613B9"/>
    <w:multiLevelType w:val="multilevel"/>
    <w:tmpl w:val="ACDC09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5E9251AF"/>
    <w:multiLevelType w:val="multilevel"/>
    <w:tmpl w:val="F0F2F6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62256932"/>
    <w:multiLevelType w:val="multilevel"/>
    <w:tmpl w:val="F5320D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6981484E"/>
    <w:multiLevelType w:val="multilevel"/>
    <w:tmpl w:val="28327B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6D11793B"/>
    <w:multiLevelType w:val="multilevel"/>
    <w:tmpl w:val="5A3658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702D4CF7"/>
    <w:multiLevelType w:val="multilevel"/>
    <w:tmpl w:val="C8B20D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70D14045"/>
    <w:multiLevelType w:val="multilevel"/>
    <w:tmpl w:val="D3781B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70E26A10"/>
    <w:multiLevelType w:val="multilevel"/>
    <w:tmpl w:val="5C8E26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70ED787E"/>
    <w:multiLevelType w:val="multilevel"/>
    <w:tmpl w:val="980EBC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71B15E4E"/>
    <w:multiLevelType w:val="multilevel"/>
    <w:tmpl w:val="1DDA7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7420526D"/>
    <w:multiLevelType w:val="multilevel"/>
    <w:tmpl w:val="E51C0D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77525584"/>
    <w:multiLevelType w:val="multilevel"/>
    <w:tmpl w:val="E13424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 w15:restartNumberingAfterBreak="0">
    <w:nsid w:val="7939442E"/>
    <w:multiLevelType w:val="multilevel"/>
    <w:tmpl w:val="C240C3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3" w15:restartNumberingAfterBreak="0">
    <w:nsid w:val="7A404D42"/>
    <w:multiLevelType w:val="multilevel"/>
    <w:tmpl w:val="69AC7E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4" w15:restartNumberingAfterBreak="0">
    <w:nsid w:val="7AC06F9D"/>
    <w:multiLevelType w:val="multilevel"/>
    <w:tmpl w:val="49D84C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5" w15:restartNumberingAfterBreak="0">
    <w:nsid w:val="7E1075DD"/>
    <w:multiLevelType w:val="multilevel"/>
    <w:tmpl w:val="E17874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20082321">
    <w:abstractNumId w:val="31"/>
  </w:num>
  <w:num w:numId="2" w16cid:durableId="263346266">
    <w:abstractNumId w:val="19"/>
  </w:num>
  <w:num w:numId="3" w16cid:durableId="1255699710">
    <w:abstractNumId w:val="29"/>
  </w:num>
  <w:num w:numId="4" w16cid:durableId="1478914558">
    <w:abstractNumId w:val="9"/>
  </w:num>
  <w:num w:numId="5" w16cid:durableId="423768393">
    <w:abstractNumId w:val="47"/>
  </w:num>
  <w:num w:numId="6" w16cid:durableId="271134760">
    <w:abstractNumId w:val="51"/>
  </w:num>
  <w:num w:numId="7" w16cid:durableId="164172525">
    <w:abstractNumId w:val="20"/>
  </w:num>
  <w:num w:numId="8" w16cid:durableId="992024621">
    <w:abstractNumId w:val="27"/>
  </w:num>
  <w:num w:numId="9" w16cid:durableId="800420584">
    <w:abstractNumId w:val="13"/>
  </w:num>
  <w:num w:numId="10" w16cid:durableId="394477810">
    <w:abstractNumId w:val="48"/>
  </w:num>
  <w:num w:numId="11" w16cid:durableId="1357390420">
    <w:abstractNumId w:val="26"/>
  </w:num>
  <w:num w:numId="12" w16cid:durableId="689910273">
    <w:abstractNumId w:val="18"/>
  </w:num>
  <w:num w:numId="13" w16cid:durableId="2024548995">
    <w:abstractNumId w:val="16"/>
  </w:num>
  <w:num w:numId="14" w16cid:durableId="599872465">
    <w:abstractNumId w:val="17"/>
  </w:num>
  <w:num w:numId="15" w16cid:durableId="132407112">
    <w:abstractNumId w:val="21"/>
  </w:num>
  <w:num w:numId="16" w16cid:durableId="355036350">
    <w:abstractNumId w:val="8"/>
  </w:num>
  <w:num w:numId="17" w16cid:durableId="944922325">
    <w:abstractNumId w:val="55"/>
  </w:num>
  <w:num w:numId="18" w16cid:durableId="1604726156">
    <w:abstractNumId w:val="38"/>
  </w:num>
  <w:num w:numId="19" w16cid:durableId="472335767">
    <w:abstractNumId w:val="15"/>
  </w:num>
  <w:num w:numId="20" w16cid:durableId="914515217">
    <w:abstractNumId w:val="46"/>
  </w:num>
  <w:num w:numId="21" w16cid:durableId="1845198435">
    <w:abstractNumId w:val="14"/>
  </w:num>
  <w:num w:numId="22" w16cid:durableId="1995790497">
    <w:abstractNumId w:val="45"/>
  </w:num>
  <w:num w:numId="23" w16cid:durableId="53313075">
    <w:abstractNumId w:val="44"/>
  </w:num>
  <w:num w:numId="24" w16cid:durableId="196040499">
    <w:abstractNumId w:val="37"/>
  </w:num>
  <w:num w:numId="25" w16cid:durableId="47264017">
    <w:abstractNumId w:val="53"/>
  </w:num>
  <w:num w:numId="26" w16cid:durableId="1455098181">
    <w:abstractNumId w:val="4"/>
  </w:num>
  <w:num w:numId="27" w16cid:durableId="1181702653">
    <w:abstractNumId w:val="32"/>
  </w:num>
  <w:num w:numId="28" w16cid:durableId="2092048087">
    <w:abstractNumId w:val="54"/>
  </w:num>
  <w:num w:numId="29" w16cid:durableId="1197354517">
    <w:abstractNumId w:val="40"/>
  </w:num>
  <w:num w:numId="30" w16cid:durableId="599534370">
    <w:abstractNumId w:val="12"/>
  </w:num>
  <w:num w:numId="31" w16cid:durableId="2115591861">
    <w:abstractNumId w:val="52"/>
  </w:num>
  <w:num w:numId="32" w16cid:durableId="1308392207">
    <w:abstractNumId w:val="5"/>
  </w:num>
  <w:num w:numId="33" w16cid:durableId="612782550">
    <w:abstractNumId w:val="39"/>
  </w:num>
  <w:num w:numId="34" w16cid:durableId="1223637732">
    <w:abstractNumId w:val="24"/>
  </w:num>
  <w:num w:numId="35" w16cid:durableId="499586702">
    <w:abstractNumId w:val="2"/>
  </w:num>
  <w:num w:numId="36" w16cid:durableId="769549669">
    <w:abstractNumId w:val="3"/>
  </w:num>
  <w:num w:numId="37" w16cid:durableId="800000235">
    <w:abstractNumId w:val="6"/>
  </w:num>
  <w:num w:numId="38" w16cid:durableId="2146463836">
    <w:abstractNumId w:val="30"/>
  </w:num>
  <w:num w:numId="39" w16cid:durableId="777454338">
    <w:abstractNumId w:val="35"/>
  </w:num>
  <w:num w:numId="40" w16cid:durableId="1986278301">
    <w:abstractNumId w:val="1"/>
  </w:num>
  <w:num w:numId="41" w16cid:durableId="878129597">
    <w:abstractNumId w:val="25"/>
  </w:num>
  <w:num w:numId="42" w16cid:durableId="1710447364">
    <w:abstractNumId w:val="43"/>
  </w:num>
  <w:num w:numId="43" w16cid:durableId="1393457468">
    <w:abstractNumId w:val="42"/>
  </w:num>
  <w:num w:numId="44" w16cid:durableId="1465808808">
    <w:abstractNumId w:val="28"/>
  </w:num>
  <w:num w:numId="45" w16cid:durableId="2082098502">
    <w:abstractNumId w:val="22"/>
  </w:num>
  <w:num w:numId="46" w16cid:durableId="665403775">
    <w:abstractNumId w:val="34"/>
  </w:num>
  <w:num w:numId="47" w16cid:durableId="1890022467">
    <w:abstractNumId w:val="41"/>
  </w:num>
  <w:num w:numId="48" w16cid:durableId="1324091540">
    <w:abstractNumId w:val="0"/>
  </w:num>
  <w:num w:numId="49" w16cid:durableId="932593190">
    <w:abstractNumId w:val="33"/>
  </w:num>
  <w:num w:numId="50" w16cid:durableId="1457523422">
    <w:abstractNumId w:val="50"/>
  </w:num>
  <w:num w:numId="51" w16cid:durableId="116727144">
    <w:abstractNumId w:val="10"/>
  </w:num>
  <w:num w:numId="52" w16cid:durableId="728384485">
    <w:abstractNumId w:val="36"/>
  </w:num>
  <w:num w:numId="53" w16cid:durableId="1943145580">
    <w:abstractNumId w:val="49"/>
  </w:num>
  <w:num w:numId="54" w16cid:durableId="1349674317">
    <w:abstractNumId w:val="23"/>
  </w:num>
  <w:num w:numId="55" w16cid:durableId="453600993">
    <w:abstractNumId w:val="7"/>
  </w:num>
  <w:num w:numId="56" w16cid:durableId="541673293">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0DEE"/>
    <w:rsid w:val="00025ED8"/>
    <w:rsid w:val="00027112"/>
    <w:rsid w:val="00034027"/>
    <w:rsid w:val="00043964"/>
    <w:rsid w:val="00054EC5"/>
    <w:rsid w:val="00065CB2"/>
    <w:rsid w:val="00077C44"/>
    <w:rsid w:val="00092C85"/>
    <w:rsid w:val="000948DE"/>
    <w:rsid w:val="000A35C9"/>
    <w:rsid w:val="000B16FE"/>
    <w:rsid w:val="000D1BC8"/>
    <w:rsid w:val="000D4B42"/>
    <w:rsid w:val="000F4E70"/>
    <w:rsid w:val="0010763E"/>
    <w:rsid w:val="00174424"/>
    <w:rsid w:val="00186D70"/>
    <w:rsid w:val="00192CEA"/>
    <w:rsid w:val="001B5C94"/>
    <w:rsid w:val="001C0079"/>
    <w:rsid w:val="001C08D3"/>
    <w:rsid w:val="001C3F46"/>
    <w:rsid w:val="001F3EB1"/>
    <w:rsid w:val="0022742C"/>
    <w:rsid w:val="0023253A"/>
    <w:rsid w:val="002609FE"/>
    <w:rsid w:val="00276D9F"/>
    <w:rsid w:val="00292BA1"/>
    <w:rsid w:val="002A2BC0"/>
    <w:rsid w:val="002B414B"/>
    <w:rsid w:val="002D7587"/>
    <w:rsid w:val="002F5C3F"/>
    <w:rsid w:val="00330E55"/>
    <w:rsid w:val="00346095"/>
    <w:rsid w:val="003A79E8"/>
    <w:rsid w:val="003D59FD"/>
    <w:rsid w:val="003D72A2"/>
    <w:rsid w:val="003E0B1C"/>
    <w:rsid w:val="003F583C"/>
    <w:rsid w:val="00405219"/>
    <w:rsid w:val="00454A99"/>
    <w:rsid w:val="0045553C"/>
    <w:rsid w:val="0046426C"/>
    <w:rsid w:val="004713A9"/>
    <w:rsid w:val="004744EE"/>
    <w:rsid w:val="004838B4"/>
    <w:rsid w:val="004A062C"/>
    <w:rsid w:val="004B0A2C"/>
    <w:rsid w:val="00500150"/>
    <w:rsid w:val="00501ADC"/>
    <w:rsid w:val="005074CD"/>
    <w:rsid w:val="00526C1B"/>
    <w:rsid w:val="0055105B"/>
    <w:rsid w:val="00563E6D"/>
    <w:rsid w:val="00565C6B"/>
    <w:rsid w:val="00571B76"/>
    <w:rsid w:val="0058777F"/>
    <w:rsid w:val="005A1F0F"/>
    <w:rsid w:val="005B7AA3"/>
    <w:rsid w:val="005D0C7B"/>
    <w:rsid w:val="005E5CA4"/>
    <w:rsid w:val="006171F0"/>
    <w:rsid w:val="0062537E"/>
    <w:rsid w:val="00651985"/>
    <w:rsid w:val="00663015"/>
    <w:rsid w:val="006654B1"/>
    <w:rsid w:val="006A51D4"/>
    <w:rsid w:val="006A7111"/>
    <w:rsid w:val="00704D42"/>
    <w:rsid w:val="00712F3E"/>
    <w:rsid w:val="00712F58"/>
    <w:rsid w:val="00713393"/>
    <w:rsid w:val="007356D7"/>
    <w:rsid w:val="007375ED"/>
    <w:rsid w:val="00757AA3"/>
    <w:rsid w:val="00777327"/>
    <w:rsid w:val="007A571B"/>
    <w:rsid w:val="007B571C"/>
    <w:rsid w:val="007D671D"/>
    <w:rsid w:val="007E2368"/>
    <w:rsid w:val="007F0079"/>
    <w:rsid w:val="00840188"/>
    <w:rsid w:val="00846F9D"/>
    <w:rsid w:val="008766B7"/>
    <w:rsid w:val="00891708"/>
    <w:rsid w:val="0089639D"/>
    <w:rsid w:val="008B3B1B"/>
    <w:rsid w:val="008C0D32"/>
    <w:rsid w:val="008E4493"/>
    <w:rsid w:val="008E721B"/>
    <w:rsid w:val="008F381C"/>
    <w:rsid w:val="00931418"/>
    <w:rsid w:val="00933C31"/>
    <w:rsid w:val="00972212"/>
    <w:rsid w:val="009B79B5"/>
    <w:rsid w:val="009E7C9D"/>
    <w:rsid w:val="009F3FDA"/>
    <w:rsid w:val="00A02088"/>
    <w:rsid w:val="00A05126"/>
    <w:rsid w:val="00A30737"/>
    <w:rsid w:val="00A3104E"/>
    <w:rsid w:val="00A31083"/>
    <w:rsid w:val="00A34325"/>
    <w:rsid w:val="00A5200B"/>
    <w:rsid w:val="00A62434"/>
    <w:rsid w:val="00A631BF"/>
    <w:rsid w:val="00A634FB"/>
    <w:rsid w:val="00A64BFA"/>
    <w:rsid w:val="00A73B81"/>
    <w:rsid w:val="00A81FC7"/>
    <w:rsid w:val="00A84704"/>
    <w:rsid w:val="00AD0EA3"/>
    <w:rsid w:val="00AD4E29"/>
    <w:rsid w:val="00AD5F4A"/>
    <w:rsid w:val="00AD6F72"/>
    <w:rsid w:val="00AF57E6"/>
    <w:rsid w:val="00B00BCB"/>
    <w:rsid w:val="00B0134F"/>
    <w:rsid w:val="00B06885"/>
    <w:rsid w:val="00B41208"/>
    <w:rsid w:val="00B4513D"/>
    <w:rsid w:val="00B57272"/>
    <w:rsid w:val="00BA19EC"/>
    <w:rsid w:val="00BB39A4"/>
    <w:rsid w:val="00BB43E3"/>
    <w:rsid w:val="00BC52D7"/>
    <w:rsid w:val="00BD1920"/>
    <w:rsid w:val="00BF136F"/>
    <w:rsid w:val="00C15817"/>
    <w:rsid w:val="00C23EA6"/>
    <w:rsid w:val="00C26F62"/>
    <w:rsid w:val="00C4129D"/>
    <w:rsid w:val="00C62601"/>
    <w:rsid w:val="00C65A80"/>
    <w:rsid w:val="00C740E7"/>
    <w:rsid w:val="00C76660"/>
    <w:rsid w:val="00CA661E"/>
    <w:rsid w:val="00CC0A2B"/>
    <w:rsid w:val="00CC1A52"/>
    <w:rsid w:val="00CD0DEE"/>
    <w:rsid w:val="00CD79C5"/>
    <w:rsid w:val="00CF4D6D"/>
    <w:rsid w:val="00CF5ACB"/>
    <w:rsid w:val="00D27EB2"/>
    <w:rsid w:val="00D31903"/>
    <w:rsid w:val="00D439FD"/>
    <w:rsid w:val="00D441E5"/>
    <w:rsid w:val="00D66196"/>
    <w:rsid w:val="00D66477"/>
    <w:rsid w:val="00DB58B7"/>
    <w:rsid w:val="00DC55A9"/>
    <w:rsid w:val="00DD0CC9"/>
    <w:rsid w:val="00DD6A86"/>
    <w:rsid w:val="00DE2F83"/>
    <w:rsid w:val="00DF016A"/>
    <w:rsid w:val="00E053A3"/>
    <w:rsid w:val="00E16E1F"/>
    <w:rsid w:val="00E23318"/>
    <w:rsid w:val="00E30694"/>
    <w:rsid w:val="00E340BF"/>
    <w:rsid w:val="00E422BD"/>
    <w:rsid w:val="00E4568B"/>
    <w:rsid w:val="00E613DC"/>
    <w:rsid w:val="00E63BE6"/>
    <w:rsid w:val="00E645EB"/>
    <w:rsid w:val="00E82F93"/>
    <w:rsid w:val="00EC1ED0"/>
    <w:rsid w:val="00ED096B"/>
    <w:rsid w:val="00ED0CAC"/>
    <w:rsid w:val="00ED1DAA"/>
    <w:rsid w:val="00ED2004"/>
    <w:rsid w:val="00EE6799"/>
    <w:rsid w:val="00EE7F0C"/>
    <w:rsid w:val="00EF2ABD"/>
    <w:rsid w:val="00F16712"/>
    <w:rsid w:val="00F52A67"/>
    <w:rsid w:val="00F575C1"/>
    <w:rsid w:val="00F760F1"/>
    <w:rsid w:val="00F83BEA"/>
    <w:rsid w:val="00F926AD"/>
    <w:rsid w:val="00FA4668"/>
    <w:rsid w:val="00FB2F52"/>
    <w:rsid w:val="00FC0347"/>
    <w:rsid w:val="00FC07F1"/>
    <w:rsid w:val="00FC67E7"/>
    <w:rsid w:val="00FD3F15"/>
    <w:rsid w:val="00FD5A75"/>
    <w:rsid w:val="00FD6C46"/>
  </w:rsids>
  <m:mathPr>
    <m:mathFont m:val="Cambria Math"/>
    <m:brkBin m:val="before"/>
    <m:brkBinSub m:val="--"/>
    <m:smallFrac m:val="0"/>
    <m:dispDef/>
    <m:lMargin m:val="0"/>
    <m:rMargin m:val="0"/>
    <m:defJc m:val="centerGroup"/>
    <m:wrapIndent m:val="1440"/>
    <m:intLim m:val="subSup"/>
    <m:naryLim m:val="undOvr"/>
  </m:mathPr>
  <w:themeFontLang w:val="en-US" w:bidi="th-TH"/>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38DB67"/>
  <w15:chartTrackingRefBased/>
  <w15:docId w15:val="{79E156D9-1F19-4B0A-869A-089B132860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D0DEE"/>
  </w:style>
  <w:style w:type="paragraph" w:styleId="Heading1">
    <w:name w:val="heading 1"/>
    <w:basedOn w:val="Normal"/>
    <w:next w:val="Normal"/>
    <w:link w:val="Heading1Char"/>
    <w:uiPriority w:val="9"/>
    <w:qFormat/>
    <w:rsid w:val="00CD0DEE"/>
    <w:pPr>
      <w:keepNext/>
      <w:keepLines/>
      <w:spacing w:before="360" w:after="80"/>
      <w:outlineLvl w:val="0"/>
    </w:pPr>
    <w:rPr>
      <w:rFonts w:ascii="Times New Roman" w:eastAsiaTheme="majorEastAsia" w:hAnsi="Times New Roman" w:cs="Times New Roman"/>
      <w:b/>
      <w:bCs/>
      <w:color w:val="000000" w:themeColor="text1"/>
    </w:rPr>
  </w:style>
  <w:style w:type="paragraph" w:styleId="Heading2">
    <w:name w:val="heading 2"/>
    <w:basedOn w:val="Normal"/>
    <w:next w:val="Normal"/>
    <w:link w:val="Heading2Char"/>
    <w:uiPriority w:val="9"/>
    <w:unhideWhenUsed/>
    <w:qFormat/>
    <w:rsid w:val="00B4513D"/>
    <w:pPr>
      <w:spacing w:line="240" w:lineRule="auto"/>
      <w:outlineLvl w:val="1"/>
    </w:pPr>
    <w:rPr>
      <w:rFonts w:ascii="Times New Roman" w:hAnsi="Times New Roman" w:cs="Times New Roman"/>
      <w:b/>
      <w:bCs/>
      <w:color w:val="000000" w:themeColor="text1"/>
    </w:rPr>
  </w:style>
  <w:style w:type="paragraph" w:styleId="Heading3">
    <w:name w:val="heading 3"/>
    <w:basedOn w:val="Normal"/>
    <w:next w:val="Normal"/>
    <w:link w:val="Heading3Char"/>
    <w:uiPriority w:val="9"/>
    <w:semiHidden/>
    <w:unhideWhenUsed/>
    <w:qFormat/>
    <w:rsid w:val="00CD0DE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D0DE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D0DE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D0DE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D0DE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D0DE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D0DE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D0DEE"/>
    <w:rPr>
      <w:rFonts w:ascii="Times New Roman" w:eastAsiaTheme="majorEastAsia" w:hAnsi="Times New Roman" w:cs="Times New Roman"/>
      <w:b/>
      <w:bCs/>
      <w:color w:val="000000" w:themeColor="text1"/>
    </w:rPr>
  </w:style>
  <w:style w:type="character" w:customStyle="1" w:styleId="Heading2Char">
    <w:name w:val="Heading 2 Char"/>
    <w:basedOn w:val="DefaultParagraphFont"/>
    <w:link w:val="Heading2"/>
    <w:uiPriority w:val="9"/>
    <w:rsid w:val="00B4513D"/>
    <w:rPr>
      <w:rFonts w:ascii="Times New Roman" w:hAnsi="Times New Roman" w:cs="Times New Roman"/>
      <w:b/>
      <w:bCs/>
      <w:color w:val="000000" w:themeColor="text1"/>
    </w:rPr>
  </w:style>
  <w:style w:type="character" w:customStyle="1" w:styleId="Heading3Char">
    <w:name w:val="Heading 3 Char"/>
    <w:basedOn w:val="DefaultParagraphFont"/>
    <w:link w:val="Heading3"/>
    <w:uiPriority w:val="9"/>
    <w:semiHidden/>
    <w:rsid w:val="00CD0DE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D0DE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D0DE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D0DE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D0DE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D0DE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D0DEE"/>
    <w:rPr>
      <w:rFonts w:eastAsiaTheme="majorEastAsia" w:cstheme="majorBidi"/>
      <w:color w:val="272727" w:themeColor="text1" w:themeTint="D8"/>
    </w:rPr>
  </w:style>
  <w:style w:type="paragraph" w:styleId="Title">
    <w:name w:val="Title"/>
    <w:basedOn w:val="Normal"/>
    <w:next w:val="Normal"/>
    <w:link w:val="TitleChar"/>
    <w:uiPriority w:val="10"/>
    <w:qFormat/>
    <w:rsid w:val="00CD0DE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D0DE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D0DE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D0DE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D0DEE"/>
    <w:pPr>
      <w:spacing w:before="160"/>
      <w:jc w:val="center"/>
    </w:pPr>
    <w:rPr>
      <w:i/>
      <w:iCs/>
      <w:color w:val="404040" w:themeColor="text1" w:themeTint="BF"/>
    </w:rPr>
  </w:style>
  <w:style w:type="character" w:customStyle="1" w:styleId="QuoteChar">
    <w:name w:val="Quote Char"/>
    <w:basedOn w:val="DefaultParagraphFont"/>
    <w:link w:val="Quote"/>
    <w:uiPriority w:val="29"/>
    <w:rsid w:val="00CD0DEE"/>
    <w:rPr>
      <w:i/>
      <w:iCs/>
      <w:color w:val="404040" w:themeColor="text1" w:themeTint="BF"/>
    </w:rPr>
  </w:style>
  <w:style w:type="paragraph" w:styleId="ListParagraph">
    <w:name w:val="List Paragraph"/>
    <w:basedOn w:val="Normal"/>
    <w:uiPriority w:val="34"/>
    <w:qFormat/>
    <w:rsid w:val="00CD0DEE"/>
    <w:pPr>
      <w:ind w:left="720"/>
      <w:contextualSpacing/>
    </w:pPr>
  </w:style>
  <w:style w:type="character" w:styleId="IntenseEmphasis">
    <w:name w:val="Intense Emphasis"/>
    <w:basedOn w:val="DefaultParagraphFont"/>
    <w:uiPriority w:val="21"/>
    <w:qFormat/>
    <w:rsid w:val="00CD0DEE"/>
    <w:rPr>
      <w:i/>
      <w:iCs/>
      <w:color w:val="0F4761" w:themeColor="accent1" w:themeShade="BF"/>
    </w:rPr>
  </w:style>
  <w:style w:type="paragraph" w:styleId="IntenseQuote">
    <w:name w:val="Intense Quote"/>
    <w:basedOn w:val="Normal"/>
    <w:next w:val="Normal"/>
    <w:link w:val="IntenseQuoteChar"/>
    <w:uiPriority w:val="30"/>
    <w:qFormat/>
    <w:rsid w:val="00CD0DE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D0DEE"/>
    <w:rPr>
      <w:i/>
      <w:iCs/>
      <w:color w:val="0F4761" w:themeColor="accent1" w:themeShade="BF"/>
    </w:rPr>
  </w:style>
  <w:style w:type="character" w:styleId="IntenseReference">
    <w:name w:val="Intense Reference"/>
    <w:basedOn w:val="DefaultParagraphFont"/>
    <w:uiPriority w:val="32"/>
    <w:qFormat/>
    <w:rsid w:val="00CD0DEE"/>
    <w:rPr>
      <w:b/>
      <w:bCs/>
      <w:smallCaps/>
      <w:color w:val="0F4761" w:themeColor="accent1" w:themeShade="BF"/>
      <w:spacing w:val="5"/>
    </w:rPr>
  </w:style>
  <w:style w:type="paragraph" w:styleId="Caption">
    <w:name w:val="caption"/>
    <w:basedOn w:val="Normal"/>
    <w:next w:val="Normal"/>
    <w:uiPriority w:val="35"/>
    <w:unhideWhenUsed/>
    <w:qFormat/>
    <w:rsid w:val="00FB2F52"/>
    <w:pPr>
      <w:spacing w:after="200" w:line="240" w:lineRule="auto"/>
    </w:pPr>
    <w:rPr>
      <w:i/>
      <w:iCs/>
      <w:color w:val="0E2841" w:themeColor="text2"/>
      <w:sz w:val="18"/>
      <w:szCs w:val="18"/>
    </w:rPr>
  </w:style>
  <w:style w:type="character" w:styleId="Hyperlink">
    <w:name w:val="Hyperlink"/>
    <w:basedOn w:val="DefaultParagraphFont"/>
    <w:uiPriority w:val="99"/>
    <w:unhideWhenUsed/>
    <w:rsid w:val="00E63BE6"/>
    <w:rPr>
      <w:color w:val="467886" w:themeColor="hyperlink"/>
      <w:u w:val="single"/>
    </w:rPr>
  </w:style>
  <w:style w:type="character" w:styleId="UnresolvedMention">
    <w:name w:val="Unresolved Mention"/>
    <w:basedOn w:val="DefaultParagraphFont"/>
    <w:uiPriority w:val="99"/>
    <w:semiHidden/>
    <w:unhideWhenUsed/>
    <w:rsid w:val="00E63BE6"/>
    <w:rPr>
      <w:color w:val="605E5C"/>
      <w:shd w:val="clear" w:color="auto" w:fill="E1DFDD"/>
    </w:rPr>
  </w:style>
  <w:style w:type="table" w:styleId="TableGrid">
    <w:name w:val="Table Grid"/>
    <w:basedOn w:val="TableNormal"/>
    <w:uiPriority w:val="39"/>
    <w:rsid w:val="008766B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840188"/>
    <w:pPr>
      <w:spacing w:before="240" w:after="0" w:line="259" w:lineRule="auto"/>
      <w:outlineLvl w:val="9"/>
    </w:pPr>
    <w:rPr>
      <w:rFonts w:asciiTheme="majorHAnsi" w:hAnsiTheme="majorHAnsi" w:cstheme="majorBidi"/>
      <w:b w:val="0"/>
      <w:bCs w:val="0"/>
      <w:color w:val="0F4761" w:themeColor="accent1" w:themeShade="BF"/>
      <w:kern w:val="0"/>
      <w:sz w:val="32"/>
      <w:szCs w:val="32"/>
      <w14:ligatures w14:val="none"/>
    </w:rPr>
  </w:style>
  <w:style w:type="paragraph" w:styleId="TOC1">
    <w:name w:val="toc 1"/>
    <w:basedOn w:val="Normal"/>
    <w:next w:val="Normal"/>
    <w:autoRedefine/>
    <w:uiPriority w:val="39"/>
    <w:unhideWhenUsed/>
    <w:rsid w:val="00840188"/>
    <w:pPr>
      <w:spacing w:after="100"/>
    </w:pPr>
  </w:style>
  <w:style w:type="paragraph" w:styleId="TOC2">
    <w:name w:val="toc 2"/>
    <w:basedOn w:val="Normal"/>
    <w:next w:val="Normal"/>
    <w:autoRedefine/>
    <w:uiPriority w:val="39"/>
    <w:unhideWhenUsed/>
    <w:rsid w:val="00840188"/>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www.rawpixel.com/image/258955/eye-examination" TargetMode="External"/><Relationship Id="rId12" Type="http://schemas.openxmlformats.org/officeDocument/2006/relationships/hyperlink" Target="https://link.springer.com/book/10.1007/b97494"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5.png"/><Relationship Id="rId5" Type="http://schemas.openxmlformats.org/officeDocument/2006/relationships/webSettings" Target="webSettings.xml"/><Relationship Id="rId10" Type="http://schemas.openxmlformats.org/officeDocument/2006/relationships/image" Target="media/image4.jpeg"/><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74114DF-C08B-4F8C-9DF7-BB2F052E3F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11</Pages>
  <Words>1987</Words>
  <Characters>11328</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 user</dc:creator>
  <cp:keywords/>
  <dc:description/>
  <cp:lastModifiedBy>Valentino Rodriguez Fernando (2532545)</cp:lastModifiedBy>
  <cp:revision>2</cp:revision>
  <dcterms:created xsi:type="dcterms:W3CDTF">2026-04-14T21:22:00Z</dcterms:created>
  <dcterms:modified xsi:type="dcterms:W3CDTF">2026-04-14T21:22:00Z</dcterms:modified>
</cp:coreProperties>
</file>