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71D8" w:rsidRPr="00784035" w:rsidRDefault="001771D8" w:rsidP="00784035">
      <w:pPr>
        <w:pStyle w:val="ListParagraph"/>
        <w:numPr>
          <w:ilvl w:val="0"/>
          <w:numId w:val="2"/>
        </w:numPr>
        <w:rPr>
          <w:b/>
          <w:i/>
        </w:rPr>
      </w:pPr>
      <w:r w:rsidRPr="00784035">
        <w:rPr>
          <w:b/>
          <w:i/>
        </w:rPr>
        <w:t>Directive 2010/99 prov</w:t>
      </w:r>
      <w:bookmarkStart w:id="0" w:name="_GoBack"/>
      <w:bookmarkEnd w:id="0"/>
      <w:r w:rsidRPr="00784035">
        <w:rPr>
          <w:b/>
          <w:i/>
        </w:rPr>
        <w:t>ides that, where ovens are used in commercial kitchens, they should conform to the detailed technical specifications laid down in the Directive and that staff who use such ovens should be given written details of the dangers associated with their use.</w:t>
      </w:r>
    </w:p>
    <w:p w:rsidR="001771D8" w:rsidRPr="002F3601" w:rsidRDefault="001771D8" w:rsidP="001771D8">
      <w:pPr>
        <w:rPr>
          <w:b/>
          <w:i/>
        </w:rPr>
      </w:pPr>
      <w:r w:rsidRPr="002F3601">
        <w:rPr>
          <w:b/>
          <w:i/>
        </w:rPr>
        <w:t xml:space="preserve">John and his wife </w:t>
      </w:r>
      <w:proofErr w:type="spellStart"/>
      <w:r w:rsidRPr="002F3601">
        <w:rPr>
          <w:b/>
          <w:i/>
        </w:rPr>
        <w:t>Kamlesh</w:t>
      </w:r>
      <w:proofErr w:type="spellEnd"/>
      <w:r w:rsidRPr="002F3601">
        <w:rPr>
          <w:b/>
          <w:i/>
        </w:rPr>
        <w:t xml:space="preserve"> are both professional chefs in the United Kingdom. John works in the canteen of the local council, while </w:t>
      </w:r>
      <w:proofErr w:type="spellStart"/>
      <w:r w:rsidRPr="002F3601">
        <w:rPr>
          <w:b/>
          <w:i/>
        </w:rPr>
        <w:t>Kamlesh</w:t>
      </w:r>
      <w:proofErr w:type="spellEnd"/>
      <w:r w:rsidRPr="002F3601">
        <w:rPr>
          <w:b/>
          <w:i/>
        </w:rPr>
        <w:t xml:space="preserve"> works in the restaurant of an exclusive country house hotel. Both have suffered from burns caused by gas ovens in the kitchens at work. </w:t>
      </w:r>
      <w:proofErr w:type="spellStart"/>
      <w:r w:rsidRPr="002F3601">
        <w:rPr>
          <w:b/>
          <w:i/>
        </w:rPr>
        <w:t>Kamlesh</w:t>
      </w:r>
      <w:proofErr w:type="spellEnd"/>
      <w:r w:rsidRPr="002F3601">
        <w:rPr>
          <w:b/>
          <w:i/>
        </w:rPr>
        <w:t xml:space="preserve"> has been unable to work for eight weeks as a result of serious burns to her hands and arms. She believes that these were caused by the failure of an oven in the restaurant kitchen to comply with specifications as to temperature controls laid down in the Directive. John has had to purchase expensive lotions to apply to burns he has suffered on his face because the oven in the canteen had a tendency to overheat. He had received no written warning of this risk, although his boss had mentioned that the oven was temperamental.</w:t>
      </w:r>
    </w:p>
    <w:p w:rsidR="001771D8" w:rsidRPr="002F3601" w:rsidRDefault="001771D8" w:rsidP="001771D8">
      <w:pPr>
        <w:rPr>
          <w:b/>
          <w:i/>
        </w:rPr>
      </w:pPr>
      <w:r w:rsidRPr="002F3601">
        <w:rPr>
          <w:b/>
          <w:i/>
        </w:rPr>
        <w:t xml:space="preserve">None of the gas ovens at the local council canteen or the country house hotel complies with the specifications laid down in the Directive and the burns would not have happened had the ovens complied with the specifications in the Directive. Neither John nor </w:t>
      </w:r>
      <w:proofErr w:type="spellStart"/>
      <w:r w:rsidRPr="002F3601">
        <w:rPr>
          <w:b/>
          <w:i/>
        </w:rPr>
        <w:t>Kamlesh</w:t>
      </w:r>
      <w:proofErr w:type="spellEnd"/>
      <w:r w:rsidRPr="002F3601">
        <w:rPr>
          <w:b/>
          <w:i/>
        </w:rPr>
        <w:t xml:space="preserve"> were given any written details of the dangers. Both employers point out that under the (fictitious) Catering Act 1994 (‘the Act’) ovens used in commercial kitchens are subject to legal regulation. In relation to such ovens, the Act itself requires that either a written or oral warning of the dangers of their use be given to staff using them.</w:t>
      </w:r>
    </w:p>
    <w:p w:rsidR="001771D8" w:rsidRPr="002F3601" w:rsidRDefault="001771D8" w:rsidP="001771D8">
      <w:pPr>
        <w:rPr>
          <w:b/>
          <w:i/>
        </w:rPr>
      </w:pPr>
      <w:r w:rsidRPr="002F3601">
        <w:rPr>
          <w:b/>
          <w:i/>
        </w:rPr>
        <w:t xml:space="preserve">The Catering (Technical Requirements) Regulations 2014, made under the Act, lay down a series of rules applying to ovens in commercial kitchens, but the rules on temperature controls do not cover all the points in the directive. In particular, the directive required a visible and audible warning when the operating temperature was exceeded by more than 10% while the regulations require such a warning ‘when danger was likely to be caused’. The warning device on the oven which </w:t>
      </w:r>
      <w:proofErr w:type="spellStart"/>
      <w:r w:rsidRPr="002F3601">
        <w:rPr>
          <w:b/>
          <w:i/>
        </w:rPr>
        <w:t>Kamlesh</w:t>
      </w:r>
      <w:proofErr w:type="spellEnd"/>
      <w:r w:rsidRPr="002F3601">
        <w:rPr>
          <w:b/>
          <w:i/>
        </w:rPr>
        <w:t xml:space="preserve"> complains of was triggered only when the operating temperature was exceeded by 30%.</w:t>
      </w:r>
    </w:p>
    <w:p w:rsidR="001771D8" w:rsidRDefault="001771D8" w:rsidP="001771D8">
      <w:pPr>
        <w:rPr>
          <w:b/>
          <w:i/>
        </w:rPr>
      </w:pPr>
      <w:r w:rsidRPr="002F3601">
        <w:rPr>
          <w:b/>
          <w:i/>
        </w:rPr>
        <w:t xml:space="preserve">Advise John and </w:t>
      </w:r>
      <w:proofErr w:type="spellStart"/>
      <w:r w:rsidRPr="002F3601">
        <w:rPr>
          <w:b/>
          <w:i/>
        </w:rPr>
        <w:t>Kamlesh</w:t>
      </w:r>
      <w:proofErr w:type="spellEnd"/>
      <w:r w:rsidRPr="002F3601">
        <w:rPr>
          <w:b/>
          <w:i/>
        </w:rPr>
        <w:t xml:space="preserve"> as to their rights under EU law.</w:t>
      </w:r>
    </w:p>
    <w:p w:rsidR="00784035" w:rsidRDefault="00784035" w:rsidP="001771D8">
      <w:pPr>
        <w:rPr>
          <w:b/>
          <w:i/>
        </w:rPr>
      </w:pPr>
    </w:p>
    <w:p w:rsidR="00784035" w:rsidRDefault="00784035" w:rsidP="001771D8">
      <w:pPr>
        <w:rPr>
          <w:b/>
          <w:i/>
        </w:rPr>
      </w:pPr>
    </w:p>
    <w:p w:rsidR="00784035" w:rsidRPr="00784035" w:rsidRDefault="00784035" w:rsidP="00784035">
      <w:pPr>
        <w:rPr>
          <w:b/>
        </w:rPr>
      </w:pPr>
      <w:r w:rsidRPr="00784035">
        <w:rPr>
          <w:b/>
        </w:rPr>
        <w:t>Article 267 TFEU is the governing legislation in relation to preliminary references. Preliminary reference procedure is where the national court of a member state is uncertain about a piece of EU law and therefore asks the Court of Justice of the European Union to clarify it.</w:t>
      </w:r>
    </w:p>
    <w:p w:rsidR="00784035" w:rsidRPr="00784035" w:rsidRDefault="00784035" w:rsidP="00784035">
      <w:pPr>
        <w:rPr>
          <w:b/>
          <w:u w:val="single"/>
        </w:rPr>
      </w:pPr>
    </w:p>
    <w:p w:rsidR="00784035" w:rsidRPr="00784035" w:rsidRDefault="00784035" w:rsidP="00784035">
      <w:pPr>
        <w:rPr>
          <w:b/>
          <w:u w:val="single"/>
        </w:rPr>
      </w:pPr>
      <w:r>
        <w:rPr>
          <w:b/>
          <w:u w:val="single"/>
        </w:rPr>
        <w:t xml:space="preserve">2. </w:t>
      </w:r>
      <w:r w:rsidRPr="00784035">
        <w:rPr>
          <w:b/>
          <w:u w:val="single"/>
        </w:rPr>
        <w:t>Please answer the following questions in relation to the preliminary reference procedure:</w:t>
      </w:r>
    </w:p>
    <w:p w:rsidR="00784035" w:rsidRPr="00784035" w:rsidRDefault="00784035" w:rsidP="00784035">
      <w:pPr>
        <w:pStyle w:val="ListParagraph"/>
        <w:numPr>
          <w:ilvl w:val="0"/>
          <w:numId w:val="1"/>
        </w:numPr>
        <w:rPr>
          <w:b/>
          <w:u w:val="single"/>
        </w:rPr>
      </w:pPr>
      <w:r w:rsidRPr="00784035">
        <w:rPr>
          <w:b/>
          <w:u w:val="single"/>
        </w:rPr>
        <w:t>Which courts/tribunals can make a reference to the CJEY?</w:t>
      </w:r>
    </w:p>
    <w:p w:rsidR="00784035" w:rsidRPr="00784035" w:rsidRDefault="00784035" w:rsidP="00784035">
      <w:pPr>
        <w:pStyle w:val="ListParagraph"/>
        <w:numPr>
          <w:ilvl w:val="0"/>
          <w:numId w:val="1"/>
        </w:numPr>
        <w:rPr>
          <w:b/>
          <w:u w:val="single"/>
        </w:rPr>
      </w:pPr>
      <w:r w:rsidRPr="00784035">
        <w:rPr>
          <w:b/>
          <w:u w:val="single"/>
        </w:rPr>
        <w:t>When should a court or tribunal refer to the CJEU?</w:t>
      </w:r>
    </w:p>
    <w:p w:rsidR="00784035" w:rsidRPr="00784035" w:rsidRDefault="00784035" w:rsidP="00784035">
      <w:pPr>
        <w:pStyle w:val="ListParagraph"/>
        <w:numPr>
          <w:ilvl w:val="0"/>
          <w:numId w:val="1"/>
        </w:numPr>
        <w:rPr>
          <w:b/>
          <w:u w:val="single"/>
        </w:rPr>
      </w:pPr>
      <w:r w:rsidRPr="00784035">
        <w:rPr>
          <w:b/>
          <w:u w:val="single"/>
        </w:rPr>
        <w:t>When must a court or tribunal refer to the CJEU?</w:t>
      </w:r>
    </w:p>
    <w:p w:rsidR="00784035" w:rsidRPr="00784035" w:rsidRDefault="00784035" w:rsidP="00784035">
      <w:pPr>
        <w:pStyle w:val="ListParagraph"/>
        <w:numPr>
          <w:ilvl w:val="0"/>
          <w:numId w:val="1"/>
        </w:numPr>
        <w:rPr>
          <w:b/>
          <w:u w:val="single"/>
        </w:rPr>
      </w:pPr>
      <w:r w:rsidRPr="00784035">
        <w:rPr>
          <w:b/>
          <w:u w:val="single"/>
        </w:rPr>
        <w:t>When should a court or tribunal not refer to the CJEU?</w:t>
      </w:r>
    </w:p>
    <w:p w:rsidR="00784035" w:rsidRPr="00784035" w:rsidRDefault="00784035" w:rsidP="00784035">
      <w:pPr>
        <w:pStyle w:val="ListParagraph"/>
        <w:numPr>
          <w:ilvl w:val="0"/>
          <w:numId w:val="1"/>
        </w:numPr>
        <w:rPr>
          <w:b/>
          <w:u w:val="single"/>
        </w:rPr>
      </w:pPr>
      <w:r w:rsidRPr="00784035">
        <w:rPr>
          <w:b/>
          <w:u w:val="single"/>
        </w:rPr>
        <w:t>What happens after the CJEU has made the interpretation or given the definition of a particular word?</w:t>
      </w:r>
    </w:p>
    <w:p w:rsidR="003576CE" w:rsidRDefault="003576CE"/>
    <w:p w:rsidR="00F01173" w:rsidRDefault="00F01173"/>
    <w:p w:rsidR="00F01173" w:rsidRDefault="00F01173"/>
    <w:p w:rsidR="00F01173" w:rsidRDefault="00F01173"/>
    <w:p w:rsidR="00F01173" w:rsidRDefault="00F01173"/>
    <w:p w:rsidR="00F01173" w:rsidRDefault="00F01173"/>
    <w:p w:rsidR="00F01173" w:rsidRDefault="00F01173"/>
    <w:p w:rsidR="00F01173" w:rsidRDefault="00F01173"/>
    <w:p w:rsidR="00F01173" w:rsidRDefault="00F01173"/>
    <w:p w:rsidR="00F01173" w:rsidRDefault="00F01173"/>
    <w:p w:rsidR="00F01173" w:rsidRDefault="00F01173"/>
    <w:p w:rsidR="00F01173" w:rsidRDefault="00F01173"/>
    <w:p w:rsidR="00F01173" w:rsidRDefault="00F01173"/>
    <w:sectPr w:rsidR="00F0117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771D8" w:rsidRDefault="001771D8" w:rsidP="001771D8">
      <w:pPr>
        <w:spacing w:after="0" w:line="240" w:lineRule="auto"/>
      </w:pPr>
      <w:r>
        <w:separator/>
      </w:r>
    </w:p>
  </w:endnote>
  <w:endnote w:type="continuationSeparator" w:id="0">
    <w:p w:rsidR="001771D8" w:rsidRDefault="001771D8" w:rsidP="00177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771D8" w:rsidRDefault="001771D8" w:rsidP="001771D8">
      <w:pPr>
        <w:spacing w:after="0" w:line="240" w:lineRule="auto"/>
      </w:pPr>
      <w:r>
        <w:separator/>
      </w:r>
    </w:p>
  </w:footnote>
  <w:footnote w:type="continuationSeparator" w:id="0">
    <w:p w:rsidR="001771D8" w:rsidRDefault="001771D8" w:rsidP="001771D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71D8" w:rsidRDefault="00784035">
    <w:pPr>
      <w:pStyle w:val="Header"/>
    </w:pPr>
    <w:r>
      <w:t xml:space="preserve">Questions </w:t>
    </w:r>
    <w:r w:rsidR="001771D8">
      <w:t>for marking week</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5C4345"/>
    <w:multiLevelType w:val="hybridMultilevel"/>
    <w:tmpl w:val="E208F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8F02BC"/>
    <w:multiLevelType w:val="hybridMultilevel"/>
    <w:tmpl w:val="77E87B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1D8"/>
    <w:rsid w:val="000122F4"/>
    <w:rsid w:val="00023B3D"/>
    <w:rsid w:val="000A11D7"/>
    <w:rsid w:val="000A4453"/>
    <w:rsid w:val="000A60E4"/>
    <w:rsid w:val="00102B55"/>
    <w:rsid w:val="001701C9"/>
    <w:rsid w:val="001771D8"/>
    <w:rsid w:val="00182CA4"/>
    <w:rsid w:val="001F4F7A"/>
    <w:rsid w:val="00234BDB"/>
    <w:rsid w:val="0027078E"/>
    <w:rsid w:val="00274566"/>
    <w:rsid w:val="003576CE"/>
    <w:rsid w:val="00385B14"/>
    <w:rsid w:val="00472653"/>
    <w:rsid w:val="00495BA6"/>
    <w:rsid w:val="004E5C7E"/>
    <w:rsid w:val="00612DA3"/>
    <w:rsid w:val="006A117F"/>
    <w:rsid w:val="006B1997"/>
    <w:rsid w:val="00784035"/>
    <w:rsid w:val="0085545E"/>
    <w:rsid w:val="00890A7C"/>
    <w:rsid w:val="008B49EB"/>
    <w:rsid w:val="008C564D"/>
    <w:rsid w:val="008E3EC4"/>
    <w:rsid w:val="008F145D"/>
    <w:rsid w:val="009072DD"/>
    <w:rsid w:val="00956065"/>
    <w:rsid w:val="009C2E85"/>
    <w:rsid w:val="009D427B"/>
    <w:rsid w:val="009E756D"/>
    <w:rsid w:val="00A30338"/>
    <w:rsid w:val="00A33881"/>
    <w:rsid w:val="00A6585E"/>
    <w:rsid w:val="00A94F07"/>
    <w:rsid w:val="00AA263F"/>
    <w:rsid w:val="00B0318F"/>
    <w:rsid w:val="00B1144C"/>
    <w:rsid w:val="00B5633E"/>
    <w:rsid w:val="00BA13E6"/>
    <w:rsid w:val="00BA7251"/>
    <w:rsid w:val="00BD2654"/>
    <w:rsid w:val="00C36241"/>
    <w:rsid w:val="00C77155"/>
    <w:rsid w:val="00D20EAE"/>
    <w:rsid w:val="00D466B3"/>
    <w:rsid w:val="00DF5088"/>
    <w:rsid w:val="00E34148"/>
    <w:rsid w:val="00E50C56"/>
    <w:rsid w:val="00E63801"/>
    <w:rsid w:val="00EC18D3"/>
    <w:rsid w:val="00F01173"/>
    <w:rsid w:val="00F06C60"/>
    <w:rsid w:val="00FB673C"/>
    <w:rsid w:val="00FC1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9E6C79-B5C2-459C-ACD9-D03DEB90E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1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71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1D8"/>
  </w:style>
  <w:style w:type="paragraph" w:styleId="Footer">
    <w:name w:val="footer"/>
    <w:basedOn w:val="Normal"/>
    <w:link w:val="FooterChar"/>
    <w:uiPriority w:val="99"/>
    <w:unhideWhenUsed/>
    <w:rsid w:val="001771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1D8"/>
  </w:style>
  <w:style w:type="paragraph" w:styleId="ListParagraph">
    <w:name w:val="List Paragraph"/>
    <w:basedOn w:val="Normal"/>
    <w:uiPriority w:val="34"/>
    <w:qFormat/>
    <w:rsid w:val="00F011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451</Words>
  <Characters>2572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dcterms:created xsi:type="dcterms:W3CDTF">2018-11-08T10:39:00Z</dcterms:created>
  <dcterms:modified xsi:type="dcterms:W3CDTF">2018-11-08T10:39:00Z</dcterms:modified>
</cp:coreProperties>
</file>