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7C666" w14:textId="55CD7ADB" w:rsidR="00894A09" w:rsidRPr="00850140" w:rsidRDefault="009F583D">
      <w:pPr>
        <w:rPr>
          <w:rFonts w:cstheme="minorHAnsi"/>
          <w:sz w:val="20"/>
          <w:szCs w:val="20"/>
        </w:rPr>
      </w:pPr>
      <w:r w:rsidRPr="00850140">
        <w:rPr>
          <w:rFonts w:cstheme="minorHAnsi"/>
          <w:sz w:val="20"/>
          <w:szCs w:val="20"/>
        </w:rPr>
        <w:t>What did the Coroner’s and Justice act (2009) make to the defence of Diminished Responsibility? Did these amendments change the law in this area for the better?</w:t>
      </w:r>
    </w:p>
    <w:p w14:paraId="0AE5F9E9" w14:textId="46EEF994" w:rsidR="009F583D" w:rsidRPr="00850140" w:rsidRDefault="009F583D">
      <w:pPr>
        <w:rPr>
          <w:rFonts w:cstheme="minorHAnsi"/>
          <w:sz w:val="20"/>
          <w:szCs w:val="20"/>
        </w:rPr>
      </w:pPr>
    </w:p>
    <w:p w14:paraId="66702350" w14:textId="5DA202E1" w:rsidR="00141CF8" w:rsidRPr="00850140" w:rsidRDefault="009F583D">
      <w:pPr>
        <w:rPr>
          <w:rFonts w:cstheme="minorHAnsi"/>
          <w:sz w:val="20"/>
          <w:szCs w:val="20"/>
        </w:rPr>
      </w:pPr>
      <w:r w:rsidRPr="00850140">
        <w:rPr>
          <w:rFonts w:cstheme="minorHAnsi"/>
          <w:sz w:val="20"/>
          <w:szCs w:val="20"/>
        </w:rPr>
        <w:t xml:space="preserve">Section 52 of the Coroners and Justice Act (CJA) 2009 introduced a new plea that replaced the one in the homicide act </w:t>
      </w:r>
      <w:r w:rsidR="005A0B08" w:rsidRPr="00850140">
        <w:rPr>
          <w:rFonts w:cstheme="minorHAnsi"/>
          <w:sz w:val="20"/>
          <w:szCs w:val="20"/>
        </w:rPr>
        <w:t>(</w:t>
      </w:r>
      <w:r w:rsidRPr="00850140">
        <w:rPr>
          <w:rFonts w:cstheme="minorHAnsi"/>
          <w:sz w:val="20"/>
          <w:szCs w:val="20"/>
        </w:rPr>
        <w:t>1957</w:t>
      </w:r>
      <w:r w:rsidR="005A0B08" w:rsidRPr="00850140">
        <w:rPr>
          <w:rFonts w:cstheme="minorHAnsi"/>
          <w:sz w:val="20"/>
          <w:szCs w:val="20"/>
        </w:rPr>
        <w:t xml:space="preserve">), </w:t>
      </w:r>
      <w:r w:rsidR="00D725CB" w:rsidRPr="00850140">
        <w:rPr>
          <w:rFonts w:cstheme="minorHAnsi"/>
          <w:color w:val="000000"/>
          <w:sz w:val="20"/>
          <w:szCs w:val="20"/>
        </w:rPr>
        <w:t>The new diminished responsibility plea (R.D Mackay., 2010)</w:t>
      </w:r>
      <w:r w:rsidRPr="00850140">
        <w:rPr>
          <w:rFonts w:cstheme="minorHAnsi"/>
          <w:sz w:val="20"/>
          <w:szCs w:val="20"/>
        </w:rPr>
        <w:t xml:space="preserve">. This </w:t>
      </w:r>
      <w:r w:rsidR="00CA29C5" w:rsidRPr="00850140">
        <w:rPr>
          <w:rFonts w:cstheme="minorHAnsi"/>
          <w:sz w:val="20"/>
          <w:szCs w:val="20"/>
        </w:rPr>
        <w:t xml:space="preserve">plea reduces murder </w:t>
      </w:r>
      <w:r w:rsidR="00141CF8" w:rsidRPr="00850140">
        <w:rPr>
          <w:rFonts w:cstheme="minorHAnsi"/>
          <w:sz w:val="20"/>
          <w:szCs w:val="20"/>
        </w:rPr>
        <w:t>with the partial defence of Diminished Responsibility</w:t>
      </w:r>
      <w:r w:rsidRPr="00850140">
        <w:rPr>
          <w:rFonts w:cstheme="minorHAnsi"/>
          <w:sz w:val="20"/>
          <w:szCs w:val="20"/>
        </w:rPr>
        <w:t xml:space="preserve">. </w:t>
      </w:r>
      <w:r w:rsidR="00CA29C5" w:rsidRPr="00850140">
        <w:rPr>
          <w:rFonts w:cstheme="minorHAnsi"/>
          <w:sz w:val="20"/>
          <w:szCs w:val="20"/>
        </w:rPr>
        <w:t>I</w:t>
      </w:r>
      <w:r w:rsidRPr="00850140">
        <w:rPr>
          <w:rFonts w:cstheme="minorHAnsi"/>
          <w:sz w:val="20"/>
          <w:szCs w:val="20"/>
        </w:rPr>
        <w:t xml:space="preserve">ntroduced in the Homicide act </w:t>
      </w:r>
      <w:r w:rsidR="005A0B08" w:rsidRPr="00850140">
        <w:rPr>
          <w:rFonts w:cstheme="minorHAnsi"/>
          <w:sz w:val="20"/>
          <w:szCs w:val="20"/>
        </w:rPr>
        <w:t>(</w:t>
      </w:r>
      <w:r w:rsidRPr="00850140">
        <w:rPr>
          <w:rFonts w:cstheme="minorHAnsi"/>
          <w:sz w:val="20"/>
          <w:szCs w:val="20"/>
        </w:rPr>
        <w:t>1957</w:t>
      </w:r>
      <w:r w:rsidR="005A0B08" w:rsidRPr="00850140">
        <w:rPr>
          <w:rFonts w:cstheme="minorHAnsi"/>
          <w:sz w:val="20"/>
          <w:szCs w:val="20"/>
        </w:rPr>
        <w:t>)</w:t>
      </w:r>
      <w:r w:rsidRPr="00850140">
        <w:rPr>
          <w:rFonts w:cstheme="minorHAnsi"/>
          <w:sz w:val="20"/>
          <w:szCs w:val="20"/>
        </w:rPr>
        <w:t>, however</w:t>
      </w:r>
      <w:r w:rsidR="00314768" w:rsidRPr="00850140">
        <w:rPr>
          <w:rFonts w:cstheme="minorHAnsi"/>
          <w:sz w:val="20"/>
          <w:szCs w:val="20"/>
        </w:rPr>
        <w:t>,</w:t>
      </w:r>
      <w:r w:rsidRPr="00850140">
        <w:rPr>
          <w:rFonts w:cstheme="minorHAnsi"/>
          <w:sz w:val="20"/>
          <w:szCs w:val="20"/>
        </w:rPr>
        <w:t xml:space="preserve"> replaced by the CJA</w:t>
      </w:r>
      <w:r w:rsidR="00141CF8" w:rsidRPr="00850140">
        <w:rPr>
          <w:rFonts w:cstheme="minorHAnsi"/>
          <w:sz w:val="20"/>
          <w:szCs w:val="20"/>
        </w:rPr>
        <w:t xml:space="preserve"> </w:t>
      </w:r>
      <w:r w:rsidR="005A0B08" w:rsidRPr="00850140">
        <w:rPr>
          <w:rFonts w:cstheme="minorHAnsi"/>
          <w:sz w:val="20"/>
          <w:szCs w:val="20"/>
        </w:rPr>
        <w:t>(</w:t>
      </w:r>
      <w:r w:rsidR="00141CF8" w:rsidRPr="00850140">
        <w:rPr>
          <w:rFonts w:cstheme="minorHAnsi"/>
          <w:sz w:val="20"/>
          <w:szCs w:val="20"/>
        </w:rPr>
        <w:t>2009</w:t>
      </w:r>
      <w:r w:rsidR="005A0B08" w:rsidRPr="00850140">
        <w:rPr>
          <w:rFonts w:cstheme="minorHAnsi"/>
          <w:sz w:val="20"/>
          <w:szCs w:val="20"/>
        </w:rPr>
        <w:t>)</w:t>
      </w:r>
      <w:r w:rsidRPr="00850140">
        <w:rPr>
          <w:rFonts w:cstheme="minorHAnsi"/>
          <w:sz w:val="20"/>
          <w:szCs w:val="20"/>
        </w:rPr>
        <w:t>,</w:t>
      </w:r>
      <w:r w:rsidR="00141CF8" w:rsidRPr="00850140">
        <w:rPr>
          <w:rFonts w:cstheme="minorHAnsi"/>
          <w:sz w:val="20"/>
          <w:szCs w:val="20"/>
        </w:rPr>
        <w:t xml:space="preserve"> </w:t>
      </w:r>
      <w:r w:rsidRPr="00850140">
        <w:rPr>
          <w:rFonts w:cstheme="minorHAnsi"/>
          <w:sz w:val="20"/>
          <w:szCs w:val="20"/>
        </w:rPr>
        <w:t xml:space="preserve"> </w:t>
      </w:r>
      <w:r w:rsidR="00CA29C5" w:rsidRPr="00850140">
        <w:rPr>
          <w:rFonts w:cstheme="minorHAnsi"/>
          <w:sz w:val="20"/>
          <w:szCs w:val="20"/>
        </w:rPr>
        <w:t xml:space="preserve">with the aim to develop the 3 main </w:t>
      </w:r>
      <w:r w:rsidRPr="00850140">
        <w:rPr>
          <w:rFonts w:cstheme="minorHAnsi"/>
          <w:sz w:val="20"/>
          <w:szCs w:val="20"/>
        </w:rPr>
        <w:t xml:space="preserve">requirements </w:t>
      </w:r>
      <w:r w:rsidR="00314768" w:rsidRPr="00850140">
        <w:rPr>
          <w:rFonts w:cstheme="minorHAnsi"/>
          <w:sz w:val="20"/>
          <w:szCs w:val="20"/>
        </w:rPr>
        <w:t>within</w:t>
      </w:r>
      <w:r w:rsidRPr="00850140">
        <w:rPr>
          <w:rFonts w:cstheme="minorHAnsi"/>
          <w:sz w:val="20"/>
          <w:szCs w:val="20"/>
        </w:rPr>
        <w:t xml:space="preserve"> the original</w:t>
      </w:r>
      <w:r w:rsidR="00CA29C5" w:rsidRPr="00850140">
        <w:rPr>
          <w:rFonts w:cstheme="minorHAnsi"/>
          <w:sz w:val="20"/>
          <w:szCs w:val="20"/>
        </w:rPr>
        <w:t xml:space="preserve">. </w:t>
      </w:r>
      <w:r w:rsidRPr="00850140">
        <w:rPr>
          <w:rFonts w:cstheme="minorHAnsi"/>
          <w:sz w:val="20"/>
          <w:szCs w:val="20"/>
        </w:rPr>
        <w:t xml:space="preserve">This act </w:t>
      </w:r>
      <w:r w:rsidR="00EA5F13" w:rsidRPr="00850140">
        <w:rPr>
          <w:rFonts w:cstheme="minorHAnsi"/>
          <w:sz w:val="20"/>
          <w:szCs w:val="20"/>
        </w:rPr>
        <w:t xml:space="preserve">repealed </w:t>
      </w:r>
      <w:r w:rsidRPr="00850140">
        <w:rPr>
          <w:rFonts w:cstheme="minorHAnsi"/>
          <w:sz w:val="20"/>
          <w:szCs w:val="20"/>
        </w:rPr>
        <w:t xml:space="preserve">section 2(1) of the homicide act 1957 as well as </w:t>
      </w:r>
      <w:r w:rsidR="00EA5F13" w:rsidRPr="00850140">
        <w:rPr>
          <w:rFonts w:cstheme="minorHAnsi"/>
          <w:sz w:val="20"/>
          <w:szCs w:val="20"/>
        </w:rPr>
        <w:t>substituted</w:t>
      </w:r>
      <w:r w:rsidRPr="00850140">
        <w:rPr>
          <w:rFonts w:cstheme="minorHAnsi"/>
          <w:sz w:val="20"/>
          <w:szCs w:val="20"/>
        </w:rPr>
        <w:t xml:space="preserve"> new subsections (1) to 1 (B) where a </w:t>
      </w:r>
      <w:r w:rsidR="00314768" w:rsidRPr="00850140">
        <w:rPr>
          <w:rFonts w:cstheme="minorHAnsi"/>
          <w:sz w:val="20"/>
          <w:szCs w:val="20"/>
        </w:rPr>
        <w:t>defendant’s</w:t>
      </w:r>
      <w:r w:rsidRPr="00850140">
        <w:rPr>
          <w:rFonts w:cstheme="minorHAnsi"/>
          <w:sz w:val="20"/>
          <w:szCs w:val="20"/>
        </w:rPr>
        <w:t xml:space="preserve"> mental functioning must be taken </w:t>
      </w:r>
      <w:r w:rsidR="00314768" w:rsidRPr="00850140">
        <w:rPr>
          <w:rFonts w:cstheme="minorHAnsi"/>
          <w:sz w:val="20"/>
          <w:szCs w:val="20"/>
        </w:rPr>
        <w:t>into</w:t>
      </w:r>
      <w:r w:rsidRPr="00850140">
        <w:rPr>
          <w:rFonts w:cstheme="minorHAnsi"/>
          <w:sz w:val="20"/>
          <w:szCs w:val="20"/>
        </w:rPr>
        <w:t xml:space="preserve"> consideration in order to identify if the Defendant </w:t>
      </w:r>
      <w:r w:rsidR="00661C60" w:rsidRPr="00850140">
        <w:rPr>
          <w:rFonts w:cstheme="minorHAnsi"/>
          <w:sz w:val="20"/>
          <w:szCs w:val="20"/>
        </w:rPr>
        <w:t>has a defence to their actions</w:t>
      </w:r>
      <w:r w:rsidR="005A0B08" w:rsidRPr="00850140">
        <w:rPr>
          <w:rFonts w:cstheme="minorHAnsi"/>
          <w:sz w:val="20"/>
          <w:szCs w:val="20"/>
        </w:rPr>
        <w:t xml:space="preserve">, </w:t>
      </w:r>
      <w:r w:rsidR="005A0B08" w:rsidRPr="00850140">
        <w:rPr>
          <w:rFonts w:cstheme="minorHAnsi"/>
          <w:color w:val="000000"/>
          <w:sz w:val="20"/>
          <w:szCs w:val="20"/>
        </w:rPr>
        <w:t>Partial Defences to Murder (Quick, O and Wells C., 2012)</w:t>
      </w:r>
      <w:r w:rsidR="00661C60" w:rsidRPr="00850140">
        <w:rPr>
          <w:rFonts w:cstheme="minorHAnsi"/>
          <w:sz w:val="20"/>
          <w:szCs w:val="20"/>
        </w:rPr>
        <w:t xml:space="preserve">. The </w:t>
      </w:r>
      <w:r w:rsidR="00314768" w:rsidRPr="00850140">
        <w:rPr>
          <w:rFonts w:cstheme="minorHAnsi"/>
          <w:sz w:val="20"/>
          <w:szCs w:val="20"/>
        </w:rPr>
        <w:t>intention</w:t>
      </w:r>
      <w:r w:rsidR="00661C60" w:rsidRPr="00850140">
        <w:rPr>
          <w:rFonts w:cstheme="minorHAnsi"/>
          <w:sz w:val="20"/>
          <w:szCs w:val="20"/>
        </w:rPr>
        <w:t xml:space="preserve"> of the amendment of the 2009 Act is to put the bereaved people at the centre of the Coroner service and promote justice fair</w:t>
      </w:r>
      <w:r w:rsidR="00EA5F13" w:rsidRPr="00850140">
        <w:rPr>
          <w:rFonts w:cstheme="minorHAnsi"/>
          <w:sz w:val="20"/>
          <w:szCs w:val="20"/>
        </w:rPr>
        <w:t>ly</w:t>
      </w:r>
      <w:r w:rsidR="00661C60" w:rsidRPr="00850140">
        <w:rPr>
          <w:rFonts w:cstheme="minorHAnsi"/>
          <w:sz w:val="20"/>
          <w:szCs w:val="20"/>
        </w:rPr>
        <w:t xml:space="preserve"> in the best interest of the victim. </w:t>
      </w:r>
    </w:p>
    <w:p w14:paraId="7C34168A" w14:textId="77777777" w:rsidR="00141CF8" w:rsidRPr="00850140" w:rsidRDefault="00141CF8">
      <w:pPr>
        <w:rPr>
          <w:rFonts w:cstheme="minorHAnsi"/>
          <w:sz w:val="20"/>
          <w:szCs w:val="20"/>
        </w:rPr>
      </w:pPr>
    </w:p>
    <w:p w14:paraId="462EACF1" w14:textId="76B48A4B" w:rsidR="00661C60" w:rsidRPr="00850140" w:rsidRDefault="00CA29C5">
      <w:pPr>
        <w:rPr>
          <w:rFonts w:cstheme="minorHAnsi"/>
          <w:sz w:val="20"/>
          <w:szCs w:val="20"/>
        </w:rPr>
      </w:pPr>
      <w:r w:rsidRPr="00850140">
        <w:rPr>
          <w:rFonts w:cstheme="minorHAnsi"/>
          <w:sz w:val="20"/>
          <w:szCs w:val="20"/>
        </w:rPr>
        <w:t>Subsection 1 of section 2 of the Homicide Act 1957 ( a person suffering from Diminished Responsibility) states: “ A person who kills or is a party to the killing of another is not to be convicted of murder if the defendant was suffering from an abnormality of mind or a disruption of their mental functioning which arose from a recognised medical condition.</w:t>
      </w:r>
      <w:r w:rsidR="005A0B08" w:rsidRPr="00850140">
        <w:rPr>
          <w:rFonts w:cstheme="minorHAnsi"/>
          <w:sz w:val="20"/>
          <w:szCs w:val="20"/>
        </w:rPr>
        <w:t xml:space="preserve">” </w:t>
      </w:r>
      <w:r w:rsidR="005A0B08" w:rsidRPr="00850140">
        <w:rPr>
          <w:rFonts w:cstheme="minorHAnsi"/>
          <w:color w:val="000000"/>
          <w:sz w:val="20"/>
          <w:szCs w:val="20"/>
        </w:rPr>
        <w:t>Partial Defences to Murder (Quick, O and Wells C., 2012)</w:t>
      </w:r>
      <w:r w:rsidR="005A0B08" w:rsidRPr="00850140">
        <w:rPr>
          <w:rFonts w:cstheme="minorHAnsi"/>
          <w:sz w:val="20"/>
          <w:szCs w:val="20"/>
        </w:rPr>
        <w:t>.</w:t>
      </w:r>
      <w:r w:rsidRPr="00850140">
        <w:rPr>
          <w:rFonts w:cstheme="minorHAnsi"/>
          <w:sz w:val="20"/>
          <w:szCs w:val="20"/>
        </w:rPr>
        <w:t xml:space="preserve"> </w:t>
      </w:r>
      <w:r w:rsidR="00661C60" w:rsidRPr="00850140">
        <w:rPr>
          <w:rFonts w:cstheme="minorHAnsi"/>
          <w:sz w:val="20"/>
          <w:szCs w:val="20"/>
        </w:rPr>
        <w:t xml:space="preserve">Diminished responsibility is </w:t>
      </w:r>
      <w:r w:rsidR="00314768" w:rsidRPr="00850140">
        <w:rPr>
          <w:rFonts w:cstheme="minorHAnsi"/>
          <w:sz w:val="20"/>
          <w:szCs w:val="20"/>
        </w:rPr>
        <w:t>an</w:t>
      </w:r>
      <w:r w:rsidR="00661C60" w:rsidRPr="00850140">
        <w:rPr>
          <w:rFonts w:cstheme="minorHAnsi"/>
          <w:sz w:val="20"/>
          <w:szCs w:val="20"/>
        </w:rPr>
        <w:t xml:space="preserve"> Act or omission which caused the individual to commit murder under the Queen or </w:t>
      </w:r>
      <w:r w:rsidR="00314768" w:rsidRPr="00850140">
        <w:rPr>
          <w:rFonts w:cstheme="minorHAnsi"/>
          <w:sz w:val="20"/>
          <w:szCs w:val="20"/>
        </w:rPr>
        <w:t>King’s</w:t>
      </w:r>
      <w:r w:rsidR="00661C60" w:rsidRPr="00850140">
        <w:rPr>
          <w:rFonts w:cstheme="minorHAnsi"/>
          <w:sz w:val="20"/>
          <w:szCs w:val="20"/>
        </w:rPr>
        <w:t xml:space="preserve"> peace. The element of Mens Rea </w:t>
      </w:r>
      <w:r w:rsidR="007403BC" w:rsidRPr="00850140">
        <w:rPr>
          <w:rFonts w:cstheme="minorHAnsi"/>
          <w:sz w:val="20"/>
          <w:szCs w:val="20"/>
        </w:rPr>
        <w:t>must also be present where the individual acquired malice</w:t>
      </w:r>
      <w:r w:rsidR="00D725CB" w:rsidRPr="00850140">
        <w:rPr>
          <w:rFonts w:cstheme="minorHAnsi"/>
          <w:sz w:val="20"/>
          <w:szCs w:val="20"/>
        </w:rPr>
        <w:t>:</w:t>
      </w:r>
      <w:r w:rsidR="007403BC" w:rsidRPr="00850140">
        <w:rPr>
          <w:rFonts w:cstheme="minorHAnsi"/>
          <w:sz w:val="20"/>
          <w:szCs w:val="20"/>
        </w:rPr>
        <w:t xml:space="preserve"> </w:t>
      </w:r>
      <w:r w:rsidR="005A0B08" w:rsidRPr="00850140">
        <w:rPr>
          <w:rFonts w:cstheme="minorHAnsi"/>
          <w:sz w:val="20"/>
          <w:szCs w:val="20"/>
        </w:rPr>
        <w:t>(</w:t>
      </w:r>
      <w:r w:rsidR="007403BC" w:rsidRPr="00850140">
        <w:rPr>
          <w:rFonts w:cstheme="minorHAnsi"/>
          <w:sz w:val="20"/>
          <w:szCs w:val="20"/>
        </w:rPr>
        <w:t>coke</w:t>
      </w:r>
      <w:r w:rsidR="005A0B08" w:rsidRPr="00850140">
        <w:rPr>
          <w:rFonts w:cstheme="minorHAnsi"/>
          <w:sz w:val="20"/>
          <w:szCs w:val="20"/>
        </w:rPr>
        <w:t xml:space="preserve"> 2011) </w:t>
      </w:r>
      <w:r w:rsidR="007403BC" w:rsidRPr="00850140">
        <w:rPr>
          <w:rFonts w:cstheme="minorHAnsi"/>
          <w:sz w:val="20"/>
          <w:szCs w:val="20"/>
        </w:rPr>
        <w:t>aforethought</w:t>
      </w:r>
      <w:r w:rsidR="00D725CB" w:rsidRPr="00850140">
        <w:rPr>
          <w:rFonts w:cstheme="minorHAnsi"/>
          <w:sz w:val="20"/>
          <w:szCs w:val="20"/>
        </w:rPr>
        <w:t>,</w:t>
      </w:r>
      <w:r w:rsidR="007403BC" w:rsidRPr="00850140">
        <w:rPr>
          <w:rFonts w:cstheme="minorHAnsi"/>
          <w:sz w:val="20"/>
          <w:szCs w:val="20"/>
        </w:rPr>
        <w:t xml:space="preserve"> which would be the pre-meditation (Vickers 2009) in order to commit the crime of murder. This would include the intention to cause serious bodily harm.</w:t>
      </w:r>
    </w:p>
    <w:p w14:paraId="519D1733" w14:textId="244E8C3F" w:rsidR="00512154" w:rsidRPr="00850140" w:rsidRDefault="00CA29C5">
      <w:pPr>
        <w:rPr>
          <w:rFonts w:cstheme="minorHAnsi"/>
          <w:sz w:val="20"/>
          <w:szCs w:val="20"/>
        </w:rPr>
      </w:pPr>
      <w:r w:rsidRPr="00850140">
        <w:rPr>
          <w:rFonts w:cstheme="minorHAnsi"/>
          <w:sz w:val="20"/>
          <w:szCs w:val="20"/>
        </w:rPr>
        <w:t>In order to not hold the defendant entirely culpable of murder, a specific impairment behind their motivation must be required, reducing their charge of murder to manslaughter</w:t>
      </w:r>
      <w:r w:rsidR="005A0B08" w:rsidRPr="00850140">
        <w:rPr>
          <w:rFonts w:cstheme="minorHAnsi"/>
          <w:sz w:val="20"/>
          <w:szCs w:val="20"/>
        </w:rPr>
        <w:t xml:space="preserve">, </w:t>
      </w:r>
      <w:r w:rsidR="00D725CB" w:rsidRPr="00850140">
        <w:rPr>
          <w:rFonts w:cstheme="minorHAnsi"/>
          <w:color w:val="000000"/>
          <w:sz w:val="20"/>
          <w:szCs w:val="20"/>
        </w:rPr>
        <w:t>The new diminished responsibility plea (R.D Mackay., 2010)</w:t>
      </w:r>
      <w:r w:rsidRPr="00850140">
        <w:rPr>
          <w:rFonts w:cstheme="minorHAnsi"/>
          <w:sz w:val="20"/>
          <w:szCs w:val="20"/>
        </w:rPr>
        <w:t>. The first requirement for Diminished Responsibility is that the person has a mental functioning abnormality. The jury must decide whether or not the defendant's mental functioning is below normal. In the case of Byrne (1960), the question is whether the defendant's mental functioning was so different from that of a "normal" person that a reasonable person would describe it as abnormal</w:t>
      </w:r>
      <w:r w:rsidR="00512154" w:rsidRPr="00850140">
        <w:rPr>
          <w:rFonts w:cstheme="minorHAnsi"/>
          <w:sz w:val="20"/>
          <w:szCs w:val="20"/>
        </w:rPr>
        <w:t xml:space="preserve">. </w:t>
      </w:r>
      <w:r w:rsidRPr="00850140">
        <w:rPr>
          <w:rFonts w:cstheme="minorHAnsi"/>
          <w:sz w:val="20"/>
          <w:szCs w:val="20"/>
        </w:rPr>
        <w:t>To not be held liable, the defendant must have a specific impairment behind their motivation. The jury represents the reasonable man in a jury trial. These 12 members of the Jury would debate whether they believed the individual's mind was working and could be determined to be different from that of a normal person, thus abnormal. enduringly guilty of murder</w:t>
      </w:r>
      <w:r w:rsidRPr="00850140">
        <w:rPr>
          <w:rFonts w:cstheme="minorHAnsi"/>
          <w:sz w:val="20"/>
          <w:szCs w:val="20"/>
        </w:rPr>
        <w:t>.</w:t>
      </w:r>
    </w:p>
    <w:p w14:paraId="58C219BF" w14:textId="02160465" w:rsidR="007403BC" w:rsidRPr="00850140" w:rsidRDefault="00CA29C5">
      <w:pPr>
        <w:rPr>
          <w:rFonts w:cstheme="minorHAnsi"/>
          <w:sz w:val="20"/>
          <w:szCs w:val="20"/>
        </w:rPr>
      </w:pPr>
      <w:r w:rsidRPr="00850140">
        <w:rPr>
          <w:rFonts w:cstheme="minorHAnsi"/>
          <w:sz w:val="20"/>
          <w:szCs w:val="20"/>
        </w:rPr>
        <w:t xml:space="preserve">The abnormality of mental functioning must then be accompanied by the second requirement, which states that the Defendant's acts or omissions are the </w:t>
      </w:r>
      <w:r w:rsidRPr="00850140">
        <w:rPr>
          <w:rFonts w:cstheme="minorHAnsi"/>
          <w:sz w:val="20"/>
          <w:szCs w:val="20"/>
        </w:rPr>
        <w:t>results</w:t>
      </w:r>
      <w:r w:rsidRPr="00850140">
        <w:rPr>
          <w:rFonts w:cstheme="minorHAnsi"/>
          <w:sz w:val="20"/>
          <w:szCs w:val="20"/>
        </w:rPr>
        <w:t xml:space="preserve"> of a recognised medical condition</w:t>
      </w:r>
      <w:r w:rsidR="00D725CB" w:rsidRPr="00850140">
        <w:rPr>
          <w:rFonts w:cstheme="minorHAnsi"/>
          <w:sz w:val="20"/>
          <w:szCs w:val="20"/>
        </w:rPr>
        <w:t xml:space="preserve">, </w:t>
      </w:r>
      <w:r w:rsidR="00D725CB" w:rsidRPr="00850140">
        <w:rPr>
          <w:rFonts w:cstheme="minorHAnsi"/>
          <w:color w:val="000000"/>
          <w:sz w:val="20"/>
          <w:szCs w:val="20"/>
        </w:rPr>
        <w:t>The new diminished responsibility plea (R.D Mackay., 2010)</w:t>
      </w:r>
      <w:r w:rsidRPr="00850140">
        <w:rPr>
          <w:rFonts w:cstheme="minorHAnsi"/>
          <w:sz w:val="20"/>
          <w:szCs w:val="20"/>
        </w:rPr>
        <w:t>. This requirement defines recognised as the recognition of a medical condition by medical professionals such as doctors. Previous medical records would identify the condition as depression, schizophrenia, alcohol dependency disorder, or epilepsy.</w:t>
      </w:r>
      <w:r w:rsidRPr="00850140">
        <w:rPr>
          <w:rFonts w:cstheme="minorHAnsi"/>
          <w:sz w:val="20"/>
          <w:szCs w:val="20"/>
        </w:rPr>
        <w:t xml:space="preserve"> </w:t>
      </w:r>
      <w:r w:rsidRPr="00850140">
        <w:rPr>
          <w:rFonts w:cstheme="minorHAnsi"/>
          <w:sz w:val="20"/>
          <w:szCs w:val="20"/>
        </w:rPr>
        <w:t>The condition can physically affect the defendant; for example, epilepsy is a physical response that affects how your brain functions; however, depression is a recognisable mental response because it affects your mental health. The defendant bears the burden of proof, and they must be able to provide evidence of this.</w:t>
      </w:r>
    </w:p>
    <w:p w14:paraId="32AFE0D5" w14:textId="6D9E167C" w:rsidR="00CA29C5" w:rsidRPr="00850140" w:rsidRDefault="00CA29C5">
      <w:pPr>
        <w:rPr>
          <w:rFonts w:cstheme="minorHAnsi"/>
          <w:sz w:val="20"/>
          <w:szCs w:val="20"/>
        </w:rPr>
      </w:pPr>
      <w:r w:rsidRPr="00850140">
        <w:rPr>
          <w:rFonts w:cstheme="minorHAnsi"/>
          <w:sz w:val="20"/>
          <w:szCs w:val="20"/>
        </w:rPr>
        <w:t>The next requirement is that the recognised mental condition has resulted in significant impairment. The Supreme Court supports this requirement because they believe it is a common sense approach; however, this common sense approach must be decided among th</w:t>
      </w:r>
      <w:r w:rsidR="00492773" w:rsidRPr="00850140">
        <w:rPr>
          <w:rFonts w:cstheme="minorHAnsi"/>
          <w:sz w:val="20"/>
          <w:szCs w:val="20"/>
        </w:rPr>
        <w:t>e Jury</w:t>
      </w:r>
      <w:r w:rsidR="00D725CB" w:rsidRPr="00850140">
        <w:rPr>
          <w:rFonts w:cstheme="minorHAnsi"/>
          <w:sz w:val="20"/>
          <w:szCs w:val="20"/>
        </w:rPr>
        <w:t>,</w:t>
      </w:r>
      <w:r w:rsidRPr="00850140">
        <w:rPr>
          <w:rFonts w:cstheme="minorHAnsi"/>
          <w:sz w:val="20"/>
          <w:szCs w:val="20"/>
        </w:rPr>
        <w:t xml:space="preserve"> In the recent </w:t>
      </w:r>
      <w:r w:rsidRPr="00850140">
        <w:rPr>
          <w:rFonts w:cstheme="minorHAnsi"/>
          <w:sz w:val="20"/>
          <w:szCs w:val="20"/>
        </w:rPr>
        <w:t>Golds</w:t>
      </w:r>
      <w:r w:rsidRPr="00850140">
        <w:rPr>
          <w:rFonts w:cstheme="minorHAnsi"/>
          <w:sz w:val="20"/>
          <w:szCs w:val="20"/>
        </w:rPr>
        <w:t xml:space="preserve"> case, </w:t>
      </w:r>
      <w:r w:rsidR="00D725CB" w:rsidRPr="00850140">
        <w:rPr>
          <w:rFonts w:cstheme="minorHAnsi"/>
          <w:sz w:val="20"/>
          <w:szCs w:val="20"/>
        </w:rPr>
        <w:t>(R V Golds 2016). H</w:t>
      </w:r>
      <w:r w:rsidRPr="00850140">
        <w:rPr>
          <w:rFonts w:cstheme="minorHAnsi"/>
          <w:sz w:val="20"/>
          <w:szCs w:val="20"/>
        </w:rPr>
        <w:t xml:space="preserve">owever, the Judge "failed to direct the jury on the meaning of statutory </w:t>
      </w:r>
      <w:r w:rsidRPr="00850140">
        <w:rPr>
          <w:rFonts w:cstheme="minorHAnsi"/>
          <w:sz w:val="20"/>
          <w:szCs w:val="20"/>
        </w:rPr>
        <w:t>words substantially</w:t>
      </w:r>
      <w:r w:rsidRPr="00850140">
        <w:rPr>
          <w:rFonts w:cstheme="minorHAnsi"/>
          <w:sz w:val="20"/>
          <w:szCs w:val="20"/>
        </w:rPr>
        <w:t xml:space="preserve"> impaired.</w:t>
      </w:r>
      <w:r w:rsidR="00492773" w:rsidRPr="00850140">
        <w:rPr>
          <w:rFonts w:cstheme="minorHAnsi"/>
          <w:sz w:val="20"/>
          <w:szCs w:val="20"/>
        </w:rPr>
        <w:t>”</w:t>
      </w:r>
      <w:r w:rsidRPr="00850140">
        <w:rPr>
          <w:rFonts w:cstheme="minorHAnsi"/>
          <w:sz w:val="20"/>
          <w:szCs w:val="20"/>
        </w:rPr>
        <w:t xml:space="preserve"> This does not have to be completely impairing, but it must be impaired in some </w:t>
      </w:r>
      <w:r w:rsidRPr="00850140">
        <w:rPr>
          <w:rFonts w:cstheme="minorHAnsi"/>
          <w:sz w:val="20"/>
          <w:szCs w:val="20"/>
        </w:rPr>
        <w:t>way. This</w:t>
      </w:r>
      <w:r w:rsidR="009C7783" w:rsidRPr="00850140">
        <w:rPr>
          <w:rFonts w:cstheme="minorHAnsi"/>
          <w:sz w:val="20"/>
          <w:szCs w:val="20"/>
        </w:rPr>
        <w:t xml:space="preserve"> impairment must require 1 of 3 abilities in order to bring the defence of this</w:t>
      </w:r>
      <w:r w:rsidR="00A0345D" w:rsidRPr="00850140">
        <w:rPr>
          <w:rFonts w:cstheme="minorHAnsi"/>
          <w:sz w:val="20"/>
          <w:szCs w:val="20"/>
        </w:rPr>
        <w:t xml:space="preserve">. </w:t>
      </w:r>
      <w:r w:rsidR="00A0345D" w:rsidRPr="00850140">
        <w:rPr>
          <w:rFonts w:cstheme="minorHAnsi"/>
          <w:sz w:val="20"/>
          <w:szCs w:val="20"/>
        </w:rPr>
        <w:t xml:space="preserve">The case of Lloyd </w:t>
      </w:r>
      <w:r w:rsidR="00A0345D" w:rsidRPr="00850140">
        <w:rPr>
          <w:rFonts w:cstheme="minorHAnsi"/>
          <w:sz w:val="20"/>
          <w:szCs w:val="20"/>
        </w:rPr>
        <w:t>(</w:t>
      </w:r>
      <w:r w:rsidR="00A0345D" w:rsidRPr="00850140">
        <w:rPr>
          <w:rFonts w:cstheme="minorHAnsi"/>
          <w:sz w:val="20"/>
          <w:szCs w:val="20"/>
        </w:rPr>
        <w:t>1967</w:t>
      </w:r>
      <w:r w:rsidR="00A0345D" w:rsidRPr="00850140">
        <w:rPr>
          <w:rFonts w:cstheme="minorHAnsi"/>
          <w:sz w:val="20"/>
          <w:szCs w:val="20"/>
        </w:rPr>
        <w:t>)</w:t>
      </w:r>
      <w:r w:rsidR="00A0345D" w:rsidRPr="00850140">
        <w:rPr>
          <w:rFonts w:cstheme="minorHAnsi"/>
          <w:sz w:val="20"/>
          <w:szCs w:val="20"/>
        </w:rPr>
        <w:t xml:space="preserve"> shows that this must not be total and trivial</w:t>
      </w:r>
      <w:r w:rsidR="009C7783" w:rsidRPr="00850140">
        <w:rPr>
          <w:rFonts w:cstheme="minorHAnsi"/>
          <w:sz w:val="20"/>
          <w:szCs w:val="20"/>
        </w:rPr>
        <w:t xml:space="preserve">. </w:t>
      </w:r>
    </w:p>
    <w:p w14:paraId="635EED0A" w14:textId="3D6EB930" w:rsidR="002A1815" w:rsidRPr="00850140" w:rsidRDefault="00511758">
      <w:pPr>
        <w:rPr>
          <w:rFonts w:cstheme="minorHAnsi"/>
          <w:sz w:val="20"/>
          <w:szCs w:val="20"/>
        </w:rPr>
      </w:pPr>
      <w:r w:rsidRPr="00850140">
        <w:rPr>
          <w:rFonts w:cstheme="minorHAnsi"/>
          <w:sz w:val="20"/>
          <w:szCs w:val="20"/>
        </w:rPr>
        <w:t>The defendant's medical condition must have an impact on their ability to comprehend their actions</w:t>
      </w:r>
      <w:r w:rsidR="00D725CB" w:rsidRPr="00850140">
        <w:rPr>
          <w:rFonts w:cstheme="minorHAnsi"/>
          <w:sz w:val="20"/>
          <w:szCs w:val="20"/>
        </w:rPr>
        <w:t xml:space="preserve">, </w:t>
      </w:r>
      <w:r w:rsidR="00D725CB" w:rsidRPr="00850140">
        <w:rPr>
          <w:rFonts w:cstheme="minorHAnsi"/>
          <w:color w:val="000000"/>
          <w:sz w:val="20"/>
          <w:szCs w:val="20"/>
        </w:rPr>
        <w:t>The new diminished responsibility plea (R.D Mackay., 2010)</w:t>
      </w:r>
      <w:r w:rsidRPr="00850140">
        <w:rPr>
          <w:rFonts w:cstheme="minorHAnsi"/>
          <w:sz w:val="20"/>
          <w:szCs w:val="20"/>
        </w:rPr>
        <w:t xml:space="preserve">. This means that the person did not understand what they </w:t>
      </w:r>
      <w:r w:rsidRPr="00850140">
        <w:rPr>
          <w:rFonts w:cstheme="minorHAnsi"/>
          <w:sz w:val="20"/>
          <w:szCs w:val="20"/>
        </w:rPr>
        <w:lastRenderedPageBreak/>
        <w:t>were doing, such as a person suffering from post-traumatic stress disorder (PTSD). The defendant may have had a traumatic flashback, such as childhood abuse, which may have led to the person fighting in defence believing it was their abuser. As a result, the individual would have lost the ability to comprehend their actions or what they are doing. Th</w:t>
      </w:r>
      <w:r w:rsidR="00973154">
        <w:rPr>
          <w:rFonts w:cstheme="minorHAnsi"/>
          <w:sz w:val="20"/>
          <w:szCs w:val="20"/>
        </w:rPr>
        <w:t xml:space="preserve">is may have led to </w:t>
      </w:r>
      <w:proofErr w:type="spellStart"/>
      <w:r w:rsidRPr="00850140">
        <w:rPr>
          <w:rFonts w:cstheme="minorHAnsi"/>
          <w:sz w:val="20"/>
          <w:szCs w:val="20"/>
        </w:rPr>
        <w:t>to</w:t>
      </w:r>
      <w:proofErr w:type="spellEnd"/>
      <w:r w:rsidRPr="00850140">
        <w:rPr>
          <w:rFonts w:cstheme="minorHAnsi"/>
          <w:sz w:val="20"/>
          <w:szCs w:val="20"/>
        </w:rPr>
        <w:t xml:space="preserve"> </w:t>
      </w:r>
      <w:r w:rsidR="00973154">
        <w:rPr>
          <w:rFonts w:cstheme="minorHAnsi"/>
          <w:sz w:val="20"/>
          <w:szCs w:val="20"/>
        </w:rPr>
        <w:t xml:space="preserve">an inability to </w:t>
      </w:r>
      <w:r w:rsidRPr="00850140">
        <w:rPr>
          <w:rFonts w:cstheme="minorHAnsi"/>
          <w:sz w:val="20"/>
          <w:szCs w:val="20"/>
        </w:rPr>
        <w:t>make a rational decision. A "normal" person, for example, has normal mental functioning and the ability to evaluate their actions, such as exercising reasonable judgement and analysing their actions</w:t>
      </w:r>
      <w:r w:rsidR="00973154">
        <w:rPr>
          <w:rFonts w:cstheme="minorHAnsi"/>
          <w:sz w:val="20"/>
          <w:szCs w:val="20"/>
        </w:rPr>
        <w:t>.</w:t>
      </w:r>
      <w:r w:rsidR="00D725CB" w:rsidRPr="00850140">
        <w:rPr>
          <w:rFonts w:cstheme="minorHAnsi"/>
          <w:sz w:val="20"/>
          <w:szCs w:val="20"/>
        </w:rPr>
        <w:t xml:space="preserve"> </w:t>
      </w:r>
      <w:r w:rsidR="00D725CB" w:rsidRPr="00850140">
        <w:rPr>
          <w:rFonts w:cstheme="minorHAnsi"/>
          <w:color w:val="000000"/>
          <w:sz w:val="20"/>
          <w:szCs w:val="20"/>
        </w:rPr>
        <w:t>The new diminished responsibility plea (R.D Mackay., 2010)</w:t>
      </w:r>
      <w:r w:rsidRPr="00850140">
        <w:rPr>
          <w:rFonts w:cstheme="minorHAnsi"/>
          <w:sz w:val="20"/>
          <w:szCs w:val="20"/>
        </w:rPr>
        <w:t>. The case of Arnold v Britton and others</w:t>
      </w:r>
      <w:r w:rsidR="00D725CB" w:rsidRPr="00850140">
        <w:rPr>
          <w:rFonts w:cstheme="minorHAnsi"/>
          <w:sz w:val="20"/>
          <w:szCs w:val="20"/>
        </w:rPr>
        <w:t xml:space="preserve"> (2015)</w:t>
      </w:r>
      <w:r w:rsidRPr="00850140">
        <w:rPr>
          <w:rFonts w:cstheme="minorHAnsi"/>
          <w:sz w:val="20"/>
          <w:szCs w:val="20"/>
        </w:rPr>
        <w:t xml:space="preserve"> is an example of a lack of reasonable judgement</w:t>
      </w:r>
      <w:r w:rsidR="00D725CB" w:rsidRPr="00850140">
        <w:rPr>
          <w:rFonts w:cstheme="minorHAnsi"/>
          <w:sz w:val="20"/>
          <w:szCs w:val="20"/>
        </w:rPr>
        <w:t>.</w:t>
      </w:r>
      <w:r w:rsidRPr="00850140">
        <w:rPr>
          <w:rFonts w:cstheme="minorHAnsi"/>
          <w:sz w:val="20"/>
          <w:szCs w:val="20"/>
        </w:rPr>
        <w:t xml:space="preserve"> </w:t>
      </w:r>
    </w:p>
    <w:p w14:paraId="7F87CC8E" w14:textId="0AF81413" w:rsidR="002A1815" w:rsidRPr="00850140" w:rsidRDefault="00511758">
      <w:pPr>
        <w:rPr>
          <w:rFonts w:cstheme="minorHAnsi"/>
          <w:sz w:val="20"/>
          <w:szCs w:val="20"/>
        </w:rPr>
      </w:pPr>
      <w:r w:rsidRPr="00850140">
        <w:rPr>
          <w:rFonts w:cstheme="minorHAnsi"/>
          <w:sz w:val="20"/>
          <w:szCs w:val="20"/>
        </w:rPr>
        <w:t xml:space="preserve">The amendments to the homicide act of 1957 begin with the defence of diminished responsibility. The law commission </w:t>
      </w:r>
      <w:r w:rsidR="00973154">
        <w:rPr>
          <w:rFonts w:cstheme="minorHAnsi"/>
          <w:sz w:val="20"/>
          <w:szCs w:val="20"/>
        </w:rPr>
        <w:t>recommended that</w:t>
      </w:r>
      <w:r w:rsidRPr="00850140">
        <w:rPr>
          <w:rFonts w:cstheme="minorHAnsi"/>
          <w:sz w:val="20"/>
          <w:szCs w:val="20"/>
        </w:rPr>
        <w:t xml:space="preserve"> the law be updated. (Law </w:t>
      </w:r>
      <w:r w:rsidRPr="00850140">
        <w:rPr>
          <w:rFonts w:cstheme="minorHAnsi"/>
          <w:sz w:val="20"/>
          <w:szCs w:val="20"/>
        </w:rPr>
        <w:t>Commission</w:t>
      </w:r>
      <w:r w:rsidRPr="00850140">
        <w:rPr>
          <w:rFonts w:cstheme="minorHAnsi"/>
          <w:sz w:val="20"/>
          <w:szCs w:val="20"/>
        </w:rPr>
        <w:t xml:space="preserve"> report 2006). These recommendations were then updated in CJA Section 52 in </w:t>
      </w:r>
      <w:r w:rsidR="00973154">
        <w:rPr>
          <w:rFonts w:cstheme="minorHAnsi"/>
          <w:sz w:val="20"/>
          <w:szCs w:val="20"/>
        </w:rPr>
        <w:t>(</w:t>
      </w:r>
      <w:r w:rsidRPr="00850140">
        <w:rPr>
          <w:rFonts w:cstheme="minorHAnsi"/>
          <w:sz w:val="20"/>
          <w:szCs w:val="20"/>
        </w:rPr>
        <w:t>2009</w:t>
      </w:r>
      <w:r w:rsidR="00973154">
        <w:rPr>
          <w:rFonts w:cstheme="minorHAnsi"/>
          <w:sz w:val="20"/>
          <w:szCs w:val="20"/>
        </w:rPr>
        <w:t>)</w:t>
      </w:r>
      <w:r w:rsidRPr="00850140">
        <w:rPr>
          <w:rFonts w:cstheme="minorHAnsi"/>
          <w:sz w:val="20"/>
          <w:szCs w:val="20"/>
        </w:rPr>
        <w:t xml:space="preserve">. </w:t>
      </w:r>
      <w:r w:rsidR="00334992">
        <w:rPr>
          <w:rFonts w:cstheme="minorHAnsi"/>
          <w:sz w:val="20"/>
          <w:szCs w:val="20"/>
        </w:rPr>
        <w:t>T</w:t>
      </w:r>
      <w:r w:rsidRPr="00850140">
        <w:rPr>
          <w:rFonts w:cstheme="minorHAnsi"/>
          <w:sz w:val="20"/>
          <w:szCs w:val="20"/>
        </w:rPr>
        <w:t xml:space="preserve">he terminology was more </w:t>
      </w:r>
      <w:r w:rsidRPr="00850140">
        <w:rPr>
          <w:rFonts w:cstheme="minorHAnsi"/>
          <w:sz w:val="20"/>
          <w:szCs w:val="20"/>
        </w:rPr>
        <w:t>up-to-date</w:t>
      </w:r>
      <w:r w:rsidR="00D725CB" w:rsidRPr="00850140">
        <w:rPr>
          <w:rFonts w:cstheme="minorHAnsi"/>
          <w:sz w:val="20"/>
          <w:szCs w:val="20"/>
        </w:rPr>
        <w:t xml:space="preserve">, </w:t>
      </w:r>
      <w:r w:rsidR="0016557C" w:rsidRPr="00850140">
        <w:rPr>
          <w:rFonts w:cstheme="minorHAnsi"/>
          <w:i/>
          <w:iCs/>
          <w:color w:val="212121"/>
          <w:sz w:val="20"/>
          <w:szCs w:val="20"/>
          <w:shd w:val="clear" w:color="auto" w:fill="FFFFFF"/>
        </w:rPr>
        <w:t>Murder, manslaughter and infanticide - law commission</w:t>
      </w:r>
      <w:r w:rsidR="0016557C" w:rsidRPr="00850140">
        <w:rPr>
          <w:rFonts w:cstheme="minorHAnsi"/>
          <w:color w:val="212121"/>
          <w:sz w:val="20"/>
          <w:szCs w:val="20"/>
          <w:shd w:val="clear" w:color="auto" w:fill="FFFFFF"/>
        </w:rPr>
        <w:t xml:space="preserve"> (2006). House of Commons</w:t>
      </w:r>
      <w:r w:rsidRPr="00850140">
        <w:rPr>
          <w:rFonts w:cstheme="minorHAnsi"/>
          <w:sz w:val="20"/>
          <w:szCs w:val="20"/>
        </w:rPr>
        <w:t xml:space="preserve">. The second requirement, however, was defined as </w:t>
      </w:r>
      <w:r w:rsidRPr="00850140">
        <w:rPr>
          <w:rFonts w:cstheme="minorHAnsi"/>
          <w:sz w:val="20"/>
          <w:szCs w:val="20"/>
        </w:rPr>
        <w:t>an</w:t>
      </w:r>
      <w:r w:rsidRPr="00850140">
        <w:rPr>
          <w:rFonts w:cstheme="minorHAnsi"/>
          <w:sz w:val="20"/>
          <w:szCs w:val="20"/>
        </w:rPr>
        <w:t xml:space="preserve"> "abnormality of the mind" in the original wording of the 1957 </w:t>
      </w:r>
      <w:r w:rsidRPr="00850140">
        <w:rPr>
          <w:rFonts w:cstheme="minorHAnsi"/>
          <w:sz w:val="20"/>
          <w:szCs w:val="20"/>
        </w:rPr>
        <w:t>A</w:t>
      </w:r>
      <w:r w:rsidRPr="00850140">
        <w:rPr>
          <w:rFonts w:cstheme="minorHAnsi"/>
          <w:sz w:val="20"/>
          <w:szCs w:val="20"/>
        </w:rPr>
        <w:t>ct.</w:t>
      </w:r>
      <w:r w:rsidRPr="00850140">
        <w:rPr>
          <w:rFonts w:cstheme="minorHAnsi"/>
          <w:sz w:val="20"/>
          <w:szCs w:val="20"/>
        </w:rPr>
        <w:t xml:space="preserve"> </w:t>
      </w:r>
      <w:r w:rsidRPr="00850140">
        <w:rPr>
          <w:rFonts w:cstheme="minorHAnsi"/>
          <w:sz w:val="20"/>
          <w:szCs w:val="20"/>
        </w:rPr>
        <w:t xml:space="preserve">The law commission recommended changing the wording of this to "abnormality of the functioning mind" in the CJA </w:t>
      </w:r>
      <w:r w:rsidR="00D725CB" w:rsidRPr="00850140">
        <w:rPr>
          <w:rFonts w:cstheme="minorHAnsi"/>
          <w:sz w:val="20"/>
          <w:szCs w:val="20"/>
        </w:rPr>
        <w:t>(</w:t>
      </w:r>
      <w:r w:rsidRPr="00850140">
        <w:rPr>
          <w:rFonts w:cstheme="minorHAnsi"/>
          <w:sz w:val="20"/>
          <w:szCs w:val="20"/>
        </w:rPr>
        <w:t>2009</w:t>
      </w:r>
      <w:r w:rsidR="00D725CB" w:rsidRPr="00850140">
        <w:rPr>
          <w:rFonts w:cstheme="minorHAnsi"/>
          <w:sz w:val="20"/>
          <w:szCs w:val="20"/>
        </w:rPr>
        <w:t>)</w:t>
      </w:r>
      <w:r w:rsidRPr="00850140">
        <w:rPr>
          <w:rFonts w:cstheme="minorHAnsi"/>
          <w:sz w:val="20"/>
          <w:szCs w:val="20"/>
        </w:rPr>
        <w:t xml:space="preserve"> because it is a professional medical term, more </w:t>
      </w:r>
      <w:r w:rsidRPr="00850140">
        <w:rPr>
          <w:rFonts w:cstheme="minorHAnsi"/>
          <w:sz w:val="20"/>
          <w:szCs w:val="20"/>
        </w:rPr>
        <w:t>up-to-date</w:t>
      </w:r>
      <w:r w:rsidRPr="00850140">
        <w:rPr>
          <w:rFonts w:cstheme="minorHAnsi"/>
          <w:sz w:val="20"/>
          <w:szCs w:val="20"/>
        </w:rPr>
        <w:t>, and carries less of a social stigma within society</w:t>
      </w:r>
      <w:r w:rsidR="00D725CB" w:rsidRPr="00850140">
        <w:rPr>
          <w:rFonts w:cstheme="minorHAnsi"/>
          <w:sz w:val="20"/>
          <w:szCs w:val="20"/>
        </w:rPr>
        <w:t xml:space="preserve">, </w:t>
      </w:r>
      <w:r w:rsidR="00D725CB" w:rsidRPr="00850140">
        <w:rPr>
          <w:rFonts w:cstheme="minorHAnsi"/>
          <w:color w:val="000000"/>
          <w:sz w:val="20"/>
          <w:szCs w:val="20"/>
        </w:rPr>
        <w:t> </w:t>
      </w:r>
      <w:r w:rsidR="0016557C" w:rsidRPr="00850140">
        <w:rPr>
          <w:rFonts w:cstheme="minorHAnsi"/>
          <w:i/>
          <w:iCs/>
          <w:color w:val="212121"/>
          <w:sz w:val="20"/>
          <w:szCs w:val="20"/>
          <w:shd w:val="clear" w:color="auto" w:fill="FFFFFF"/>
        </w:rPr>
        <w:t>Murder, manslaughter and infanticide - law commission</w:t>
      </w:r>
      <w:r w:rsidR="0016557C" w:rsidRPr="00850140">
        <w:rPr>
          <w:rFonts w:cstheme="minorHAnsi"/>
          <w:color w:val="212121"/>
          <w:sz w:val="20"/>
          <w:szCs w:val="20"/>
          <w:shd w:val="clear" w:color="auto" w:fill="FFFFFF"/>
        </w:rPr>
        <w:t xml:space="preserve"> (2006). House of Commons</w:t>
      </w:r>
      <w:r w:rsidRPr="00850140">
        <w:rPr>
          <w:rFonts w:cstheme="minorHAnsi"/>
          <w:sz w:val="20"/>
          <w:szCs w:val="20"/>
        </w:rPr>
        <w:t xml:space="preserve">. </w:t>
      </w:r>
    </w:p>
    <w:p w14:paraId="71F8B343" w14:textId="77777777" w:rsidR="007403BC" w:rsidRPr="00850140" w:rsidRDefault="007403BC" w:rsidP="007403BC">
      <w:pPr>
        <w:rPr>
          <w:rFonts w:cstheme="minorHAnsi"/>
          <w:sz w:val="20"/>
          <w:szCs w:val="20"/>
        </w:rPr>
      </w:pPr>
    </w:p>
    <w:p w14:paraId="28FB57AC" w14:textId="2E1F1E70" w:rsidR="009F583D" w:rsidRPr="00850140" w:rsidRDefault="00764AFC">
      <w:pPr>
        <w:rPr>
          <w:rFonts w:cstheme="minorHAnsi"/>
          <w:sz w:val="20"/>
          <w:szCs w:val="20"/>
        </w:rPr>
      </w:pPr>
      <w:r w:rsidRPr="00850140">
        <w:rPr>
          <w:rFonts w:cstheme="minorHAnsi"/>
          <w:sz w:val="20"/>
          <w:szCs w:val="20"/>
        </w:rPr>
        <w:t xml:space="preserve"> </w:t>
      </w:r>
      <w:r w:rsidR="0035548C" w:rsidRPr="00850140">
        <w:rPr>
          <w:rFonts w:cstheme="minorHAnsi"/>
          <w:sz w:val="20"/>
          <w:szCs w:val="20"/>
        </w:rPr>
        <w:t xml:space="preserve">What are the advantages/ disadvantages of these changes? </w:t>
      </w:r>
    </w:p>
    <w:p w14:paraId="77D596A3" w14:textId="464DC092" w:rsidR="00511758" w:rsidRPr="00850140" w:rsidRDefault="00511758">
      <w:pPr>
        <w:rPr>
          <w:rFonts w:cstheme="minorHAnsi"/>
          <w:sz w:val="20"/>
          <w:szCs w:val="20"/>
        </w:rPr>
      </w:pPr>
      <w:r w:rsidRPr="00850140">
        <w:rPr>
          <w:rFonts w:cstheme="minorHAnsi"/>
          <w:sz w:val="20"/>
          <w:szCs w:val="20"/>
        </w:rPr>
        <w:t xml:space="preserve">The CJA </w:t>
      </w:r>
      <w:r w:rsidR="0016557C" w:rsidRPr="00850140">
        <w:rPr>
          <w:rFonts w:cstheme="minorHAnsi"/>
          <w:sz w:val="20"/>
          <w:szCs w:val="20"/>
        </w:rPr>
        <w:t>(</w:t>
      </w:r>
      <w:r w:rsidRPr="00850140">
        <w:rPr>
          <w:rFonts w:cstheme="minorHAnsi"/>
          <w:sz w:val="20"/>
          <w:szCs w:val="20"/>
        </w:rPr>
        <w:t>2009</w:t>
      </w:r>
      <w:r w:rsidR="0016557C" w:rsidRPr="00850140">
        <w:rPr>
          <w:rFonts w:cstheme="minorHAnsi"/>
          <w:sz w:val="20"/>
          <w:szCs w:val="20"/>
        </w:rPr>
        <w:t>)</w:t>
      </w:r>
      <w:r w:rsidRPr="00850140">
        <w:rPr>
          <w:rFonts w:cstheme="minorHAnsi"/>
          <w:sz w:val="20"/>
          <w:szCs w:val="20"/>
        </w:rPr>
        <w:t xml:space="preserve"> section reform resulted in the clarification of the reduction of murder to voluntary manslaughter</w:t>
      </w:r>
      <w:r w:rsidR="0016557C" w:rsidRPr="00850140">
        <w:rPr>
          <w:rFonts w:cstheme="minorHAnsi"/>
          <w:sz w:val="20"/>
          <w:szCs w:val="20"/>
        </w:rPr>
        <w:t xml:space="preserve">, </w:t>
      </w:r>
      <w:r w:rsidR="0016557C" w:rsidRPr="00850140">
        <w:rPr>
          <w:rFonts w:cstheme="minorHAnsi"/>
          <w:color w:val="000000"/>
          <w:sz w:val="20"/>
          <w:szCs w:val="20"/>
        </w:rPr>
        <w:t>The new diminished responsibility plea (R.D Mackay., 2010)</w:t>
      </w:r>
      <w:r w:rsidRPr="00850140">
        <w:rPr>
          <w:rFonts w:cstheme="minorHAnsi"/>
          <w:sz w:val="20"/>
          <w:szCs w:val="20"/>
        </w:rPr>
        <w:t>. This amendment is favourable because it reduces the defendant's prison sentence, promoting justice for the defendant and reducing the harmful stigma associated with being labelled a murderer for their inability to understand their actions due to a medical condition that is not their fault.</w:t>
      </w:r>
      <w:r w:rsidRPr="00850140">
        <w:rPr>
          <w:rFonts w:cstheme="minorHAnsi"/>
          <w:sz w:val="20"/>
          <w:szCs w:val="20"/>
        </w:rPr>
        <w:t xml:space="preserve"> </w:t>
      </w:r>
    </w:p>
    <w:p w14:paraId="19988E4D" w14:textId="2CD65B60" w:rsidR="00511758" w:rsidRPr="00850140" w:rsidRDefault="00511758">
      <w:pPr>
        <w:rPr>
          <w:rFonts w:cstheme="minorHAnsi"/>
          <w:sz w:val="20"/>
          <w:szCs w:val="20"/>
        </w:rPr>
      </w:pPr>
      <w:r w:rsidRPr="00850140">
        <w:rPr>
          <w:rFonts w:cstheme="minorHAnsi"/>
          <w:sz w:val="20"/>
          <w:szCs w:val="20"/>
        </w:rPr>
        <w:t xml:space="preserve">On the other hand, while it is important to consider the defendant's understanding of their conduct as well as their ability to form </w:t>
      </w:r>
      <w:r w:rsidR="0016557C" w:rsidRPr="00850140">
        <w:rPr>
          <w:rFonts w:cstheme="minorHAnsi"/>
          <w:sz w:val="20"/>
          <w:szCs w:val="20"/>
        </w:rPr>
        <w:t xml:space="preserve">a </w:t>
      </w:r>
      <w:r w:rsidRPr="00850140">
        <w:rPr>
          <w:rFonts w:cstheme="minorHAnsi"/>
          <w:sz w:val="20"/>
          <w:szCs w:val="20"/>
        </w:rPr>
        <w:t>reasonable judgement, a disadvantage of this defence is that family members and eyewitnesses may regard it as unfair</w:t>
      </w:r>
      <w:r w:rsidR="0016557C" w:rsidRPr="00850140">
        <w:rPr>
          <w:rFonts w:cstheme="minorHAnsi"/>
          <w:sz w:val="20"/>
          <w:szCs w:val="20"/>
        </w:rPr>
        <w:t>, (Foye 2013)</w:t>
      </w:r>
      <w:r w:rsidRPr="00850140">
        <w:rPr>
          <w:rFonts w:cstheme="minorHAnsi"/>
          <w:sz w:val="20"/>
          <w:szCs w:val="20"/>
        </w:rPr>
        <w:t>. This is because the defendant can have their conviction reduced if they believe the focus is not on the victim, who may well and truly have been completely innocent</w:t>
      </w:r>
      <w:r w:rsidRPr="00850140">
        <w:rPr>
          <w:rFonts w:cstheme="minorHAnsi"/>
          <w:sz w:val="20"/>
          <w:szCs w:val="20"/>
        </w:rPr>
        <w:t>.</w:t>
      </w:r>
      <w:r w:rsidRPr="00850140">
        <w:rPr>
          <w:rFonts w:cstheme="minorHAnsi"/>
          <w:sz w:val="20"/>
          <w:szCs w:val="20"/>
        </w:rPr>
        <w:t xml:space="preserve"> This fails to provide justice for the victim's bereaved family members.</w:t>
      </w:r>
      <w:r w:rsidRPr="00850140">
        <w:rPr>
          <w:rFonts w:cstheme="minorHAnsi"/>
          <w:sz w:val="20"/>
          <w:szCs w:val="20"/>
        </w:rPr>
        <w:t xml:space="preserve"> </w:t>
      </w:r>
    </w:p>
    <w:p w14:paraId="76A2F5B5" w14:textId="01F2B56D" w:rsidR="00955CC5" w:rsidRPr="00850140" w:rsidRDefault="00511758">
      <w:pPr>
        <w:rPr>
          <w:rFonts w:cstheme="minorHAnsi"/>
          <w:sz w:val="20"/>
          <w:szCs w:val="20"/>
        </w:rPr>
      </w:pPr>
      <w:r w:rsidRPr="00850140">
        <w:rPr>
          <w:rFonts w:cstheme="minorHAnsi"/>
          <w:sz w:val="20"/>
          <w:szCs w:val="20"/>
        </w:rPr>
        <w:t>However, if the defendant pleads diminished responsibility, they are clearly stating that they were suffering from an abnormality in mental functioning</w:t>
      </w:r>
      <w:r w:rsidR="0016557C" w:rsidRPr="00850140">
        <w:rPr>
          <w:rFonts w:cstheme="minorHAnsi"/>
          <w:sz w:val="20"/>
          <w:szCs w:val="20"/>
        </w:rPr>
        <w:t xml:space="preserve">, </w:t>
      </w:r>
      <w:r w:rsidRPr="00850140">
        <w:rPr>
          <w:rFonts w:cstheme="minorHAnsi"/>
          <w:sz w:val="20"/>
          <w:szCs w:val="20"/>
        </w:rPr>
        <w:t>at the time the offence occurred</w:t>
      </w:r>
      <w:r w:rsidR="0016557C" w:rsidRPr="00850140">
        <w:rPr>
          <w:rFonts w:cstheme="minorHAnsi"/>
          <w:sz w:val="20"/>
          <w:szCs w:val="20"/>
        </w:rPr>
        <w:t xml:space="preserve">, </w:t>
      </w:r>
      <w:r w:rsidR="0016557C" w:rsidRPr="00850140">
        <w:rPr>
          <w:rFonts w:cstheme="minorHAnsi"/>
          <w:color w:val="000000"/>
          <w:sz w:val="20"/>
          <w:szCs w:val="20"/>
        </w:rPr>
        <w:t>The new diminished responsibility plea (R.D Mackay., 2010)</w:t>
      </w:r>
      <w:r w:rsidRPr="00850140">
        <w:rPr>
          <w:rFonts w:cstheme="minorHAnsi"/>
          <w:sz w:val="20"/>
          <w:szCs w:val="20"/>
        </w:rPr>
        <w:t>. As a result, this contends that because the Defendant stated that their intention was not to kill the individual, they should not be found liable for murder, especially if the Jury believes they meet the criteria for the Diminished responsibility defence</w:t>
      </w:r>
      <w:r w:rsidR="00A600AA" w:rsidRPr="00850140">
        <w:rPr>
          <w:rFonts w:cstheme="minorHAnsi"/>
          <w:sz w:val="20"/>
          <w:szCs w:val="20"/>
        </w:rPr>
        <w:t xml:space="preserve">. </w:t>
      </w:r>
    </w:p>
    <w:p w14:paraId="548A25FC" w14:textId="37C6D7D8" w:rsidR="00A600AA" w:rsidRPr="00850140" w:rsidRDefault="00A600AA">
      <w:pPr>
        <w:rPr>
          <w:rFonts w:cstheme="minorHAnsi"/>
          <w:sz w:val="20"/>
          <w:szCs w:val="20"/>
        </w:rPr>
      </w:pPr>
      <w:r w:rsidRPr="00850140">
        <w:rPr>
          <w:rFonts w:cstheme="minorHAnsi"/>
          <w:sz w:val="20"/>
          <w:szCs w:val="20"/>
        </w:rPr>
        <w:t xml:space="preserve">Alternatively, in the case of </w:t>
      </w:r>
      <w:r w:rsidR="0096156B" w:rsidRPr="00850140">
        <w:rPr>
          <w:rFonts w:cstheme="minorHAnsi"/>
          <w:sz w:val="20"/>
          <w:szCs w:val="20"/>
        </w:rPr>
        <w:t xml:space="preserve">Foye </w:t>
      </w:r>
      <w:r w:rsidR="0016557C" w:rsidRPr="00850140">
        <w:rPr>
          <w:rFonts w:cstheme="minorHAnsi"/>
          <w:sz w:val="20"/>
          <w:szCs w:val="20"/>
        </w:rPr>
        <w:t>(</w:t>
      </w:r>
      <w:r w:rsidR="0096156B" w:rsidRPr="00850140">
        <w:rPr>
          <w:rFonts w:cstheme="minorHAnsi"/>
          <w:sz w:val="20"/>
          <w:szCs w:val="20"/>
        </w:rPr>
        <w:t>2013</w:t>
      </w:r>
      <w:r w:rsidR="0016557C" w:rsidRPr="00850140">
        <w:rPr>
          <w:rFonts w:cstheme="minorHAnsi"/>
          <w:sz w:val="20"/>
          <w:szCs w:val="20"/>
        </w:rPr>
        <w:t>)</w:t>
      </w:r>
      <w:r w:rsidR="00D30D62" w:rsidRPr="00850140">
        <w:rPr>
          <w:rFonts w:cstheme="minorHAnsi"/>
          <w:sz w:val="20"/>
          <w:szCs w:val="20"/>
        </w:rPr>
        <w:t>,</w:t>
      </w:r>
      <w:r w:rsidR="0096156B" w:rsidRPr="00850140">
        <w:rPr>
          <w:rFonts w:cstheme="minorHAnsi"/>
          <w:sz w:val="20"/>
          <w:szCs w:val="20"/>
        </w:rPr>
        <w:t xml:space="preserve"> </w:t>
      </w:r>
      <w:r w:rsidR="00220A82" w:rsidRPr="00850140">
        <w:rPr>
          <w:rFonts w:cstheme="minorHAnsi"/>
          <w:sz w:val="20"/>
          <w:szCs w:val="20"/>
        </w:rPr>
        <w:t xml:space="preserve">as seen in section 2 (2)as amended in the Homicide Act </w:t>
      </w:r>
      <w:r w:rsidR="0016557C" w:rsidRPr="00850140">
        <w:rPr>
          <w:rFonts w:cstheme="minorHAnsi"/>
          <w:sz w:val="20"/>
          <w:szCs w:val="20"/>
        </w:rPr>
        <w:t>(</w:t>
      </w:r>
      <w:r w:rsidR="00220A82" w:rsidRPr="00850140">
        <w:rPr>
          <w:rFonts w:cstheme="minorHAnsi"/>
          <w:sz w:val="20"/>
          <w:szCs w:val="20"/>
        </w:rPr>
        <w:t>1957</w:t>
      </w:r>
      <w:r w:rsidR="0016557C" w:rsidRPr="00850140">
        <w:rPr>
          <w:rFonts w:cstheme="minorHAnsi"/>
          <w:sz w:val="20"/>
          <w:szCs w:val="20"/>
        </w:rPr>
        <w:t>)</w:t>
      </w:r>
      <w:r w:rsidR="00220A82" w:rsidRPr="00850140">
        <w:rPr>
          <w:rFonts w:cstheme="minorHAnsi"/>
          <w:sz w:val="20"/>
          <w:szCs w:val="20"/>
        </w:rPr>
        <w:t xml:space="preserve">, the Defendant </w:t>
      </w:r>
      <w:r w:rsidR="00D30D62" w:rsidRPr="00850140">
        <w:rPr>
          <w:rFonts w:cstheme="minorHAnsi"/>
          <w:sz w:val="20"/>
          <w:szCs w:val="20"/>
        </w:rPr>
        <w:t>was responsible for killing his prison inmate in a brutal act of violence</w:t>
      </w:r>
      <w:r w:rsidR="0016557C" w:rsidRPr="00850140">
        <w:rPr>
          <w:rFonts w:cstheme="minorHAnsi"/>
          <w:sz w:val="20"/>
          <w:szCs w:val="20"/>
        </w:rPr>
        <w:t>, (Foye 2013)</w:t>
      </w:r>
      <w:r w:rsidR="00D30D62" w:rsidRPr="00850140">
        <w:rPr>
          <w:rFonts w:cstheme="minorHAnsi"/>
          <w:sz w:val="20"/>
          <w:szCs w:val="20"/>
        </w:rPr>
        <w:t xml:space="preserve">. The jury rejected the defence of Diminished Responsibility. </w:t>
      </w:r>
      <w:r w:rsidR="00511758" w:rsidRPr="00850140">
        <w:rPr>
          <w:rFonts w:cstheme="minorHAnsi"/>
          <w:sz w:val="20"/>
          <w:szCs w:val="20"/>
        </w:rPr>
        <w:t xml:space="preserve">Consequently, prior to this, </w:t>
      </w:r>
      <w:r w:rsidR="00D30D62" w:rsidRPr="00850140">
        <w:rPr>
          <w:rFonts w:cstheme="minorHAnsi"/>
          <w:sz w:val="20"/>
          <w:szCs w:val="20"/>
        </w:rPr>
        <w:t>at the age of 20,</w:t>
      </w:r>
      <w:r w:rsidR="00220A82" w:rsidRPr="00850140">
        <w:rPr>
          <w:rFonts w:cstheme="minorHAnsi"/>
          <w:sz w:val="20"/>
          <w:szCs w:val="20"/>
        </w:rPr>
        <w:t xml:space="preserve"> the Defendant brutally murdered his partner</w:t>
      </w:r>
      <w:r w:rsidR="00511758" w:rsidRPr="00850140">
        <w:rPr>
          <w:rFonts w:cstheme="minorHAnsi"/>
          <w:sz w:val="20"/>
          <w:szCs w:val="20"/>
        </w:rPr>
        <w:t>.</w:t>
      </w:r>
      <w:r w:rsidR="00220A82" w:rsidRPr="00850140">
        <w:rPr>
          <w:rFonts w:cstheme="minorHAnsi"/>
          <w:sz w:val="20"/>
          <w:szCs w:val="20"/>
        </w:rPr>
        <w:t xml:space="preserve"> </w:t>
      </w:r>
      <w:r w:rsidR="00511758" w:rsidRPr="00850140">
        <w:rPr>
          <w:rFonts w:cstheme="minorHAnsi"/>
          <w:sz w:val="20"/>
          <w:szCs w:val="20"/>
        </w:rPr>
        <w:t xml:space="preserve">The Defendant </w:t>
      </w:r>
      <w:r w:rsidR="00220A82" w:rsidRPr="00850140">
        <w:rPr>
          <w:rFonts w:cstheme="minorHAnsi"/>
          <w:sz w:val="20"/>
          <w:szCs w:val="20"/>
        </w:rPr>
        <w:t xml:space="preserve">inflicted 46 stab wounds </w:t>
      </w:r>
      <w:r w:rsidR="00511758" w:rsidRPr="00850140">
        <w:rPr>
          <w:rFonts w:cstheme="minorHAnsi"/>
          <w:sz w:val="20"/>
          <w:szCs w:val="20"/>
        </w:rPr>
        <w:t>on</w:t>
      </w:r>
      <w:r w:rsidR="00220A82" w:rsidRPr="00850140">
        <w:rPr>
          <w:rFonts w:cstheme="minorHAnsi"/>
          <w:sz w:val="20"/>
          <w:szCs w:val="20"/>
        </w:rPr>
        <w:t xml:space="preserve"> her and repetitively stepped on her head. Although it was expressed that Defendant had a troubled upbringing</w:t>
      </w:r>
      <w:r w:rsidR="00973154">
        <w:rPr>
          <w:rFonts w:cstheme="minorHAnsi"/>
          <w:sz w:val="20"/>
          <w:szCs w:val="20"/>
        </w:rPr>
        <w:t xml:space="preserve"> </w:t>
      </w:r>
      <w:r w:rsidR="00220A82" w:rsidRPr="00850140">
        <w:rPr>
          <w:rFonts w:cstheme="minorHAnsi"/>
          <w:sz w:val="20"/>
          <w:szCs w:val="20"/>
        </w:rPr>
        <w:t>disturbing behaviour, it could be argued that the intention to cause grievous bodily harm was there as Defendant did not stop continuously</w:t>
      </w:r>
      <w:r w:rsidR="00511758" w:rsidRPr="00850140">
        <w:rPr>
          <w:rFonts w:cstheme="minorHAnsi"/>
          <w:sz w:val="20"/>
          <w:szCs w:val="20"/>
        </w:rPr>
        <w:t xml:space="preserve"> causing GBH</w:t>
      </w:r>
      <w:r w:rsidR="00220A82" w:rsidRPr="00850140">
        <w:rPr>
          <w:rFonts w:cstheme="minorHAnsi"/>
          <w:sz w:val="20"/>
          <w:szCs w:val="20"/>
        </w:rPr>
        <w:t xml:space="preserve"> until the victim could be considered as destroyed.</w:t>
      </w:r>
      <w:r w:rsidR="00D30D62" w:rsidRPr="00850140">
        <w:rPr>
          <w:rFonts w:cstheme="minorHAnsi"/>
          <w:sz w:val="20"/>
          <w:szCs w:val="20"/>
        </w:rPr>
        <w:t xml:space="preserve"> Therefore section 2(2)</w:t>
      </w:r>
      <w:r w:rsidR="0016557C" w:rsidRPr="00850140">
        <w:rPr>
          <w:rFonts w:cstheme="minorHAnsi"/>
          <w:sz w:val="20"/>
          <w:szCs w:val="20"/>
        </w:rPr>
        <w:t xml:space="preserve"> of the</w:t>
      </w:r>
      <w:r w:rsidR="00973154">
        <w:rPr>
          <w:rFonts w:cstheme="minorHAnsi"/>
          <w:sz w:val="20"/>
          <w:szCs w:val="20"/>
        </w:rPr>
        <w:t xml:space="preserve"> </w:t>
      </w:r>
      <w:r w:rsidR="00D30D62" w:rsidRPr="00850140">
        <w:rPr>
          <w:rFonts w:cstheme="minorHAnsi"/>
          <w:sz w:val="20"/>
          <w:szCs w:val="20"/>
        </w:rPr>
        <w:t xml:space="preserve">proves that although a Defendant may have had previous evidence of a serious medical condition or lack of reasonable judgement of their actions, in the charge of murder it is up to the defence </w:t>
      </w:r>
      <w:r w:rsidR="00232D64" w:rsidRPr="00850140">
        <w:rPr>
          <w:rFonts w:cstheme="minorHAnsi"/>
          <w:sz w:val="20"/>
          <w:szCs w:val="20"/>
        </w:rPr>
        <w:t xml:space="preserve">(Jury) </w:t>
      </w:r>
      <w:r w:rsidR="00D30D62" w:rsidRPr="00850140">
        <w:rPr>
          <w:rFonts w:cstheme="minorHAnsi"/>
          <w:sz w:val="20"/>
          <w:szCs w:val="20"/>
        </w:rPr>
        <w:t xml:space="preserve">to prove whether the individual is charged with murder, </w:t>
      </w:r>
      <w:r w:rsidR="00B14E65" w:rsidRPr="00850140">
        <w:rPr>
          <w:rFonts w:cstheme="minorHAnsi"/>
          <w:sz w:val="20"/>
          <w:szCs w:val="20"/>
        </w:rPr>
        <w:t xml:space="preserve">in this </w:t>
      </w:r>
      <w:r w:rsidR="00973154">
        <w:rPr>
          <w:rFonts w:cstheme="minorHAnsi"/>
          <w:sz w:val="20"/>
          <w:szCs w:val="20"/>
        </w:rPr>
        <w:t>case</w:t>
      </w:r>
      <w:r w:rsidR="00B14E65" w:rsidRPr="00850140">
        <w:rPr>
          <w:rFonts w:cstheme="minorHAnsi"/>
          <w:sz w:val="20"/>
          <w:szCs w:val="20"/>
        </w:rPr>
        <w:t xml:space="preserve"> he was. T</w:t>
      </w:r>
      <w:r w:rsidR="00D30D62" w:rsidRPr="00850140">
        <w:rPr>
          <w:rFonts w:cstheme="minorHAnsi"/>
          <w:sz w:val="20"/>
          <w:szCs w:val="20"/>
        </w:rPr>
        <w:t>herefore this is</w:t>
      </w:r>
      <w:r w:rsidR="00232D64" w:rsidRPr="00850140">
        <w:rPr>
          <w:rFonts w:cstheme="minorHAnsi"/>
          <w:sz w:val="20"/>
          <w:szCs w:val="20"/>
        </w:rPr>
        <w:t xml:space="preserve"> arguably</w:t>
      </w:r>
      <w:r w:rsidR="00D30D62" w:rsidRPr="00850140">
        <w:rPr>
          <w:rFonts w:cstheme="minorHAnsi"/>
          <w:sz w:val="20"/>
          <w:szCs w:val="20"/>
        </w:rPr>
        <w:t xml:space="preserve"> an instance </w:t>
      </w:r>
      <w:r w:rsidR="00B14E65" w:rsidRPr="00850140">
        <w:rPr>
          <w:rFonts w:cstheme="minorHAnsi"/>
          <w:sz w:val="20"/>
          <w:szCs w:val="20"/>
        </w:rPr>
        <w:t>in</w:t>
      </w:r>
      <w:r w:rsidR="00D30D62" w:rsidRPr="00850140">
        <w:rPr>
          <w:rFonts w:cstheme="minorHAnsi"/>
          <w:sz w:val="20"/>
          <w:szCs w:val="20"/>
        </w:rPr>
        <w:t xml:space="preserve"> the best interest of the victim. </w:t>
      </w:r>
    </w:p>
    <w:p w14:paraId="0E3397B4" w14:textId="024BD0CB" w:rsidR="00A600AA" w:rsidRPr="00850140" w:rsidRDefault="00D30D62">
      <w:pPr>
        <w:rPr>
          <w:rFonts w:cstheme="minorHAnsi"/>
          <w:sz w:val="20"/>
          <w:szCs w:val="20"/>
        </w:rPr>
      </w:pPr>
      <w:r w:rsidRPr="00850140">
        <w:rPr>
          <w:rFonts w:cstheme="minorHAnsi"/>
          <w:sz w:val="20"/>
          <w:szCs w:val="20"/>
        </w:rPr>
        <w:t>On the contrary, due to the burden of proof being on the defence in order to prove diminished responsibility</w:t>
      </w:r>
      <w:r w:rsidR="0016557C" w:rsidRPr="00850140">
        <w:rPr>
          <w:rFonts w:cstheme="minorHAnsi"/>
          <w:sz w:val="20"/>
          <w:szCs w:val="20"/>
        </w:rPr>
        <w:t xml:space="preserve">, </w:t>
      </w:r>
      <w:r w:rsidR="0016557C" w:rsidRPr="00850140">
        <w:rPr>
          <w:rFonts w:cstheme="minorHAnsi"/>
          <w:color w:val="000000"/>
          <w:sz w:val="20"/>
          <w:szCs w:val="20"/>
        </w:rPr>
        <w:t>Partial Defences to Murder (Quick, O and Wells C., 2012)</w:t>
      </w:r>
      <w:r w:rsidR="0016557C" w:rsidRPr="00850140">
        <w:rPr>
          <w:rFonts w:cstheme="minorHAnsi"/>
          <w:sz w:val="20"/>
          <w:szCs w:val="20"/>
        </w:rPr>
        <w:t xml:space="preserve"> </w:t>
      </w:r>
      <w:r w:rsidRPr="00850140">
        <w:rPr>
          <w:rFonts w:cstheme="minorHAnsi"/>
          <w:sz w:val="20"/>
          <w:szCs w:val="20"/>
        </w:rPr>
        <w:t xml:space="preserve">, the Jury are responsible for making this </w:t>
      </w:r>
      <w:r w:rsidR="00BF1B79" w:rsidRPr="00850140">
        <w:rPr>
          <w:rFonts w:cstheme="minorHAnsi"/>
          <w:sz w:val="20"/>
          <w:szCs w:val="20"/>
        </w:rPr>
        <w:t>judgement. This could be argued as risky due to common factors of Bias, possession of secret information but also the inability to come to a judgement. However</w:t>
      </w:r>
      <w:r w:rsidR="00B14E65" w:rsidRPr="00850140">
        <w:rPr>
          <w:rFonts w:cstheme="minorHAnsi"/>
          <w:sz w:val="20"/>
          <w:szCs w:val="20"/>
        </w:rPr>
        <w:t>,</w:t>
      </w:r>
      <w:r w:rsidR="00BF1B79" w:rsidRPr="00850140">
        <w:rPr>
          <w:rFonts w:cstheme="minorHAnsi"/>
          <w:sz w:val="20"/>
          <w:szCs w:val="20"/>
        </w:rPr>
        <w:t xml:space="preserve"> it is argued that Jurors are experienced in this field of knowledge and their ability to use common knowledge as well as experience is equipped and used carefully. </w:t>
      </w:r>
    </w:p>
    <w:p w14:paraId="7A6DDB01" w14:textId="76BAFEC8" w:rsidR="00BF1B79" w:rsidRPr="00850140" w:rsidRDefault="00241BF3">
      <w:pPr>
        <w:rPr>
          <w:rFonts w:cstheme="minorHAnsi"/>
          <w:sz w:val="20"/>
          <w:szCs w:val="20"/>
        </w:rPr>
      </w:pPr>
      <w:r w:rsidRPr="00850140">
        <w:rPr>
          <w:rFonts w:cstheme="minorHAnsi"/>
          <w:sz w:val="20"/>
          <w:szCs w:val="20"/>
        </w:rPr>
        <w:lastRenderedPageBreak/>
        <w:t xml:space="preserve"> </w:t>
      </w:r>
    </w:p>
    <w:p w14:paraId="7ECD309E" w14:textId="58E93182" w:rsidR="00FB61FA" w:rsidRPr="00850140" w:rsidRDefault="00FB61FA">
      <w:pPr>
        <w:rPr>
          <w:rFonts w:cstheme="minorHAnsi"/>
          <w:sz w:val="20"/>
          <w:szCs w:val="20"/>
        </w:rPr>
      </w:pPr>
      <w:r w:rsidRPr="00850140">
        <w:rPr>
          <w:rFonts w:cstheme="minorHAnsi"/>
          <w:sz w:val="20"/>
          <w:szCs w:val="20"/>
        </w:rPr>
        <w:t>Recommendations for law reform</w:t>
      </w:r>
    </w:p>
    <w:p w14:paraId="77BAD259" w14:textId="17AB6024" w:rsidR="00281255" w:rsidRPr="00850140" w:rsidRDefault="00B14E65">
      <w:pPr>
        <w:rPr>
          <w:rFonts w:cstheme="minorHAnsi"/>
          <w:sz w:val="20"/>
          <w:szCs w:val="20"/>
        </w:rPr>
      </w:pPr>
      <w:r w:rsidRPr="00850140">
        <w:rPr>
          <w:rFonts w:cstheme="minorHAnsi"/>
          <w:sz w:val="20"/>
          <w:szCs w:val="20"/>
        </w:rPr>
        <w:t>The government and members of parliament have given reasonable consideration to the law reform debate on the partial defence of diminished responsibility. Adam Afriyie</w:t>
      </w:r>
      <w:r w:rsidR="00850140" w:rsidRPr="00850140">
        <w:rPr>
          <w:rFonts w:cstheme="minorHAnsi"/>
          <w:sz w:val="20"/>
          <w:szCs w:val="20"/>
        </w:rPr>
        <w:t xml:space="preserve"> (2011)</w:t>
      </w:r>
      <w:r w:rsidRPr="00850140">
        <w:rPr>
          <w:rFonts w:cstheme="minorHAnsi"/>
          <w:sz w:val="20"/>
          <w:szCs w:val="20"/>
        </w:rPr>
        <w:t xml:space="preserve"> questioned the Secretary of State for Justice [HC Deb 19 June 2013 c711-2W] Homicide on "what steps he has taken to ensure adequacy in the test of materiality used in partial defences to murder," and whether or not the test is sufficiently robust</w:t>
      </w:r>
      <w:r w:rsidRPr="00850140">
        <w:rPr>
          <w:rFonts w:cstheme="minorHAnsi"/>
          <w:sz w:val="20"/>
          <w:szCs w:val="20"/>
        </w:rPr>
        <w:t xml:space="preserve"> </w:t>
      </w:r>
      <w:r w:rsidRPr="00850140">
        <w:rPr>
          <w:rFonts w:cstheme="minorHAnsi"/>
          <w:sz w:val="20"/>
          <w:szCs w:val="20"/>
        </w:rPr>
        <w:t xml:space="preserve">This implies that the question of whether or not the homicide acts test of successful defences is strong enough to determine whether or not a Defendant has a clear medical condition is still open. </w:t>
      </w:r>
      <w:r w:rsidR="0016557C" w:rsidRPr="00850140">
        <w:rPr>
          <w:rFonts w:cstheme="minorHAnsi"/>
          <w:sz w:val="20"/>
          <w:szCs w:val="20"/>
        </w:rPr>
        <w:t>Green (2011)</w:t>
      </w:r>
      <w:r w:rsidRPr="00850140">
        <w:rPr>
          <w:rFonts w:cstheme="minorHAnsi"/>
          <w:sz w:val="20"/>
          <w:szCs w:val="20"/>
        </w:rPr>
        <w:t xml:space="preserve"> responded to this question by stating that the reformed CJA </w:t>
      </w:r>
      <w:r w:rsidR="00850140" w:rsidRPr="00850140">
        <w:rPr>
          <w:rFonts w:cstheme="minorHAnsi"/>
          <w:sz w:val="20"/>
          <w:szCs w:val="20"/>
        </w:rPr>
        <w:t>(</w:t>
      </w:r>
      <w:r w:rsidRPr="00850140">
        <w:rPr>
          <w:rFonts w:cstheme="minorHAnsi"/>
          <w:sz w:val="20"/>
          <w:szCs w:val="20"/>
        </w:rPr>
        <w:t>2009</w:t>
      </w:r>
      <w:r w:rsidR="00850140" w:rsidRPr="00850140">
        <w:rPr>
          <w:rFonts w:cstheme="minorHAnsi"/>
          <w:sz w:val="20"/>
          <w:szCs w:val="20"/>
        </w:rPr>
        <w:t>)</w:t>
      </w:r>
      <w:r w:rsidRPr="00850140">
        <w:rPr>
          <w:rFonts w:cstheme="minorHAnsi"/>
          <w:sz w:val="20"/>
          <w:szCs w:val="20"/>
        </w:rPr>
        <w:t xml:space="preserve"> already accommodates modern psychiatric ideas, that the law commission that recommended the reforms, as well as the Government, collected extensive public consultation on the changes to </w:t>
      </w:r>
      <w:r w:rsidRPr="00850140">
        <w:rPr>
          <w:rFonts w:cstheme="minorHAnsi"/>
          <w:sz w:val="20"/>
          <w:szCs w:val="20"/>
        </w:rPr>
        <w:t xml:space="preserve">the </w:t>
      </w:r>
      <w:r w:rsidRPr="00850140">
        <w:rPr>
          <w:rFonts w:cstheme="minorHAnsi"/>
          <w:sz w:val="20"/>
          <w:szCs w:val="20"/>
        </w:rPr>
        <w:t>law, and that there are no plans to review the law in this area due to the scrutiny of parliament.</w:t>
      </w:r>
    </w:p>
    <w:p w14:paraId="33587CA9" w14:textId="1976657A" w:rsidR="00281255" w:rsidRPr="00850140" w:rsidRDefault="00B14E65">
      <w:pPr>
        <w:rPr>
          <w:rFonts w:cstheme="minorHAnsi"/>
          <w:sz w:val="20"/>
          <w:szCs w:val="20"/>
        </w:rPr>
      </w:pPr>
      <w:r w:rsidRPr="00850140">
        <w:rPr>
          <w:rFonts w:cstheme="minorHAnsi"/>
          <w:sz w:val="20"/>
          <w:szCs w:val="20"/>
        </w:rPr>
        <w:t>As a result, the question of how much research has been done into the possibility of reforming the diminished responsibility plea by making it the subject of the length of the sentence rather than conviction arises. Lord McNally responded to this question by stating that it was asked due to public confusion about murder sentencing and that greater education and explanation are required to inform the public on such public cases relating to murder and defences. This could further demonstrate a growth in understanding of the defendant's recognised mental condition and reduce preconceptions that all murderers are the same. However, they concluded that the time was not right for such sweeping changes to our legal system.</w:t>
      </w:r>
    </w:p>
    <w:p w14:paraId="4AC7230C" w14:textId="549855C8" w:rsidR="00281255" w:rsidRPr="00850140" w:rsidRDefault="00281255">
      <w:pPr>
        <w:rPr>
          <w:rFonts w:cstheme="minorHAnsi"/>
          <w:sz w:val="20"/>
          <w:szCs w:val="20"/>
        </w:rPr>
      </w:pPr>
    </w:p>
    <w:p w14:paraId="731FAC00" w14:textId="7E01799B" w:rsidR="00281255" w:rsidRPr="00850140" w:rsidRDefault="00EA4D58">
      <w:pPr>
        <w:rPr>
          <w:rFonts w:cstheme="minorHAnsi"/>
          <w:sz w:val="20"/>
          <w:szCs w:val="20"/>
        </w:rPr>
      </w:pPr>
      <w:r w:rsidRPr="00850140">
        <w:rPr>
          <w:rFonts w:cstheme="minorHAnsi"/>
          <w:sz w:val="20"/>
          <w:szCs w:val="20"/>
        </w:rPr>
        <w:t>Conclusion:</w:t>
      </w:r>
    </w:p>
    <w:p w14:paraId="492424C3" w14:textId="0D5CF336" w:rsidR="00EA4D58" w:rsidRPr="00850140" w:rsidRDefault="00B14E65">
      <w:pPr>
        <w:rPr>
          <w:rFonts w:cstheme="minorHAnsi"/>
          <w:sz w:val="20"/>
          <w:szCs w:val="20"/>
        </w:rPr>
      </w:pPr>
      <w:r w:rsidRPr="00850140">
        <w:rPr>
          <w:rFonts w:cstheme="minorHAnsi"/>
          <w:sz w:val="20"/>
          <w:szCs w:val="20"/>
        </w:rPr>
        <w:t xml:space="preserve">In summary, the amendment of subsections 1 to 1 (b) of the Homicide Act 1957 has allowed a reduction in stigma </w:t>
      </w:r>
      <w:r w:rsidR="00850140" w:rsidRPr="00850140">
        <w:rPr>
          <w:rFonts w:cstheme="minorHAnsi"/>
          <w:sz w:val="20"/>
          <w:szCs w:val="20"/>
        </w:rPr>
        <w:t>within</w:t>
      </w:r>
      <w:r w:rsidR="00492773" w:rsidRPr="00850140">
        <w:rPr>
          <w:rFonts w:cstheme="minorHAnsi"/>
          <w:sz w:val="20"/>
          <w:szCs w:val="20"/>
        </w:rPr>
        <w:t xml:space="preserve"> the treatment of </w:t>
      </w:r>
      <w:r w:rsidRPr="00850140">
        <w:rPr>
          <w:rFonts w:cstheme="minorHAnsi"/>
          <w:sz w:val="20"/>
          <w:szCs w:val="20"/>
        </w:rPr>
        <w:t xml:space="preserve"> Defendants</w:t>
      </w:r>
      <w:r w:rsidR="00492773" w:rsidRPr="00850140">
        <w:rPr>
          <w:rFonts w:cstheme="minorHAnsi"/>
          <w:sz w:val="20"/>
          <w:szCs w:val="20"/>
        </w:rPr>
        <w:t xml:space="preserve"> with serious medical conditions,</w:t>
      </w:r>
      <w:r w:rsidRPr="00850140">
        <w:rPr>
          <w:rFonts w:cstheme="minorHAnsi"/>
          <w:sz w:val="20"/>
          <w:szCs w:val="20"/>
        </w:rPr>
        <w:t xml:space="preserve"> who have committed a crime of which they did not have the mental capacity to understand</w:t>
      </w:r>
      <w:r w:rsidR="00492773" w:rsidRPr="00850140">
        <w:rPr>
          <w:rFonts w:cstheme="minorHAnsi"/>
          <w:sz w:val="20"/>
          <w:szCs w:val="20"/>
        </w:rPr>
        <w:t>.</w:t>
      </w:r>
      <w:r w:rsidRPr="00850140">
        <w:rPr>
          <w:rFonts w:cstheme="minorHAnsi"/>
          <w:sz w:val="20"/>
          <w:szCs w:val="20"/>
        </w:rPr>
        <w:t xml:space="preserve"> </w:t>
      </w:r>
      <w:r w:rsidR="00492773" w:rsidRPr="00850140">
        <w:rPr>
          <w:rFonts w:cstheme="minorHAnsi"/>
          <w:sz w:val="20"/>
          <w:szCs w:val="20"/>
        </w:rPr>
        <w:t xml:space="preserve">This has made the law fair to some extent by also allowing the Jury </w:t>
      </w:r>
      <w:r w:rsidRPr="00850140">
        <w:rPr>
          <w:rFonts w:cstheme="minorHAnsi"/>
          <w:sz w:val="20"/>
          <w:szCs w:val="20"/>
        </w:rPr>
        <w:t xml:space="preserve">to make a reasonable decision. However, there </w:t>
      </w:r>
      <w:r w:rsidR="00850140" w:rsidRPr="00850140">
        <w:rPr>
          <w:rFonts w:cstheme="minorHAnsi"/>
          <w:sz w:val="20"/>
          <w:szCs w:val="20"/>
        </w:rPr>
        <w:t>have</w:t>
      </w:r>
      <w:r w:rsidRPr="00850140">
        <w:rPr>
          <w:rFonts w:cstheme="minorHAnsi"/>
          <w:sz w:val="20"/>
          <w:szCs w:val="20"/>
        </w:rPr>
        <w:t xml:space="preserve"> been instances </w:t>
      </w:r>
      <w:r w:rsidR="00492773" w:rsidRPr="00850140">
        <w:rPr>
          <w:rFonts w:cstheme="minorHAnsi"/>
          <w:sz w:val="20"/>
          <w:szCs w:val="20"/>
        </w:rPr>
        <w:t>where failure</w:t>
      </w:r>
      <w:r w:rsidR="00492773" w:rsidRPr="00850140">
        <w:rPr>
          <w:rFonts w:cstheme="minorHAnsi"/>
          <w:sz w:val="20"/>
          <w:szCs w:val="20"/>
        </w:rPr>
        <w:t xml:space="preserve"> to</w:t>
      </w:r>
      <w:r w:rsidR="00492773" w:rsidRPr="00850140">
        <w:rPr>
          <w:rFonts w:cstheme="minorHAnsi"/>
          <w:sz w:val="20"/>
          <w:szCs w:val="20"/>
        </w:rPr>
        <w:t xml:space="preserve"> understand legal concepts by the Jury has taken place such as the common sense approach where the Judge </w:t>
      </w:r>
      <w:r w:rsidR="00492773" w:rsidRPr="00850140">
        <w:rPr>
          <w:rFonts w:cstheme="minorHAnsi"/>
          <w:sz w:val="20"/>
          <w:szCs w:val="20"/>
        </w:rPr>
        <w:t>failed to direct the jury on the meaning of statutory words</w:t>
      </w:r>
      <w:r w:rsidR="00492773" w:rsidRPr="00850140">
        <w:rPr>
          <w:rFonts w:cstheme="minorHAnsi"/>
          <w:sz w:val="20"/>
          <w:szCs w:val="20"/>
        </w:rPr>
        <w:t>, although assumed that they would be aware of the meaning. In conclusion, the Defence of Diminished Responsibility should be developed more frequently as the importance of specifying legal terms, focusing on the impact that minor mistakes could have on everyone within the case is important.</w:t>
      </w:r>
    </w:p>
    <w:p w14:paraId="294DF6BC" w14:textId="2EFF4677" w:rsidR="00EA4D58" w:rsidRDefault="00EA4D58">
      <w:pPr>
        <w:rPr>
          <w:rFonts w:ascii="Calibri" w:hAnsi="Calibri" w:cs="Calibri"/>
        </w:rPr>
      </w:pPr>
    </w:p>
    <w:p w14:paraId="123F179A" w14:textId="3A538D66" w:rsidR="00EA4D58" w:rsidRDefault="00492773">
      <w:pPr>
        <w:rPr>
          <w:rFonts w:ascii="Calibri" w:hAnsi="Calibri" w:cs="Calibri"/>
        </w:rPr>
      </w:pPr>
      <w:r>
        <w:rPr>
          <w:rFonts w:ascii="Calibri" w:hAnsi="Calibri" w:cs="Calibri"/>
        </w:rPr>
        <w:t>Reference list:</w:t>
      </w:r>
    </w:p>
    <w:p w14:paraId="32644258" w14:textId="4CB00E07" w:rsidR="00492773" w:rsidRDefault="00492773">
      <w:pPr>
        <w:rPr>
          <w:rFonts w:ascii="Calibri" w:hAnsi="Calibri" w:cs="Calibri"/>
        </w:rPr>
      </w:pPr>
    </w:p>
    <w:p w14:paraId="19170D2B" w14:textId="588EBD47" w:rsidR="009F7A7D" w:rsidRDefault="009F7A7D" w:rsidP="009F7A7D">
      <w:pPr>
        <w:pStyle w:val="ListParagraph"/>
        <w:numPr>
          <w:ilvl w:val="0"/>
          <w:numId w:val="6"/>
        </w:numPr>
        <w:rPr>
          <w:rFonts w:ascii="Calibri" w:hAnsi="Calibri" w:cs="Calibri"/>
        </w:rPr>
      </w:pPr>
      <w:r>
        <w:rPr>
          <w:rFonts w:ascii="Calibri" w:hAnsi="Calibri" w:cs="Calibri"/>
        </w:rPr>
        <w:t xml:space="preserve">Quick O and Wells C. (2012) ‘partial reform of partial defences: Developments in England and </w:t>
      </w:r>
      <w:r w:rsidR="005A0B08">
        <w:rPr>
          <w:rFonts w:ascii="Calibri" w:hAnsi="Calibri" w:cs="Calibri"/>
        </w:rPr>
        <w:t>Wales</w:t>
      </w:r>
      <w:r>
        <w:rPr>
          <w:rFonts w:ascii="Calibri" w:hAnsi="Calibri" w:cs="Calibri"/>
        </w:rPr>
        <w:t xml:space="preserve">, </w:t>
      </w:r>
      <w:r w:rsidRPr="00850140">
        <w:rPr>
          <w:rFonts w:ascii="Calibri" w:hAnsi="Calibri" w:cs="Calibri"/>
          <w:i/>
          <w:iCs/>
        </w:rPr>
        <w:t>partial defences to murder</w:t>
      </w:r>
      <w:r>
        <w:rPr>
          <w:rFonts w:ascii="Calibri" w:hAnsi="Calibri" w:cs="Calibri"/>
        </w:rPr>
        <w:t>, 45(3) ,</w:t>
      </w:r>
      <w:r w:rsidR="005A0B08">
        <w:rPr>
          <w:rFonts w:ascii="Calibri" w:hAnsi="Calibri" w:cs="Calibri"/>
        </w:rPr>
        <w:t xml:space="preserve"> </w:t>
      </w:r>
      <w:r>
        <w:rPr>
          <w:rFonts w:ascii="Calibri" w:hAnsi="Calibri" w:cs="Calibri"/>
        </w:rPr>
        <w:t>pp. 340-341</w:t>
      </w:r>
    </w:p>
    <w:p w14:paraId="39099DEB" w14:textId="35D0D04D" w:rsidR="009F7A7D" w:rsidRDefault="009F7A7D" w:rsidP="009F7A7D">
      <w:pPr>
        <w:pStyle w:val="ListParagraph"/>
        <w:numPr>
          <w:ilvl w:val="0"/>
          <w:numId w:val="6"/>
        </w:numPr>
        <w:rPr>
          <w:rFonts w:ascii="Calibri" w:hAnsi="Calibri" w:cs="Calibri"/>
        </w:rPr>
      </w:pPr>
      <w:r>
        <w:rPr>
          <w:rFonts w:ascii="Calibri" w:hAnsi="Calibri" w:cs="Calibri"/>
        </w:rPr>
        <w:t xml:space="preserve">R.D. Mackay. (2010) ‘The Coroners and Justice Act 2009-partial defences to murder (2)’. </w:t>
      </w:r>
      <w:r w:rsidRPr="00850140">
        <w:rPr>
          <w:rFonts w:ascii="Lato" w:hAnsi="Lato" w:cs="Calibri"/>
          <w:i/>
          <w:iCs/>
        </w:rPr>
        <w:t>The new diminished responsibility plea</w:t>
      </w:r>
      <w:r>
        <w:rPr>
          <w:rFonts w:ascii="Calibri" w:hAnsi="Calibri" w:cs="Calibri"/>
        </w:rPr>
        <w:t>, pp. 2-6.</w:t>
      </w:r>
    </w:p>
    <w:p w14:paraId="26D3F7A3" w14:textId="1CB461FF" w:rsidR="009F7A7D" w:rsidRDefault="009F7A7D" w:rsidP="009F7A7D">
      <w:pPr>
        <w:pStyle w:val="ListParagraph"/>
        <w:numPr>
          <w:ilvl w:val="0"/>
          <w:numId w:val="6"/>
        </w:numPr>
        <w:rPr>
          <w:rFonts w:ascii="Calibri" w:hAnsi="Calibri" w:cs="Calibri"/>
        </w:rPr>
      </w:pPr>
      <w:r>
        <w:rPr>
          <w:rFonts w:ascii="Calibri" w:hAnsi="Calibri" w:cs="Calibri"/>
        </w:rPr>
        <w:t xml:space="preserve">Medical Science Law (2011) ‘Coke v Bumble – revisited and reassessed (51) , pp195-202. DOI: 10.1258/msl.2011.010102. </w:t>
      </w:r>
    </w:p>
    <w:p w14:paraId="4F203413" w14:textId="35BC0BE0" w:rsidR="009F7A7D" w:rsidRPr="009F7A7D" w:rsidRDefault="009F7A7D" w:rsidP="009F7A7D">
      <w:pPr>
        <w:pStyle w:val="ListParagraph"/>
        <w:numPr>
          <w:ilvl w:val="0"/>
          <w:numId w:val="6"/>
        </w:numPr>
        <w:rPr>
          <w:rFonts w:ascii="Calibri" w:hAnsi="Calibri" w:cs="Calibri"/>
        </w:rPr>
      </w:pPr>
      <w:r>
        <w:rPr>
          <w:rFonts w:ascii="Calibri" w:hAnsi="Calibri" w:cs="Calibri"/>
        </w:rPr>
        <w:t xml:space="preserve">Green, D, (2011) Parliamentary Business: Homicide. (House of Commons Library briefing paper 2016/94). Available at </w:t>
      </w:r>
      <w:hyperlink r:id="rId5" w:anchor=":~:text=Recent%20calls%20for%20reform%20have,was%20reckless%20rather%20than%20intentional" w:history="1">
        <w:r>
          <w:rPr>
            <w:rStyle w:val="Hyperlink"/>
            <w:rFonts w:ascii="Arial" w:hAnsi="Arial" w:cs="Arial"/>
            <w:b/>
            <w:bCs/>
            <w:color w:val="1155CC"/>
            <w:sz w:val="23"/>
            <w:szCs w:val="23"/>
          </w:rPr>
          <w:t>https://commonslibrary.parliament.uk/research-briefings/cdp-2016-0094/#:~:text=Recent%20calls%20for%20reform%20have,was%20reckless%20rather%20than%20intentional</w:t>
        </w:r>
      </w:hyperlink>
      <w:r>
        <w:t xml:space="preserve"> (Accessed: 10 March 2023).</w:t>
      </w:r>
    </w:p>
    <w:p w14:paraId="37F2523F" w14:textId="4F8C81D2" w:rsidR="009F7A7D" w:rsidRDefault="005A0B08" w:rsidP="009F7A7D">
      <w:pPr>
        <w:pStyle w:val="ListParagraph"/>
        <w:numPr>
          <w:ilvl w:val="0"/>
          <w:numId w:val="6"/>
        </w:numPr>
        <w:rPr>
          <w:rFonts w:ascii="Calibri" w:hAnsi="Calibri" w:cs="Calibri"/>
        </w:rPr>
      </w:pPr>
      <w:r>
        <w:rPr>
          <w:rFonts w:ascii="Calibri" w:hAnsi="Calibri" w:cs="Calibri"/>
        </w:rPr>
        <w:t>R v Golds (2016) Lexis Law UK, 161.</w:t>
      </w:r>
    </w:p>
    <w:p w14:paraId="5C5D3233" w14:textId="14B39006" w:rsidR="005A0B08" w:rsidRPr="00850140" w:rsidRDefault="005A0B08" w:rsidP="009F7A7D">
      <w:pPr>
        <w:pStyle w:val="ListParagraph"/>
        <w:numPr>
          <w:ilvl w:val="0"/>
          <w:numId w:val="6"/>
        </w:numPr>
        <w:rPr>
          <w:rFonts w:cstheme="minorHAnsi"/>
          <w:color w:val="000000" w:themeColor="text1"/>
        </w:rPr>
      </w:pPr>
      <w:r w:rsidRPr="00850140">
        <w:rPr>
          <w:rFonts w:cstheme="minorHAnsi"/>
          <w:i/>
          <w:iCs/>
          <w:color w:val="000000" w:themeColor="text1"/>
          <w:shd w:val="clear" w:color="auto" w:fill="FFFFFF"/>
        </w:rPr>
        <w:lastRenderedPageBreak/>
        <w:t>Arnold (Respondent) v Britton and others (Appellants)</w:t>
      </w:r>
      <w:r w:rsidRPr="00850140">
        <w:rPr>
          <w:rFonts w:cstheme="minorHAnsi"/>
          <w:color w:val="000000" w:themeColor="text1"/>
          <w:shd w:val="clear" w:color="auto" w:fill="FFFFFF"/>
        </w:rPr>
        <w:t xml:space="preserve"> (2015)</w:t>
      </w:r>
    </w:p>
    <w:p w14:paraId="50E59FCE" w14:textId="77777777" w:rsidR="005A0B08" w:rsidRPr="00850140" w:rsidRDefault="005A0B08" w:rsidP="005A0B08">
      <w:pPr>
        <w:pStyle w:val="NormalWeb"/>
        <w:numPr>
          <w:ilvl w:val="0"/>
          <w:numId w:val="6"/>
        </w:numPr>
        <w:spacing w:before="240" w:beforeAutospacing="0" w:after="240" w:afterAutospacing="0"/>
        <w:textAlignment w:val="baseline"/>
        <w:rPr>
          <w:rFonts w:asciiTheme="minorHAnsi" w:hAnsiTheme="minorHAnsi" w:cstheme="minorHAnsi"/>
          <w:color w:val="000000" w:themeColor="text1"/>
        </w:rPr>
      </w:pPr>
      <w:r w:rsidRPr="00850140">
        <w:rPr>
          <w:rFonts w:asciiTheme="minorHAnsi" w:hAnsiTheme="minorHAnsi" w:cstheme="minorHAnsi"/>
          <w:i/>
          <w:iCs/>
          <w:color w:val="000000" w:themeColor="text1"/>
          <w:shd w:val="clear" w:color="auto" w:fill="FFFFFF"/>
        </w:rPr>
        <w:t>Murder, manslaughter and infanticide - law commission</w:t>
      </w:r>
      <w:r w:rsidRPr="00850140">
        <w:rPr>
          <w:rFonts w:asciiTheme="minorHAnsi" w:hAnsiTheme="minorHAnsi" w:cstheme="minorHAnsi"/>
          <w:color w:val="000000" w:themeColor="text1"/>
          <w:shd w:val="clear" w:color="auto" w:fill="FFFFFF"/>
        </w:rPr>
        <w:t xml:space="preserve"> (2006). House of Commons. Available at: https://www.lawcom.gov.uk/app/uploads/2015/03/lc304_Murder_Manslaughter_and_Infanticide_Report_easyread.pdf (Accessed: March 10, 2023). </w:t>
      </w:r>
    </w:p>
    <w:p w14:paraId="47A8F32C" w14:textId="77777777" w:rsidR="005A0B08" w:rsidRPr="009F7A7D" w:rsidRDefault="005A0B08" w:rsidP="005A0B08">
      <w:pPr>
        <w:pStyle w:val="ListParagraph"/>
        <w:rPr>
          <w:rFonts w:ascii="Calibri" w:hAnsi="Calibri" w:cs="Calibri"/>
        </w:rPr>
      </w:pPr>
    </w:p>
    <w:p w14:paraId="5A3277FD" w14:textId="77777777" w:rsidR="00EA4D58" w:rsidRDefault="00EA4D58">
      <w:pPr>
        <w:rPr>
          <w:rFonts w:ascii="Calibri" w:hAnsi="Calibri" w:cs="Calibri"/>
        </w:rPr>
      </w:pPr>
    </w:p>
    <w:p w14:paraId="6D20B667" w14:textId="1B0279B2" w:rsidR="00281255" w:rsidRDefault="00281255">
      <w:pPr>
        <w:rPr>
          <w:rFonts w:ascii="Calibri" w:hAnsi="Calibri" w:cs="Calibri"/>
        </w:rPr>
      </w:pPr>
    </w:p>
    <w:p w14:paraId="49034F4C" w14:textId="1F05E1D7" w:rsidR="00281255" w:rsidRDefault="00281255">
      <w:pPr>
        <w:rPr>
          <w:rFonts w:ascii="Calibri" w:hAnsi="Calibri" w:cs="Calibri"/>
        </w:rPr>
      </w:pPr>
    </w:p>
    <w:p w14:paraId="3FB5B6AB" w14:textId="392D957D" w:rsidR="00281255" w:rsidRDefault="00281255">
      <w:pPr>
        <w:rPr>
          <w:rFonts w:ascii="Calibri" w:hAnsi="Calibri" w:cs="Calibri"/>
        </w:rPr>
      </w:pPr>
    </w:p>
    <w:p w14:paraId="24CCAE4F" w14:textId="5B47D4A1" w:rsidR="00281255" w:rsidRDefault="00281255">
      <w:pPr>
        <w:rPr>
          <w:rFonts w:ascii="Calibri" w:hAnsi="Calibri" w:cs="Calibri"/>
        </w:rPr>
      </w:pPr>
    </w:p>
    <w:p w14:paraId="6DB50CB6" w14:textId="55B5955B" w:rsidR="00281255" w:rsidRDefault="00281255">
      <w:pPr>
        <w:rPr>
          <w:rFonts w:ascii="Calibri" w:hAnsi="Calibri" w:cs="Calibri"/>
        </w:rPr>
      </w:pPr>
    </w:p>
    <w:p w14:paraId="322FABFC" w14:textId="69E5B9E9" w:rsidR="00281255" w:rsidRDefault="00281255">
      <w:pPr>
        <w:rPr>
          <w:rFonts w:ascii="Calibri" w:hAnsi="Calibri" w:cs="Calibri"/>
        </w:rPr>
      </w:pPr>
    </w:p>
    <w:p w14:paraId="2D1A17E8" w14:textId="5D13E736" w:rsidR="00281255" w:rsidRDefault="00281255">
      <w:pPr>
        <w:rPr>
          <w:rFonts w:ascii="Calibri" w:hAnsi="Calibri" w:cs="Calibri"/>
        </w:rPr>
      </w:pPr>
    </w:p>
    <w:p w14:paraId="5F99EAD7" w14:textId="2ED32D59" w:rsidR="00281255" w:rsidRDefault="00281255">
      <w:pPr>
        <w:rPr>
          <w:rFonts w:ascii="Calibri" w:hAnsi="Calibri" w:cs="Calibri"/>
        </w:rPr>
      </w:pPr>
    </w:p>
    <w:p w14:paraId="767F70BE" w14:textId="121518D2" w:rsidR="00281255" w:rsidRDefault="00281255">
      <w:pPr>
        <w:rPr>
          <w:rFonts w:ascii="Calibri" w:hAnsi="Calibri" w:cs="Calibri"/>
        </w:rPr>
      </w:pPr>
    </w:p>
    <w:p w14:paraId="4E65E410" w14:textId="35EB275C" w:rsidR="00281255" w:rsidRDefault="00281255">
      <w:pPr>
        <w:rPr>
          <w:rFonts w:ascii="Calibri" w:hAnsi="Calibri" w:cs="Calibri"/>
        </w:rPr>
      </w:pPr>
    </w:p>
    <w:p w14:paraId="1951BD54" w14:textId="6FD90F3D" w:rsidR="00281255" w:rsidRDefault="00281255">
      <w:pPr>
        <w:rPr>
          <w:rFonts w:ascii="Calibri" w:hAnsi="Calibri" w:cs="Calibri"/>
        </w:rPr>
      </w:pPr>
    </w:p>
    <w:p w14:paraId="752A7B30" w14:textId="79C4CD28" w:rsidR="00281255" w:rsidRDefault="00281255">
      <w:pPr>
        <w:rPr>
          <w:rFonts w:ascii="Calibri" w:hAnsi="Calibri" w:cs="Calibri"/>
        </w:rPr>
      </w:pPr>
    </w:p>
    <w:p w14:paraId="0DFF66F4" w14:textId="1A1D5604" w:rsidR="00281255" w:rsidRDefault="00281255">
      <w:pPr>
        <w:rPr>
          <w:rFonts w:ascii="Calibri" w:hAnsi="Calibri" w:cs="Calibri"/>
        </w:rPr>
      </w:pPr>
    </w:p>
    <w:p w14:paraId="727993D8" w14:textId="3D29AEBE" w:rsidR="00281255" w:rsidRDefault="00281255">
      <w:pPr>
        <w:rPr>
          <w:rFonts w:ascii="Calibri" w:hAnsi="Calibri" w:cs="Calibri"/>
        </w:rPr>
      </w:pPr>
    </w:p>
    <w:p w14:paraId="032190CF" w14:textId="39BD0A40" w:rsidR="00281255" w:rsidRDefault="00281255">
      <w:pPr>
        <w:rPr>
          <w:rFonts w:ascii="Calibri" w:hAnsi="Calibri" w:cs="Calibri"/>
        </w:rPr>
      </w:pPr>
    </w:p>
    <w:p w14:paraId="243F03CF" w14:textId="2081DC6A" w:rsidR="00281255" w:rsidRDefault="00281255">
      <w:pPr>
        <w:rPr>
          <w:rFonts w:ascii="Calibri" w:hAnsi="Calibri" w:cs="Calibri"/>
        </w:rPr>
      </w:pPr>
    </w:p>
    <w:p w14:paraId="30F19B89" w14:textId="3FE8A61E" w:rsidR="00281255" w:rsidRDefault="00281255">
      <w:pPr>
        <w:rPr>
          <w:rFonts w:ascii="Calibri" w:hAnsi="Calibri" w:cs="Calibri"/>
        </w:rPr>
      </w:pPr>
    </w:p>
    <w:p w14:paraId="5B39B473" w14:textId="4FCC7AAA" w:rsidR="00281255" w:rsidRDefault="00281255">
      <w:pPr>
        <w:rPr>
          <w:rFonts w:ascii="Calibri" w:hAnsi="Calibri" w:cs="Calibri"/>
        </w:rPr>
      </w:pPr>
    </w:p>
    <w:p w14:paraId="728AB242" w14:textId="4DE57A66" w:rsidR="00281255" w:rsidRDefault="00281255">
      <w:pPr>
        <w:rPr>
          <w:rFonts w:ascii="Calibri" w:hAnsi="Calibri" w:cs="Calibri"/>
        </w:rPr>
      </w:pPr>
    </w:p>
    <w:p w14:paraId="77956E99" w14:textId="3AC0D1BA" w:rsidR="00281255" w:rsidRDefault="00281255">
      <w:pPr>
        <w:rPr>
          <w:rFonts w:ascii="Calibri" w:hAnsi="Calibri" w:cs="Calibri"/>
        </w:rPr>
      </w:pPr>
    </w:p>
    <w:p w14:paraId="123AA703" w14:textId="6F25DAC7" w:rsidR="00281255" w:rsidRDefault="00281255">
      <w:pPr>
        <w:rPr>
          <w:rFonts w:ascii="Calibri" w:hAnsi="Calibri" w:cs="Calibri"/>
        </w:rPr>
      </w:pPr>
    </w:p>
    <w:p w14:paraId="1A470971" w14:textId="32420559" w:rsidR="00281255" w:rsidRDefault="00281255">
      <w:pPr>
        <w:rPr>
          <w:rFonts w:ascii="Calibri" w:hAnsi="Calibri" w:cs="Calibri"/>
        </w:rPr>
      </w:pPr>
    </w:p>
    <w:p w14:paraId="29D4043F" w14:textId="45B3A15B" w:rsidR="00281255" w:rsidRDefault="00281255">
      <w:pPr>
        <w:rPr>
          <w:rFonts w:ascii="Calibri" w:hAnsi="Calibri" w:cs="Calibri"/>
        </w:rPr>
      </w:pPr>
    </w:p>
    <w:p w14:paraId="1741E9F1" w14:textId="56B879C6" w:rsidR="00281255" w:rsidRDefault="00281255">
      <w:pPr>
        <w:rPr>
          <w:rFonts w:ascii="Calibri" w:hAnsi="Calibri" w:cs="Calibri"/>
        </w:rPr>
      </w:pPr>
    </w:p>
    <w:p w14:paraId="7E2475BF" w14:textId="57C611E7" w:rsidR="00281255" w:rsidRDefault="00281255">
      <w:pPr>
        <w:rPr>
          <w:rFonts w:ascii="Calibri" w:hAnsi="Calibri" w:cs="Calibri"/>
        </w:rPr>
      </w:pPr>
    </w:p>
    <w:p w14:paraId="64A9ABF3" w14:textId="5C366BBB" w:rsidR="00281255" w:rsidRDefault="00281255">
      <w:pPr>
        <w:rPr>
          <w:rFonts w:ascii="Calibri" w:hAnsi="Calibri" w:cs="Calibri"/>
        </w:rPr>
      </w:pPr>
    </w:p>
    <w:p w14:paraId="2ECFD8B3" w14:textId="76B916DA" w:rsidR="00281255" w:rsidRDefault="00281255">
      <w:pPr>
        <w:rPr>
          <w:rFonts w:ascii="Calibri" w:hAnsi="Calibri" w:cs="Calibri"/>
        </w:rPr>
      </w:pPr>
    </w:p>
    <w:p w14:paraId="35AEA281" w14:textId="079D0BB4" w:rsidR="00281255" w:rsidRDefault="00281255">
      <w:pPr>
        <w:rPr>
          <w:rFonts w:ascii="Calibri" w:hAnsi="Calibri" w:cs="Calibri"/>
        </w:rPr>
      </w:pPr>
    </w:p>
    <w:p w14:paraId="2ED6ADE4" w14:textId="7CD9D1D3" w:rsidR="00281255" w:rsidRDefault="00281255">
      <w:pPr>
        <w:rPr>
          <w:rFonts w:ascii="Calibri" w:hAnsi="Calibri" w:cs="Calibri"/>
        </w:rPr>
      </w:pPr>
    </w:p>
    <w:p w14:paraId="4B538F3A" w14:textId="5FAA7C69" w:rsidR="00281255" w:rsidRDefault="00281255">
      <w:pPr>
        <w:rPr>
          <w:rFonts w:ascii="Calibri" w:hAnsi="Calibri" w:cs="Calibri"/>
        </w:rPr>
      </w:pPr>
    </w:p>
    <w:p w14:paraId="2A73A7E8" w14:textId="31FD2801" w:rsidR="00281255" w:rsidRDefault="00281255">
      <w:pPr>
        <w:rPr>
          <w:rFonts w:ascii="Calibri" w:hAnsi="Calibri" w:cs="Calibri"/>
        </w:rPr>
      </w:pPr>
    </w:p>
    <w:p w14:paraId="57F47518" w14:textId="583D058A" w:rsidR="00281255" w:rsidRDefault="00281255">
      <w:pPr>
        <w:rPr>
          <w:rFonts w:ascii="Calibri" w:hAnsi="Calibri" w:cs="Calibri"/>
        </w:rPr>
      </w:pPr>
    </w:p>
    <w:p w14:paraId="380A6795" w14:textId="0234A0EA" w:rsidR="00281255" w:rsidRDefault="00281255">
      <w:pPr>
        <w:rPr>
          <w:rFonts w:ascii="Calibri" w:hAnsi="Calibri" w:cs="Calibri"/>
        </w:rPr>
      </w:pPr>
    </w:p>
    <w:p w14:paraId="380DE60F" w14:textId="083F9802" w:rsidR="00281255" w:rsidRDefault="00281255">
      <w:pPr>
        <w:rPr>
          <w:rFonts w:ascii="Calibri" w:hAnsi="Calibri" w:cs="Calibri"/>
        </w:rPr>
      </w:pPr>
    </w:p>
    <w:p w14:paraId="0AB744F2" w14:textId="33DC9E94" w:rsidR="00281255" w:rsidRDefault="00281255">
      <w:pPr>
        <w:rPr>
          <w:rFonts w:ascii="Calibri" w:hAnsi="Calibri" w:cs="Calibri"/>
        </w:rPr>
      </w:pPr>
    </w:p>
    <w:p w14:paraId="31BC631E" w14:textId="23333717" w:rsidR="00281255" w:rsidRDefault="00281255">
      <w:pPr>
        <w:rPr>
          <w:rFonts w:ascii="Calibri" w:hAnsi="Calibri" w:cs="Calibri"/>
        </w:rPr>
      </w:pPr>
    </w:p>
    <w:p w14:paraId="7ED521E0" w14:textId="51819B3D" w:rsidR="00281255" w:rsidRDefault="00281255">
      <w:pPr>
        <w:rPr>
          <w:rFonts w:ascii="Calibri" w:hAnsi="Calibri" w:cs="Calibri"/>
        </w:rPr>
      </w:pPr>
    </w:p>
    <w:p w14:paraId="742D5F94" w14:textId="0BB8AA9A" w:rsidR="00281255" w:rsidRDefault="00281255">
      <w:pPr>
        <w:rPr>
          <w:rFonts w:ascii="Calibri" w:hAnsi="Calibri" w:cs="Calibri"/>
        </w:rPr>
      </w:pPr>
    </w:p>
    <w:p w14:paraId="467596E8" w14:textId="282B2EA1" w:rsidR="00281255" w:rsidRDefault="00281255">
      <w:pPr>
        <w:rPr>
          <w:rFonts w:ascii="Calibri" w:hAnsi="Calibri" w:cs="Calibri"/>
        </w:rPr>
      </w:pPr>
    </w:p>
    <w:p w14:paraId="1BA8A2FE" w14:textId="2F81AF35" w:rsidR="00281255" w:rsidRDefault="00281255">
      <w:pPr>
        <w:rPr>
          <w:rFonts w:ascii="Calibri" w:hAnsi="Calibri" w:cs="Calibri"/>
        </w:rPr>
      </w:pPr>
    </w:p>
    <w:p w14:paraId="1D2B624B" w14:textId="24668926" w:rsidR="00281255" w:rsidRDefault="00281255">
      <w:pPr>
        <w:rPr>
          <w:rFonts w:ascii="Calibri" w:hAnsi="Calibri" w:cs="Calibri"/>
        </w:rPr>
      </w:pPr>
    </w:p>
    <w:p w14:paraId="0CA84F99" w14:textId="30025D6D" w:rsidR="00281255" w:rsidRDefault="00281255">
      <w:pPr>
        <w:rPr>
          <w:rFonts w:ascii="Calibri" w:hAnsi="Calibri" w:cs="Calibri"/>
        </w:rPr>
      </w:pPr>
    </w:p>
    <w:p w14:paraId="65C6E4F4" w14:textId="1A4A53FD" w:rsidR="00281255" w:rsidRDefault="00281255">
      <w:pPr>
        <w:rPr>
          <w:rFonts w:ascii="Calibri" w:hAnsi="Calibri" w:cs="Calibri"/>
        </w:rPr>
      </w:pPr>
    </w:p>
    <w:p w14:paraId="3084C13D" w14:textId="6FF62111" w:rsidR="00281255" w:rsidRDefault="00281255">
      <w:pPr>
        <w:rPr>
          <w:rFonts w:ascii="Calibri" w:hAnsi="Calibri" w:cs="Calibri"/>
        </w:rPr>
      </w:pPr>
    </w:p>
    <w:p w14:paraId="505F7632" w14:textId="79464117" w:rsidR="00281255" w:rsidRDefault="00281255">
      <w:pPr>
        <w:rPr>
          <w:rFonts w:ascii="Calibri" w:hAnsi="Calibri" w:cs="Calibri"/>
        </w:rPr>
      </w:pPr>
    </w:p>
    <w:p w14:paraId="173C02E6" w14:textId="7447E8A0" w:rsidR="00281255" w:rsidRDefault="00281255">
      <w:pPr>
        <w:rPr>
          <w:rFonts w:ascii="Calibri" w:hAnsi="Calibri" w:cs="Calibri"/>
        </w:rPr>
      </w:pPr>
    </w:p>
    <w:p w14:paraId="05B42F60" w14:textId="6C8A230E" w:rsidR="00281255" w:rsidRDefault="00281255">
      <w:pPr>
        <w:rPr>
          <w:rFonts w:ascii="Calibri" w:hAnsi="Calibri" w:cs="Calibri"/>
        </w:rPr>
      </w:pPr>
    </w:p>
    <w:p w14:paraId="0A6FBE3C" w14:textId="7BE1B7DE" w:rsidR="00281255" w:rsidRDefault="00281255">
      <w:pPr>
        <w:rPr>
          <w:rFonts w:ascii="Calibri" w:hAnsi="Calibri" w:cs="Calibri"/>
        </w:rPr>
      </w:pPr>
    </w:p>
    <w:p w14:paraId="1D57C912" w14:textId="4BC9701C" w:rsidR="00281255" w:rsidRDefault="00281255">
      <w:pPr>
        <w:rPr>
          <w:rFonts w:ascii="Calibri" w:hAnsi="Calibri" w:cs="Calibri"/>
        </w:rPr>
      </w:pPr>
    </w:p>
    <w:p w14:paraId="09DEC156" w14:textId="41ABA794" w:rsidR="00281255" w:rsidRDefault="00281255">
      <w:pPr>
        <w:rPr>
          <w:rFonts w:ascii="Calibri" w:hAnsi="Calibri" w:cs="Calibri"/>
        </w:rPr>
      </w:pPr>
    </w:p>
    <w:p w14:paraId="7148C077" w14:textId="0F0C7E0F" w:rsidR="00281255" w:rsidRDefault="00281255">
      <w:pPr>
        <w:rPr>
          <w:rFonts w:ascii="Calibri" w:hAnsi="Calibri" w:cs="Calibri"/>
        </w:rPr>
      </w:pPr>
    </w:p>
    <w:p w14:paraId="6D4CBD6B" w14:textId="340BA603" w:rsidR="00281255" w:rsidRDefault="00281255">
      <w:pPr>
        <w:rPr>
          <w:rFonts w:ascii="Calibri" w:hAnsi="Calibri" w:cs="Calibri"/>
        </w:rPr>
      </w:pPr>
    </w:p>
    <w:p w14:paraId="3DEC898C" w14:textId="36658C23" w:rsidR="00281255" w:rsidRDefault="00281255">
      <w:pPr>
        <w:rPr>
          <w:rFonts w:ascii="Calibri" w:hAnsi="Calibri" w:cs="Calibri"/>
        </w:rPr>
      </w:pPr>
    </w:p>
    <w:p w14:paraId="70BDF11B" w14:textId="41D78335" w:rsidR="00281255" w:rsidRDefault="00281255">
      <w:pPr>
        <w:rPr>
          <w:rFonts w:ascii="Calibri" w:hAnsi="Calibri" w:cs="Calibri"/>
        </w:rPr>
      </w:pPr>
    </w:p>
    <w:p w14:paraId="03D15F66" w14:textId="1245890D" w:rsidR="00281255" w:rsidRDefault="00281255">
      <w:pPr>
        <w:rPr>
          <w:rFonts w:ascii="Calibri" w:hAnsi="Calibri" w:cs="Calibri"/>
        </w:rPr>
      </w:pPr>
    </w:p>
    <w:p w14:paraId="10A765A8" w14:textId="00F39EC6" w:rsidR="00281255" w:rsidRDefault="00281255">
      <w:pPr>
        <w:rPr>
          <w:rFonts w:ascii="Calibri" w:hAnsi="Calibri" w:cs="Calibri"/>
        </w:rPr>
      </w:pPr>
    </w:p>
    <w:p w14:paraId="1D1EC303" w14:textId="402BFC98" w:rsidR="00281255" w:rsidRDefault="00281255">
      <w:pPr>
        <w:rPr>
          <w:rFonts w:ascii="Calibri" w:hAnsi="Calibri" w:cs="Calibri"/>
        </w:rPr>
      </w:pPr>
    </w:p>
    <w:p w14:paraId="72862287" w14:textId="1EE78C55" w:rsidR="00281255" w:rsidRDefault="00281255">
      <w:pPr>
        <w:rPr>
          <w:rFonts w:ascii="Calibri" w:hAnsi="Calibri" w:cs="Calibri"/>
        </w:rPr>
      </w:pPr>
    </w:p>
    <w:p w14:paraId="33FF52F3" w14:textId="651E0559" w:rsidR="00281255" w:rsidRDefault="00281255">
      <w:pPr>
        <w:rPr>
          <w:rFonts w:ascii="Calibri" w:hAnsi="Calibri" w:cs="Calibri"/>
        </w:rPr>
      </w:pPr>
    </w:p>
    <w:p w14:paraId="4BC015B3" w14:textId="230D6339" w:rsidR="00281255" w:rsidRDefault="00281255">
      <w:pPr>
        <w:rPr>
          <w:rFonts w:ascii="Calibri" w:hAnsi="Calibri" w:cs="Calibri"/>
        </w:rPr>
      </w:pPr>
    </w:p>
    <w:p w14:paraId="53A44A76" w14:textId="60C97904" w:rsidR="00281255" w:rsidRDefault="00281255">
      <w:pPr>
        <w:rPr>
          <w:rFonts w:ascii="Calibri" w:hAnsi="Calibri" w:cs="Calibri"/>
        </w:rPr>
      </w:pPr>
    </w:p>
    <w:p w14:paraId="2C347ABA" w14:textId="7454F71A" w:rsidR="00281255" w:rsidRDefault="00281255">
      <w:pPr>
        <w:rPr>
          <w:rFonts w:ascii="Calibri" w:hAnsi="Calibri" w:cs="Calibri"/>
        </w:rPr>
      </w:pPr>
    </w:p>
    <w:p w14:paraId="7A988FDC" w14:textId="49D3EF05" w:rsidR="00281255" w:rsidRDefault="00281255">
      <w:pPr>
        <w:rPr>
          <w:rFonts w:ascii="Calibri" w:hAnsi="Calibri" w:cs="Calibri"/>
        </w:rPr>
      </w:pPr>
    </w:p>
    <w:p w14:paraId="628575A5" w14:textId="34FF2B2F" w:rsidR="00281255" w:rsidRDefault="00281255">
      <w:pPr>
        <w:rPr>
          <w:rFonts w:ascii="Calibri" w:hAnsi="Calibri" w:cs="Calibri"/>
        </w:rPr>
      </w:pPr>
    </w:p>
    <w:p w14:paraId="3C2887A9" w14:textId="79E93336" w:rsidR="00281255" w:rsidRDefault="00281255">
      <w:pPr>
        <w:rPr>
          <w:rFonts w:ascii="Calibri" w:hAnsi="Calibri" w:cs="Calibri"/>
        </w:rPr>
      </w:pPr>
    </w:p>
    <w:p w14:paraId="025E9023" w14:textId="00CC4963" w:rsidR="00281255" w:rsidRDefault="00281255">
      <w:pPr>
        <w:rPr>
          <w:rFonts w:ascii="Calibri" w:hAnsi="Calibri" w:cs="Calibri"/>
        </w:rPr>
      </w:pPr>
    </w:p>
    <w:p w14:paraId="3828170F" w14:textId="75097ED8" w:rsidR="00281255" w:rsidRDefault="00281255">
      <w:pPr>
        <w:rPr>
          <w:rFonts w:ascii="Calibri" w:hAnsi="Calibri" w:cs="Calibri"/>
        </w:rPr>
      </w:pPr>
    </w:p>
    <w:p w14:paraId="085420DA" w14:textId="1E7D12C1" w:rsidR="00281255" w:rsidRDefault="00281255">
      <w:pPr>
        <w:rPr>
          <w:rFonts w:ascii="Calibri" w:hAnsi="Calibri" w:cs="Calibri"/>
        </w:rPr>
      </w:pPr>
    </w:p>
    <w:p w14:paraId="3F453B7F" w14:textId="5E08589E" w:rsidR="00281255" w:rsidRDefault="00281255">
      <w:pPr>
        <w:rPr>
          <w:rFonts w:ascii="Calibri" w:hAnsi="Calibri" w:cs="Calibri"/>
        </w:rPr>
      </w:pPr>
    </w:p>
    <w:p w14:paraId="013C8B4E" w14:textId="0AB8E404" w:rsidR="00281255" w:rsidRDefault="00281255">
      <w:pPr>
        <w:rPr>
          <w:rFonts w:ascii="Calibri" w:hAnsi="Calibri" w:cs="Calibri"/>
        </w:rPr>
      </w:pPr>
    </w:p>
    <w:p w14:paraId="7210152A" w14:textId="6E08DBF0" w:rsidR="00281255" w:rsidRDefault="00281255">
      <w:pPr>
        <w:rPr>
          <w:rFonts w:ascii="Calibri" w:hAnsi="Calibri" w:cs="Calibri"/>
        </w:rPr>
      </w:pPr>
    </w:p>
    <w:p w14:paraId="64EA692A" w14:textId="0FD16E84" w:rsidR="00281255" w:rsidRDefault="00281255">
      <w:pPr>
        <w:rPr>
          <w:rFonts w:ascii="Calibri" w:hAnsi="Calibri" w:cs="Calibri"/>
        </w:rPr>
      </w:pPr>
    </w:p>
    <w:p w14:paraId="708973E6" w14:textId="6430365D" w:rsidR="00281255" w:rsidRDefault="00281255">
      <w:pPr>
        <w:rPr>
          <w:rFonts w:ascii="Calibri" w:hAnsi="Calibri" w:cs="Calibri"/>
        </w:rPr>
      </w:pPr>
    </w:p>
    <w:p w14:paraId="28A278B6" w14:textId="7BFD994F" w:rsidR="00281255" w:rsidRDefault="00281255">
      <w:pPr>
        <w:rPr>
          <w:rFonts w:ascii="Calibri" w:hAnsi="Calibri" w:cs="Calibri"/>
        </w:rPr>
      </w:pPr>
    </w:p>
    <w:p w14:paraId="4AEF5892" w14:textId="5B25B008" w:rsidR="00281255" w:rsidRDefault="00281255">
      <w:pPr>
        <w:rPr>
          <w:rFonts w:ascii="Calibri" w:hAnsi="Calibri" w:cs="Calibri"/>
        </w:rPr>
      </w:pPr>
    </w:p>
    <w:p w14:paraId="4FDEF853" w14:textId="37E964B1" w:rsidR="00281255" w:rsidRDefault="00281255">
      <w:pPr>
        <w:rPr>
          <w:rFonts w:ascii="Calibri" w:hAnsi="Calibri" w:cs="Calibri"/>
        </w:rPr>
      </w:pPr>
    </w:p>
    <w:p w14:paraId="0FC89A4B" w14:textId="1DD3E75F" w:rsidR="00281255" w:rsidRDefault="00281255">
      <w:pPr>
        <w:rPr>
          <w:rFonts w:ascii="Calibri" w:hAnsi="Calibri" w:cs="Calibri"/>
        </w:rPr>
      </w:pPr>
    </w:p>
    <w:p w14:paraId="655FDCDC" w14:textId="29A8CA5A" w:rsidR="00281255" w:rsidRDefault="00281255">
      <w:pPr>
        <w:rPr>
          <w:rFonts w:ascii="Calibri" w:hAnsi="Calibri" w:cs="Calibri"/>
        </w:rPr>
      </w:pPr>
    </w:p>
    <w:p w14:paraId="4B679DC9" w14:textId="611CFF9C" w:rsidR="00281255" w:rsidRDefault="00281255">
      <w:pPr>
        <w:rPr>
          <w:rFonts w:ascii="Calibri" w:hAnsi="Calibri" w:cs="Calibri"/>
        </w:rPr>
      </w:pPr>
    </w:p>
    <w:p w14:paraId="3086EA7A" w14:textId="42DE05E3" w:rsidR="00281255" w:rsidRDefault="00281255">
      <w:pPr>
        <w:rPr>
          <w:rFonts w:ascii="Calibri" w:hAnsi="Calibri" w:cs="Calibri"/>
        </w:rPr>
      </w:pPr>
    </w:p>
    <w:p w14:paraId="5A94BED0" w14:textId="17691A3D" w:rsidR="00281255" w:rsidRDefault="00281255">
      <w:pPr>
        <w:rPr>
          <w:rFonts w:ascii="Calibri" w:hAnsi="Calibri" w:cs="Calibri"/>
        </w:rPr>
      </w:pPr>
    </w:p>
    <w:p w14:paraId="3620667C" w14:textId="14087219" w:rsidR="00281255" w:rsidRDefault="00281255">
      <w:pPr>
        <w:rPr>
          <w:rFonts w:ascii="Calibri" w:hAnsi="Calibri" w:cs="Calibri"/>
        </w:rPr>
      </w:pPr>
    </w:p>
    <w:p w14:paraId="230DF4C3" w14:textId="6973A1D9" w:rsidR="00281255" w:rsidRDefault="00281255">
      <w:pPr>
        <w:rPr>
          <w:rFonts w:ascii="Calibri" w:hAnsi="Calibri" w:cs="Calibri"/>
        </w:rPr>
      </w:pPr>
    </w:p>
    <w:p w14:paraId="1414E6D7" w14:textId="00E873E4" w:rsidR="00281255" w:rsidRDefault="00281255">
      <w:pPr>
        <w:rPr>
          <w:rFonts w:ascii="Calibri" w:hAnsi="Calibri" w:cs="Calibri"/>
        </w:rPr>
      </w:pPr>
    </w:p>
    <w:p w14:paraId="70B2A4A0" w14:textId="1062942D" w:rsidR="00281255" w:rsidRDefault="00281255">
      <w:pPr>
        <w:rPr>
          <w:rFonts w:ascii="Calibri" w:hAnsi="Calibri" w:cs="Calibri"/>
        </w:rPr>
      </w:pPr>
    </w:p>
    <w:p w14:paraId="30DB3FB7" w14:textId="66282040" w:rsidR="00281255" w:rsidRDefault="00281255">
      <w:pPr>
        <w:rPr>
          <w:rFonts w:ascii="Calibri" w:hAnsi="Calibri" w:cs="Calibri"/>
        </w:rPr>
      </w:pPr>
    </w:p>
    <w:p w14:paraId="2C6A301C" w14:textId="00C47B7E" w:rsidR="00281255" w:rsidRDefault="00281255">
      <w:pPr>
        <w:rPr>
          <w:rFonts w:ascii="Calibri" w:hAnsi="Calibri" w:cs="Calibri"/>
        </w:rPr>
      </w:pPr>
    </w:p>
    <w:p w14:paraId="0CC231AC" w14:textId="10F83D00" w:rsidR="00281255" w:rsidRDefault="00281255">
      <w:pPr>
        <w:rPr>
          <w:rFonts w:ascii="Calibri" w:hAnsi="Calibri" w:cs="Calibri"/>
        </w:rPr>
      </w:pPr>
    </w:p>
    <w:p w14:paraId="1E48D9BE" w14:textId="6BD61AB6" w:rsidR="00281255" w:rsidRDefault="00281255">
      <w:pPr>
        <w:rPr>
          <w:rFonts w:ascii="Calibri" w:hAnsi="Calibri" w:cs="Calibri"/>
        </w:rPr>
      </w:pPr>
    </w:p>
    <w:p w14:paraId="0FCBA1A8" w14:textId="12056AB3" w:rsidR="00281255" w:rsidRDefault="00281255">
      <w:pPr>
        <w:rPr>
          <w:rFonts w:ascii="Calibri" w:hAnsi="Calibri" w:cs="Calibri"/>
        </w:rPr>
      </w:pPr>
    </w:p>
    <w:p w14:paraId="74DAFF22" w14:textId="107ABEB4" w:rsidR="00281255" w:rsidRDefault="00281255">
      <w:pPr>
        <w:rPr>
          <w:rFonts w:ascii="Calibri" w:hAnsi="Calibri" w:cs="Calibri"/>
        </w:rPr>
      </w:pPr>
    </w:p>
    <w:p w14:paraId="4FF2C2E6" w14:textId="2F2BE4A5" w:rsidR="00281255" w:rsidRDefault="00281255">
      <w:pPr>
        <w:rPr>
          <w:rFonts w:ascii="Calibri" w:hAnsi="Calibri" w:cs="Calibri"/>
        </w:rPr>
      </w:pPr>
    </w:p>
    <w:p w14:paraId="41EF67C8" w14:textId="186D3555" w:rsidR="00281255" w:rsidRDefault="00281255">
      <w:pPr>
        <w:rPr>
          <w:rFonts w:ascii="Calibri" w:hAnsi="Calibri" w:cs="Calibri"/>
        </w:rPr>
      </w:pPr>
    </w:p>
    <w:p w14:paraId="30A3B0E8" w14:textId="12C68282" w:rsidR="00281255" w:rsidRDefault="00281255">
      <w:pPr>
        <w:rPr>
          <w:rFonts w:ascii="Calibri" w:hAnsi="Calibri" w:cs="Calibri"/>
        </w:rPr>
      </w:pPr>
    </w:p>
    <w:p w14:paraId="648980FA" w14:textId="0A25E92A" w:rsidR="00281255" w:rsidRDefault="00281255">
      <w:pPr>
        <w:rPr>
          <w:rFonts w:ascii="Calibri" w:hAnsi="Calibri" w:cs="Calibri"/>
        </w:rPr>
      </w:pPr>
    </w:p>
    <w:p w14:paraId="6B6EAAC6" w14:textId="0F9A68D1" w:rsidR="00281255" w:rsidRDefault="00281255">
      <w:pPr>
        <w:rPr>
          <w:rFonts w:ascii="Calibri" w:hAnsi="Calibri" w:cs="Calibri"/>
        </w:rPr>
      </w:pPr>
    </w:p>
    <w:p w14:paraId="31B3C935" w14:textId="593AC155" w:rsidR="00281255" w:rsidRDefault="00281255">
      <w:pPr>
        <w:rPr>
          <w:rFonts w:ascii="Calibri" w:hAnsi="Calibri" w:cs="Calibri"/>
        </w:rPr>
      </w:pPr>
    </w:p>
    <w:p w14:paraId="3E17B3DE" w14:textId="2E5C2B42" w:rsidR="00281255" w:rsidRDefault="00281255">
      <w:pPr>
        <w:rPr>
          <w:rFonts w:ascii="Calibri" w:hAnsi="Calibri" w:cs="Calibri"/>
        </w:rPr>
      </w:pPr>
    </w:p>
    <w:p w14:paraId="20F45420" w14:textId="584C1E99" w:rsidR="00281255" w:rsidRDefault="00281255">
      <w:pPr>
        <w:rPr>
          <w:rFonts w:ascii="Calibri" w:hAnsi="Calibri" w:cs="Calibri"/>
        </w:rPr>
      </w:pPr>
    </w:p>
    <w:p w14:paraId="7B3EBEA7" w14:textId="3124FC2A" w:rsidR="00281255" w:rsidRDefault="00281255">
      <w:pPr>
        <w:rPr>
          <w:rFonts w:ascii="Calibri" w:hAnsi="Calibri" w:cs="Calibri"/>
        </w:rPr>
      </w:pPr>
    </w:p>
    <w:p w14:paraId="72EA9585" w14:textId="2C770D59" w:rsidR="00281255" w:rsidRDefault="00281255">
      <w:pPr>
        <w:rPr>
          <w:rFonts w:ascii="Calibri" w:hAnsi="Calibri" w:cs="Calibri"/>
        </w:rPr>
      </w:pPr>
    </w:p>
    <w:p w14:paraId="6E47D6E3" w14:textId="550BAE36" w:rsidR="00281255" w:rsidRDefault="00281255">
      <w:pPr>
        <w:rPr>
          <w:rFonts w:ascii="Calibri" w:hAnsi="Calibri" w:cs="Calibri"/>
        </w:rPr>
      </w:pPr>
    </w:p>
    <w:p w14:paraId="3C272F40" w14:textId="464C77BA" w:rsidR="00281255" w:rsidRDefault="00281255">
      <w:pPr>
        <w:rPr>
          <w:rFonts w:ascii="Calibri" w:hAnsi="Calibri" w:cs="Calibri"/>
        </w:rPr>
      </w:pPr>
    </w:p>
    <w:p w14:paraId="7E99ED5D" w14:textId="7233FDF8" w:rsidR="00281255" w:rsidRDefault="00281255">
      <w:pPr>
        <w:rPr>
          <w:rFonts w:ascii="Calibri" w:hAnsi="Calibri" w:cs="Calibri"/>
        </w:rPr>
      </w:pPr>
    </w:p>
    <w:p w14:paraId="4FA31698" w14:textId="3EA696AB" w:rsidR="00281255" w:rsidRDefault="00281255">
      <w:pPr>
        <w:rPr>
          <w:rFonts w:ascii="Calibri" w:hAnsi="Calibri" w:cs="Calibri"/>
        </w:rPr>
      </w:pPr>
    </w:p>
    <w:p w14:paraId="17EEE29C" w14:textId="42782EE6" w:rsidR="00281255" w:rsidRDefault="00281255">
      <w:pPr>
        <w:rPr>
          <w:rFonts w:ascii="Calibri" w:hAnsi="Calibri" w:cs="Calibri"/>
        </w:rPr>
      </w:pPr>
    </w:p>
    <w:p w14:paraId="17ABF830" w14:textId="3B5CF99E" w:rsidR="00281255" w:rsidRDefault="00281255">
      <w:pPr>
        <w:rPr>
          <w:rFonts w:ascii="Calibri" w:hAnsi="Calibri" w:cs="Calibri"/>
        </w:rPr>
      </w:pPr>
    </w:p>
    <w:p w14:paraId="78E0F45E" w14:textId="690BAF69" w:rsidR="00281255" w:rsidRDefault="00281255">
      <w:pPr>
        <w:rPr>
          <w:rFonts w:ascii="Calibri" w:hAnsi="Calibri" w:cs="Calibri"/>
        </w:rPr>
      </w:pPr>
    </w:p>
    <w:p w14:paraId="00553354" w14:textId="5F9ECB5F" w:rsidR="00281255" w:rsidRDefault="00281255">
      <w:pPr>
        <w:rPr>
          <w:rFonts w:ascii="Calibri" w:hAnsi="Calibri" w:cs="Calibri"/>
        </w:rPr>
      </w:pPr>
    </w:p>
    <w:p w14:paraId="69ECDBA5" w14:textId="3EB332E4" w:rsidR="00281255" w:rsidRDefault="00281255">
      <w:pPr>
        <w:rPr>
          <w:rFonts w:ascii="Calibri" w:hAnsi="Calibri" w:cs="Calibri"/>
        </w:rPr>
      </w:pPr>
    </w:p>
    <w:p w14:paraId="7BB42885" w14:textId="49837266" w:rsidR="00281255" w:rsidRDefault="00281255">
      <w:pPr>
        <w:rPr>
          <w:rFonts w:ascii="Calibri" w:hAnsi="Calibri" w:cs="Calibri"/>
        </w:rPr>
      </w:pPr>
    </w:p>
    <w:p w14:paraId="52C8851A" w14:textId="71A70C4F" w:rsidR="00281255" w:rsidRDefault="00281255">
      <w:pPr>
        <w:rPr>
          <w:rFonts w:ascii="Calibri" w:hAnsi="Calibri" w:cs="Calibri"/>
        </w:rPr>
      </w:pPr>
    </w:p>
    <w:p w14:paraId="3090390C" w14:textId="27E94F10" w:rsidR="00281255" w:rsidRDefault="00281255">
      <w:pPr>
        <w:rPr>
          <w:rFonts w:ascii="Calibri" w:hAnsi="Calibri" w:cs="Calibri"/>
        </w:rPr>
      </w:pPr>
    </w:p>
    <w:p w14:paraId="3C8ADA27" w14:textId="35DFCCA1" w:rsidR="00281255" w:rsidRDefault="00281255">
      <w:pPr>
        <w:rPr>
          <w:rFonts w:ascii="Calibri" w:hAnsi="Calibri" w:cs="Calibri"/>
        </w:rPr>
      </w:pPr>
    </w:p>
    <w:p w14:paraId="65BA1ABF" w14:textId="2FA0FE8F" w:rsidR="00281255" w:rsidRDefault="00281255">
      <w:pPr>
        <w:rPr>
          <w:rFonts w:ascii="Calibri" w:hAnsi="Calibri" w:cs="Calibri"/>
        </w:rPr>
      </w:pPr>
    </w:p>
    <w:p w14:paraId="4E528060" w14:textId="4E13C734" w:rsidR="00281255" w:rsidRDefault="00281255">
      <w:pPr>
        <w:rPr>
          <w:rFonts w:ascii="Calibri" w:hAnsi="Calibri" w:cs="Calibri"/>
        </w:rPr>
      </w:pPr>
    </w:p>
    <w:p w14:paraId="67CDF80B" w14:textId="63B1BC40" w:rsidR="00281255" w:rsidRDefault="00281255">
      <w:pPr>
        <w:rPr>
          <w:rFonts w:ascii="Calibri" w:hAnsi="Calibri" w:cs="Calibri"/>
        </w:rPr>
      </w:pPr>
    </w:p>
    <w:p w14:paraId="348FBF90" w14:textId="09B4C8C3" w:rsidR="00281255" w:rsidRDefault="00281255">
      <w:pPr>
        <w:rPr>
          <w:rFonts w:ascii="Calibri" w:hAnsi="Calibri" w:cs="Calibri"/>
        </w:rPr>
      </w:pPr>
    </w:p>
    <w:p w14:paraId="7786A552" w14:textId="03813BBF" w:rsidR="00281255" w:rsidRDefault="00281255">
      <w:pPr>
        <w:rPr>
          <w:rFonts w:ascii="Calibri" w:hAnsi="Calibri" w:cs="Calibri"/>
        </w:rPr>
      </w:pPr>
    </w:p>
    <w:p w14:paraId="0FDDB2BB" w14:textId="471E6715" w:rsidR="00281255" w:rsidRDefault="00281255">
      <w:pPr>
        <w:rPr>
          <w:rFonts w:ascii="Calibri" w:hAnsi="Calibri" w:cs="Calibri"/>
        </w:rPr>
      </w:pPr>
    </w:p>
    <w:p w14:paraId="74655E7A" w14:textId="6FE663F5" w:rsidR="00281255" w:rsidRDefault="00281255">
      <w:pPr>
        <w:rPr>
          <w:rFonts w:ascii="Calibri" w:hAnsi="Calibri" w:cs="Calibri"/>
        </w:rPr>
      </w:pPr>
    </w:p>
    <w:p w14:paraId="74958EBC" w14:textId="2891AF52" w:rsidR="00281255" w:rsidRDefault="00281255">
      <w:pPr>
        <w:rPr>
          <w:rFonts w:ascii="Calibri" w:hAnsi="Calibri" w:cs="Calibri"/>
        </w:rPr>
      </w:pPr>
    </w:p>
    <w:p w14:paraId="77FF9B5A" w14:textId="23F7BF3D" w:rsidR="00281255" w:rsidRDefault="00281255">
      <w:pPr>
        <w:rPr>
          <w:rFonts w:ascii="Calibri" w:hAnsi="Calibri" w:cs="Calibri"/>
        </w:rPr>
      </w:pPr>
    </w:p>
    <w:p w14:paraId="72703E3B" w14:textId="57104AAE" w:rsidR="00281255" w:rsidRDefault="00281255">
      <w:pPr>
        <w:rPr>
          <w:rFonts w:ascii="Calibri" w:hAnsi="Calibri" w:cs="Calibri"/>
        </w:rPr>
      </w:pPr>
    </w:p>
    <w:p w14:paraId="270DC8C2" w14:textId="56DB8242" w:rsidR="00281255" w:rsidRDefault="00281255">
      <w:pPr>
        <w:rPr>
          <w:rFonts w:ascii="Calibri" w:hAnsi="Calibri" w:cs="Calibri"/>
        </w:rPr>
      </w:pPr>
    </w:p>
    <w:p w14:paraId="3E20F844" w14:textId="11E11DD3" w:rsidR="00281255" w:rsidRDefault="00281255">
      <w:pPr>
        <w:rPr>
          <w:rFonts w:ascii="Calibri" w:hAnsi="Calibri" w:cs="Calibri"/>
        </w:rPr>
      </w:pPr>
    </w:p>
    <w:p w14:paraId="0441E852" w14:textId="6F7A3BE5" w:rsidR="00281255" w:rsidRDefault="00281255">
      <w:pPr>
        <w:rPr>
          <w:rFonts w:ascii="Calibri" w:hAnsi="Calibri" w:cs="Calibri"/>
        </w:rPr>
      </w:pPr>
    </w:p>
    <w:p w14:paraId="3F58C38B" w14:textId="4B526F02" w:rsidR="00281255" w:rsidRDefault="00281255">
      <w:pPr>
        <w:rPr>
          <w:rFonts w:ascii="Calibri" w:hAnsi="Calibri" w:cs="Calibri"/>
        </w:rPr>
      </w:pPr>
    </w:p>
    <w:p w14:paraId="34796C74" w14:textId="314277FB" w:rsidR="00281255" w:rsidRDefault="00281255">
      <w:pPr>
        <w:rPr>
          <w:rFonts w:ascii="Calibri" w:hAnsi="Calibri" w:cs="Calibri"/>
        </w:rPr>
      </w:pPr>
    </w:p>
    <w:p w14:paraId="5E01A9DB" w14:textId="00DE0FF4" w:rsidR="00281255" w:rsidRDefault="00281255">
      <w:pPr>
        <w:rPr>
          <w:rFonts w:ascii="Calibri" w:hAnsi="Calibri" w:cs="Calibri"/>
        </w:rPr>
      </w:pPr>
    </w:p>
    <w:p w14:paraId="6216AB80" w14:textId="1ABE3F9F" w:rsidR="00281255" w:rsidRDefault="00281255">
      <w:pPr>
        <w:rPr>
          <w:rFonts w:ascii="Calibri" w:hAnsi="Calibri" w:cs="Calibri"/>
        </w:rPr>
      </w:pPr>
    </w:p>
    <w:p w14:paraId="0F9B67D8" w14:textId="57EB7BF8" w:rsidR="00281255" w:rsidRDefault="00281255">
      <w:pPr>
        <w:rPr>
          <w:rFonts w:ascii="Calibri" w:hAnsi="Calibri" w:cs="Calibri"/>
        </w:rPr>
      </w:pPr>
    </w:p>
    <w:p w14:paraId="7FFFC343" w14:textId="11F2F04E" w:rsidR="00281255" w:rsidRDefault="00281255">
      <w:pPr>
        <w:rPr>
          <w:rFonts w:ascii="Calibri" w:hAnsi="Calibri" w:cs="Calibri"/>
        </w:rPr>
      </w:pPr>
    </w:p>
    <w:p w14:paraId="2FF9A9B1" w14:textId="17EFBE79" w:rsidR="00281255" w:rsidRDefault="00281255">
      <w:pPr>
        <w:rPr>
          <w:rFonts w:ascii="Calibri" w:hAnsi="Calibri" w:cs="Calibri"/>
        </w:rPr>
      </w:pPr>
    </w:p>
    <w:p w14:paraId="636AF342" w14:textId="190319E0" w:rsidR="00281255" w:rsidRDefault="00281255">
      <w:pPr>
        <w:rPr>
          <w:rFonts w:ascii="Calibri" w:hAnsi="Calibri" w:cs="Calibri"/>
        </w:rPr>
      </w:pPr>
    </w:p>
    <w:p w14:paraId="27045342" w14:textId="6BFADD3F" w:rsidR="00281255" w:rsidRDefault="00281255">
      <w:pPr>
        <w:rPr>
          <w:rFonts w:ascii="Calibri" w:hAnsi="Calibri" w:cs="Calibri"/>
        </w:rPr>
      </w:pPr>
    </w:p>
    <w:p w14:paraId="1206A4AA" w14:textId="23E7BB17" w:rsidR="00281255" w:rsidRDefault="00281255">
      <w:pPr>
        <w:rPr>
          <w:rFonts w:ascii="Calibri" w:hAnsi="Calibri" w:cs="Calibri"/>
        </w:rPr>
      </w:pPr>
    </w:p>
    <w:p w14:paraId="0C013714" w14:textId="25AAA5F3" w:rsidR="00281255" w:rsidRDefault="00281255">
      <w:pPr>
        <w:rPr>
          <w:rFonts w:ascii="Calibri" w:hAnsi="Calibri" w:cs="Calibri"/>
        </w:rPr>
      </w:pPr>
    </w:p>
    <w:p w14:paraId="1EAD3126" w14:textId="7543386C" w:rsidR="00281255" w:rsidRDefault="00281255">
      <w:pPr>
        <w:rPr>
          <w:rFonts w:ascii="Calibri" w:hAnsi="Calibri" w:cs="Calibri"/>
        </w:rPr>
      </w:pPr>
    </w:p>
    <w:p w14:paraId="2ED87B3A" w14:textId="41FC1A71" w:rsidR="00281255" w:rsidRDefault="00281255">
      <w:pPr>
        <w:rPr>
          <w:rFonts w:ascii="Calibri" w:hAnsi="Calibri" w:cs="Calibri"/>
        </w:rPr>
      </w:pPr>
    </w:p>
    <w:p w14:paraId="7F8F27A1" w14:textId="31F04FBD" w:rsidR="00281255" w:rsidRDefault="00281255">
      <w:pPr>
        <w:rPr>
          <w:rFonts w:ascii="Calibri" w:hAnsi="Calibri" w:cs="Calibri"/>
        </w:rPr>
      </w:pPr>
    </w:p>
    <w:p w14:paraId="6B2FD010" w14:textId="244DDDD1" w:rsidR="00281255" w:rsidRDefault="00281255">
      <w:pPr>
        <w:rPr>
          <w:rFonts w:ascii="Calibri" w:hAnsi="Calibri" w:cs="Calibri"/>
        </w:rPr>
      </w:pPr>
    </w:p>
    <w:p w14:paraId="5A4352E5" w14:textId="63D00F54" w:rsidR="00281255" w:rsidRDefault="00281255">
      <w:pPr>
        <w:rPr>
          <w:rFonts w:ascii="Calibri" w:hAnsi="Calibri" w:cs="Calibri"/>
        </w:rPr>
      </w:pPr>
    </w:p>
    <w:p w14:paraId="3FE8F82F" w14:textId="678607C7" w:rsidR="00281255" w:rsidRDefault="00281255">
      <w:pPr>
        <w:rPr>
          <w:rFonts w:ascii="Calibri" w:hAnsi="Calibri" w:cs="Calibri"/>
        </w:rPr>
      </w:pPr>
    </w:p>
    <w:p w14:paraId="1BE53BEE" w14:textId="4438DCBF" w:rsidR="00281255" w:rsidRDefault="00281255">
      <w:pPr>
        <w:rPr>
          <w:rFonts w:ascii="Calibri" w:hAnsi="Calibri" w:cs="Calibri"/>
        </w:rPr>
      </w:pPr>
    </w:p>
    <w:p w14:paraId="54796992" w14:textId="50D3EC3E" w:rsidR="00281255" w:rsidRDefault="00281255">
      <w:pPr>
        <w:rPr>
          <w:rFonts w:ascii="Calibri" w:hAnsi="Calibri" w:cs="Calibri"/>
        </w:rPr>
      </w:pPr>
    </w:p>
    <w:p w14:paraId="6D1AD712" w14:textId="39B9B17E" w:rsidR="00281255" w:rsidRDefault="00281255">
      <w:pPr>
        <w:rPr>
          <w:rFonts w:ascii="Calibri" w:hAnsi="Calibri" w:cs="Calibri"/>
        </w:rPr>
      </w:pPr>
    </w:p>
    <w:p w14:paraId="23DB149A" w14:textId="26B22C04" w:rsidR="00281255" w:rsidRDefault="00281255">
      <w:pPr>
        <w:rPr>
          <w:rFonts w:ascii="Calibri" w:hAnsi="Calibri" w:cs="Calibri"/>
        </w:rPr>
      </w:pPr>
    </w:p>
    <w:p w14:paraId="1C4F67A7" w14:textId="2D482F1C" w:rsidR="00281255" w:rsidRDefault="00281255">
      <w:pPr>
        <w:rPr>
          <w:rFonts w:ascii="Calibri" w:hAnsi="Calibri" w:cs="Calibri"/>
        </w:rPr>
      </w:pPr>
    </w:p>
    <w:p w14:paraId="45441CEA" w14:textId="61160B62" w:rsidR="00281255" w:rsidRDefault="00281255">
      <w:pPr>
        <w:rPr>
          <w:rFonts w:ascii="Calibri" w:hAnsi="Calibri" w:cs="Calibri"/>
        </w:rPr>
      </w:pPr>
    </w:p>
    <w:p w14:paraId="25BF884B" w14:textId="3FDC68FB" w:rsidR="00281255" w:rsidRDefault="00281255">
      <w:pPr>
        <w:rPr>
          <w:rFonts w:ascii="Calibri" w:hAnsi="Calibri" w:cs="Calibri"/>
        </w:rPr>
      </w:pPr>
    </w:p>
    <w:p w14:paraId="05B446D2" w14:textId="700D8D66" w:rsidR="00281255" w:rsidRDefault="00281255">
      <w:pPr>
        <w:rPr>
          <w:rFonts w:ascii="Calibri" w:hAnsi="Calibri" w:cs="Calibri"/>
        </w:rPr>
      </w:pPr>
    </w:p>
    <w:p w14:paraId="52F67B37" w14:textId="54E1BBE1" w:rsidR="00281255" w:rsidRDefault="00281255">
      <w:pPr>
        <w:rPr>
          <w:rFonts w:ascii="Calibri" w:hAnsi="Calibri" w:cs="Calibri"/>
        </w:rPr>
      </w:pPr>
    </w:p>
    <w:p w14:paraId="72F18AD7" w14:textId="37684DB8" w:rsidR="00281255" w:rsidRDefault="00281255">
      <w:pPr>
        <w:rPr>
          <w:rFonts w:ascii="Calibri" w:hAnsi="Calibri" w:cs="Calibri"/>
        </w:rPr>
      </w:pPr>
    </w:p>
    <w:p w14:paraId="377A702C" w14:textId="6F2E2A23" w:rsidR="00281255" w:rsidRDefault="00281255">
      <w:pPr>
        <w:rPr>
          <w:rFonts w:ascii="Calibri" w:hAnsi="Calibri" w:cs="Calibri"/>
        </w:rPr>
      </w:pPr>
    </w:p>
    <w:p w14:paraId="59137EF8" w14:textId="77777777" w:rsidR="00281255" w:rsidRDefault="00281255">
      <w:pPr>
        <w:rPr>
          <w:rFonts w:ascii="Calibri" w:hAnsi="Calibri" w:cs="Calibri"/>
        </w:rPr>
      </w:pPr>
    </w:p>
    <w:p w14:paraId="0953CEB0" w14:textId="77777777" w:rsidR="00FB61FA" w:rsidRPr="007403BC" w:rsidRDefault="00FB61FA">
      <w:pPr>
        <w:rPr>
          <w:rFonts w:ascii="Calibri" w:hAnsi="Calibri" w:cs="Calibri"/>
        </w:rPr>
      </w:pPr>
    </w:p>
    <w:sectPr w:rsidR="00FB61FA" w:rsidRPr="007403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37F15"/>
    <w:multiLevelType w:val="multilevel"/>
    <w:tmpl w:val="2E7A6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AE28FA"/>
    <w:multiLevelType w:val="hybridMultilevel"/>
    <w:tmpl w:val="EA3C9B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582A08"/>
    <w:multiLevelType w:val="multilevel"/>
    <w:tmpl w:val="467C7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0817D6"/>
    <w:multiLevelType w:val="multilevel"/>
    <w:tmpl w:val="379CA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491E4E"/>
    <w:multiLevelType w:val="multilevel"/>
    <w:tmpl w:val="A5402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384B6A"/>
    <w:multiLevelType w:val="multilevel"/>
    <w:tmpl w:val="E18A2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E375E08"/>
    <w:multiLevelType w:val="multilevel"/>
    <w:tmpl w:val="600AB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6847657">
    <w:abstractNumId w:val="6"/>
  </w:num>
  <w:num w:numId="2" w16cid:durableId="566916649">
    <w:abstractNumId w:val="3"/>
  </w:num>
  <w:num w:numId="3" w16cid:durableId="856886514">
    <w:abstractNumId w:val="5"/>
  </w:num>
  <w:num w:numId="4" w16cid:durableId="1337075960">
    <w:abstractNumId w:val="4"/>
  </w:num>
  <w:num w:numId="5" w16cid:durableId="403190426">
    <w:abstractNumId w:val="0"/>
  </w:num>
  <w:num w:numId="6" w16cid:durableId="322585523">
    <w:abstractNumId w:val="1"/>
  </w:num>
  <w:num w:numId="7" w16cid:durableId="10543087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83D"/>
    <w:rsid w:val="00141CF8"/>
    <w:rsid w:val="0016557C"/>
    <w:rsid w:val="0018221D"/>
    <w:rsid w:val="001F6344"/>
    <w:rsid w:val="0020772A"/>
    <w:rsid w:val="00220A82"/>
    <w:rsid w:val="00232D64"/>
    <w:rsid w:val="00241BF3"/>
    <w:rsid w:val="00281255"/>
    <w:rsid w:val="002A1815"/>
    <w:rsid w:val="00314768"/>
    <w:rsid w:val="00334992"/>
    <w:rsid w:val="0035548C"/>
    <w:rsid w:val="00416CD1"/>
    <w:rsid w:val="00492773"/>
    <w:rsid w:val="004E03BD"/>
    <w:rsid w:val="00511758"/>
    <w:rsid w:val="00512154"/>
    <w:rsid w:val="005A0B08"/>
    <w:rsid w:val="00661C60"/>
    <w:rsid w:val="007403BC"/>
    <w:rsid w:val="00764AFC"/>
    <w:rsid w:val="007B08D8"/>
    <w:rsid w:val="00850140"/>
    <w:rsid w:val="00894A09"/>
    <w:rsid w:val="00941057"/>
    <w:rsid w:val="00955CC5"/>
    <w:rsid w:val="0096156B"/>
    <w:rsid w:val="00973154"/>
    <w:rsid w:val="00991E29"/>
    <w:rsid w:val="009C7783"/>
    <w:rsid w:val="009F583D"/>
    <w:rsid w:val="009F7A7D"/>
    <w:rsid w:val="00A0345D"/>
    <w:rsid w:val="00A600AA"/>
    <w:rsid w:val="00AA252E"/>
    <w:rsid w:val="00B03CB7"/>
    <w:rsid w:val="00B14E65"/>
    <w:rsid w:val="00BB51C0"/>
    <w:rsid w:val="00BF1B79"/>
    <w:rsid w:val="00BF51F3"/>
    <w:rsid w:val="00CA29C5"/>
    <w:rsid w:val="00D30D62"/>
    <w:rsid w:val="00D7066D"/>
    <w:rsid w:val="00D725CB"/>
    <w:rsid w:val="00EA4D58"/>
    <w:rsid w:val="00EA5F13"/>
    <w:rsid w:val="00F55A35"/>
    <w:rsid w:val="00F72084"/>
    <w:rsid w:val="00FB61FA"/>
    <w:rsid w:val="00FD6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E7D9E"/>
  <w15:chartTrackingRefBased/>
  <w15:docId w15:val="{5BEF6502-5017-4D8A-80A3-78B7D4B10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1F634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03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1F6344"/>
    <w:rPr>
      <w:rFonts w:ascii="Times New Roman" w:eastAsia="Times New Roman" w:hAnsi="Times New Roman" w:cs="Times New Roman"/>
      <w:b/>
      <w:bCs/>
      <w:sz w:val="27"/>
      <w:szCs w:val="27"/>
      <w:lang w:eastAsia="en-GB"/>
    </w:rPr>
  </w:style>
  <w:style w:type="paragraph" w:customStyle="1" w:styleId="trt0xe">
    <w:name w:val="trt0xe"/>
    <w:basedOn w:val="Normal"/>
    <w:rsid w:val="00F720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72084"/>
    <w:rPr>
      <w:b/>
      <w:bCs/>
    </w:rPr>
  </w:style>
  <w:style w:type="paragraph" w:styleId="ListParagraph">
    <w:name w:val="List Paragraph"/>
    <w:basedOn w:val="Normal"/>
    <w:uiPriority w:val="34"/>
    <w:qFormat/>
    <w:rsid w:val="009F7A7D"/>
    <w:pPr>
      <w:ind w:left="720"/>
      <w:contextualSpacing/>
    </w:pPr>
  </w:style>
  <w:style w:type="character" w:styleId="Hyperlink">
    <w:name w:val="Hyperlink"/>
    <w:basedOn w:val="DefaultParagraphFont"/>
    <w:uiPriority w:val="99"/>
    <w:semiHidden/>
    <w:unhideWhenUsed/>
    <w:rsid w:val="009F7A7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56939">
      <w:bodyDiv w:val="1"/>
      <w:marLeft w:val="0"/>
      <w:marRight w:val="0"/>
      <w:marTop w:val="0"/>
      <w:marBottom w:val="0"/>
      <w:divBdr>
        <w:top w:val="none" w:sz="0" w:space="0" w:color="auto"/>
        <w:left w:val="none" w:sz="0" w:space="0" w:color="auto"/>
        <w:bottom w:val="none" w:sz="0" w:space="0" w:color="auto"/>
        <w:right w:val="none" w:sz="0" w:space="0" w:color="auto"/>
      </w:divBdr>
    </w:div>
    <w:div w:id="87966243">
      <w:bodyDiv w:val="1"/>
      <w:marLeft w:val="0"/>
      <w:marRight w:val="0"/>
      <w:marTop w:val="0"/>
      <w:marBottom w:val="0"/>
      <w:divBdr>
        <w:top w:val="none" w:sz="0" w:space="0" w:color="auto"/>
        <w:left w:val="none" w:sz="0" w:space="0" w:color="auto"/>
        <w:bottom w:val="none" w:sz="0" w:space="0" w:color="auto"/>
        <w:right w:val="none" w:sz="0" w:space="0" w:color="auto"/>
      </w:divBdr>
    </w:div>
    <w:div w:id="214126690">
      <w:bodyDiv w:val="1"/>
      <w:marLeft w:val="0"/>
      <w:marRight w:val="0"/>
      <w:marTop w:val="0"/>
      <w:marBottom w:val="0"/>
      <w:divBdr>
        <w:top w:val="none" w:sz="0" w:space="0" w:color="auto"/>
        <w:left w:val="none" w:sz="0" w:space="0" w:color="auto"/>
        <w:bottom w:val="none" w:sz="0" w:space="0" w:color="auto"/>
        <w:right w:val="none" w:sz="0" w:space="0" w:color="auto"/>
      </w:divBdr>
    </w:div>
    <w:div w:id="264504079">
      <w:bodyDiv w:val="1"/>
      <w:marLeft w:val="0"/>
      <w:marRight w:val="0"/>
      <w:marTop w:val="0"/>
      <w:marBottom w:val="0"/>
      <w:divBdr>
        <w:top w:val="none" w:sz="0" w:space="0" w:color="auto"/>
        <w:left w:val="none" w:sz="0" w:space="0" w:color="auto"/>
        <w:bottom w:val="none" w:sz="0" w:space="0" w:color="auto"/>
        <w:right w:val="none" w:sz="0" w:space="0" w:color="auto"/>
      </w:divBdr>
    </w:div>
    <w:div w:id="470908247">
      <w:bodyDiv w:val="1"/>
      <w:marLeft w:val="0"/>
      <w:marRight w:val="0"/>
      <w:marTop w:val="0"/>
      <w:marBottom w:val="0"/>
      <w:divBdr>
        <w:top w:val="none" w:sz="0" w:space="0" w:color="auto"/>
        <w:left w:val="none" w:sz="0" w:space="0" w:color="auto"/>
        <w:bottom w:val="none" w:sz="0" w:space="0" w:color="auto"/>
        <w:right w:val="none" w:sz="0" w:space="0" w:color="auto"/>
      </w:divBdr>
    </w:div>
    <w:div w:id="847863586">
      <w:bodyDiv w:val="1"/>
      <w:marLeft w:val="0"/>
      <w:marRight w:val="0"/>
      <w:marTop w:val="0"/>
      <w:marBottom w:val="0"/>
      <w:divBdr>
        <w:top w:val="none" w:sz="0" w:space="0" w:color="auto"/>
        <w:left w:val="none" w:sz="0" w:space="0" w:color="auto"/>
        <w:bottom w:val="none" w:sz="0" w:space="0" w:color="auto"/>
        <w:right w:val="none" w:sz="0" w:space="0" w:color="auto"/>
      </w:divBdr>
    </w:div>
    <w:div w:id="996953783">
      <w:bodyDiv w:val="1"/>
      <w:marLeft w:val="0"/>
      <w:marRight w:val="0"/>
      <w:marTop w:val="0"/>
      <w:marBottom w:val="0"/>
      <w:divBdr>
        <w:top w:val="none" w:sz="0" w:space="0" w:color="auto"/>
        <w:left w:val="none" w:sz="0" w:space="0" w:color="auto"/>
        <w:bottom w:val="none" w:sz="0" w:space="0" w:color="auto"/>
        <w:right w:val="none" w:sz="0" w:space="0" w:color="auto"/>
      </w:divBdr>
    </w:div>
    <w:div w:id="1002003811">
      <w:bodyDiv w:val="1"/>
      <w:marLeft w:val="0"/>
      <w:marRight w:val="0"/>
      <w:marTop w:val="0"/>
      <w:marBottom w:val="0"/>
      <w:divBdr>
        <w:top w:val="none" w:sz="0" w:space="0" w:color="auto"/>
        <w:left w:val="none" w:sz="0" w:space="0" w:color="auto"/>
        <w:bottom w:val="none" w:sz="0" w:space="0" w:color="auto"/>
        <w:right w:val="none" w:sz="0" w:space="0" w:color="auto"/>
      </w:divBdr>
    </w:div>
    <w:div w:id="1004088422">
      <w:bodyDiv w:val="1"/>
      <w:marLeft w:val="0"/>
      <w:marRight w:val="0"/>
      <w:marTop w:val="0"/>
      <w:marBottom w:val="0"/>
      <w:divBdr>
        <w:top w:val="none" w:sz="0" w:space="0" w:color="auto"/>
        <w:left w:val="none" w:sz="0" w:space="0" w:color="auto"/>
        <w:bottom w:val="none" w:sz="0" w:space="0" w:color="auto"/>
        <w:right w:val="none" w:sz="0" w:space="0" w:color="auto"/>
      </w:divBdr>
    </w:div>
    <w:div w:id="1116800003">
      <w:bodyDiv w:val="1"/>
      <w:marLeft w:val="0"/>
      <w:marRight w:val="0"/>
      <w:marTop w:val="0"/>
      <w:marBottom w:val="0"/>
      <w:divBdr>
        <w:top w:val="none" w:sz="0" w:space="0" w:color="auto"/>
        <w:left w:val="none" w:sz="0" w:space="0" w:color="auto"/>
        <w:bottom w:val="none" w:sz="0" w:space="0" w:color="auto"/>
        <w:right w:val="none" w:sz="0" w:space="0" w:color="auto"/>
      </w:divBdr>
      <w:divsChild>
        <w:div w:id="1300303972">
          <w:marLeft w:val="0"/>
          <w:marRight w:val="0"/>
          <w:marTop w:val="0"/>
          <w:marBottom w:val="180"/>
          <w:divBdr>
            <w:top w:val="none" w:sz="0" w:space="0" w:color="auto"/>
            <w:left w:val="none" w:sz="0" w:space="0" w:color="auto"/>
            <w:bottom w:val="none" w:sz="0" w:space="0" w:color="auto"/>
            <w:right w:val="none" w:sz="0" w:space="0" w:color="auto"/>
          </w:divBdr>
        </w:div>
      </w:divsChild>
    </w:div>
    <w:div w:id="1651204780">
      <w:bodyDiv w:val="1"/>
      <w:marLeft w:val="0"/>
      <w:marRight w:val="0"/>
      <w:marTop w:val="0"/>
      <w:marBottom w:val="0"/>
      <w:divBdr>
        <w:top w:val="none" w:sz="0" w:space="0" w:color="auto"/>
        <w:left w:val="none" w:sz="0" w:space="0" w:color="auto"/>
        <w:bottom w:val="none" w:sz="0" w:space="0" w:color="auto"/>
        <w:right w:val="none" w:sz="0" w:space="0" w:color="auto"/>
      </w:divBdr>
    </w:div>
    <w:div w:id="1733968528">
      <w:bodyDiv w:val="1"/>
      <w:marLeft w:val="0"/>
      <w:marRight w:val="0"/>
      <w:marTop w:val="0"/>
      <w:marBottom w:val="0"/>
      <w:divBdr>
        <w:top w:val="none" w:sz="0" w:space="0" w:color="auto"/>
        <w:left w:val="none" w:sz="0" w:space="0" w:color="auto"/>
        <w:bottom w:val="none" w:sz="0" w:space="0" w:color="auto"/>
        <w:right w:val="none" w:sz="0" w:space="0" w:color="auto"/>
      </w:divBdr>
    </w:div>
    <w:div w:id="1748262468">
      <w:bodyDiv w:val="1"/>
      <w:marLeft w:val="0"/>
      <w:marRight w:val="0"/>
      <w:marTop w:val="0"/>
      <w:marBottom w:val="0"/>
      <w:divBdr>
        <w:top w:val="none" w:sz="0" w:space="0" w:color="auto"/>
        <w:left w:val="none" w:sz="0" w:space="0" w:color="auto"/>
        <w:bottom w:val="none" w:sz="0" w:space="0" w:color="auto"/>
        <w:right w:val="none" w:sz="0" w:space="0" w:color="auto"/>
      </w:divBdr>
    </w:div>
    <w:div w:id="1765608240">
      <w:bodyDiv w:val="1"/>
      <w:marLeft w:val="0"/>
      <w:marRight w:val="0"/>
      <w:marTop w:val="0"/>
      <w:marBottom w:val="0"/>
      <w:divBdr>
        <w:top w:val="none" w:sz="0" w:space="0" w:color="auto"/>
        <w:left w:val="none" w:sz="0" w:space="0" w:color="auto"/>
        <w:bottom w:val="none" w:sz="0" w:space="0" w:color="auto"/>
        <w:right w:val="none" w:sz="0" w:space="0" w:color="auto"/>
      </w:divBdr>
    </w:div>
    <w:div w:id="1839685369">
      <w:bodyDiv w:val="1"/>
      <w:marLeft w:val="0"/>
      <w:marRight w:val="0"/>
      <w:marTop w:val="0"/>
      <w:marBottom w:val="0"/>
      <w:divBdr>
        <w:top w:val="none" w:sz="0" w:space="0" w:color="auto"/>
        <w:left w:val="none" w:sz="0" w:space="0" w:color="auto"/>
        <w:bottom w:val="none" w:sz="0" w:space="0" w:color="auto"/>
        <w:right w:val="none" w:sz="0" w:space="0" w:color="auto"/>
      </w:divBdr>
    </w:div>
    <w:div w:id="1861310842">
      <w:bodyDiv w:val="1"/>
      <w:marLeft w:val="0"/>
      <w:marRight w:val="0"/>
      <w:marTop w:val="0"/>
      <w:marBottom w:val="0"/>
      <w:divBdr>
        <w:top w:val="none" w:sz="0" w:space="0" w:color="auto"/>
        <w:left w:val="none" w:sz="0" w:space="0" w:color="auto"/>
        <w:bottom w:val="none" w:sz="0" w:space="0" w:color="auto"/>
        <w:right w:val="none" w:sz="0" w:space="0" w:color="auto"/>
      </w:divBdr>
    </w:div>
    <w:div w:id="188883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ommonslibrary.parliament.uk/research-briefings/cdp-2016-009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1982</Words>
  <Characters>11304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Paryse Samuels (2222670)</dc:creator>
  <cp:keywords/>
  <dc:description/>
  <cp:lastModifiedBy>Paryse Samuels (2222670)</cp:lastModifiedBy>
  <cp:revision>2</cp:revision>
  <dcterms:created xsi:type="dcterms:W3CDTF">2023-03-10T18:09:00Z</dcterms:created>
  <dcterms:modified xsi:type="dcterms:W3CDTF">2023-03-10T18:09:00Z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870f480f-cb72-45b8-b1c6-8c6412a44546</vt:lpwstr>
  </property>
</Properties>
</file>