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2C7220" w14:textId="0B031852" w:rsidR="003450EF" w:rsidRPr="00475EA3" w:rsidRDefault="003450EF" w:rsidP="003450EF">
      <w:pPr>
        <w:ind w:left="720"/>
        <w:jc w:val="center"/>
        <w:rPr>
          <w:rFonts w:ascii="Calibri" w:hAnsi="Calibri" w:cs="Calibri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8454"/>
      </w:tblGrid>
      <w:tr w:rsidR="00475EA3" w:rsidRPr="00475EA3" w14:paraId="45CC0156" w14:textId="77777777" w:rsidTr="002879E6">
        <w:tc>
          <w:tcPr>
            <w:tcW w:w="9016" w:type="dxa"/>
            <w:gridSpan w:val="2"/>
            <w:shd w:val="clear" w:color="auto" w:fill="00FF99"/>
          </w:tcPr>
          <w:p w14:paraId="3F37412C" w14:textId="10C8B126" w:rsidR="00475EA3" w:rsidRPr="00475EA3" w:rsidRDefault="00475EA3" w:rsidP="00475EA3">
            <w:pPr>
              <w:spacing w:before="120" w:after="120"/>
              <w:jc w:val="center"/>
              <w:rPr>
                <w:rFonts w:ascii="Calibri" w:hAnsi="Calibri" w:cs="Calibri"/>
                <w:sz w:val="24"/>
                <w:szCs w:val="24"/>
              </w:rPr>
            </w:pPr>
            <w:r w:rsidRPr="00475EA3">
              <w:rPr>
                <w:rFonts w:ascii="Calibri" w:hAnsi="Calibri" w:cs="Calibri"/>
                <w:b/>
                <w:bCs/>
                <w:sz w:val="24"/>
                <w:szCs w:val="24"/>
              </w:rPr>
              <w:t>Technologies of Enchantment</w:t>
            </w:r>
          </w:p>
        </w:tc>
      </w:tr>
      <w:tr w:rsidR="00475EA3" w:rsidRPr="00475EA3" w14:paraId="6EE88338" w14:textId="77777777" w:rsidTr="00475EA3">
        <w:tc>
          <w:tcPr>
            <w:tcW w:w="9016" w:type="dxa"/>
            <w:gridSpan w:val="2"/>
          </w:tcPr>
          <w:p w14:paraId="5DFC0D33" w14:textId="77777777" w:rsidR="00475EA3" w:rsidRDefault="00475EA3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 w:rsidRPr="00475EA3">
              <w:rPr>
                <w:rFonts w:ascii="Calibri" w:hAnsi="Calibri" w:cs="Calibri"/>
                <w:sz w:val="24"/>
                <w:szCs w:val="24"/>
              </w:rPr>
              <w:t>Gell considers art as an aspect of technology: art objects are objects “beautifully made or made beautiful” (Gell 1992: 43)</w:t>
            </w:r>
          </w:p>
          <w:p w14:paraId="70B2175E" w14:textId="77777777" w:rsidR="00475EA3" w:rsidRDefault="00475EA3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 w:rsidRPr="00475EA3">
              <w:rPr>
                <w:rFonts w:ascii="Calibri" w:hAnsi="Calibri" w:cs="Calibri"/>
                <w:sz w:val="24"/>
                <w:szCs w:val="24"/>
              </w:rPr>
              <w:t>These objects demonstrate technical excellence in their creation/making. Gell considers how these object, the craftsmen who produce them and the people who acquire them are entwined within a network of social relations.</w:t>
            </w:r>
          </w:p>
          <w:p w14:paraId="4BAD8FB1" w14:textId="50D75A5A" w:rsidR="00475EA3" w:rsidRPr="00475EA3" w:rsidRDefault="00475EA3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 w:rsidRPr="00475EA3">
              <w:rPr>
                <w:rFonts w:ascii="Calibri" w:hAnsi="Calibri" w:cs="Calibri"/>
                <w:sz w:val="24"/>
                <w:szCs w:val="24"/>
              </w:rPr>
              <w:t>Art objects are</w:t>
            </w:r>
            <w:r>
              <w:rPr>
                <w:rFonts w:ascii="Calibri" w:hAnsi="Calibri" w:cs="Calibri"/>
                <w:sz w:val="24"/>
                <w:szCs w:val="24"/>
              </w:rPr>
              <w:t>:</w:t>
            </w:r>
          </w:p>
          <w:p w14:paraId="3E5C1D9A" w14:textId="7B3767D5" w:rsidR="00475EA3" w:rsidRPr="00475EA3" w:rsidRDefault="00475EA3" w:rsidP="00475EA3">
            <w:pPr>
              <w:spacing w:before="40" w:afterLines="40" w:after="96"/>
              <w:ind w:left="720"/>
              <w:rPr>
                <w:rFonts w:ascii="Calibri" w:hAnsi="Calibri" w:cs="Calibri"/>
                <w:sz w:val="24"/>
                <w:szCs w:val="24"/>
              </w:rPr>
            </w:pPr>
            <w:r w:rsidRPr="00475EA3">
              <w:rPr>
                <w:rFonts w:ascii="Calibri" w:hAnsi="Calibri" w:cs="Calibri"/>
                <w:sz w:val="24"/>
                <w:szCs w:val="24"/>
              </w:rPr>
              <w:t>“one of the technical means whereby individuals are persuaded of the necessity &amp; desirability of the social order which encompasses them” (Gell 1992: 44)</w:t>
            </w:r>
          </w:p>
        </w:tc>
      </w:tr>
      <w:tr w:rsidR="00475EA3" w:rsidRPr="00475EA3" w14:paraId="18ABDF8B" w14:textId="77777777" w:rsidTr="00475EA3">
        <w:tc>
          <w:tcPr>
            <w:tcW w:w="9016" w:type="dxa"/>
            <w:gridSpan w:val="2"/>
          </w:tcPr>
          <w:p w14:paraId="23CE6E85" w14:textId="77777777" w:rsidR="00475EA3" w:rsidRPr="00475EA3" w:rsidRDefault="00475EA3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 w:rsidRPr="00475EA3">
              <w:rPr>
                <w:rFonts w:ascii="Calibri" w:hAnsi="Calibri" w:cs="Calibri"/>
                <w:sz w:val="24"/>
                <w:szCs w:val="24"/>
              </w:rPr>
              <w:t xml:space="preserve">Technology of enchantment (the power or </w:t>
            </w:r>
            <w:r w:rsidRPr="00475EA3">
              <w:rPr>
                <w:rFonts w:ascii="Calibri" w:hAnsi="Calibri" w:cs="Calibri"/>
                <w:b/>
                <w:bCs/>
                <w:sz w:val="24"/>
                <w:szCs w:val="24"/>
              </w:rPr>
              <w:t>agency</w:t>
            </w:r>
            <w:r w:rsidRPr="00475EA3">
              <w:rPr>
                <w:rFonts w:ascii="Calibri" w:hAnsi="Calibri" w:cs="Calibri"/>
                <w:sz w:val="24"/>
                <w:szCs w:val="24"/>
              </w:rPr>
              <w:t xml:space="preserve"> of the object) encompasses two aspects which beguile the viewer:</w:t>
            </w:r>
          </w:p>
          <w:p w14:paraId="13A509EA" w14:textId="14F3E2EA" w:rsidR="00475EA3" w:rsidRPr="00475EA3" w:rsidRDefault="00475EA3" w:rsidP="00475EA3">
            <w:pPr>
              <w:pStyle w:val="ListParagraph"/>
              <w:numPr>
                <w:ilvl w:val="0"/>
                <w:numId w:val="2"/>
              </w:num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 w:rsidRPr="00475EA3">
              <w:rPr>
                <w:rFonts w:ascii="Calibri" w:hAnsi="Calibri" w:cs="Calibri"/>
                <w:b/>
                <w:bCs/>
                <w:sz w:val="24"/>
                <w:szCs w:val="24"/>
              </w:rPr>
              <w:t>Technical knowledge</w:t>
            </w:r>
            <w:r w:rsidRPr="00475EA3">
              <w:rPr>
                <w:rFonts w:ascii="Calibri" w:hAnsi="Calibri" w:cs="Calibri"/>
                <w:sz w:val="24"/>
                <w:szCs w:val="24"/>
              </w:rPr>
              <w:t xml:space="preserve"> /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crafting </w:t>
            </w:r>
            <w:r w:rsidRPr="00475EA3">
              <w:rPr>
                <w:rFonts w:ascii="Calibri" w:hAnsi="Calibri" w:cs="Calibri"/>
                <w:sz w:val="24"/>
                <w:szCs w:val="24"/>
              </w:rPr>
              <w:t>skills</w:t>
            </w:r>
          </w:p>
          <w:p w14:paraId="68FEF939" w14:textId="71D9C1E1" w:rsidR="00475EA3" w:rsidRPr="00475EA3" w:rsidRDefault="00475EA3" w:rsidP="00475EA3">
            <w:pPr>
              <w:pStyle w:val="ListParagraph"/>
              <w:numPr>
                <w:ilvl w:val="0"/>
                <w:numId w:val="2"/>
              </w:num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 w:rsidRPr="00475EA3">
              <w:rPr>
                <w:rFonts w:ascii="Calibri" w:hAnsi="Calibri" w:cs="Calibri"/>
                <w:b/>
                <w:bCs/>
                <w:sz w:val="24"/>
                <w:szCs w:val="24"/>
              </w:rPr>
              <w:t>Extraordinary</w:t>
            </w:r>
            <w:r w:rsidRPr="00475EA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475EA3">
              <w:rPr>
                <w:rFonts w:ascii="Calibri" w:hAnsi="Calibri" w:cs="Calibri"/>
                <w:b/>
                <w:bCs/>
                <w:sz w:val="24"/>
                <w:szCs w:val="24"/>
              </w:rPr>
              <w:t>transformation</w:t>
            </w:r>
            <w:r w:rsidRPr="00475EA3">
              <w:rPr>
                <w:rFonts w:ascii="Calibri" w:hAnsi="Calibri" w:cs="Calibri"/>
                <w:sz w:val="24"/>
                <w:szCs w:val="24"/>
              </w:rPr>
              <w:t xml:space="preserve"> of a natural material</w:t>
            </w:r>
          </w:p>
        </w:tc>
      </w:tr>
      <w:tr w:rsidR="00475EA3" w:rsidRPr="00475EA3" w14:paraId="15D3CF0D" w14:textId="77777777" w:rsidTr="00475EA3">
        <w:tc>
          <w:tcPr>
            <w:tcW w:w="9016" w:type="dxa"/>
            <w:gridSpan w:val="2"/>
          </w:tcPr>
          <w:p w14:paraId="56D97DC8" w14:textId="77777777" w:rsidR="00475EA3" w:rsidRDefault="002879E6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Elite art objects encompass:</w:t>
            </w:r>
          </w:p>
          <w:p w14:paraId="14AB9730" w14:textId="15276D82" w:rsidR="002879E6" w:rsidRPr="00475EA3" w:rsidRDefault="002879E6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“The excitement of the exotic, the pleasure of the beautiful, and the significance of the symbolic” (Brumfiel and Earle 1987: 8)</w:t>
            </w:r>
          </w:p>
        </w:tc>
      </w:tr>
      <w:tr w:rsidR="00475EA3" w:rsidRPr="00475EA3" w14:paraId="12EB8B84" w14:textId="77777777" w:rsidTr="002879E6">
        <w:tc>
          <w:tcPr>
            <w:tcW w:w="9016" w:type="dxa"/>
            <w:gridSpan w:val="2"/>
            <w:shd w:val="clear" w:color="auto" w:fill="00FF99"/>
          </w:tcPr>
          <w:p w14:paraId="79BAEB8D" w14:textId="7B126C3F" w:rsidR="00475EA3" w:rsidRPr="002879E6" w:rsidRDefault="002879E6" w:rsidP="00475EA3">
            <w:pPr>
              <w:spacing w:before="40" w:afterLines="40" w:after="96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2879E6">
              <w:rPr>
                <w:rFonts w:ascii="Calibri" w:hAnsi="Calibri" w:cs="Calibri"/>
                <w:b/>
                <w:bCs/>
                <w:sz w:val="24"/>
                <w:szCs w:val="24"/>
              </w:rPr>
              <w:t>Activity</w:t>
            </w:r>
          </w:p>
        </w:tc>
      </w:tr>
      <w:tr w:rsidR="002879E6" w:rsidRPr="00475EA3" w14:paraId="2FEE995B" w14:textId="77777777" w:rsidTr="00475EA3">
        <w:tc>
          <w:tcPr>
            <w:tcW w:w="9016" w:type="dxa"/>
            <w:gridSpan w:val="2"/>
          </w:tcPr>
          <w:p w14:paraId="12A3C5F9" w14:textId="1B646518" w:rsidR="002879E6" w:rsidRPr="002879E6" w:rsidRDefault="002879E6" w:rsidP="002879E6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Examine one (two if you have the time) of the objects provided.</w:t>
            </w:r>
          </w:p>
        </w:tc>
      </w:tr>
      <w:tr w:rsidR="002879E6" w:rsidRPr="00475EA3" w14:paraId="389654B0" w14:textId="77777777" w:rsidTr="002879E6">
        <w:tc>
          <w:tcPr>
            <w:tcW w:w="562" w:type="dxa"/>
            <w:shd w:val="clear" w:color="auto" w:fill="00FF99"/>
          </w:tcPr>
          <w:p w14:paraId="5B495547" w14:textId="09696F56" w:rsidR="002879E6" w:rsidRPr="002879E6" w:rsidRDefault="002879E6" w:rsidP="00475EA3">
            <w:pPr>
              <w:spacing w:before="40" w:afterLines="40" w:after="96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2879E6">
              <w:rPr>
                <w:rFonts w:ascii="Calibri" w:hAnsi="Calibri" w:cs="Calibri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8454" w:type="dxa"/>
          </w:tcPr>
          <w:p w14:paraId="7445E605" w14:textId="3269EC3D" w:rsidR="002879E6" w:rsidRDefault="002879E6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Consider how these might be considered to be enchanted (following Gell’s criteria) by the people who use and handle them and their audienc</w:t>
            </w:r>
            <w:r>
              <w:rPr>
                <w:rFonts w:ascii="Calibri" w:hAnsi="Calibri" w:cs="Calibri"/>
                <w:sz w:val="24"/>
                <w:szCs w:val="24"/>
              </w:rPr>
              <w:t>e.</w:t>
            </w:r>
          </w:p>
        </w:tc>
      </w:tr>
      <w:tr w:rsidR="002879E6" w:rsidRPr="00475EA3" w14:paraId="76C98BDC" w14:textId="77777777" w:rsidTr="002879E6">
        <w:tc>
          <w:tcPr>
            <w:tcW w:w="562" w:type="dxa"/>
            <w:shd w:val="clear" w:color="auto" w:fill="00FF99"/>
          </w:tcPr>
          <w:p w14:paraId="388EF449" w14:textId="2D077FBE" w:rsidR="002879E6" w:rsidRPr="002879E6" w:rsidRDefault="002879E6" w:rsidP="00475EA3">
            <w:pPr>
              <w:spacing w:before="40" w:afterLines="40" w:after="96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2879E6">
              <w:rPr>
                <w:rFonts w:ascii="Calibri" w:hAnsi="Calibri" w:cs="Calibri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8454" w:type="dxa"/>
          </w:tcPr>
          <w:p w14:paraId="42F4753A" w14:textId="5EE44783" w:rsidR="002879E6" w:rsidRDefault="002879E6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What attributes make these objects enchanted? (and how?)</w:t>
            </w:r>
          </w:p>
          <w:p w14:paraId="58726467" w14:textId="77777777" w:rsidR="002879E6" w:rsidRDefault="002879E6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Materials ; crafting skills; iconography; decorative details etc.</w:t>
            </w:r>
          </w:p>
          <w:p w14:paraId="5F3E5ED9" w14:textId="10002206" w:rsidR="002879E6" w:rsidRDefault="002879E6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</w:p>
        </w:tc>
      </w:tr>
      <w:tr w:rsidR="002879E6" w:rsidRPr="00475EA3" w14:paraId="338ADA57" w14:textId="77777777" w:rsidTr="002879E6">
        <w:tc>
          <w:tcPr>
            <w:tcW w:w="562" w:type="dxa"/>
            <w:shd w:val="clear" w:color="auto" w:fill="00FF99"/>
          </w:tcPr>
          <w:p w14:paraId="574715E7" w14:textId="3B12AE44" w:rsidR="002879E6" w:rsidRPr="002879E6" w:rsidRDefault="002879E6" w:rsidP="00475EA3">
            <w:pPr>
              <w:spacing w:before="40" w:afterLines="40" w:after="96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2879E6">
              <w:rPr>
                <w:rFonts w:ascii="Calibri" w:hAnsi="Calibri" w:cs="Calibri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8454" w:type="dxa"/>
          </w:tcPr>
          <w:p w14:paraId="5D2019CE" w14:textId="14C5D0C4" w:rsidR="002879E6" w:rsidRDefault="002879E6" w:rsidP="00475EA3">
            <w:pPr>
              <w:spacing w:before="40" w:afterLines="40" w:after="96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How effective do you think they are as symbolic objects with agency or coercive power? (and why?) You should consider </w:t>
            </w:r>
            <w:r>
              <w:rPr>
                <w:rFonts w:ascii="Calibri" w:hAnsi="Calibri" w:cs="Calibri"/>
                <w:sz w:val="24"/>
                <w:szCs w:val="24"/>
              </w:rPr>
              <w:t>the cultural context in which these were found</w:t>
            </w:r>
            <w:r>
              <w:rPr>
                <w:rFonts w:ascii="Calibri" w:hAnsi="Calibri" w:cs="Calibri"/>
                <w:sz w:val="24"/>
                <w:szCs w:val="24"/>
              </w:rPr>
              <w:t>, who might have used/handled them and their potential audience.</w:t>
            </w:r>
          </w:p>
        </w:tc>
      </w:tr>
    </w:tbl>
    <w:p w14:paraId="72C2402E" w14:textId="77777777" w:rsidR="003450EF" w:rsidRPr="00475EA3" w:rsidRDefault="003450EF" w:rsidP="00475EA3">
      <w:pPr>
        <w:spacing w:before="40" w:afterLines="40" w:after="96"/>
        <w:rPr>
          <w:rFonts w:ascii="Calibri" w:hAnsi="Calibri" w:cs="Calibri"/>
          <w:sz w:val="24"/>
          <w:szCs w:val="24"/>
        </w:rPr>
      </w:pPr>
    </w:p>
    <w:sectPr w:rsidR="003450EF" w:rsidRPr="00475E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8542D7"/>
    <w:multiLevelType w:val="hybridMultilevel"/>
    <w:tmpl w:val="9500C642"/>
    <w:lvl w:ilvl="0" w:tplc="54E0759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4EDE0792">
      <w:numFmt w:val="none"/>
      <w:lvlText w:val=""/>
      <w:lvlJc w:val="left"/>
      <w:pPr>
        <w:tabs>
          <w:tab w:val="num" w:pos="360"/>
        </w:tabs>
      </w:pPr>
    </w:lvl>
    <w:lvl w:ilvl="2" w:tplc="A7E8E2A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29C25F0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9FC51D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AEE14E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13EC92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306052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7AA051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3B433452"/>
    <w:multiLevelType w:val="hybridMultilevel"/>
    <w:tmpl w:val="F2B21A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420444381">
    <w:abstractNumId w:val="0"/>
  </w:num>
  <w:num w:numId="2" w16cid:durableId="9974217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50EF"/>
    <w:rsid w:val="00071FCF"/>
    <w:rsid w:val="002879E6"/>
    <w:rsid w:val="00300EE6"/>
    <w:rsid w:val="003450EF"/>
    <w:rsid w:val="00375C9B"/>
    <w:rsid w:val="004659F9"/>
    <w:rsid w:val="0047178D"/>
    <w:rsid w:val="00475EA3"/>
    <w:rsid w:val="005021E7"/>
    <w:rsid w:val="00542003"/>
    <w:rsid w:val="005F22CA"/>
    <w:rsid w:val="007E4754"/>
    <w:rsid w:val="00B7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63D2E"/>
  <w15:chartTrackingRefBased/>
  <w15:docId w15:val="{24196B37-3B41-45FE-9346-126BD7B144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0EE6"/>
    <w:pPr>
      <w:ind w:left="720"/>
      <w:contextualSpacing/>
    </w:pPr>
  </w:style>
  <w:style w:type="table" w:styleId="TableGrid">
    <w:name w:val="Table Grid"/>
    <w:basedOn w:val="TableNormal"/>
    <w:uiPriority w:val="39"/>
    <w:rsid w:val="00475E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082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35232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819911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8780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843846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54271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10147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Thomas</dc:creator>
  <cp:keywords/>
  <dc:description/>
  <cp:lastModifiedBy>Louise Steel</cp:lastModifiedBy>
  <cp:revision>3</cp:revision>
  <dcterms:created xsi:type="dcterms:W3CDTF">2019-11-03T12:52:00Z</dcterms:created>
  <dcterms:modified xsi:type="dcterms:W3CDTF">2025-09-10T12:45:00Z</dcterms:modified>
</cp:coreProperties>
</file>