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C0D459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77D9C">
              <w:rPr>
                <w:rFonts w:ascii="Times New Roman" w:hAnsi="Times New Roman" w:cs="Times New Roman"/>
                <w:b/>
                <w:color w:val="auto"/>
                <w:sz w:val="48"/>
              </w:rPr>
              <w:t>Francesca Maunders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332940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77D9C">
              <w:rPr>
                <w:rFonts w:ascii="Times New Roman" w:hAnsi="Times New Roman" w:cs="Times New Roman"/>
                <w:b/>
                <w:color w:val="auto"/>
                <w:sz w:val="48"/>
              </w:rPr>
              <w:t xml:space="preserve"> F.maunders@npt.gov.uk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CB5FF8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452BE">
              <w:t xml:space="preserve"> </w:t>
            </w:r>
            <w:r w:rsidR="007452BE">
              <w:br/>
            </w:r>
            <w:r w:rsidR="007452BE" w:rsidRPr="007452BE">
              <w:rPr>
                <w:rFonts w:ascii="Times New Roman" w:hAnsi="Times New Roman" w:cs="Times New Roman"/>
                <w:b/>
                <w:color w:val="auto"/>
                <w:sz w:val="48"/>
              </w:rPr>
              <w:t>2522464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4814AF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w:t>
            </w:r>
            <w:r w:rsidR="00877D9C">
              <w:rPr>
                <w:rFonts w:ascii="Times New Roman" w:hAnsi="Times New Roman" w:cs="Times New Roman"/>
                <w:b/>
                <w:color w:val="auto"/>
                <w:sz w:val="48"/>
              </w:rPr>
              <w:t>026/27</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278E6ECC"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79422A" w:rsidRPr="001432B3">
        <w:rPr>
          <w:i/>
          <w:iCs/>
          <w:sz w:val="24"/>
          <w:szCs w:val="24"/>
        </w:rPr>
        <w:t>E</w:t>
      </w:r>
      <w:r w:rsidR="00337FEF" w:rsidRPr="001432B3">
        <w:rPr>
          <w:i/>
          <w:iCs/>
          <w:sz w:val="24"/>
          <w:szCs w:val="24"/>
        </w:rPr>
        <w:t xml:space="preserve">nsure you meet </w:t>
      </w:r>
      <w:r w:rsidR="00FC0334" w:rsidRPr="001432B3">
        <w:rPr>
          <w:i/>
          <w:iCs/>
          <w:sz w:val="24"/>
          <w:szCs w:val="24"/>
        </w:rPr>
        <w:t>the</w:t>
      </w:r>
      <w:r w:rsidR="00AA7960" w:rsidRPr="001432B3">
        <w:rPr>
          <w:i/>
          <w:iCs/>
          <w:sz w:val="24"/>
          <w:szCs w:val="24"/>
        </w:rPr>
        <w:t xml:space="preserve"> </w:t>
      </w:r>
      <w:r w:rsidR="00064063" w:rsidRPr="001432B3">
        <w:rPr>
          <w:i/>
          <w:iCs/>
          <w:sz w:val="24"/>
          <w:szCs w:val="24"/>
        </w:rPr>
        <w:t xml:space="preserve">learning out comes for this task </w:t>
      </w:r>
      <w:r w:rsidR="0079422A" w:rsidRPr="001432B3">
        <w:rPr>
          <w:i/>
          <w:iCs/>
          <w:sz w:val="24"/>
          <w:szCs w:val="24"/>
        </w:rPr>
        <w:t>(</w:t>
      </w:r>
      <w:r w:rsidR="00064063" w:rsidRPr="001432B3">
        <w:rPr>
          <w:i/>
          <w:iCs/>
          <w:sz w:val="24"/>
          <w:szCs w:val="24"/>
        </w:rPr>
        <w:t xml:space="preserve">see appendix </w:t>
      </w:r>
      <w:r w:rsidR="003D1BC0" w:rsidRPr="001432B3">
        <w:rPr>
          <w:i/>
          <w:iCs/>
          <w:sz w:val="24"/>
          <w:szCs w:val="24"/>
        </w:rPr>
        <w:t>5</w:t>
      </w:r>
      <w:r w:rsidR="00064063" w:rsidRPr="001432B3">
        <w:rPr>
          <w:i/>
          <w:iCs/>
          <w:sz w:val="24"/>
          <w:szCs w:val="24"/>
        </w:rPr>
        <w:t xml:space="preserve"> </w:t>
      </w:r>
      <w:r w:rsidR="00FC0334" w:rsidRPr="001432B3">
        <w:rPr>
          <w:i/>
          <w:iCs/>
          <w:sz w:val="24"/>
          <w:szCs w:val="24"/>
        </w:rPr>
        <w:t>of the</w:t>
      </w:r>
      <w:r w:rsidR="007A628F" w:rsidRPr="001432B3">
        <w:rPr>
          <w:i/>
          <w:iCs/>
          <w:sz w:val="24"/>
          <w:szCs w:val="24"/>
        </w:rPr>
        <w:t xml:space="preserve"> h</w:t>
      </w:r>
      <w:r w:rsidR="00FC0334" w:rsidRPr="001432B3">
        <w:rPr>
          <w:i/>
          <w:iCs/>
          <w:sz w:val="24"/>
          <w:szCs w:val="24"/>
        </w:rPr>
        <w:t>andbook</w:t>
      </w:r>
      <w:r w:rsidR="0079422A" w:rsidRPr="001432B3">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AF6981">
            <w:pPr>
              <w:spacing w:line="360" w:lineRule="auto"/>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AF6981">
            <w:pPr>
              <w:spacing w:line="360" w:lineRule="auto"/>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AF6981">
            <w:pPr>
              <w:spacing w:line="360" w:lineRule="auto"/>
              <w:jc w:val="both"/>
              <w:rPr>
                <w:sz w:val="24"/>
                <w:szCs w:val="24"/>
              </w:rPr>
            </w:pPr>
          </w:p>
          <w:p w14:paraId="5471FD52" w14:textId="20AF0D8B" w:rsidR="00FC0334" w:rsidRDefault="006D29F7" w:rsidP="00AF6981">
            <w:pPr>
              <w:spacing w:line="360" w:lineRule="auto"/>
              <w:jc w:val="both"/>
              <w:rPr>
                <w:sz w:val="24"/>
                <w:szCs w:val="24"/>
              </w:rPr>
            </w:pPr>
            <w:r w:rsidRPr="00261CD4">
              <w:rPr>
                <w:sz w:val="24"/>
                <w:szCs w:val="24"/>
              </w:rPr>
              <w:t xml:space="preserve">As </w:t>
            </w:r>
            <w:r w:rsidR="00612BE2">
              <w:rPr>
                <w:sz w:val="24"/>
                <w:szCs w:val="24"/>
              </w:rPr>
              <w:t>I work in</w:t>
            </w:r>
            <w:r w:rsidRPr="00261CD4">
              <w:rPr>
                <w:sz w:val="24"/>
                <w:szCs w:val="24"/>
              </w:rPr>
              <w:t xml:space="preserve"> children’s safeguarding</w:t>
            </w:r>
            <w:r w:rsidR="00612BE2">
              <w:rPr>
                <w:sz w:val="24"/>
                <w:szCs w:val="24"/>
              </w:rPr>
              <w:t xml:space="preserve">, looking at </w:t>
            </w:r>
            <w:r w:rsidRPr="00261CD4">
              <w:rPr>
                <w:sz w:val="24"/>
                <w:szCs w:val="24"/>
              </w:rPr>
              <w:t xml:space="preserve">adult safeguarding has </w:t>
            </w:r>
            <w:r w:rsidR="00612BE2">
              <w:rPr>
                <w:sz w:val="24"/>
                <w:szCs w:val="24"/>
              </w:rPr>
              <w:t>helped</w:t>
            </w:r>
            <w:r w:rsidRPr="00261CD4">
              <w:rPr>
                <w:sz w:val="24"/>
                <w:szCs w:val="24"/>
              </w:rPr>
              <w:t xml:space="preserve"> me </w:t>
            </w:r>
            <w:r w:rsidR="00612BE2">
              <w:rPr>
                <w:sz w:val="24"/>
                <w:szCs w:val="24"/>
              </w:rPr>
              <w:t>understand a different area of</w:t>
            </w:r>
            <w:r w:rsidRPr="00261CD4">
              <w:rPr>
                <w:sz w:val="24"/>
                <w:szCs w:val="24"/>
              </w:rPr>
              <w:t xml:space="preserve"> practice. In Wales, the </w:t>
            </w:r>
            <w:r w:rsidR="00612BE2">
              <w:rPr>
                <w:sz w:val="24"/>
                <w:szCs w:val="24"/>
              </w:rPr>
              <w:t>main law</w:t>
            </w:r>
            <w:r w:rsidRPr="00261CD4">
              <w:rPr>
                <w:sz w:val="24"/>
                <w:szCs w:val="24"/>
              </w:rPr>
              <w:t xml:space="preserve"> is the Social Services and Well-being (Wales) Act 2014, </w:t>
            </w:r>
            <w:r w:rsidR="00612BE2">
              <w:rPr>
                <w:sz w:val="24"/>
                <w:szCs w:val="24"/>
              </w:rPr>
              <w:t>especially</w:t>
            </w:r>
            <w:r w:rsidRPr="00261CD4">
              <w:rPr>
                <w:sz w:val="24"/>
                <w:szCs w:val="24"/>
              </w:rPr>
              <w:t xml:space="preserve"> Part 7. Section 126 </w:t>
            </w:r>
            <w:r w:rsidR="00612BE2">
              <w:rPr>
                <w:sz w:val="24"/>
                <w:szCs w:val="24"/>
              </w:rPr>
              <w:t>says</w:t>
            </w:r>
            <w:r w:rsidRPr="00261CD4">
              <w:rPr>
                <w:sz w:val="24"/>
                <w:szCs w:val="24"/>
              </w:rPr>
              <w:t xml:space="preserve"> an adult at risk </w:t>
            </w:r>
            <w:r w:rsidR="00612BE2">
              <w:rPr>
                <w:sz w:val="24"/>
                <w:szCs w:val="24"/>
              </w:rPr>
              <w:t>is someone who</w:t>
            </w:r>
            <w:r w:rsidRPr="00261CD4">
              <w:rPr>
                <w:sz w:val="24"/>
                <w:szCs w:val="24"/>
              </w:rPr>
              <w:t xml:space="preserve"> is experiencing, or </w:t>
            </w:r>
            <w:r w:rsidR="00612BE2">
              <w:rPr>
                <w:sz w:val="24"/>
                <w:szCs w:val="24"/>
              </w:rPr>
              <w:t>may experience</w:t>
            </w:r>
            <w:r w:rsidRPr="00261CD4">
              <w:rPr>
                <w:sz w:val="24"/>
                <w:szCs w:val="24"/>
              </w:rPr>
              <w:t>, abuse or neglect; has care and support</w:t>
            </w:r>
            <w:r w:rsidR="00612BE2">
              <w:rPr>
                <w:sz w:val="24"/>
                <w:szCs w:val="24"/>
              </w:rPr>
              <w:t xml:space="preserve"> needs</w:t>
            </w:r>
            <w:r w:rsidRPr="00261CD4">
              <w:rPr>
                <w:sz w:val="24"/>
                <w:szCs w:val="24"/>
              </w:rPr>
              <w:t xml:space="preserve">; and, because of those needs, </w:t>
            </w:r>
            <w:r w:rsidR="00612BE2">
              <w:rPr>
                <w:sz w:val="24"/>
                <w:szCs w:val="24"/>
              </w:rPr>
              <w:t>cannot</w:t>
            </w:r>
            <w:r w:rsidRPr="00261CD4">
              <w:rPr>
                <w:sz w:val="24"/>
                <w:szCs w:val="24"/>
              </w:rPr>
              <w:t xml:space="preserve"> protect themselves. </w:t>
            </w:r>
            <w:r w:rsidR="00612BE2">
              <w:rPr>
                <w:sz w:val="24"/>
                <w:szCs w:val="24"/>
              </w:rPr>
              <w:t>If the</w:t>
            </w:r>
            <w:r w:rsidRPr="00261CD4">
              <w:rPr>
                <w:sz w:val="24"/>
                <w:szCs w:val="24"/>
              </w:rPr>
              <w:t xml:space="preserve"> </w:t>
            </w:r>
            <w:r w:rsidR="00FC7A14">
              <w:rPr>
                <w:sz w:val="24"/>
                <w:szCs w:val="24"/>
              </w:rPr>
              <w:t>L</w:t>
            </w:r>
            <w:r w:rsidRPr="00261CD4">
              <w:rPr>
                <w:sz w:val="24"/>
                <w:szCs w:val="24"/>
              </w:rPr>
              <w:t xml:space="preserve">ocal </w:t>
            </w:r>
            <w:r w:rsidR="00FC7A14">
              <w:rPr>
                <w:sz w:val="24"/>
                <w:szCs w:val="24"/>
              </w:rPr>
              <w:t>A</w:t>
            </w:r>
            <w:r w:rsidRPr="00261CD4">
              <w:rPr>
                <w:sz w:val="24"/>
                <w:szCs w:val="24"/>
              </w:rPr>
              <w:t xml:space="preserve">uthority has reasonable cause to </w:t>
            </w:r>
            <w:r w:rsidR="00612BE2">
              <w:rPr>
                <w:sz w:val="24"/>
                <w:szCs w:val="24"/>
              </w:rPr>
              <w:t>think</w:t>
            </w:r>
            <w:r w:rsidRPr="00261CD4">
              <w:rPr>
                <w:sz w:val="24"/>
                <w:szCs w:val="24"/>
              </w:rPr>
              <w:t xml:space="preserve"> this </w:t>
            </w:r>
            <w:r w:rsidR="00612BE2">
              <w:rPr>
                <w:sz w:val="24"/>
                <w:szCs w:val="24"/>
              </w:rPr>
              <w:t>applies</w:t>
            </w:r>
            <w:r w:rsidRPr="00261CD4">
              <w:rPr>
                <w:sz w:val="24"/>
                <w:szCs w:val="24"/>
              </w:rPr>
              <w:t xml:space="preserve">, it must make enquiries and decide whether action is </w:t>
            </w:r>
            <w:r w:rsidR="00612BE2">
              <w:rPr>
                <w:sz w:val="24"/>
                <w:szCs w:val="24"/>
              </w:rPr>
              <w:t>needed to protect the adult.</w:t>
            </w:r>
          </w:p>
          <w:p w14:paraId="63FC3E12" w14:textId="77777777" w:rsidR="00261CD4" w:rsidRPr="00261CD4" w:rsidRDefault="00261CD4" w:rsidP="00AF6981">
            <w:pPr>
              <w:spacing w:line="360" w:lineRule="auto"/>
              <w:jc w:val="both"/>
              <w:rPr>
                <w:sz w:val="24"/>
                <w:szCs w:val="24"/>
              </w:rPr>
            </w:pPr>
          </w:p>
          <w:p w14:paraId="0341879E" w14:textId="77777777" w:rsidR="00FC0334" w:rsidRDefault="006D29F7" w:rsidP="00AF6981">
            <w:pPr>
              <w:spacing w:line="360" w:lineRule="auto"/>
              <w:jc w:val="both"/>
              <w:rPr>
                <w:sz w:val="24"/>
                <w:szCs w:val="24"/>
              </w:rPr>
            </w:pPr>
            <w:r w:rsidRPr="00261CD4">
              <w:rPr>
                <w:sz w:val="24"/>
                <w:szCs w:val="24"/>
              </w:rPr>
              <w:t xml:space="preserve">Section 127 </w:t>
            </w:r>
            <w:r w:rsidR="003F15D6">
              <w:rPr>
                <w:sz w:val="24"/>
                <w:szCs w:val="24"/>
              </w:rPr>
              <w:t>explains</w:t>
            </w:r>
            <w:r w:rsidRPr="00261CD4">
              <w:rPr>
                <w:sz w:val="24"/>
                <w:szCs w:val="24"/>
              </w:rPr>
              <w:t xml:space="preserve"> Adult Protection and Support </w:t>
            </w:r>
            <w:r w:rsidR="003F15D6">
              <w:rPr>
                <w:sz w:val="24"/>
                <w:szCs w:val="24"/>
              </w:rPr>
              <w:t xml:space="preserve">Orders. These can be used when professionals need access to an adult to check whether they are at risk. </w:t>
            </w:r>
            <w:r w:rsidRPr="00261CD4">
              <w:rPr>
                <w:sz w:val="24"/>
                <w:szCs w:val="24"/>
              </w:rPr>
              <w:t xml:space="preserve">The order can </w:t>
            </w:r>
            <w:r w:rsidR="003F15D6">
              <w:rPr>
                <w:sz w:val="24"/>
                <w:szCs w:val="24"/>
              </w:rPr>
              <w:t>allow</w:t>
            </w:r>
            <w:r w:rsidRPr="00261CD4">
              <w:rPr>
                <w:sz w:val="24"/>
                <w:szCs w:val="24"/>
              </w:rPr>
              <w:t xml:space="preserve"> entry to </w:t>
            </w:r>
            <w:r w:rsidR="003F15D6">
              <w:rPr>
                <w:sz w:val="24"/>
                <w:szCs w:val="24"/>
              </w:rPr>
              <w:t>a property</w:t>
            </w:r>
            <w:r w:rsidRPr="00261CD4">
              <w:rPr>
                <w:sz w:val="24"/>
                <w:szCs w:val="24"/>
              </w:rPr>
              <w:t xml:space="preserve">, private </w:t>
            </w:r>
            <w:r w:rsidR="003F15D6">
              <w:rPr>
                <w:sz w:val="24"/>
                <w:szCs w:val="24"/>
              </w:rPr>
              <w:t>conversation</w:t>
            </w:r>
            <w:r w:rsidRPr="00261CD4">
              <w:rPr>
                <w:sz w:val="24"/>
                <w:szCs w:val="24"/>
              </w:rPr>
              <w:t xml:space="preserve"> with the adult, and assessment of whether </w:t>
            </w:r>
            <w:r w:rsidR="003F15D6">
              <w:rPr>
                <w:sz w:val="24"/>
                <w:szCs w:val="24"/>
              </w:rPr>
              <w:t>they are making decisions freely.</w:t>
            </w:r>
            <w:r w:rsidRPr="00261CD4">
              <w:rPr>
                <w:sz w:val="24"/>
                <w:szCs w:val="24"/>
              </w:rPr>
              <w:t xml:space="preserve"> It </w:t>
            </w:r>
            <w:r w:rsidR="003F15D6">
              <w:rPr>
                <w:sz w:val="24"/>
                <w:szCs w:val="24"/>
              </w:rPr>
              <w:t>does not allow professionals to remove or detain the adult.</w:t>
            </w:r>
          </w:p>
          <w:p w14:paraId="3D80EC36" w14:textId="77777777" w:rsidR="00261CD4" w:rsidRPr="00261CD4" w:rsidRDefault="00261CD4" w:rsidP="00AF6981">
            <w:pPr>
              <w:spacing w:line="360" w:lineRule="auto"/>
              <w:jc w:val="both"/>
              <w:rPr>
                <w:sz w:val="24"/>
                <w:szCs w:val="24"/>
              </w:rPr>
            </w:pPr>
          </w:p>
          <w:p w14:paraId="5A18B80A" w14:textId="77777777" w:rsidR="00FC0334" w:rsidRDefault="00664108" w:rsidP="00AF6981">
            <w:pPr>
              <w:spacing w:line="360" w:lineRule="auto"/>
              <w:jc w:val="both"/>
              <w:rPr>
                <w:sz w:val="24"/>
                <w:szCs w:val="24"/>
              </w:rPr>
            </w:pPr>
            <w:r>
              <w:rPr>
                <w:sz w:val="24"/>
                <w:szCs w:val="24"/>
              </w:rPr>
              <w:t>The 2014 Act also focuses on well-being, voice and control, prevention and working with people rather than doing things to them. This means adult safeguarding is not just about removing risk. It is about understanding what matters to the adult, what outcomes they want, and whether any action is needed. Any response should be proportionate and should not restrict the adult more than necessary.</w:t>
            </w:r>
          </w:p>
          <w:p w14:paraId="16EA363A" w14:textId="77777777" w:rsidR="00261CD4" w:rsidRPr="00261CD4" w:rsidRDefault="00261CD4" w:rsidP="00AF6981">
            <w:pPr>
              <w:spacing w:line="360" w:lineRule="auto"/>
              <w:jc w:val="both"/>
              <w:rPr>
                <w:sz w:val="24"/>
                <w:szCs w:val="24"/>
              </w:rPr>
            </w:pPr>
          </w:p>
          <w:p w14:paraId="46C1396D" w14:textId="77777777" w:rsidR="00FC0334" w:rsidRDefault="006D29F7" w:rsidP="00AF6981">
            <w:pPr>
              <w:spacing w:line="360" w:lineRule="auto"/>
              <w:jc w:val="both"/>
              <w:rPr>
                <w:sz w:val="24"/>
                <w:szCs w:val="24"/>
              </w:rPr>
            </w:pPr>
            <w:r w:rsidRPr="00261CD4">
              <w:rPr>
                <w:sz w:val="24"/>
                <w:szCs w:val="24"/>
              </w:rPr>
              <w:t xml:space="preserve">The Mental Capacity Act 2005 </w:t>
            </w:r>
            <w:r w:rsidR="007A7127">
              <w:rPr>
                <w:sz w:val="24"/>
                <w:szCs w:val="24"/>
              </w:rPr>
              <w:t>is also important. It says that adults should be assumed to have capacity unless there is evidence that they do not.</w:t>
            </w:r>
            <w:r w:rsidRPr="00261CD4">
              <w:rPr>
                <w:sz w:val="24"/>
                <w:szCs w:val="24"/>
              </w:rPr>
              <w:t xml:space="preserve"> Capacity is </w:t>
            </w:r>
            <w:r w:rsidR="007A7127">
              <w:rPr>
                <w:sz w:val="24"/>
                <w:szCs w:val="24"/>
              </w:rPr>
              <w:t xml:space="preserve">about a </w:t>
            </w:r>
            <w:r w:rsidRPr="00261CD4">
              <w:rPr>
                <w:sz w:val="24"/>
                <w:szCs w:val="24"/>
              </w:rPr>
              <w:t xml:space="preserve">specific </w:t>
            </w:r>
            <w:r w:rsidR="007A7127">
              <w:rPr>
                <w:sz w:val="24"/>
                <w:szCs w:val="24"/>
              </w:rPr>
              <w:t xml:space="preserve">decision at a </w:t>
            </w:r>
            <w:r w:rsidRPr="00261CD4">
              <w:rPr>
                <w:sz w:val="24"/>
                <w:szCs w:val="24"/>
              </w:rPr>
              <w:t>specific</w:t>
            </w:r>
            <w:r w:rsidR="007A7127">
              <w:rPr>
                <w:sz w:val="24"/>
                <w:szCs w:val="24"/>
              </w:rPr>
              <w:t xml:space="preserve"> time.</w:t>
            </w:r>
            <w:r w:rsidRPr="00261CD4">
              <w:rPr>
                <w:sz w:val="24"/>
                <w:szCs w:val="24"/>
              </w:rPr>
              <w:t xml:space="preserve"> A person </w:t>
            </w:r>
            <w:r w:rsidR="007A7127">
              <w:rPr>
                <w:sz w:val="24"/>
                <w:szCs w:val="24"/>
              </w:rPr>
              <w:t>should be supported to make their own decision and should not be seen as lacking capacity just because professionals think their decision is unwise. If they lack</w:t>
            </w:r>
            <w:r w:rsidRPr="00261CD4">
              <w:rPr>
                <w:sz w:val="24"/>
                <w:szCs w:val="24"/>
              </w:rPr>
              <w:t xml:space="preserve"> capacity</w:t>
            </w:r>
            <w:r w:rsidR="007A7127">
              <w:rPr>
                <w:sz w:val="24"/>
                <w:szCs w:val="24"/>
              </w:rPr>
              <w:t>,</w:t>
            </w:r>
            <w:r w:rsidRPr="00261CD4">
              <w:rPr>
                <w:sz w:val="24"/>
                <w:szCs w:val="24"/>
              </w:rPr>
              <w:t xml:space="preserve"> decisions must be </w:t>
            </w:r>
            <w:r w:rsidR="007A7127">
              <w:rPr>
                <w:sz w:val="24"/>
                <w:szCs w:val="24"/>
              </w:rPr>
              <w:t>made in their</w:t>
            </w:r>
            <w:r w:rsidRPr="00261CD4">
              <w:rPr>
                <w:sz w:val="24"/>
                <w:szCs w:val="24"/>
              </w:rPr>
              <w:t xml:space="preserve"> best interests and </w:t>
            </w:r>
            <w:r w:rsidR="007A7127">
              <w:rPr>
                <w:sz w:val="24"/>
                <w:szCs w:val="24"/>
              </w:rPr>
              <w:t xml:space="preserve">in the </w:t>
            </w:r>
            <w:r w:rsidRPr="00261CD4">
              <w:rPr>
                <w:sz w:val="24"/>
                <w:szCs w:val="24"/>
              </w:rPr>
              <w:t xml:space="preserve">least restrictive </w:t>
            </w:r>
            <w:r w:rsidR="007A7127">
              <w:rPr>
                <w:sz w:val="24"/>
                <w:szCs w:val="24"/>
              </w:rPr>
              <w:t>way.</w:t>
            </w:r>
            <w:r w:rsidRPr="00261CD4">
              <w:rPr>
                <w:sz w:val="24"/>
                <w:szCs w:val="24"/>
              </w:rPr>
              <w:t xml:space="preserve"> The Human Rights Act 1998 is also relevant</w:t>
            </w:r>
            <w:r w:rsidR="007A7127">
              <w:rPr>
                <w:sz w:val="24"/>
                <w:szCs w:val="24"/>
              </w:rPr>
              <w:t xml:space="preserve"> because safeguarding must respect rights to </w:t>
            </w:r>
            <w:r w:rsidRPr="00261CD4">
              <w:rPr>
                <w:sz w:val="24"/>
                <w:szCs w:val="24"/>
              </w:rPr>
              <w:t xml:space="preserve">life, liberty, </w:t>
            </w:r>
            <w:r w:rsidR="007A7127">
              <w:rPr>
                <w:sz w:val="24"/>
                <w:szCs w:val="24"/>
              </w:rPr>
              <w:t xml:space="preserve">dignity and </w:t>
            </w:r>
            <w:r w:rsidRPr="00261CD4">
              <w:rPr>
                <w:sz w:val="24"/>
                <w:szCs w:val="24"/>
              </w:rPr>
              <w:t>private and family life</w:t>
            </w:r>
            <w:r w:rsidR="007A7127">
              <w:rPr>
                <w:sz w:val="24"/>
                <w:szCs w:val="24"/>
              </w:rPr>
              <w:t>.</w:t>
            </w:r>
            <w:r w:rsidRPr="00261CD4">
              <w:rPr>
                <w:sz w:val="24"/>
                <w:szCs w:val="24"/>
              </w:rPr>
              <w:t xml:space="preserve"> The Violence against Women, Domestic Abuse and Sexual Violence (Wales) Act 2015 </w:t>
            </w:r>
            <w:r w:rsidR="007A7127">
              <w:rPr>
                <w:sz w:val="24"/>
                <w:szCs w:val="24"/>
              </w:rPr>
              <w:t>supports</w:t>
            </w:r>
            <w:r w:rsidRPr="00261CD4">
              <w:rPr>
                <w:sz w:val="24"/>
                <w:szCs w:val="24"/>
              </w:rPr>
              <w:t xml:space="preserve"> prevention, protection and support </w:t>
            </w:r>
            <w:r w:rsidR="007A7127">
              <w:rPr>
                <w:sz w:val="24"/>
                <w:szCs w:val="24"/>
              </w:rPr>
              <w:t>around</w:t>
            </w:r>
            <w:r w:rsidRPr="00261CD4">
              <w:rPr>
                <w:sz w:val="24"/>
                <w:szCs w:val="24"/>
              </w:rPr>
              <w:t xml:space="preserve"> domestic abuse and sexual violence.</w:t>
            </w:r>
          </w:p>
          <w:p w14:paraId="51141FEF" w14:textId="77777777" w:rsidR="00261CD4" w:rsidRPr="00261CD4" w:rsidRDefault="00261CD4" w:rsidP="00AF6981">
            <w:pPr>
              <w:spacing w:line="360" w:lineRule="auto"/>
              <w:jc w:val="both"/>
              <w:rPr>
                <w:sz w:val="24"/>
                <w:szCs w:val="24"/>
              </w:rPr>
            </w:pPr>
          </w:p>
          <w:p w14:paraId="046E421C" w14:textId="5A8C0B5E" w:rsidR="00FC0334" w:rsidRDefault="007D3CD0" w:rsidP="00AF6981">
            <w:pPr>
              <w:spacing w:line="360" w:lineRule="auto"/>
              <w:jc w:val="both"/>
              <w:rPr>
                <w:sz w:val="24"/>
                <w:szCs w:val="24"/>
              </w:rPr>
            </w:pPr>
            <w:r>
              <w:rPr>
                <w:sz w:val="24"/>
                <w:szCs w:val="24"/>
              </w:rPr>
              <w:t>National guidance also supports adult safeguarding practice.</w:t>
            </w:r>
            <w:r w:rsidR="006D29F7" w:rsidRPr="00261CD4">
              <w:rPr>
                <w:sz w:val="24"/>
                <w:szCs w:val="24"/>
              </w:rPr>
              <w:t xml:space="preserve"> Working Together to Safeguard People: Volume 6 </w:t>
            </w:r>
            <w:r>
              <w:rPr>
                <w:sz w:val="24"/>
                <w:szCs w:val="24"/>
              </w:rPr>
              <w:t>explains how</w:t>
            </w:r>
            <w:r w:rsidR="006D29F7" w:rsidRPr="00261CD4">
              <w:rPr>
                <w:sz w:val="24"/>
                <w:szCs w:val="24"/>
              </w:rPr>
              <w:t xml:space="preserve"> concerns</w:t>
            </w:r>
            <w:r>
              <w:rPr>
                <w:sz w:val="24"/>
                <w:szCs w:val="24"/>
              </w:rPr>
              <w:t xml:space="preserve"> should be reported, how</w:t>
            </w:r>
            <w:r w:rsidR="006D29F7" w:rsidRPr="00261CD4">
              <w:rPr>
                <w:sz w:val="24"/>
                <w:szCs w:val="24"/>
              </w:rPr>
              <w:t xml:space="preserve"> enquiries</w:t>
            </w:r>
            <w:r>
              <w:rPr>
                <w:sz w:val="24"/>
                <w:szCs w:val="24"/>
              </w:rPr>
              <w:t xml:space="preserve"> should be carried out,</w:t>
            </w:r>
            <w:r w:rsidR="006D29F7" w:rsidRPr="00261CD4">
              <w:rPr>
                <w:sz w:val="24"/>
                <w:szCs w:val="24"/>
              </w:rPr>
              <w:t xml:space="preserve"> and </w:t>
            </w:r>
            <w:r>
              <w:rPr>
                <w:sz w:val="24"/>
                <w:szCs w:val="24"/>
              </w:rPr>
              <w:t>how agencies should work together.</w:t>
            </w:r>
            <w:r w:rsidR="006D29F7" w:rsidRPr="00261CD4">
              <w:rPr>
                <w:sz w:val="24"/>
                <w:szCs w:val="24"/>
              </w:rPr>
              <w:t xml:space="preserve"> The </w:t>
            </w:r>
            <w:r w:rsidR="00C5598F">
              <w:rPr>
                <w:sz w:val="24"/>
                <w:szCs w:val="24"/>
              </w:rPr>
              <w:t xml:space="preserve">All </w:t>
            </w:r>
            <w:r w:rsidR="006D29F7" w:rsidRPr="00261CD4">
              <w:rPr>
                <w:sz w:val="24"/>
                <w:szCs w:val="24"/>
              </w:rPr>
              <w:t>Wales Safeguarding Procedures</w:t>
            </w:r>
            <w:r w:rsidR="00C5598F">
              <w:rPr>
                <w:sz w:val="24"/>
                <w:szCs w:val="24"/>
              </w:rPr>
              <w:t xml:space="preserve"> (2019)</w:t>
            </w:r>
            <w:r w:rsidR="006D29F7" w:rsidRPr="00261CD4">
              <w:rPr>
                <w:sz w:val="24"/>
                <w:szCs w:val="24"/>
              </w:rPr>
              <w:t xml:space="preserve"> </w:t>
            </w:r>
            <w:r>
              <w:rPr>
                <w:sz w:val="24"/>
                <w:szCs w:val="24"/>
              </w:rPr>
              <w:t>give practitioners a clear framework for safeguarding adults and children across Wales. They help make sure that professionals understand their responsibilities and follow consistent processes.</w:t>
            </w:r>
          </w:p>
          <w:p w14:paraId="5CADA2AD" w14:textId="77777777" w:rsidR="00261CD4" w:rsidRPr="00261CD4" w:rsidRDefault="00261CD4" w:rsidP="00AF6981">
            <w:pPr>
              <w:spacing w:line="360" w:lineRule="auto"/>
              <w:jc w:val="both"/>
              <w:rPr>
                <w:sz w:val="24"/>
                <w:szCs w:val="24"/>
              </w:rPr>
            </w:pPr>
          </w:p>
          <w:p w14:paraId="08EA73A9" w14:textId="733EE13C" w:rsidR="00FC7A14" w:rsidRDefault="006D29F7" w:rsidP="00AF6981">
            <w:pPr>
              <w:spacing w:line="360" w:lineRule="auto"/>
              <w:jc w:val="both"/>
              <w:rPr>
                <w:sz w:val="24"/>
                <w:szCs w:val="24"/>
              </w:rPr>
            </w:pPr>
            <w:r w:rsidRPr="00261CD4">
              <w:rPr>
                <w:sz w:val="24"/>
                <w:szCs w:val="24"/>
              </w:rPr>
              <w:t xml:space="preserve">Locally, the Safeguarding Board supports safeguarding </w:t>
            </w:r>
            <w:r w:rsidR="007778D4">
              <w:rPr>
                <w:sz w:val="24"/>
                <w:szCs w:val="24"/>
              </w:rPr>
              <w:t xml:space="preserve">work </w:t>
            </w:r>
            <w:r w:rsidRPr="00261CD4">
              <w:rPr>
                <w:sz w:val="24"/>
                <w:szCs w:val="24"/>
              </w:rPr>
              <w:t xml:space="preserve">across </w:t>
            </w:r>
            <w:r w:rsidR="00FC7A14">
              <w:rPr>
                <w:sz w:val="24"/>
                <w:szCs w:val="24"/>
              </w:rPr>
              <w:t>the area in which I work</w:t>
            </w:r>
            <w:r w:rsidRPr="00261CD4">
              <w:rPr>
                <w:sz w:val="24"/>
                <w:szCs w:val="24"/>
              </w:rPr>
              <w:t xml:space="preserve">. It </w:t>
            </w:r>
            <w:r w:rsidR="007778D4">
              <w:rPr>
                <w:sz w:val="24"/>
                <w:szCs w:val="24"/>
              </w:rPr>
              <w:t>helps</w:t>
            </w:r>
            <w:r w:rsidRPr="00261CD4">
              <w:rPr>
                <w:sz w:val="24"/>
                <w:szCs w:val="24"/>
              </w:rPr>
              <w:t xml:space="preserve"> agencies </w:t>
            </w:r>
            <w:r w:rsidR="007778D4">
              <w:rPr>
                <w:sz w:val="24"/>
                <w:szCs w:val="24"/>
              </w:rPr>
              <w:t>work together</w:t>
            </w:r>
            <w:r w:rsidRPr="00261CD4">
              <w:rPr>
                <w:sz w:val="24"/>
                <w:szCs w:val="24"/>
              </w:rPr>
              <w:t xml:space="preserve"> to protect </w:t>
            </w:r>
            <w:r w:rsidR="007778D4">
              <w:rPr>
                <w:sz w:val="24"/>
                <w:szCs w:val="24"/>
              </w:rPr>
              <w:t xml:space="preserve">adults and </w:t>
            </w:r>
            <w:r w:rsidRPr="00261CD4">
              <w:rPr>
                <w:sz w:val="24"/>
                <w:szCs w:val="24"/>
              </w:rPr>
              <w:t>children from abuse and neglect. Organisationally, the Corporate Safeguarding Policy</w:t>
            </w:r>
            <w:r w:rsidR="00FC7A14">
              <w:rPr>
                <w:sz w:val="24"/>
                <w:szCs w:val="24"/>
              </w:rPr>
              <w:t xml:space="preserve"> </w:t>
            </w:r>
            <w:r w:rsidRPr="00261CD4">
              <w:rPr>
                <w:sz w:val="24"/>
                <w:szCs w:val="24"/>
              </w:rPr>
              <w:t xml:space="preserve">2025 </w:t>
            </w:r>
            <w:r w:rsidR="007778D4">
              <w:rPr>
                <w:sz w:val="24"/>
                <w:szCs w:val="24"/>
              </w:rPr>
              <w:t>states</w:t>
            </w:r>
            <w:r w:rsidRPr="00261CD4">
              <w:rPr>
                <w:sz w:val="24"/>
                <w:szCs w:val="24"/>
              </w:rPr>
              <w:t xml:space="preserve"> that safeguarding is everyone’s responsibility</w:t>
            </w:r>
            <w:r w:rsidR="007778D4">
              <w:rPr>
                <w:sz w:val="24"/>
                <w:szCs w:val="24"/>
              </w:rPr>
              <w:t>. It includes expectations around</w:t>
            </w:r>
            <w:r w:rsidRPr="00261CD4">
              <w:rPr>
                <w:sz w:val="24"/>
                <w:szCs w:val="24"/>
              </w:rPr>
              <w:t xml:space="preserve"> governance, training, leadership, safer recruitment, reporting </w:t>
            </w:r>
            <w:r w:rsidR="007778D4">
              <w:rPr>
                <w:sz w:val="24"/>
                <w:szCs w:val="24"/>
              </w:rPr>
              <w:t xml:space="preserve">concerns </w:t>
            </w:r>
            <w:r w:rsidRPr="00261CD4">
              <w:rPr>
                <w:sz w:val="24"/>
                <w:szCs w:val="24"/>
              </w:rPr>
              <w:t>and whistleblowing</w:t>
            </w:r>
            <w:r w:rsidR="007778D4">
              <w:rPr>
                <w:sz w:val="24"/>
                <w:szCs w:val="24"/>
              </w:rPr>
              <w:t>. Overall,</w:t>
            </w:r>
            <w:r w:rsidRPr="00261CD4">
              <w:rPr>
                <w:sz w:val="24"/>
                <w:szCs w:val="24"/>
              </w:rPr>
              <w:t xml:space="preserve"> this </w:t>
            </w:r>
            <w:r w:rsidR="007778D4">
              <w:rPr>
                <w:sz w:val="24"/>
                <w:szCs w:val="24"/>
              </w:rPr>
              <w:t>has helped me understand</w:t>
            </w:r>
            <w:r w:rsidRPr="00261CD4">
              <w:rPr>
                <w:sz w:val="24"/>
                <w:szCs w:val="24"/>
              </w:rPr>
              <w:t xml:space="preserve"> that adult safeguarding </w:t>
            </w:r>
            <w:r w:rsidR="007778D4">
              <w:rPr>
                <w:sz w:val="24"/>
                <w:szCs w:val="24"/>
              </w:rPr>
              <w:t>needs clear knowledge of the law</w:t>
            </w:r>
            <w:r w:rsidRPr="00261CD4">
              <w:rPr>
                <w:sz w:val="24"/>
                <w:szCs w:val="24"/>
              </w:rPr>
              <w:t>, professional curiosity</w:t>
            </w:r>
            <w:r w:rsidR="007778D4">
              <w:rPr>
                <w:sz w:val="24"/>
                <w:szCs w:val="24"/>
              </w:rPr>
              <w:t>, good multi-agency working and respect for</w:t>
            </w:r>
            <w:r w:rsidRPr="00261CD4">
              <w:rPr>
                <w:sz w:val="24"/>
                <w:szCs w:val="24"/>
              </w:rPr>
              <w:t xml:space="preserve"> the adult’s voice, rights and dignity.</w:t>
            </w:r>
            <w:r w:rsidR="00FC7A14">
              <w:rPr>
                <w:sz w:val="24"/>
                <w:szCs w:val="24"/>
              </w:rPr>
              <w:br/>
            </w:r>
            <w:r w:rsidR="00FC7A14">
              <w:rPr>
                <w:sz w:val="24"/>
                <w:szCs w:val="24"/>
              </w:rPr>
              <w:br/>
            </w:r>
            <w:r w:rsidR="00FC7A14" w:rsidRPr="00FC7A14">
              <w:rPr>
                <w:sz w:val="24"/>
                <w:szCs w:val="24"/>
              </w:rPr>
              <w:t>In conclusion, adult safeguarding in Wales is underpinned by strong legislation and policy that promotes the rights, wellbeing, and protection of vulnerable adults. The Social Services and Well-being (Wales) Act 2014, together with national and local procedures, provides a clear framework for practice. Ongoing training, multi-agency working, and reflective practice remain essential to ensuring safeguarding is effective and responsive.</w:t>
            </w:r>
          </w:p>
          <w:p w14:paraId="0C4774D9" w14:textId="62C1BC8A" w:rsidR="00261CD4" w:rsidRPr="00261CD4" w:rsidRDefault="000F4142" w:rsidP="00AF6981">
            <w:pPr>
              <w:spacing w:line="360" w:lineRule="auto"/>
              <w:jc w:val="both"/>
              <w:rPr>
                <w:sz w:val="24"/>
                <w:szCs w:val="24"/>
              </w:rPr>
            </w:pPr>
            <w:r>
              <w:rPr>
                <w:sz w:val="24"/>
                <w:szCs w:val="24"/>
              </w:rPr>
              <w:lastRenderedPageBreak/>
              <w:br/>
            </w:r>
          </w:p>
          <w:p w14:paraId="3B3703CC" w14:textId="3D487126" w:rsidR="00FC0334" w:rsidRDefault="00FC7A14" w:rsidP="00AF6981">
            <w:pPr>
              <w:spacing w:line="360" w:lineRule="auto"/>
              <w:jc w:val="both"/>
              <w:rPr>
                <w:sz w:val="24"/>
                <w:szCs w:val="24"/>
              </w:rPr>
            </w:pPr>
            <w:r>
              <w:rPr>
                <w:sz w:val="24"/>
                <w:szCs w:val="24"/>
              </w:rPr>
              <w:t>544</w:t>
            </w:r>
            <w:r w:rsidR="006D29F7" w:rsidRPr="00261CD4">
              <w:rPr>
                <w:sz w:val="24"/>
                <w:szCs w:val="24"/>
              </w:rPr>
              <w:t xml:space="preserve"> words</w:t>
            </w:r>
            <w:r w:rsidR="002A1B93">
              <w:rPr>
                <w:sz w:val="24"/>
                <w:szCs w:val="24"/>
              </w:rPr>
              <w:t>.</w:t>
            </w:r>
          </w:p>
          <w:p w14:paraId="774095BD" w14:textId="77777777" w:rsidR="00FC0334" w:rsidRPr="006108C9" w:rsidRDefault="00FC0334" w:rsidP="00AF6981">
            <w:pPr>
              <w:spacing w:line="360" w:lineRule="auto"/>
              <w:jc w:val="both"/>
              <w:rPr>
                <w:sz w:val="24"/>
                <w:szCs w:val="24"/>
              </w:rPr>
            </w:pPr>
          </w:p>
          <w:p w14:paraId="4FF8EBF3" w14:textId="77777777" w:rsidR="005A545C" w:rsidRDefault="005414F4" w:rsidP="00AF6981">
            <w:pPr>
              <w:spacing w:line="360" w:lineRule="auto"/>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AF6981">
            <w:pPr>
              <w:spacing w:line="360" w:lineRule="auto"/>
              <w:jc w:val="both"/>
              <w:rPr>
                <w:b/>
                <w:sz w:val="24"/>
                <w:szCs w:val="24"/>
              </w:rPr>
            </w:pPr>
          </w:p>
        </w:tc>
      </w:tr>
    </w:tbl>
    <w:p w14:paraId="37E9CF73" w14:textId="77777777" w:rsidR="00AA666E" w:rsidRPr="008B28E7" w:rsidRDefault="00AA666E" w:rsidP="00AF6981">
      <w:pPr>
        <w:spacing w:line="360" w:lineRule="auto"/>
        <w:jc w:val="both"/>
        <w:rPr>
          <w:sz w:val="24"/>
          <w:szCs w:val="24"/>
        </w:rPr>
      </w:pPr>
    </w:p>
    <w:p w14:paraId="1FC83FC7" w14:textId="77777777" w:rsidR="00AA666E" w:rsidRPr="008B28E7" w:rsidRDefault="00AA666E" w:rsidP="00AF6981">
      <w:pPr>
        <w:spacing w:line="360" w:lineRule="auto"/>
        <w:jc w:val="both"/>
        <w:rPr>
          <w:sz w:val="24"/>
          <w:szCs w:val="24"/>
        </w:rPr>
      </w:pPr>
    </w:p>
    <w:p w14:paraId="60437654" w14:textId="0C365981" w:rsidR="00AA666E" w:rsidRDefault="0046360D" w:rsidP="00AF6981">
      <w:pPr>
        <w:spacing w:line="360" w:lineRule="auto"/>
        <w:jc w:val="both"/>
        <w:rPr>
          <w:sz w:val="24"/>
          <w:szCs w:val="24"/>
        </w:rPr>
      </w:pPr>
      <w:r>
        <w:rPr>
          <w:sz w:val="24"/>
          <w:szCs w:val="24"/>
        </w:rPr>
        <w:br/>
      </w: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2A1B93">
        <w:tc>
          <w:tcPr>
            <w:tcW w:w="10070" w:type="dxa"/>
          </w:tcPr>
          <w:p w14:paraId="46BB5BF3" w14:textId="4AE7ABAB" w:rsidR="0046360D" w:rsidRDefault="0046360D" w:rsidP="00AF6981">
            <w:pPr>
              <w:spacing w:line="360" w:lineRule="auto"/>
              <w:jc w:val="both"/>
              <w:rPr>
                <w:b/>
                <w:sz w:val="24"/>
                <w:szCs w:val="24"/>
              </w:rPr>
            </w:pPr>
          </w:p>
          <w:p w14:paraId="67E7ED72" w14:textId="4EEA8D93" w:rsidR="00FC0334" w:rsidRPr="00AF6981" w:rsidRDefault="00FC0334" w:rsidP="00AF6981">
            <w:pPr>
              <w:spacing w:line="360" w:lineRule="auto"/>
              <w:jc w:val="both"/>
              <w:rPr>
                <w:i/>
                <w:iCs/>
                <w:sz w:val="24"/>
                <w:szCs w:val="24"/>
              </w:rPr>
            </w:pPr>
            <w:r w:rsidRPr="00EB695F">
              <w:rPr>
                <w:b/>
                <w:sz w:val="24"/>
                <w:szCs w:val="24"/>
              </w:rPr>
              <w:t>Question</w:t>
            </w:r>
            <w:r>
              <w:rPr>
                <w:b/>
                <w:sz w:val="24"/>
                <w:szCs w:val="24"/>
              </w:rPr>
              <w:t xml:space="preserve"> b</w:t>
            </w:r>
            <w:r w:rsidRPr="00EB695F">
              <w:rPr>
                <w:b/>
                <w:sz w:val="24"/>
                <w:szCs w:val="24"/>
              </w:rPr>
              <w:t>:</w:t>
            </w:r>
            <w:r w:rsidR="00AF6981">
              <w:rPr>
                <w:b/>
                <w:sz w:val="24"/>
                <w:szCs w:val="24"/>
              </w:rPr>
              <w:br/>
            </w:r>
            <w:r w:rsidR="00AF6981" w:rsidRPr="00AF6981">
              <w:rPr>
                <w:b/>
                <w:i/>
                <w:iCs/>
                <w:sz w:val="24"/>
                <w:szCs w:val="24"/>
              </w:rPr>
              <w:br/>
            </w:r>
            <w:r w:rsidR="00AF6981" w:rsidRPr="00AF6981">
              <w:rPr>
                <w:i/>
                <w:iCs/>
              </w:rPr>
              <w:t xml:space="preserve"> </w:t>
            </w:r>
            <w:r w:rsidR="00AF6981" w:rsidRPr="00AF6981">
              <w:rPr>
                <w:i/>
                <w:iCs/>
                <w:sz w:val="24"/>
                <w:szCs w:val="24"/>
              </w:rPr>
              <w:t>Reflect on the Difference Between Safeguarding in Adults’ and Children’s Work:</w:t>
            </w:r>
          </w:p>
          <w:p w14:paraId="04285720" w14:textId="77777777" w:rsidR="00FC0334" w:rsidRDefault="00FC0334" w:rsidP="00AF6981">
            <w:pPr>
              <w:spacing w:line="360" w:lineRule="auto"/>
              <w:jc w:val="both"/>
              <w:rPr>
                <w:sz w:val="24"/>
                <w:szCs w:val="24"/>
              </w:rPr>
            </w:pPr>
          </w:p>
          <w:p w14:paraId="701A80F3" w14:textId="77777777" w:rsidR="00FC7A14" w:rsidRPr="00FC7A14" w:rsidRDefault="00FC7A14" w:rsidP="00AF6981">
            <w:pPr>
              <w:spacing w:line="360" w:lineRule="auto"/>
              <w:jc w:val="both"/>
              <w:rPr>
                <w:sz w:val="24"/>
                <w:szCs w:val="24"/>
              </w:rPr>
            </w:pPr>
            <w:r w:rsidRPr="00FC7A14">
              <w:rPr>
                <w:sz w:val="24"/>
                <w:szCs w:val="24"/>
              </w:rPr>
              <w:t>Reflecting on adult safeguarding has highlighted both similarities and differences between adult and children’s safeguarding. Both involve recognising abuse and neglect, exercising professional curiosity, sharing information appropriately, working with other agencies, and developing proportionate plans. In Wales, both are supported by the Social Services and Well-being (Wales) Act 2014 and the Wales Safeguarding Procedures (2019). However, the legal thresholds and decision-making processes differ significantly.</w:t>
            </w:r>
          </w:p>
          <w:p w14:paraId="43D1E370" w14:textId="77777777" w:rsidR="00FC7A14" w:rsidRPr="00FC7A14" w:rsidRDefault="00FC7A14" w:rsidP="00AF6981">
            <w:pPr>
              <w:spacing w:line="360" w:lineRule="auto"/>
              <w:jc w:val="both"/>
              <w:rPr>
                <w:sz w:val="24"/>
                <w:szCs w:val="24"/>
              </w:rPr>
            </w:pPr>
          </w:p>
          <w:p w14:paraId="660F0E96" w14:textId="77777777" w:rsidR="00FC7A14" w:rsidRPr="00FC7A14" w:rsidRDefault="00FC7A14" w:rsidP="00AF6981">
            <w:pPr>
              <w:spacing w:line="360" w:lineRule="auto"/>
              <w:jc w:val="both"/>
              <w:rPr>
                <w:sz w:val="24"/>
                <w:szCs w:val="24"/>
              </w:rPr>
            </w:pPr>
            <w:r w:rsidRPr="00FC7A14">
              <w:rPr>
                <w:sz w:val="24"/>
                <w:szCs w:val="24"/>
              </w:rPr>
              <w:t>In children’s safeguarding, I consider whether there is reasonable cause to believe a child is suffering, or is likely to suffer, significant harm. The child’s welfare is paramount, meaning protective action can be taken even where parents disagree if the legal threshold is met. Children should be listened to and involved in decisions according to their age, understanding, and communication needs, but adults and statutory agencies retain primary responsibility for keeping them safe.</w:t>
            </w:r>
          </w:p>
          <w:p w14:paraId="6AAF7498" w14:textId="77777777" w:rsidR="00FC7A14" w:rsidRPr="00FC7A14" w:rsidRDefault="00FC7A14" w:rsidP="00AF6981">
            <w:pPr>
              <w:spacing w:line="360" w:lineRule="auto"/>
              <w:jc w:val="both"/>
              <w:rPr>
                <w:sz w:val="24"/>
                <w:szCs w:val="24"/>
              </w:rPr>
            </w:pPr>
          </w:p>
          <w:p w14:paraId="6818DED5" w14:textId="77777777" w:rsidR="00FC7A14" w:rsidRPr="00FC7A14" w:rsidRDefault="00FC7A14" w:rsidP="00AF6981">
            <w:pPr>
              <w:spacing w:line="360" w:lineRule="auto"/>
              <w:jc w:val="both"/>
              <w:rPr>
                <w:sz w:val="24"/>
                <w:szCs w:val="24"/>
              </w:rPr>
            </w:pPr>
            <w:r w:rsidRPr="00FC7A14">
              <w:rPr>
                <w:sz w:val="24"/>
                <w:szCs w:val="24"/>
              </w:rPr>
              <w:t xml:space="preserve">Adult safeguarding begins from a different position. If an adult has mental capacity, they generally have the right to make their own decisions, even where professionals believe those </w:t>
            </w:r>
            <w:r w:rsidRPr="00FC7A14">
              <w:rPr>
                <w:sz w:val="24"/>
                <w:szCs w:val="24"/>
              </w:rPr>
              <w:lastRenderedPageBreak/>
              <w:t>decisions place them at risk. The Mental Capacity Act 2005 reminds practitioners not to assume someone lacks capacity because of a disability, diagnosis, communication difficulty, or because they make an unwise decision. Capacity must be assessed in relation to the specific decision at the relevant time, with support offered to maximise the person’s ability to decide for themselves.</w:t>
            </w:r>
          </w:p>
          <w:p w14:paraId="1D2975A3" w14:textId="77777777" w:rsidR="00FC7A14" w:rsidRPr="00FC7A14" w:rsidRDefault="00FC7A14" w:rsidP="00AF6981">
            <w:pPr>
              <w:spacing w:line="360" w:lineRule="auto"/>
              <w:jc w:val="both"/>
              <w:rPr>
                <w:sz w:val="24"/>
                <w:szCs w:val="24"/>
              </w:rPr>
            </w:pPr>
          </w:p>
          <w:p w14:paraId="5A92A30A" w14:textId="77777777" w:rsidR="00FC7A14" w:rsidRPr="00FC7A14" w:rsidRDefault="00FC7A14" w:rsidP="00AF6981">
            <w:pPr>
              <w:spacing w:line="360" w:lineRule="auto"/>
              <w:jc w:val="both"/>
              <w:rPr>
                <w:sz w:val="24"/>
                <w:szCs w:val="24"/>
              </w:rPr>
            </w:pPr>
            <w:r w:rsidRPr="00FC7A14">
              <w:rPr>
                <w:sz w:val="24"/>
                <w:szCs w:val="24"/>
              </w:rPr>
              <w:t>This has encouraged me to think carefully about the balance between protection and autonomy. Safeguarding adults should not involve removing control from individuals simply because professionals are concerned. Equally, respecting choice does not mean ignoring risk. Practitioners must remain alert to issues such as coercion, domestic abuse, controlling behaviour, and situations where a person may be unable to protect themselves. Where capacity is lacking, decisions must be made in the person’s best interests and in the least restrictive way possible.</w:t>
            </w:r>
          </w:p>
          <w:p w14:paraId="468592A5" w14:textId="77777777" w:rsidR="00FC7A14" w:rsidRPr="00FC7A14" w:rsidRDefault="00FC7A14" w:rsidP="00AF6981">
            <w:pPr>
              <w:spacing w:line="360" w:lineRule="auto"/>
              <w:jc w:val="both"/>
              <w:rPr>
                <w:sz w:val="24"/>
                <w:szCs w:val="24"/>
              </w:rPr>
            </w:pPr>
          </w:p>
          <w:p w14:paraId="0D579FE2" w14:textId="77777777" w:rsidR="00FC7A14" w:rsidRPr="00FC7A14" w:rsidRDefault="00FC7A14" w:rsidP="00AF6981">
            <w:pPr>
              <w:spacing w:line="360" w:lineRule="auto"/>
              <w:jc w:val="both"/>
              <w:rPr>
                <w:sz w:val="24"/>
                <w:szCs w:val="24"/>
              </w:rPr>
            </w:pPr>
            <w:r w:rsidRPr="00FC7A14">
              <w:rPr>
                <w:sz w:val="24"/>
                <w:szCs w:val="24"/>
              </w:rPr>
              <w:t>The threshold for adult safeguarding is also different. Under section 126 of the Social Services and Well-being (Wales) Act 2014, an adult at risk is someone experiencing, or at risk of, abuse or neglect who has care and support needs that prevent them from protecting themselves. This differs from children’s safeguarding, which focuses on significant harm.</w:t>
            </w:r>
          </w:p>
          <w:p w14:paraId="759D4FB4" w14:textId="77777777" w:rsidR="00FC7A14" w:rsidRPr="00FC7A14" w:rsidRDefault="00FC7A14" w:rsidP="00AF6981">
            <w:pPr>
              <w:spacing w:line="360" w:lineRule="auto"/>
              <w:jc w:val="both"/>
              <w:rPr>
                <w:sz w:val="24"/>
                <w:szCs w:val="24"/>
              </w:rPr>
            </w:pPr>
          </w:p>
          <w:p w14:paraId="1AA3081F" w14:textId="2387B252" w:rsidR="00FC0334" w:rsidRDefault="00FC7A14" w:rsidP="00AF6981">
            <w:pPr>
              <w:spacing w:line="360" w:lineRule="auto"/>
              <w:jc w:val="both"/>
              <w:rPr>
                <w:sz w:val="24"/>
                <w:szCs w:val="24"/>
              </w:rPr>
            </w:pPr>
            <w:r w:rsidRPr="00FC7A14">
              <w:rPr>
                <w:sz w:val="24"/>
                <w:szCs w:val="24"/>
              </w:rPr>
              <w:t>This reflection has reminded me that skills such as risk analysis, chronology work, and multi-agency collaboration are transferable across both areas. However, adult safeguarding requires greater emphasis on mental capacity, consent, advocacy, proportionality, and personal outcomes. Ultimately, effective safeguarding in both adults’ and children’s services involves listening carefully, analysing risk, and taking lawful and proportionate action to promote safety and wellbeing.</w:t>
            </w:r>
            <w:r>
              <w:rPr>
                <w:sz w:val="24"/>
                <w:szCs w:val="24"/>
              </w:rPr>
              <w:br/>
            </w:r>
            <w:r>
              <w:rPr>
                <w:sz w:val="24"/>
                <w:szCs w:val="24"/>
              </w:rPr>
              <w:br/>
              <w:t xml:space="preserve">420 words. </w:t>
            </w:r>
          </w:p>
          <w:p w14:paraId="7B7B4827" w14:textId="77777777" w:rsidR="00FC0334" w:rsidRDefault="00FC0334" w:rsidP="00AF6981">
            <w:pPr>
              <w:spacing w:line="360" w:lineRule="auto"/>
              <w:jc w:val="both"/>
              <w:rPr>
                <w:sz w:val="24"/>
                <w:szCs w:val="24"/>
              </w:rPr>
            </w:pPr>
          </w:p>
          <w:p w14:paraId="438BF787" w14:textId="77777777" w:rsidR="00FC0334" w:rsidRPr="006108C9" w:rsidRDefault="00FC0334" w:rsidP="00AF6981">
            <w:pPr>
              <w:spacing w:line="360" w:lineRule="auto"/>
              <w:jc w:val="both"/>
              <w:rPr>
                <w:sz w:val="24"/>
                <w:szCs w:val="24"/>
              </w:rPr>
            </w:pPr>
          </w:p>
          <w:p w14:paraId="6BA3DD84" w14:textId="0013357A" w:rsidR="00FC0334" w:rsidRDefault="00FC0334" w:rsidP="00AF6981">
            <w:pPr>
              <w:spacing w:line="360" w:lineRule="auto"/>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AF6981">
            <w:pPr>
              <w:spacing w:line="360" w:lineRule="auto"/>
              <w:jc w:val="both"/>
              <w:rPr>
                <w:sz w:val="24"/>
                <w:szCs w:val="24"/>
              </w:rPr>
            </w:pPr>
          </w:p>
        </w:tc>
      </w:tr>
    </w:tbl>
    <w:p w14:paraId="76FCF233" w14:textId="37229901" w:rsidR="00FC0334" w:rsidRDefault="00FC0334" w:rsidP="001432B3">
      <w:pPr>
        <w:rPr>
          <w:sz w:val="24"/>
          <w:szCs w:val="24"/>
        </w:rPr>
      </w:pPr>
    </w:p>
    <w:sectPr w:rsidR="00FC0334"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0754C" w14:textId="77777777" w:rsidR="004A7F64" w:rsidRDefault="004A7F64">
      <w:r>
        <w:separator/>
      </w:r>
    </w:p>
  </w:endnote>
  <w:endnote w:type="continuationSeparator" w:id="0">
    <w:p w14:paraId="050551B3" w14:textId="77777777" w:rsidR="004A7F64" w:rsidRDefault="004A7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9A341" w14:textId="77777777" w:rsidR="00E6171D" w:rsidRDefault="00E617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A52BB" w14:textId="77777777" w:rsidR="00E6171D" w:rsidRDefault="00E61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88F20" w14:textId="77777777" w:rsidR="004A7F64" w:rsidRDefault="004A7F64">
      <w:r>
        <w:separator/>
      </w:r>
    </w:p>
  </w:footnote>
  <w:footnote w:type="continuationSeparator" w:id="0">
    <w:p w14:paraId="7CF85A3E" w14:textId="77777777" w:rsidR="004A7F64" w:rsidRDefault="004A7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2D671" w14:textId="77777777" w:rsidR="00E6171D" w:rsidRDefault="00E617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C897C" w14:textId="77777777" w:rsidR="00E6171D" w:rsidRDefault="00E61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142"/>
    <w:rsid w:val="000F42AE"/>
    <w:rsid w:val="000F6196"/>
    <w:rsid w:val="000F6BC3"/>
    <w:rsid w:val="0010312C"/>
    <w:rsid w:val="0010401B"/>
    <w:rsid w:val="00105026"/>
    <w:rsid w:val="0010662B"/>
    <w:rsid w:val="00106DC7"/>
    <w:rsid w:val="00112391"/>
    <w:rsid w:val="00114F52"/>
    <w:rsid w:val="00130119"/>
    <w:rsid w:val="00132812"/>
    <w:rsid w:val="001347F8"/>
    <w:rsid w:val="001359EE"/>
    <w:rsid w:val="00137BB5"/>
    <w:rsid w:val="00137E05"/>
    <w:rsid w:val="001432B3"/>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1F6419"/>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1CD4"/>
    <w:rsid w:val="002657E9"/>
    <w:rsid w:val="0026665E"/>
    <w:rsid w:val="0027147E"/>
    <w:rsid w:val="002761F4"/>
    <w:rsid w:val="002775E1"/>
    <w:rsid w:val="00277979"/>
    <w:rsid w:val="00291ADD"/>
    <w:rsid w:val="002920DF"/>
    <w:rsid w:val="00292F3D"/>
    <w:rsid w:val="00295CA1"/>
    <w:rsid w:val="002A0E51"/>
    <w:rsid w:val="002A1A44"/>
    <w:rsid w:val="002A1B93"/>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15D6"/>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60D"/>
    <w:rsid w:val="00463B55"/>
    <w:rsid w:val="00465947"/>
    <w:rsid w:val="004667B1"/>
    <w:rsid w:val="00467F66"/>
    <w:rsid w:val="00470461"/>
    <w:rsid w:val="00470BB1"/>
    <w:rsid w:val="00473153"/>
    <w:rsid w:val="0047350F"/>
    <w:rsid w:val="004743AF"/>
    <w:rsid w:val="00482C17"/>
    <w:rsid w:val="00484CE3"/>
    <w:rsid w:val="00490E81"/>
    <w:rsid w:val="004911B4"/>
    <w:rsid w:val="0049196A"/>
    <w:rsid w:val="004923DA"/>
    <w:rsid w:val="00492EEB"/>
    <w:rsid w:val="00493434"/>
    <w:rsid w:val="0049374F"/>
    <w:rsid w:val="004968E2"/>
    <w:rsid w:val="004A2A49"/>
    <w:rsid w:val="004A2D66"/>
    <w:rsid w:val="004A5A64"/>
    <w:rsid w:val="004A7F64"/>
    <w:rsid w:val="004B5553"/>
    <w:rsid w:val="004B600B"/>
    <w:rsid w:val="004B6822"/>
    <w:rsid w:val="004B69F6"/>
    <w:rsid w:val="004C2D3A"/>
    <w:rsid w:val="004D03C4"/>
    <w:rsid w:val="004D07AD"/>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18E6"/>
    <w:rsid w:val="0055793E"/>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347D"/>
    <w:rsid w:val="00604A86"/>
    <w:rsid w:val="00606E27"/>
    <w:rsid w:val="006108C9"/>
    <w:rsid w:val="00612BE2"/>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4108"/>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2173"/>
    <w:rsid w:val="006B4496"/>
    <w:rsid w:val="006B5E67"/>
    <w:rsid w:val="006B6612"/>
    <w:rsid w:val="006C2EB5"/>
    <w:rsid w:val="006D18A3"/>
    <w:rsid w:val="006D29F7"/>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452BE"/>
    <w:rsid w:val="0075031F"/>
    <w:rsid w:val="00751263"/>
    <w:rsid w:val="007544FC"/>
    <w:rsid w:val="00755427"/>
    <w:rsid w:val="00756548"/>
    <w:rsid w:val="0075673A"/>
    <w:rsid w:val="0075704F"/>
    <w:rsid w:val="00763B2D"/>
    <w:rsid w:val="00764C84"/>
    <w:rsid w:val="007710AD"/>
    <w:rsid w:val="00772924"/>
    <w:rsid w:val="007778D4"/>
    <w:rsid w:val="0078112D"/>
    <w:rsid w:val="007872F2"/>
    <w:rsid w:val="007873F9"/>
    <w:rsid w:val="007908E0"/>
    <w:rsid w:val="00793EB3"/>
    <w:rsid w:val="00794205"/>
    <w:rsid w:val="0079422A"/>
    <w:rsid w:val="007A1F6A"/>
    <w:rsid w:val="007A628F"/>
    <w:rsid w:val="007A7127"/>
    <w:rsid w:val="007B0DE3"/>
    <w:rsid w:val="007B1BFD"/>
    <w:rsid w:val="007B7191"/>
    <w:rsid w:val="007C1D94"/>
    <w:rsid w:val="007C556F"/>
    <w:rsid w:val="007C5ABE"/>
    <w:rsid w:val="007C6A87"/>
    <w:rsid w:val="007D0A07"/>
    <w:rsid w:val="007D0F11"/>
    <w:rsid w:val="007D133D"/>
    <w:rsid w:val="007D3CD0"/>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D9C"/>
    <w:rsid w:val="00880539"/>
    <w:rsid w:val="0088400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16A"/>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42A"/>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1E42"/>
    <w:rsid w:val="00AE2564"/>
    <w:rsid w:val="00AE301F"/>
    <w:rsid w:val="00AE3302"/>
    <w:rsid w:val="00AE5BA6"/>
    <w:rsid w:val="00AE6231"/>
    <w:rsid w:val="00AE7077"/>
    <w:rsid w:val="00AF61C2"/>
    <w:rsid w:val="00AF6981"/>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623D"/>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98F"/>
    <w:rsid w:val="00C55E9B"/>
    <w:rsid w:val="00C56D09"/>
    <w:rsid w:val="00C57D24"/>
    <w:rsid w:val="00C604D6"/>
    <w:rsid w:val="00C63CAB"/>
    <w:rsid w:val="00C63D00"/>
    <w:rsid w:val="00C6441B"/>
    <w:rsid w:val="00C65921"/>
    <w:rsid w:val="00C7108B"/>
    <w:rsid w:val="00C75883"/>
    <w:rsid w:val="00C76432"/>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5F1"/>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79A"/>
    <w:rsid w:val="00E17D41"/>
    <w:rsid w:val="00E231D1"/>
    <w:rsid w:val="00E3288D"/>
    <w:rsid w:val="00E35112"/>
    <w:rsid w:val="00E35BEC"/>
    <w:rsid w:val="00E41A6A"/>
    <w:rsid w:val="00E50821"/>
    <w:rsid w:val="00E51F91"/>
    <w:rsid w:val="00E5498A"/>
    <w:rsid w:val="00E559CE"/>
    <w:rsid w:val="00E60F42"/>
    <w:rsid w:val="00E6171D"/>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1EA1"/>
    <w:rsid w:val="00FC2FF3"/>
    <w:rsid w:val="00FC3263"/>
    <w:rsid w:val="00FC51F9"/>
    <w:rsid w:val="00FC5B40"/>
    <w:rsid w:val="00FC5FF8"/>
    <w:rsid w:val="00FC7A14"/>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E6171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6171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6171D"/>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6171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6171D"/>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6171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6171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E6171D"/>
    <w:rPr>
      <w:b/>
      <w:bCs/>
      <w:i/>
      <w:iCs/>
      <w:spacing w:val="5"/>
    </w:rPr>
  </w:style>
  <w:style w:type="paragraph" w:styleId="Caption">
    <w:name w:val="caption"/>
    <w:basedOn w:val="Normal"/>
    <w:next w:val="Normal"/>
    <w:uiPriority w:val="35"/>
    <w:semiHidden/>
    <w:unhideWhenUsed/>
    <w:qFormat/>
    <w:rsid w:val="00E6171D"/>
    <w:pPr>
      <w:spacing w:after="200"/>
    </w:pPr>
    <w:rPr>
      <w:i/>
      <w:iCs/>
      <w:color w:val="44546A" w:themeColor="text2"/>
      <w:sz w:val="18"/>
      <w:szCs w:val="18"/>
    </w:rPr>
  </w:style>
  <w:style w:type="character" w:styleId="Emphasis">
    <w:name w:val="Emphasis"/>
    <w:basedOn w:val="DefaultParagraphFont"/>
    <w:uiPriority w:val="20"/>
    <w:qFormat/>
    <w:rsid w:val="00E6171D"/>
    <w:rPr>
      <w:i/>
      <w:iCs/>
    </w:rPr>
  </w:style>
  <w:style w:type="character" w:customStyle="1" w:styleId="Heading3Char">
    <w:name w:val="Heading 3 Char"/>
    <w:basedOn w:val="DefaultParagraphFont"/>
    <w:link w:val="Heading3"/>
    <w:uiPriority w:val="9"/>
    <w:semiHidden/>
    <w:rsid w:val="00E617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6171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6171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6171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6171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6171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6171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E6171D"/>
    <w:rPr>
      <w:i/>
      <w:iCs/>
      <w:color w:val="4472C4" w:themeColor="accent1"/>
    </w:rPr>
  </w:style>
  <w:style w:type="paragraph" w:styleId="IntenseQuote">
    <w:name w:val="Intense Quote"/>
    <w:basedOn w:val="Normal"/>
    <w:next w:val="Normal"/>
    <w:link w:val="IntenseQuoteChar"/>
    <w:uiPriority w:val="30"/>
    <w:qFormat/>
    <w:rsid w:val="00E6171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6171D"/>
    <w:rPr>
      <w:rFonts w:ascii="Arial" w:hAnsi="Arial" w:cs="Arial"/>
      <w:i/>
      <w:iCs/>
      <w:color w:val="4472C4" w:themeColor="accent1"/>
    </w:rPr>
  </w:style>
  <w:style w:type="character" w:styleId="IntenseReference">
    <w:name w:val="Intense Reference"/>
    <w:basedOn w:val="DefaultParagraphFont"/>
    <w:uiPriority w:val="32"/>
    <w:qFormat/>
    <w:rsid w:val="00E6171D"/>
    <w:rPr>
      <w:b/>
      <w:bCs/>
      <w:smallCaps/>
      <w:color w:val="4472C4" w:themeColor="accent1"/>
      <w:spacing w:val="5"/>
    </w:rPr>
  </w:style>
  <w:style w:type="paragraph" w:styleId="ListParagraph">
    <w:name w:val="List Paragraph"/>
    <w:basedOn w:val="Normal"/>
    <w:uiPriority w:val="34"/>
    <w:qFormat/>
    <w:rsid w:val="00E6171D"/>
    <w:pPr>
      <w:ind w:left="720"/>
      <w:contextualSpacing/>
    </w:pPr>
  </w:style>
  <w:style w:type="paragraph" w:styleId="NoSpacing">
    <w:name w:val="No Spacing"/>
    <w:uiPriority w:val="1"/>
    <w:qFormat/>
    <w:rsid w:val="00E6171D"/>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E6171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6171D"/>
    <w:rPr>
      <w:rFonts w:ascii="Arial" w:hAnsi="Arial" w:cs="Arial"/>
      <w:i/>
      <w:iCs/>
      <w:color w:val="404040" w:themeColor="text1" w:themeTint="BF"/>
    </w:rPr>
  </w:style>
  <w:style w:type="character" w:styleId="Strong">
    <w:name w:val="Strong"/>
    <w:basedOn w:val="DefaultParagraphFont"/>
    <w:uiPriority w:val="22"/>
    <w:qFormat/>
    <w:rsid w:val="00E6171D"/>
    <w:rPr>
      <w:b/>
      <w:bCs/>
    </w:rPr>
  </w:style>
  <w:style w:type="paragraph" w:styleId="Subtitle">
    <w:name w:val="Subtitle"/>
    <w:basedOn w:val="Normal"/>
    <w:next w:val="Normal"/>
    <w:link w:val="SubtitleChar"/>
    <w:uiPriority w:val="11"/>
    <w:qFormat/>
    <w:rsid w:val="00E6171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6171D"/>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E6171D"/>
    <w:rPr>
      <w:i/>
      <w:iCs/>
      <w:color w:val="404040" w:themeColor="text1" w:themeTint="BF"/>
    </w:rPr>
  </w:style>
  <w:style w:type="character" w:styleId="SubtleReference">
    <w:name w:val="Subtle Reference"/>
    <w:basedOn w:val="DefaultParagraphFont"/>
    <w:uiPriority w:val="31"/>
    <w:qFormat/>
    <w:rsid w:val="00E6171D"/>
    <w:rPr>
      <w:smallCaps/>
      <w:color w:val="5A5A5A" w:themeColor="text1" w:themeTint="A5"/>
    </w:rPr>
  </w:style>
  <w:style w:type="paragraph" w:styleId="TOCHeading">
    <w:name w:val="TOC Heading"/>
    <w:basedOn w:val="Heading1"/>
    <w:next w:val="Normal"/>
    <w:uiPriority w:val="39"/>
    <w:semiHidden/>
    <w:unhideWhenUsed/>
    <w:qFormat/>
    <w:rsid w:val="00E6171D"/>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Francesca Maunders</cp:lastModifiedBy>
  <cp:revision>11</cp:revision>
  <cp:lastPrinted>2020-02-11T19:20:00Z</cp:lastPrinted>
  <dcterms:created xsi:type="dcterms:W3CDTF">2025-09-08T10:08:00Z</dcterms:created>
  <dcterms:modified xsi:type="dcterms:W3CDTF">2026-10-07T10:43:00Z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