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sz w:val="18"/>
          <w:szCs w:val="18"/>
        </w:rPr>
      </w:pPr>
      <w:r>
        <mc:AlternateContent>
          <mc:Choice Requires="wps">
            <w:drawing>
              <wp:anchor behindDoc="1" distT="0" distB="0" distL="0" distR="0" simplePos="0" locked="0" layoutInCell="1" allowOverlap="1" relativeHeight="2">
                <wp:simplePos x="0" y="0"/>
                <wp:positionH relativeFrom="column">
                  <wp:posOffset>-75565</wp:posOffset>
                </wp:positionH>
                <wp:positionV relativeFrom="paragraph">
                  <wp:posOffset>-43815</wp:posOffset>
                </wp:positionV>
                <wp:extent cx="6409055" cy="874395"/>
                <wp:effectExtent l="0" t="0" r="0" b="0"/>
                <wp:wrapNone/>
                <wp:docPr id="1" name="Shape1"/>
                <a:graphic xmlns:a="http://schemas.openxmlformats.org/drawingml/2006/main">
                  <a:graphicData uri="http://schemas.microsoft.com/office/word/2010/wordprocessingShape">
                    <wps:wsp>
                      <wps:cNvSpPr/>
                      <wps:spPr>
                        <a:xfrm>
                          <a:off x="0" y="0"/>
                          <a:ext cx="6408360" cy="873720"/>
                        </a:xfrm>
                        <a:custGeom>
                          <a:avLst/>
                          <a:gdLst/>
                          <a:ahLst/>
                          <a:rect l="0" t="0" r="r" b="b"/>
                          <a:pathLst>
                            <a:path w="10094" h="1378">
                              <a:moveTo>
                                <a:pt x="229" y="0"/>
                              </a:moveTo>
                              <a:lnTo>
                                <a:pt x="230" y="0"/>
                              </a:lnTo>
                              <a:cubicBezTo>
                                <a:pt x="189" y="0"/>
                                <a:pt x="150" y="11"/>
                                <a:pt x="115" y="31"/>
                              </a:cubicBezTo>
                              <a:cubicBezTo>
                                <a:pt x="80" y="51"/>
                                <a:pt x="51" y="80"/>
                                <a:pt x="31" y="115"/>
                              </a:cubicBezTo>
                              <a:cubicBezTo>
                                <a:pt x="11" y="150"/>
                                <a:pt x="0" y="189"/>
                                <a:pt x="0" y="230"/>
                              </a:cubicBezTo>
                              <a:lnTo>
                                <a:pt x="0" y="1147"/>
                              </a:lnTo>
                              <a:lnTo>
                                <a:pt x="0" y="1148"/>
                              </a:lnTo>
                              <a:cubicBezTo>
                                <a:pt x="0" y="1188"/>
                                <a:pt x="11" y="1227"/>
                                <a:pt x="31" y="1262"/>
                              </a:cubicBezTo>
                              <a:cubicBezTo>
                                <a:pt x="51" y="1297"/>
                                <a:pt x="80" y="1326"/>
                                <a:pt x="115" y="1346"/>
                              </a:cubicBezTo>
                              <a:cubicBezTo>
                                <a:pt x="150" y="1366"/>
                                <a:pt x="189" y="1377"/>
                                <a:pt x="230" y="1377"/>
                              </a:cubicBezTo>
                              <a:lnTo>
                                <a:pt x="9863" y="1377"/>
                              </a:lnTo>
                              <a:lnTo>
                                <a:pt x="9864" y="1377"/>
                              </a:lnTo>
                              <a:cubicBezTo>
                                <a:pt x="9904" y="1377"/>
                                <a:pt x="9943" y="1366"/>
                                <a:pt x="9978" y="1346"/>
                              </a:cubicBezTo>
                              <a:cubicBezTo>
                                <a:pt x="10013" y="1326"/>
                                <a:pt x="10042" y="1297"/>
                                <a:pt x="10062" y="1262"/>
                              </a:cubicBezTo>
                              <a:cubicBezTo>
                                <a:pt x="10082" y="1227"/>
                                <a:pt x="10093" y="1188"/>
                                <a:pt x="10093" y="1148"/>
                              </a:cubicBezTo>
                              <a:lnTo>
                                <a:pt x="10093" y="229"/>
                              </a:lnTo>
                              <a:lnTo>
                                <a:pt x="10093" y="230"/>
                              </a:lnTo>
                              <a:lnTo>
                                <a:pt x="10093" y="230"/>
                              </a:lnTo>
                              <a:cubicBezTo>
                                <a:pt x="10093" y="189"/>
                                <a:pt x="10082" y="150"/>
                                <a:pt x="10062" y="115"/>
                              </a:cubicBezTo>
                              <a:cubicBezTo>
                                <a:pt x="10042" y="80"/>
                                <a:pt x="10013" y="51"/>
                                <a:pt x="9978" y="31"/>
                              </a:cubicBezTo>
                              <a:cubicBezTo>
                                <a:pt x="9943" y="11"/>
                                <a:pt x="9904" y="0"/>
                                <a:pt x="9864" y="0"/>
                              </a:cubicBezTo>
                              <a:lnTo>
                                <a:pt x="229" y="0"/>
                              </a:lnTo>
                            </a:path>
                          </a:pathLst>
                        </a:custGeom>
                        <a:solidFill>
                          <a:srgbClr val="ffdbb6"/>
                        </a:solidFill>
                        <a:ln>
                          <a:solidFill>
                            <a:srgbClr val="3465a4"/>
                          </a:solidFill>
                        </a:ln>
                      </wps:spPr>
                      <wps:style>
                        <a:lnRef idx="0"/>
                        <a:fillRef idx="0"/>
                        <a:effectRef idx="0"/>
                        <a:fontRef idx="minor"/>
                      </wps:style>
                      <wps:bodyPr/>
                    </wps:wsp>
                  </a:graphicData>
                </a:graphic>
              </wp:anchor>
            </w:drawing>
          </mc:Choice>
          <mc:Fallback>
            <w:pict>
              <v:roundrect id="shape_0" ID="Shape1" fillcolor="#ffdbb6" stroked="t" style="position:absolute;margin-left:-5.95pt;margin-top:-3.45pt;width:504.55pt;height:68.75pt">
                <w10:wrap type="none"/>
                <v:fill o:detectmouseclick="t" type="solid" color2="#002449"/>
                <v:stroke color="#3465a4" joinstyle="round" endcap="flat"/>
              </v:roundrect>
            </w:pict>
          </mc:Fallback>
        </mc:AlternateContent>
      </w:r>
      <w:r>
        <w:rPr>
          <w:rFonts w:ascii="Times New Roman" w:hAnsi="Times New Roman"/>
          <w:sz w:val="18"/>
          <w:szCs w:val="18"/>
        </w:rPr>
        <w:t xml:space="preserve">The United Nations Convention on the Rights of the Child, commonly referred to as the UNCRC </w:t>
      </w:r>
      <w:r>
        <w:rPr>
          <w:rFonts w:ascii="Times New Roman" w:hAnsi="Times New Roman"/>
          <w:sz w:val="18"/>
          <w:szCs w:val="18"/>
          <w:lang w:val="en-US"/>
        </w:rPr>
        <w:t>(2006)</w:t>
      </w:r>
      <w:r>
        <w:rPr>
          <w:rFonts w:ascii="Times New Roman" w:hAnsi="Times New Roman"/>
          <w:sz w:val="18"/>
          <w:szCs w:val="18"/>
        </w:rPr>
        <w:t>, is a national legal document</w:t>
      </w:r>
      <w:r>
        <w:rPr>
          <w:rFonts w:ascii="Times New Roman" w:hAnsi="Times New Roman"/>
          <w:sz w:val="18"/>
          <w:szCs w:val="18"/>
          <w:lang w:val="en-US"/>
        </w:rPr>
        <w:t xml:space="preserve"> written in 1989 </w:t>
      </w:r>
      <w:r>
        <w:rPr>
          <w:rFonts w:ascii="Times New Roman" w:hAnsi="Times New Roman"/>
          <w:sz w:val="18"/>
          <w:szCs w:val="18"/>
        </w:rPr>
        <w:t>that states the rights of children. It consists of 54 Articles that state economical, political, cultural and social rights of each and every child, regardless of their ethnicity, religious beliefs and backgroun</w:t>
      </w:r>
      <w:r>
        <w:rPr>
          <w:rFonts w:ascii="Times New Roman" w:hAnsi="Times New Roman"/>
          <w:sz w:val="18"/>
          <w:szCs w:val="18"/>
        </w:rPr>
        <w:t xml:space="preserve">d, this also correlates to the Welsh </w:t>
      </w:r>
      <w:r>
        <w:rPr>
          <w:rFonts w:ascii="Times New Roman" w:hAnsi="Times New Roman"/>
          <w:sz w:val="18"/>
          <w:szCs w:val="18"/>
        </w:rPr>
        <w:t>Government</w:t>
      </w:r>
      <w:r>
        <w:rPr>
          <w:rFonts w:ascii="Times New Roman" w:hAnsi="Times New Roman"/>
          <w:sz w:val="18"/>
          <w:szCs w:val="18"/>
        </w:rPr>
        <w:t xml:space="preserve"> (</w:t>
      </w:r>
      <w:r>
        <w:rPr>
          <w:rFonts w:ascii="Times New Roman" w:hAnsi="Times New Roman"/>
          <w:sz w:val="18"/>
          <w:szCs w:val="18"/>
        </w:rPr>
        <w:t>no date</w:t>
      </w:r>
      <w:r>
        <w:rPr>
          <w:rFonts w:ascii="Times New Roman" w:hAnsi="Times New Roman"/>
          <w:sz w:val="18"/>
          <w:szCs w:val="18"/>
        </w:rPr>
        <w:t xml:space="preserve">) inclusion policy, that states that all children should receive the same support and opportunity to reach their potential. </w:t>
      </w:r>
    </w:p>
    <w:p>
      <w:pPr>
        <w:pStyle w:val="Normal"/>
        <w:spacing w:lineRule="auto" w:line="360"/>
        <w:jc w:val="both"/>
        <w:rPr>
          <w:rFonts w:ascii="Times New Roman" w:hAnsi="Times New Roman"/>
          <w:sz w:val="18"/>
          <w:szCs w:val="18"/>
        </w:rPr>
      </w:pPr>
      <w:r>
        <w:rPr>
          <w:rFonts w:ascii="Times New Roman" w:hAnsi="Times New Roman"/>
          <w:sz w:val="18"/>
          <w:szCs w:val="18"/>
        </w:rPr>
        <mc:AlternateContent>
          <mc:Choice Requires="wps">
            <w:drawing>
              <wp:anchor behindDoc="1" distT="0" distB="0" distL="0" distR="0" simplePos="0" locked="0" layoutInCell="1" allowOverlap="1" relativeHeight="3">
                <wp:simplePos x="0" y="0"/>
                <wp:positionH relativeFrom="column">
                  <wp:posOffset>-52705</wp:posOffset>
                </wp:positionH>
                <wp:positionV relativeFrom="paragraph">
                  <wp:posOffset>142240</wp:posOffset>
                </wp:positionV>
                <wp:extent cx="6416675" cy="3307715"/>
                <wp:effectExtent l="0" t="0" r="0" b="0"/>
                <wp:wrapNone/>
                <wp:docPr id="2" name="Shape2"/>
                <a:graphic xmlns:a="http://schemas.openxmlformats.org/drawingml/2006/main">
                  <a:graphicData uri="http://schemas.microsoft.com/office/word/2010/wordprocessingShape">
                    <wps:wsp>
                      <wps:cNvSpPr/>
                      <wps:spPr>
                        <a:xfrm>
                          <a:off x="0" y="0"/>
                          <a:ext cx="6415920" cy="3306960"/>
                        </a:xfrm>
                        <a:custGeom>
                          <a:avLst/>
                          <a:gdLst/>
                          <a:ahLst/>
                          <a:rect l="0" t="0" r="r" b="b"/>
                          <a:pathLst>
                            <a:path w="10106" h="5210">
                              <a:moveTo>
                                <a:pt x="868" y="0"/>
                              </a:moveTo>
                              <a:lnTo>
                                <a:pt x="868" y="0"/>
                              </a:lnTo>
                              <a:cubicBezTo>
                                <a:pt x="716" y="0"/>
                                <a:pt x="566" y="40"/>
                                <a:pt x="434" y="116"/>
                              </a:cubicBezTo>
                              <a:cubicBezTo>
                                <a:pt x="302" y="193"/>
                                <a:pt x="193" y="302"/>
                                <a:pt x="116" y="434"/>
                              </a:cubicBezTo>
                              <a:cubicBezTo>
                                <a:pt x="40" y="566"/>
                                <a:pt x="0" y="716"/>
                                <a:pt x="0" y="868"/>
                              </a:cubicBezTo>
                              <a:lnTo>
                                <a:pt x="0" y="4340"/>
                              </a:lnTo>
                              <a:lnTo>
                                <a:pt x="0" y="4341"/>
                              </a:lnTo>
                              <a:cubicBezTo>
                                <a:pt x="0" y="4493"/>
                                <a:pt x="40" y="4643"/>
                                <a:pt x="116" y="4775"/>
                              </a:cubicBezTo>
                              <a:cubicBezTo>
                                <a:pt x="193" y="4907"/>
                                <a:pt x="302" y="5016"/>
                                <a:pt x="434" y="5093"/>
                              </a:cubicBezTo>
                              <a:cubicBezTo>
                                <a:pt x="566" y="5169"/>
                                <a:pt x="716" y="5209"/>
                                <a:pt x="868" y="5209"/>
                              </a:cubicBezTo>
                              <a:lnTo>
                                <a:pt x="9236" y="5209"/>
                              </a:lnTo>
                              <a:lnTo>
                                <a:pt x="9237" y="5209"/>
                              </a:lnTo>
                              <a:cubicBezTo>
                                <a:pt x="9389" y="5209"/>
                                <a:pt x="9539" y="5169"/>
                                <a:pt x="9671" y="5093"/>
                              </a:cubicBezTo>
                              <a:cubicBezTo>
                                <a:pt x="9803" y="5016"/>
                                <a:pt x="9912" y="4907"/>
                                <a:pt x="9989" y="4775"/>
                              </a:cubicBezTo>
                              <a:cubicBezTo>
                                <a:pt x="10065" y="4643"/>
                                <a:pt x="10105" y="4493"/>
                                <a:pt x="10105" y="4341"/>
                              </a:cubicBezTo>
                              <a:lnTo>
                                <a:pt x="10105" y="868"/>
                              </a:lnTo>
                              <a:lnTo>
                                <a:pt x="10105" y="868"/>
                              </a:lnTo>
                              <a:lnTo>
                                <a:pt x="10105" y="868"/>
                              </a:lnTo>
                              <a:cubicBezTo>
                                <a:pt x="10105" y="716"/>
                                <a:pt x="10065" y="566"/>
                                <a:pt x="9989" y="434"/>
                              </a:cubicBezTo>
                              <a:cubicBezTo>
                                <a:pt x="9912" y="302"/>
                                <a:pt x="9803" y="193"/>
                                <a:pt x="9671" y="116"/>
                              </a:cubicBezTo>
                              <a:cubicBezTo>
                                <a:pt x="9539" y="40"/>
                                <a:pt x="9389" y="0"/>
                                <a:pt x="9237" y="0"/>
                              </a:cubicBezTo>
                              <a:lnTo>
                                <a:pt x="868" y="0"/>
                              </a:lnTo>
                            </a:path>
                          </a:pathLst>
                        </a:custGeom>
                        <a:solidFill>
                          <a:srgbClr val="b4c7dc"/>
                        </a:solidFill>
                        <a:ln>
                          <a:solidFill>
                            <a:srgbClr val="3465a4"/>
                          </a:solidFill>
                        </a:ln>
                      </wps:spPr>
                      <wps:style>
                        <a:lnRef idx="0"/>
                        <a:fillRef idx="0"/>
                        <a:effectRef idx="0"/>
                        <a:fontRef idx="minor"/>
                      </wps:style>
                      <wps:bodyPr/>
                    </wps:wsp>
                  </a:graphicData>
                </a:graphic>
              </wp:anchor>
            </w:drawing>
          </mc:Choice>
          <mc:Fallback>
            <w:pict>
              <v:roundrect id="shape_0" ID="Shape2" fillcolor="#b4c7dc" stroked="t" style="position:absolute;margin-left:-4.15pt;margin-top:11.2pt;width:505.15pt;height:260.35pt">
                <w10:wrap type="none"/>
                <v:fill o:detectmouseclick="t" type="solid" color2="#4b3823"/>
                <v:stroke color="#3465a4" joinstyle="round" endcap="flat"/>
              </v:roundrect>
            </w:pict>
          </mc:Fallback>
        </mc:AlternateContent>
      </w:r>
    </w:p>
    <w:p>
      <w:pPr>
        <w:pStyle w:val="Normal"/>
        <w:spacing w:lineRule="auto" w:line="360"/>
        <w:jc w:val="center"/>
        <w:rPr>
          <w:b/>
          <w:b/>
          <w:bCs/>
          <w:sz w:val="18"/>
          <w:szCs w:val="18"/>
          <w:u w:val="single"/>
        </w:rPr>
      </w:pPr>
      <w:r>
        <w:rPr>
          <w:rFonts w:ascii="Times New Roman" w:hAnsi="Times New Roman"/>
          <w:b/>
          <w:bCs/>
          <w:sz w:val="18"/>
          <w:szCs w:val="18"/>
          <w:u w:val="single"/>
        </w:rPr>
        <w:t xml:space="preserve">Article 31 </w:t>
      </w:r>
    </w:p>
    <w:p>
      <w:pPr>
        <w:pStyle w:val="Normal"/>
        <w:spacing w:lineRule="auto" w:line="360"/>
        <w:jc w:val="both"/>
        <w:rPr/>
      </w:pPr>
      <w:r>
        <w:rPr>
          <w:rFonts w:ascii="Times New Roman" w:hAnsi="Times New Roman"/>
          <w:sz w:val="18"/>
          <w:szCs w:val="18"/>
        </w:rPr>
        <w:t>As stated in Article 31 of the UNCRC (2006) a child</w:t>
      </w:r>
      <w:r>
        <w:rPr>
          <w:rFonts w:ascii="Times New Roman" w:hAnsi="Times New Roman"/>
          <w:sz w:val="18"/>
          <w:szCs w:val="18"/>
          <w:lang w:val="en-US"/>
        </w:rPr>
        <w:t xml:space="preserve"> has the right to </w:t>
      </w:r>
      <w:r>
        <w:rPr>
          <w:rFonts w:ascii="Times New Roman" w:hAnsi="Times New Roman"/>
          <w:sz w:val="18"/>
          <w:szCs w:val="18"/>
        </w:rPr>
        <w:t>leisure</w:t>
      </w:r>
      <w:r>
        <w:rPr>
          <w:rFonts w:ascii="Times New Roman" w:hAnsi="Times New Roman"/>
          <w:sz w:val="18"/>
          <w:szCs w:val="18"/>
          <w:lang w:val="en-US"/>
        </w:rPr>
        <w:t xml:space="preserve"> and </w:t>
      </w:r>
      <w:r>
        <w:rPr>
          <w:rFonts w:ascii="Times New Roman" w:hAnsi="Times New Roman"/>
          <w:sz w:val="18"/>
          <w:szCs w:val="18"/>
        </w:rPr>
        <w:t xml:space="preserve">rest, they have the right to play and to </w:t>
      </w:r>
      <w:r>
        <w:rPr>
          <w:rFonts w:ascii="Times New Roman" w:hAnsi="Times New Roman"/>
          <w:sz w:val="18"/>
          <w:szCs w:val="18"/>
          <w:lang w:val="en-US"/>
        </w:rPr>
        <w:t>enjoy</w:t>
      </w:r>
      <w:r>
        <w:rPr>
          <w:rFonts w:ascii="Times New Roman" w:hAnsi="Times New Roman"/>
          <w:sz w:val="18"/>
          <w:szCs w:val="18"/>
        </w:rPr>
        <w:t xml:space="preserve"> a wide range of recreational activities appropriate </w:t>
      </w:r>
      <w:r>
        <w:rPr>
          <w:rFonts w:eastAsia="NSimSun" w:cs="Arial" w:ascii="Times New Roman" w:hAnsi="Times New Roman"/>
          <w:color w:val="auto"/>
          <w:kern w:val="2"/>
          <w:sz w:val="18"/>
          <w:szCs w:val="18"/>
          <w:lang w:val="en-GB" w:eastAsia="zh-CN" w:bidi="hi-IN"/>
        </w:rPr>
        <w:t xml:space="preserve">for </w:t>
      </w:r>
      <w:r>
        <w:rPr>
          <w:rFonts w:ascii="Times New Roman" w:hAnsi="Times New Roman"/>
          <w:sz w:val="18"/>
          <w:szCs w:val="18"/>
        </w:rPr>
        <w:t xml:space="preserve">their age. </w:t>
      </w:r>
    </w:p>
    <w:p>
      <w:pPr>
        <w:pStyle w:val="Normal"/>
        <w:numPr>
          <w:ilvl w:val="0"/>
          <w:numId w:val="2"/>
        </w:numPr>
        <w:spacing w:lineRule="auto" w:line="360"/>
        <w:jc w:val="both"/>
        <w:rPr/>
      </w:pPr>
      <w:r>
        <w:rPr>
          <w:rFonts w:ascii="Times New Roman" w:hAnsi="Times New Roman"/>
          <w:sz w:val="18"/>
          <w:szCs w:val="18"/>
        </w:rPr>
        <w:t xml:space="preserve">The Foundation Phase Curriculum (2015) is highly focused on learning through play. </w:t>
      </w:r>
      <w:r>
        <w:rPr>
          <w:rFonts w:eastAsia="NSimSun" w:cs="Arial" w:ascii="Times New Roman" w:hAnsi="Times New Roman"/>
          <w:color w:val="auto"/>
          <w:kern w:val="2"/>
          <w:sz w:val="18"/>
          <w:szCs w:val="18"/>
          <w:lang w:val="en-GB" w:eastAsia="zh-CN" w:bidi="hi-IN"/>
        </w:rPr>
        <w:t>It</w:t>
      </w:r>
      <w:r>
        <w:rPr>
          <w:rFonts w:ascii="Times New Roman" w:hAnsi="Times New Roman"/>
          <w:sz w:val="18"/>
          <w:szCs w:val="18"/>
        </w:rPr>
        <w:t xml:space="preserve"> state</w:t>
      </w:r>
      <w:r>
        <w:rPr>
          <w:rFonts w:ascii="Times New Roman" w:hAnsi="Times New Roman"/>
          <w:sz w:val="18"/>
          <w:szCs w:val="18"/>
        </w:rPr>
        <w:t>s</w:t>
      </w:r>
      <w:r>
        <w:rPr>
          <w:rFonts w:ascii="Times New Roman" w:hAnsi="Times New Roman"/>
          <w:sz w:val="18"/>
          <w:szCs w:val="18"/>
        </w:rPr>
        <w:t xml:space="preserve"> that through play children learn perseverance, attention to detail and build on their concentration skills. They believe that through play children will learn to be self aware, and develop their social and cognitive development.</w:t>
      </w:r>
    </w:p>
    <w:p>
      <w:pPr>
        <w:pStyle w:val="Normal"/>
        <w:numPr>
          <w:ilvl w:val="0"/>
          <w:numId w:val="2"/>
        </w:numPr>
        <w:spacing w:lineRule="auto" w:line="360"/>
        <w:jc w:val="both"/>
        <w:rPr/>
      </w:pPr>
      <w:r>
        <w:rPr>
          <w:rFonts w:ascii="Times New Roman" w:hAnsi="Times New Roman"/>
          <w:sz w:val="18"/>
          <w:szCs w:val="18"/>
        </w:rPr>
        <w:t xml:space="preserve">By preparing </w:t>
      </w:r>
      <w:r>
        <w:rPr>
          <w:rFonts w:eastAsia="NSimSun" w:cs="Arial" w:ascii="Times New Roman" w:hAnsi="Times New Roman"/>
          <w:color w:val="auto"/>
          <w:kern w:val="2"/>
          <w:sz w:val="18"/>
          <w:szCs w:val="18"/>
          <w:lang w:val="en-GB" w:eastAsia="zh-CN" w:bidi="hi-IN"/>
        </w:rPr>
        <w:t>the</w:t>
      </w:r>
      <w:r>
        <w:rPr>
          <w:rFonts w:ascii="Times New Roman" w:hAnsi="Times New Roman"/>
          <w:sz w:val="18"/>
          <w:szCs w:val="18"/>
        </w:rPr>
        <w:t xml:space="preserve"> environment using the Montessori Method </w:t>
      </w:r>
      <w:r>
        <w:rPr>
          <w:rFonts w:ascii="Times New Roman" w:hAnsi="Times New Roman"/>
          <w:sz w:val="18"/>
          <w:szCs w:val="18"/>
          <w:lang w:val="en-US"/>
        </w:rPr>
        <w:t xml:space="preserve">(no date) </w:t>
      </w:r>
      <w:r>
        <w:rPr>
          <w:rFonts w:ascii="Times New Roman" w:hAnsi="Times New Roman"/>
          <w:sz w:val="18"/>
          <w:szCs w:val="18"/>
        </w:rPr>
        <w:t>children can explore and learn freely and peacefully. After conducting observations</w:t>
      </w:r>
      <w:r>
        <w:rPr>
          <w:rFonts w:ascii="Times New Roman" w:hAnsi="Times New Roman"/>
          <w:sz w:val="18"/>
          <w:szCs w:val="18"/>
          <w:lang w:val="en-US"/>
        </w:rPr>
        <w:t>, Montessori concluded</w:t>
      </w:r>
      <w:r>
        <w:rPr>
          <w:rFonts w:ascii="Times New Roman" w:hAnsi="Times New Roman"/>
          <w:sz w:val="18"/>
          <w:szCs w:val="18"/>
        </w:rPr>
        <w:t xml:space="preserve"> that children </w:t>
      </w:r>
      <w:r>
        <w:rPr>
          <w:rFonts w:ascii="Times New Roman" w:hAnsi="Times New Roman"/>
          <w:sz w:val="18"/>
          <w:szCs w:val="18"/>
          <w:lang w:val="en-US"/>
        </w:rPr>
        <w:t xml:space="preserve">who </w:t>
      </w:r>
      <w:r>
        <w:rPr>
          <w:rFonts w:ascii="Times New Roman" w:hAnsi="Times New Roman"/>
          <w:sz w:val="18"/>
          <w:szCs w:val="18"/>
        </w:rPr>
        <w:t xml:space="preserve">were allowed to explore the environment and activities at their own pace, were calm and joyful. As a result, the children who could independently interact with their environment, rather than have an adult direct their play, were at ease, enjoyed learning and promoted their own self-development </w:t>
      </w:r>
      <w:r>
        <w:rPr>
          <w:rFonts w:ascii="Times New Roman" w:hAnsi="Times New Roman"/>
          <w:sz w:val="18"/>
          <w:szCs w:val="18"/>
        </w:rPr>
        <w:t>(Welsh Government, 2015)</w:t>
      </w:r>
      <w:r>
        <w:rPr>
          <w:rFonts w:ascii="Times New Roman" w:hAnsi="Times New Roman"/>
          <w:sz w:val="18"/>
          <w:szCs w:val="18"/>
        </w:rPr>
        <w:t>.</w:t>
      </w:r>
    </w:p>
    <w:p>
      <w:pPr>
        <w:pStyle w:val="Normal"/>
        <w:numPr>
          <w:ilvl w:val="0"/>
          <w:numId w:val="2"/>
        </w:numPr>
        <w:spacing w:lineRule="auto" w:line="360"/>
        <w:jc w:val="both"/>
        <w:rPr>
          <w:sz w:val="18"/>
          <w:szCs w:val="18"/>
        </w:rPr>
      </w:pPr>
      <w:r>
        <w:rPr>
          <w:rFonts w:ascii="Times New Roman" w:hAnsi="Times New Roman"/>
          <w:sz w:val="18"/>
          <w:szCs w:val="18"/>
        </w:rPr>
        <w:t>The National Children’s Burea</w:t>
      </w:r>
      <w:r>
        <w:rPr>
          <w:rFonts w:ascii="Times New Roman" w:hAnsi="Times New Roman"/>
          <w:sz w:val="18"/>
          <w:szCs w:val="18"/>
          <w:lang w:val="en-US"/>
        </w:rPr>
        <w:t>u (no date)</w:t>
      </w:r>
      <w:r>
        <w:rPr>
          <w:rFonts w:ascii="Times New Roman" w:hAnsi="Times New Roman"/>
          <w:sz w:val="18"/>
          <w:szCs w:val="18"/>
        </w:rPr>
        <w:t xml:space="preserve"> tells us that while play is an important factor </w:t>
      </w:r>
      <w:r>
        <w:rPr>
          <w:rFonts w:ascii="Times New Roman" w:hAnsi="Times New Roman"/>
          <w:sz w:val="18"/>
          <w:szCs w:val="18"/>
        </w:rPr>
        <w:t>in</w:t>
      </w:r>
      <w:r>
        <w:rPr>
          <w:rFonts w:ascii="Times New Roman" w:hAnsi="Times New Roman"/>
          <w:sz w:val="18"/>
          <w:szCs w:val="18"/>
        </w:rPr>
        <w:t xml:space="preserve"> child development, that interaction with adults is </w:t>
      </w:r>
      <w:r>
        <w:rPr>
          <w:rFonts w:ascii="Times New Roman" w:hAnsi="Times New Roman"/>
          <w:sz w:val="18"/>
          <w:szCs w:val="18"/>
        </w:rPr>
        <w:t xml:space="preserve">also </w:t>
      </w:r>
      <w:r>
        <w:rPr>
          <w:rFonts w:ascii="Times New Roman" w:hAnsi="Times New Roman"/>
          <w:sz w:val="18"/>
          <w:szCs w:val="18"/>
        </w:rPr>
        <w:t xml:space="preserve">important to promote children’s development. Key worker’s are an important factor in early years setting. Children form attachment’s to several people, this can help children form future relationships (Maynard, 2009). </w:t>
      </w:r>
      <w:r>
        <w:rPr>
          <w:rFonts w:ascii="Times New Roman" w:hAnsi="Times New Roman"/>
          <w:sz w:val="18"/>
          <w:szCs w:val="18"/>
        </w:rPr>
        <w:t>Building positive relationships are key to children’s development (</w:t>
      </w:r>
      <w:r>
        <w:rPr>
          <w:rFonts w:ascii="Times New Roman" w:hAnsi="Times New Roman"/>
          <w:sz w:val="18"/>
          <w:szCs w:val="18"/>
        </w:rPr>
        <w:t>Elfer, 2003</w:t>
      </w:r>
      <w:r>
        <w:rPr>
          <w:rFonts w:ascii="Times New Roman" w:hAnsi="Times New Roman"/>
          <w:sz w:val="18"/>
          <w:szCs w:val="18"/>
        </w:rPr>
        <w:t>). Key Workers can facilitate this by planning group activities and experiences in the setting to promote healthy relationships between the children and staff.</w:t>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rPr>
      </w:pPr>
      <w:r>
        <w:rPr>
          <w:rFonts w:ascii="Times New Roman" w:hAnsi="Times New Roman"/>
          <w:sz w:val="18"/>
          <w:szCs w:val="18"/>
        </w:rPr>
      </w:r>
    </w:p>
    <w:p>
      <w:pPr>
        <w:pStyle w:val="Normal"/>
        <w:spacing w:lineRule="auto" w:line="360"/>
        <w:jc w:val="both"/>
        <w:rPr>
          <w:rFonts w:ascii="Times New Roman" w:hAnsi="Times New Roman"/>
        </w:rPr>
      </w:pPr>
      <w:r>
        <w:rPr>
          <w:sz w:val="18"/>
          <w:szCs w:val="18"/>
        </w:rPr>
        <mc:AlternateContent>
          <mc:Choice Requires="wps">
            <w:drawing>
              <wp:anchor behindDoc="1" distT="0" distB="0" distL="0" distR="0" simplePos="0" locked="0" layoutInCell="1" allowOverlap="1" relativeHeight="4">
                <wp:simplePos x="0" y="0"/>
                <wp:positionH relativeFrom="column">
                  <wp:posOffset>-121285</wp:posOffset>
                </wp:positionH>
                <wp:positionV relativeFrom="paragraph">
                  <wp:posOffset>93345</wp:posOffset>
                </wp:positionV>
                <wp:extent cx="6530975" cy="3152140"/>
                <wp:effectExtent l="0" t="0" r="0" b="0"/>
                <wp:wrapNone/>
                <wp:docPr id="3" name="Shape3"/>
                <a:graphic xmlns:a="http://schemas.openxmlformats.org/drawingml/2006/main">
                  <a:graphicData uri="http://schemas.microsoft.com/office/word/2010/wordprocessingShape">
                    <wps:wsp>
                      <wps:cNvSpPr/>
                      <wps:spPr>
                        <a:xfrm>
                          <a:off x="0" y="0"/>
                          <a:ext cx="6530400" cy="3151440"/>
                        </a:xfrm>
                        <a:custGeom>
                          <a:avLst/>
                          <a:gdLst/>
                          <a:ahLst/>
                          <a:rect l="0" t="0" r="r" b="b"/>
                          <a:pathLst>
                            <a:path w="10286" h="4965">
                              <a:moveTo>
                                <a:pt x="827" y="0"/>
                              </a:moveTo>
                              <a:lnTo>
                                <a:pt x="827" y="0"/>
                              </a:lnTo>
                              <a:cubicBezTo>
                                <a:pt x="682" y="0"/>
                                <a:pt x="539" y="38"/>
                                <a:pt x="414" y="111"/>
                              </a:cubicBezTo>
                              <a:cubicBezTo>
                                <a:pt x="288" y="183"/>
                                <a:pt x="183" y="288"/>
                                <a:pt x="111" y="414"/>
                              </a:cubicBezTo>
                              <a:cubicBezTo>
                                <a:pt x="38" y="539"/>
                                <a:pt x="0" y="682"/>
                                <a:pt x="0" y="827"/>
                              </a:cubicBezTo>
                              <a:lnTo>
                                <a:pt x="0" y="4136"/>
                              </a:lnTo>
                              <a:lnTo>
                                <a:pt x="0" y="4137"/>
                              </a:lnTo>
                              <a:cubicBezTo>
                                <a:pt x="0" y="4282"/>
                                <a:pt x="38" y="4425"/>
                                <a:pt x="111" y="4550"/>
                              </a:cubicBezTo>
                              <a:cubicBezTo>
                                <a:pt x="183" y="4676"/>
                                <a:pt x="288" y="4781"/>
                                <a:pt x="414" y="4853"/>
                              </a:cubicBezTo>
                              <a:cubicBezTo>
                                <a:pt x="539" y="4926"/>
                                <a:pt x="682" y="4964"/>
                                <a:pt x="827" y="4964"/>
                              </a:cubicBezTo>
                              <a:lnTo>
                                <a:pt x="9457" y="4964"/>
                              </a:lnTo>
                              <a:lnTo>
                                <a:pt x="9458" y="4964"/>
                              </a:lnTo>
                              <a:cubicBezTo>
                                <a:pt x="9603" y="4964"/>
                                <a:pt x="9746" y="4926"/>
                                <a:pt x="9871" y="4853"/>
                              </a:cubicBezTo>
                              <a:cubicBezTo>
                                <a:pt x="9997" y="4781"/>
                                <a:pt x="10102" y="4676"/>
                                <a:pt x="10174" y="4550"/>
                              </a:cubicBezTo>
                              <a:cubicBezTo>
                                <a:pt x="10247" y="4425"/>
                                <a:pt x="10285" y="4282"/>
                                <a:pt x="10285" y="4137"/>
                              </a:cubicBezTo>
                              <a:lnTo>
                                <a:pt x="10285" y="827"/>
                              </a:lnTo>
                              <a:lnTo>
                                <a:pt x="10285" y="827"/>
                              </a:lnTo>
                              <a:lnTo>
                                <a:pt x="10285" y="827"/>
                              </a:lnTo>
                              <a:cubicBezTo>
                                <a:pt x="10285" y="682"/>
                                <a:pt x="10247" y="539"/>
                                <a:pt x="10174" y="414"/>
                              </a:cubicBezTo>
                              <a:cubicBezTo>
                                <a:pt x="10102" y="288"/>
                                <a:pt x="9997" y="183"/>
                                <a:pt x="9871" y="111"/>
                              </a:cubicBezTo>
                              <a:cubicBezTo>
                                <a:pt x="9746" y="38"/>
                                <a:pt x="9603" y="0"/>
                                <a:pt x="9458" y="0"/>
                              </a:cubicBezTo>
                              <a:lnTo>
                                <a:pt x="827" y="0"/>
                              </a:lnTo>
                            </a:path>
                          </a:pathLst>
                        </a:custGeom>
                        <a:solidFill>
                          <a:srgbClr val="e0c2cd"/>
                        </a:solidFill>
                        <a:ln>
                          <a:solidFill>
                            <a:srgbClr val="3465a4"/>
                          </a:solidFill>
                        </a:ln>
                      </wps:spPr>
                      <wps:style>
                        <a:lnRef idx="0"/>
                        <a:fillRef idx="0"/>
                        <a:effectRef idx="0"/>
                        <a:fontRef idx="minor"/>
                      </wps:style>
                      <wps:bodyPr/>
                    </wps:wsp>
                  </a:graphicData>
                </a:graphic>
              </wp:anchor>
            </w:drawing>
          </mc:Choice>
          <mc:Fallback>
            <w:pict>
              <v:roundrect id="shape_0" ID="Shape3" fillcolor="#e0c2cd" stroked="t" style="position:absolute;margin-left:-9.55pt;margin-top:7.35pt;width:514.15pt;height:248.1pt">
                <w10:wrap type="none"/>
                <v:fill o:detectmouseclick="t" type="solid" color2="#1f3d32"/>
                <v:stroke color="#3465a4" joinstyle="round" endcap="flat"/>
              </v:roundrect>
            </w:pict>
          </mc:Fallback>
        </mc:AlternateContent>
      </w:r>
    </w:p>
    <w:p>
      <w:pPr>
        <w:pStyle w:val="Normal"/>
        <w:spacing w:lineRule="auto" w:line="360"/>
        <w:jc w:val="center"/>
        <w:rPr>
          <w:b/>
          <w:b/>
          <w:bCs/>
          <w:sz w:val="18"/>
          <w:szCs w:val="18"/>
          <w:u w:val="single"/>
        </w:rPr>
      </w:pPr>
      <w:r>
        <w:rPr>
          <w:rFonts w:ascii="Times New Roman" w:hAnsi="Times New Roman"/>
          <w:b/>
          <w:bCs/>
          <w:sz w:val="18"/>
          <w:szCs w:val="18"/>
          <w:u w:val="single"/>
        </w:rPr>
        <w:t>Article 13</w:t>
      </w:r>
    </w:p>
    <w:p>
      <w:pPr>
        <w:pStyle w:val="Normal"/>
        <w:spacing w:lineRule="auto" w:line="360"/>
        <w:jc w:val="both"/>
        <w:rPr>
          <w:sz w:val="18"/>
          <w:szCs w:val="18"/>
        </w:rPr>
      </w:pPr>
      <w:r>
        <w:rPr>
          <w:rFonts w:ascii="Times New Roman" w:hAnsi="Times New Roman"/>
          <w:sz w:val="18"/>
          <w:szCs w:val="18"/>
        </w:rPr>
        <w:t>Article 13 of the UNCRC (2006) states that child</w:t>
      </w:r>
      <w:r>
        <w:rPr>
          <w:rFonts w:ascii="Times New Roman" w:hAnsi="Times New Roman"/>
          <w:sz w:val="18"/>
          <w:szCs w:val="18"/>
        </w:rPr>
        <w:t>ren</w:t>
      </w:r>
      <w:r>
        <w:rPr>
          <w:rFonts w:ascii="Times New Roman" w:hAnsi="Times New Roman"/>
          <w:sz w:val="18"/>
          <w:szCs w:val="18"/>
        </w:rPr>
        <w:t xml:space="preserve"> have the right to make their own choices and freedom of expression, through a medium of the child’s choice, be it verbally, written or through art.</w:t>
      </w:r>
    </w:p>
    <w:p>
      <w:pPr>
        <w:pStyle w:val="Normal"/>
        <w:spacing w:lineRule="auto" w:line="360"/>
        <w:jc w:val="both"/>
        <w:rPr>
          <w:rFonts w:ascii="Times New Roman" w:hAnsi="Times New Roman"/>
          <w:lang w:val="en-US"/>
        </w:rPr>
      </w:pPr>
      <w:r>
        <w:rPr>
          <w:sz w:val="18"/>
          <w:szCs w:val="18"/>
        </w:rPr>
      </w:r>
    </w:p>
    <w:p>
      <w:pPr>
        <w:pStyle w:val="Normal"/>
        <w:numPr>
          <w:ilvl w:val="0"/>
          <w:numId w:val="1"/>
        </w:numPr>
        <w:spacing w:lineRule="auto" w:line="360"/>
        <w:jc w:val="both"/>
        <w:rPr>
          <w:sz w:val="18"/>
          <w:szCs w:val="18"/>
        </w:rPr>
      </w:pPr>
      <w:r>
        <w:rPr>
          <w:rFonts w:ascii="Times New Roman" w:hAnsi="Times New Roman"/>
          <w:sz w:val="18"/>
          <w:szCs w:val="18"/>
          <w:lang w:val="en-US"/>
        </w:rPr>
        <w:t>Observations and planning ensure that children’s individual needs are met. For example, if you observe that a child is having difficulty dealing with a recent transition in their life we can plan accordingly and introduce activities that can help them express their feelings about this (Smith, 2010). Children should always be given the opportunity for their voices to be heard, their choices taken into account (Smith, 2010).</w:t>
      </w:r>
    </w:p>
    <w:p>
      <w:pPr>
        <w:pStyle w:val="Normal"/>
        <w:numPr>
          <w:ilvl w:val="0"/>
          <w:numId w:val="1"/>
        </w:numPr>
        <w:spacing w:lineRule="auto" w:line="360"/>
        <w:jc w:val="both"/>
        <w:rPr>
          <w:sz w:val="18"/>
          <w:szCs w:val="18"/>
        </w:rPr>
      </w:pPr>
      <w:r>
        <w:rPr>
          <w:rFonts w:ascii="Times New Roman" w:hAnsi="Times New Roman"/>
          <w:sz w:val="18"/>
          <w:szCs w:val="18"/>
        </w:rPr>
        <w:t>The Foundation Phase Curriculum (2015) states that there must be a balance between child-led learning and adult-led activities. By producing a well balanced curriculum it gives the children the opportunity to be actively involved in their own education, and build on skills that they already have and focus on their interests.</w:t>
      </w:r>
      <w:r>
        <w:rPr>
          <w:sz w:val="18"/>
          <w:szCs w:val="18"/>
        </w:rPr>
        <w:t xml:space="preserve"> </w:t>
      </w:r>
    </w:p>
    <w:p>
      <w:pPr>
        <w:pStyle w:val="Normal"/>
        <w:numPr>
          <w:ilvl w:val="0"/>
          <w:numId w:val="1"/>
        </w:numPr>
        <w:spacing w:lineRule="auto" w:line="360"/>
        <w:jc w:val="both"/>
        <w:rPr>
          <w:sz w:val="18"/>
          <w:szCs w:val="18"/>
        </w:rPr>
      </w:pPr>
      <w:r>
        <w:rPr>
          <w:rFonts w:ascii="Times New Roman" w:hAnsi="Times New Roman"/>
          <w:sz w:val="18"/>
          <w:szCs w:val="18"/>
        </w:rPr>
        <w:t>The Child Commissioner of Wales (</w:t>
      </w:r>
      <w:r>
        <w:rPr>
          <w:rFonts w:ascii="Times New Roman" w:hAnsi="Times New Roman"/>
          <w:sz w:val="18"/>
          <w:szCs w:val="18"/>
          <w:lang w:val="en-US"/>
        </w:rPr>
        <w:t>2017</w:t>
      </w:r>
      <w:r>
        <w:rPr>
          <w:rFonts w:ascii="Times New Roman" w:hAnsi="Times New Roman"/>
          <w:sz w:val="18"/>
          <w:szCs w:val="18"/>
        </w:rPr>
        <w:t xml:space="preserve">) states that to empower children, the relationship between children and authorities must change. That adults should give some power over to the children, in order for children to have more control and say over their lives. </w:t>
      </w:r>
      <w:r>
        <w:rPr>
          <w:rFonts w:ascii="Times New Roman" w:hAnsi="Times New Roman"/>
          <w:sz w:val="18"/>
          <w:szCs w:val="18"/>
        </w:rPr>
        <w:t xml:space="preserve">This is achieved by enabling children to make their own choices. </w:t>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both"/>
        <w:rPr>
          <w:rFonts w:ascii="Times New Roman" w:hAnsi="Times New Roman"/>
          <w:sz w:val="18"/>
          <w:szCs w:val="18"/>
        </w:rPr>
      </w:pPr>
      <w:r>
        <w:rPr>
          <w:rFonts w:ascii="Times New Roman" w:hAnsi="Times New Roman"/>
          <w:sz w:val="18"/>
          <w:szCs w:val="18"/>
        </w:rPr>
      </w:r>
    </w:p>
    <w:p>
      <w:pPr>
        <w:pStyle w:val="Normal"/>
        <w:spacing w:lineRule="auto" w:line="360"/>
        <w:jc w:val="center"/>
        <w:rPr>
          <w:rFonts w:ascii="Times New Roman" w:hAnsi="Times New Roman"/>
        </w:rPr>
      </w:pPr>
      <w:r>
        <mc:AlternateContent>
          <mc:Choice Requires="wps">
            <w:drawing>
              <wp:anchor behindDoc="1" distT="0" distB="0" distL="0" distR="0" simplePos="0" locked="0" layoutInCell="1" allowOverlap="1" relativeHeight="5">
                <wp:simplePos x="0" y="0"/>
                <wp:positionH relativeFrom="column">
                  <wp:posOffset>-129540</wp:posOffset>
                </wp:positionH>
                <wp:positionV relativeFrom="paragraph">
                  <wp:posOffset>29210</wp:posOffset>
                </wp:positionV>
                <wp:extent cx="6355715" cy="2888615"/>
                <wp:effectExtent l="0" t="0" r="0" b="0"/>
                <wp:wrapNone/>
                <wp:docPr id="4" name="Shape4"/>
                <a:graphic xmlns:a="http://schemas.openxmlformats.org/drawingml/2006/main">
                  <a:graphicData uri="http://schemas.microsoft.com/office/word/2010/wordprocessingShape">
                    <wps:wsp>
                      <wps:cNvSpPr/>
                      <wps:spPr>
                        <a:xfrm>
                          <a:off x="0" y="0"/>
                          <a:ext cx="6355080" cy="2887920"/>
                        </a:xfrm>
                        <a:custGeom>
                          <a:avLst/>
                          <a:gdLst/>
                          <a:ahLst/>
                          <a:rect l="0" t="0" r="r" b="b"/>
                          <a:pathLst>
                            <a:path w="10010" h="4550">
                              <a:moveTo>
                                <a:pt x="758" y="0"/>
                              </a:moveTo>
                              <a:lnTo>
                                <a:pt x="758" y="0"/>
                              </a:lnTo>
                              <a:cubicBezTo>
                                <a:pt x="625" y="0"/>
                                <a:pt x="494" y="35"/>
                                <a:pt x="379" y="102"/>
                              </a:cubicBezTo>
                              <a:cubicBezTo>
                                <a:pt x="264" y="168"/>
                                <a:pt x="168" y="264"/>
                                <a:pt x="102" y="379"/>
                              </a:cubicBezTo>
                              <a:cubicBezTo>
                                <a:pt x="35" y="494"/>
                                <a:pt x="0" y="625"/>
                                <a:pt x="0" y="758"/>
                              </a:cubicBezTo>
                              <a:lnTo>
                                <a:pt x="0" y="3790"/>
                              </a:lnTo>
                              <a:lnTo>
                                <a:pt x="0" y="3791"/>
                              </a:lnTo>
                              <a:cubicBezTo>
                                <a:pt x="0" y="3924"/>
                                <a:pt x="35" y="4055"/>
                                <a:pt x="102" y="4170"/>
                              </a:cubicBezTo>
                              <a:cubicBezTo>
                                <a:pt x="168" y="4285"/>
                                <a:pt x="264" y="4381"/>
                                <a:pt x="379" y="4447"/>
                              </a:cubicBezTo>
                              <a:cubicBezTo>
                                <a:pt x="494" y="4514"/>
                                <a:pt x="625" y="4549"/>
                                <a:pt x="758" y="4549"/>
                              </a:cubicBezTo>
                              <a:lnTo>
                                <a:pt x="9250" y="4549"/>
                              </a:lnTo>
                              <a:lnTo>
                                <a:pt x="9251" y="4549"/>
                              </a:lnTo>
                              <a:cubicBezTo>
                                <a:pt x="9384" y="4549"/>
                                <a:pt x="9515" y="4514"/>
                                <a:pt x="9630" y="4447"/>
                              </a:cubicBezTo>
                              <a:cubicBezTo>
                                <a:pt x="9745" y="4381"/>
                                <a:pt x="9841" y="4285"/>
                                <a:pt x="9907" y="4170"/>
                              </a:cubicBezTo>
                              <a:cubicBezTo>
                                <a:pt x="9974" y="4055"/>
                                <a:pt x="10009" y="3924"/>
                                <a:pt x="10009" y="3791"/>
                              </a:cubicBezTo>
                              <a:lnTo>
                                <a:pt x="10009" y="758"/>
                              </a:lnTo>
                              <a:lnTo>
                                <a:pt x="10009" y="758"/>
                              </a:lnTo>
                              <a:lnTo>
                                <a:pt x="10009" y="758"/>
                              </a:lnTo>
                              <a:cubicBezTo>
                                <a:pt x="10009" y="625"/>
                                <a:pt x="9974" y="494"/>
                                <a:pt x="9907" y="379"/>
                              </a:cubicBezTo>
                              <a:cubicBezTo>
                                <a:pt x="9841" y="264"/>
                                <a:pt x="9745" y="168"/>
                                <a:pt x="9630" y="102"/>
                              </a:cubicBezTo>
                              <a:cubicBezTo>
                                <a:pt x="9515" y="35"/>
                                <a:pt x="9384" y="0"/>
                                <a:pt x="9251" y="0"/>
                              </a:cubicBezTo>
                              <a:lnTo>
                                <a:pt x="758" y="0"/>
                              </a:lnTo>
                            </a:path>
                          </a:pathLst>
                        </a:custGeom>
                        <a:solidFill>
                          <a:srgbClr val="ffff6d"/>
                        </a:solidFill>
                        <a:ln>
                          <a:solidFill>
                            <a:srgbClr val="3465a4"/>
                          </a:solidFill>
                        </a:ln>
                      </wps:spPr>
                      <wps:style>
                        <a:lnRef idx="0"/>
                        <a:fillRef idx="0"/>
                        <a:effectRef idx="0"/>
                        <a:fontRef idx="minor"/>
                      </wps:style>
                      <wps:bodyPr/>
                    </wps:wsp>
                  </a:graphicData>
                </a:graphic>
              </wp:anchor>
            </w:drawing>
          </mc:Choice>
          <mc:Fallback>
            <w:pict>
              <v:roundrect id="shape_0" ID="Shape4" fillcolor="#ffff6d" stroked="t" style="position:absolute;margin-left:-10.2pt;margin-top:2.3pt;width:500.35pt;height:227.35pt">
                <w10:wrap type="none"/>
                <v:fill o:detectmouseclick="t" type="solid" color2="#000092"/>
                <v:stroke color="#3465a4" joinstyle="round" endcap="flat"/>
              </v:roundrect>
            </w:pict>
          </mc:Fallback>
        </mc:AlternateContent>
      </w:r>
      <w:r>
        <w:rPr>
          <w:rFonts w:ascii="Times New Roman" w:hAnsi="Times New Roman"/>
          <w:b/>
          <w:bCs/>
          <w:sz w:val="18"/>
          <w:szCs w:val="18"/>
          <w:u w:val="single"/>
        </w:rPr>
        <w:t xml:space="preserve">Article 16 </w:t>
      </w:r>
    </w:p>
    <w:p>
      <w:pPr>
        <w:pStyle w:val="Normal"/>
        <w:spacing w:lineRule="auto" w:line="360"/>
        <w:jc w:val="both"/>
        <w:rPr>
          <w:sz w:val="18"/>
          <w:szCs w:val="18"/>
        </w:rPr>
      </w:pPr>
      <w:r>
        <w:rPr>
          <w:rFonts w:ascii="Times New Roman" w:hAnsi="Times New Roman"/>
          <w:sz w:val="18"/>
          <w:szCs w:val="18"/>
        </w:rPr>
        <w:t>Article 16 states that eac</w:t>
      </w:r>
      <w:r>
        <w:rPr>
          <w:rFonts w:ascii="Times New Roman" w:hAnsi="Times New Roman"/>
          <w:sz w:val="18"/>
          <w:szCs w:val="18"/>
        </w:rPr>
        <w:t>h child</w:t>
      </w:r>
      <w:r>
        <w:rPr>
          <w:rFonts w:ascii="Times New Roman" w:hAnsi="Times New Roman"/>
          <w:sz w:val="18"/>
          <w:szCs w:val="18"/>
        </w:rPr>
        <w:t xml:space="preserve"> </w:t>
      </w:r>
      <w:r>
        <w:rPr>
          <w:rFonts w:ascii="Times New Roman" w:hAnsi="Times New Roman"/>
          <w:sz w:val="18"/>
          <w:szCs w:val="18"/>
          <w:lang w:val="en-US"/>
        </w:rPr>
        <w:t>has the right to their privacy and the privacy of their family and home life. That no child will encounter interference or attacks on their reputation, and has the right of protection from the law is these attacks occur (Gillett-Swan, 2016).</w:t>
      </w:r>
    </w:p>
    <w:p>
      <w:pPr>
        <w:pStyle w:val="Normal"/>
        <w:numPr>
          <w:ilvl w:val="0"/>
          <w:numId w:val="3"/>
        </w:numPr>
        <w:spacing w:lineRule="auto" w:line="360"/>
        <w:jc w:val="both"/>
        <w:rPr>
          <w:sz w:val="18"/>
          <w:szCs w:val="18"/>
        </w:rPr>
      </w:pPr>
      <w:r>
        <w:rPr>
          <w:rFonts w:ascii="Times New Roman" w:hAnsi="Times New Roman"/>
          <w:sz w:val="18"/>
          <w:szCs w:val="18"/>
          <w:lang w:val="en-US"/>
        </w:rPr>
        <w:t xml:space="preserve">The National Day Nurseries Association (no date) tells us that a child and their family’s personal information must be protected under the General Data Protection Regulation law that came into force in May, 2018 (Gov, 2018). Settings need to inform the family what data they need to hold onto and what you intend to do with that data, you must get the consent from the family to hold data on their children. </w:t>
      </w:r>
    </w:p>
    <w:p>
      <w:pPr>
        <w:pStyle w:val="Normal"/>
        <w:numPr>
          <w:ilvl w:val="0"/>
          <w:numId w:val="3"/>
        </w:numPr>
        <w:spacing w:lineRule="auto" w:line="360"/>
        <w:jc w:val="both"/>
        <w:rPr>
          <w:sz w:val="18"/>
          <w:szCs w:val="18"/>
        </w:rPr>
      </w:pPr>
      <w:r>
        <w:rPr>
          <w:rFonts w:ascii="Times New Roman" w:hAnsi="Times New Roman"/>
          <w:sz w:val="18"/>
          <w:szCs w:val="18"/>
          <w:lang w:val="en-US"/>
        </w:rPr>
        <w:t xml:space="preserve">Practitioners in the setting must follow their confidentiality policies at all times, including not discussing children outside of the setting or with any other parent’s. Practitioners at times might need to share certain information with appropriate people. Multi-agency working is important to safeguard children and protect their well-being. (Gov, 2014) </w:t>
      </w:r>
      <w:r>
        <w:rPr>
          <w:rFonts w:ascii="Times New Roman" w:hAnsi="Times New Roman"/>
          <w:sz w:val="18"/>
          <w:szCs w:val="18"/>
          <w:lang w:val="en-US"/>
        </w:rPr>
        <w:t xml:space="preserve">The Foundation Phase Curriculum (2015) also states that all settings have a duty of care to safeguard children, and their welfare. </w:t>
      </w:r>
    </w:p>
    <w:p>
      <w:pPr>
        <w:pStyle w:val="Normal"/>
        <w:numPr>
          <w:ilvl w:val="0"/>
          <w:numId w:val="3"/>
        </w:numPr>
        <w:spacing w:lineRule="auto" w:line="360"/>
        <w:jc w:val="both"/>
        <w:rPr>
          <w:color w:val="auto"/>
          <w:sz w:val="18"/>
          <w:szCs w:val="18"/>
          <w:lang w:val="en-US"/>
        </w:rPr>
      </w:pPr>
      <w:r>
        <w:rPr>
          <w:color w:val="auto"/>
          <w:sz w:val="18"/>
          <w:szCs w:val="18"/>
          <w:lang w:val="en-US"/>
        </w:rPr>
        <w:t>Save the children (no date) organisation are committed to protecting and improving the lives of children, they offer help and support to vulnerable children, and help governments around the world reinforce their child protection system.</w:t>
      </w:r>
    </w:p>
    <w:p>
      <w:pPr>
        <w:pStyle w:val="Normal"/>
        <w:numPr>
          <w:ilvl w:val="0"/>
          <w:numId w:val="0"/>
        </w:numPr>
        <w:spacing w:lineRule="auto" w:line="360"/>
        <w:ind w:left="720" w:hanging="0"/>
        <w:jc w:val="both"/>
        <w:rPr/>
      </w:pPr>
      <w:r>
        <w:rPr>
          <w:color w:val="auto"/>
          <w:sz w:val="18"/>
          <w:szCs w:val="18"/>
          <w:lang w:val="en-US"/>
        </w:rPr>
      </w:r>
    </w:p>
    <w:p>
      <w:pPr>
        <w:pStyle w:val="Normal"/>
        <w:spacing w:lineRule="auto" w:line="360"/>
        <w:jc w:val="both"/>
        <w:rPr>
          <w:rFonts w:ascii="Times New Roman" w:hAnsi="Times New Roman"/>
          <w:sz w:val="18"/>
          <w:szCs w:val="18"/>
          <w:lang w:val="en-US"/>
        </w:rPr>
      </w:pPr>
      <w:r>
        <w:rPr>
          <w:rFonts w:ascii="Times New Roman" w:hAnsi="Times New Roman"/>
          <w:sz w:val="18"/>
          <w:szCs w:val="18"/>
          <w:lang w:val="en-US"/>
        </w:rPr>
        <mc:AlternateContent>
          <mc:Choice Requires="wps">
            <w:drawing>
              <wp:anchor behindDoc="1" distT="0" distB="0" distL="0" distR="0" simplePos="0" locked="0" layoutInCell="1" allowOverlap="1" relativeHeight="6">
                <wp:simplePos x="0" y="0"/>
                <wp:positionH relativeFrom="column">
                  <wp:posOffset>-182245</wp:posOffset>
                </wp:positionH>
                <wp:positionV relativeFrom="paragraph">
                  <wp:posOffset>61595</wp:posOffset>
                </wp:positionV>
                <wp:extent cx="6630035" cy="4290695"/>
                <wp:effectExtent l="0" t="0" r="0" b="0"/>
                <wp:wrapNone/>
                <wp:docPr id="5" name="Shape5"/>
                <a:graphic xmlns:a="http://schemas.openxmlformats.org/drawingml/2006/main">
                  <a:graphicData uri="http://schemas.microsoft.com/office/word/2010/wordprocessingShape">
                    <wps:wsp>
                      <wps:cNvSpPr/>
                      <wps:spPr>
                        <a:xfrm>
                          <a:off x="0" y="0"/>
                          <a:ext cx="6629400" cy="4290120"/>
                        </a:xfrm>
                        <a:custGeom>
                          <a:avLst/>
                          <a:gdLst/>
                          <a:ahLst/>
                          <a:rect l="0" t="0" r="r" b="b"/>
                          <a:pathLst>
                            <a:path w="10442" h="6758">
                              <a:moveTo>
                                <a:pt x="1126" y="0"/>
                              </a:moveTo>
                              <a:lnTo>
                                <a:pt x="1126" y="0"/>
                              </a:lnTo>
                              <a:cubicBezTo>
                                <a:pt x="928" y="0"/>
                                <a:pt x="734" y="52"/>
                                <a:pt x="563" y="151"/>
                              </a:cubicBezTo>
                              <a:cubicBezTo>
                                <a:pt x="392" y="250"/>
                                <a:pt x="250" y="392"/>
                                <a:pt x="151" y="563"/>
                              </a:cubicBezTo>
                              <a:cubicBezTo>
                                <a:pt x="52" y="734"/>
                                <a:pt x="0" y="928"/>
                                <a:pt x="0" y="1126"/>
                              </a:cubicBezTo>
                              <a:lnTo>
                                <a:pt x="0" y="5630"/>
                              </a:lnTo>
                              <a:lnTo>
                                <a:pt x="0" y="5631"/>
                              </a:lnTo>
                              <a:cubicBezTo>
                                <a:pt x="0" y="5829"/>
                                <a:pt x="52" y="6023"/>
                                <a:pt x="151" y="6194"/>
                              </a:cubicBezTo>
                              <a:cubicBezTo>
                                <a:pt x="250" y="6365"/>
                                <a:pt x="392" y="6507"/>
                                <a:pt x="563" y="6606"/>
                              </a:cubicBezTo>
                              <a:cubicBezTo>
                                <a:pt x="734" y="6705"/>
                                <a:pt x="928" y="6757"/>
                                <a:pt x="1126" y="6757"/>
                              </a:cubicBezTo>
                              <a:lnTo>
                                <a:pt x="9314" y="6757"/>
                              </a:lnTo>
                              <a:lnTo>
                                <a:pt x="9315" y="6757"/>
                              </a:lnTo>
                              <a:cubicBezTo>
                                <a:pt x="9513" y="6757"/>
                                <a:pt x="9707" y="6705"/>
                                <a:pt x="9878" y="6606"/>
                              </a:cubicBezTo>
                              <a:cubicBezTo>
                                <a:pt x="10049" y="6507"/>
                                <a:pt x="10191" y="6365"/>
                                <a:pt x="10290" y="6194"/>
                              </a:cubicBezTo>
                              <a:cubicBezTo>
                                <a:pt x="10389" y="6023"/>
                                <a:pt x="10441" y="5829"/>
                                <a:pt x="10441" y="5631"/>
                              </a:cubicBezTo>
                              <a:lnTo>
                                <a:pt x="10441" y="1126"/>
                              </a:lnTo>
                              <a:lnTo>
                                <a:pt x="10441" y="1126"/>
                              </a:lnTo>
                              <a:lnTo>
                                <a:pt x="10441" y="1126"/>
                              </a:lnTo>
                              <a:cubicBezTo>
                                <a:pt x="10441" y="928"/>
                                <a:pt x="10389" y="734"/>
                                <a:pt x="10290" y="563"/>
                              </a:cubicBezTo>
                              <a:cubicBezTo>
                                <a:pt x="10191" y="392"/>
                                <a:pt x="10049" y="250"/>
                                <a:pt x="9878" y="151"/>
                              </a:cubicBezTo>
                              <a:cubicBezTo>
                                <a:pt x="9707" y="52"/>
                                <a:pt x="9513" y="0"/>
                                <a:pt x="9315" y="0"/>
                              </a:cubicBezTo>
                              <a:lnTo>
                                <a:pt x="1126" y="0"/>
                              </a:lnTo>
                            </a:path>
                          </a:pathLst>
                        </a:custGeom>
                        <a:solidFill>
                          <a:srgbClr val="ffb66c"/>
                        </a:solidFill>
                        <a:ln>
                          <a:solidFill>
                            <a:srgbClr val="3465a4"/>
                          </a:solidFill>
                        </a:ln>
                      </wps:spPr>
                      <wps:style>
                        <a:lnRef idx="0"/>
                        <a:fillRef idx="0"/>
                        <a:effectRef idx="0"/>
                        <a:fontRef idx="minor"/>
                      </wps:style>
                      <wps:bodyPr/>
                    </wps:wsp>
                  </a:graphicData>
                </a:graphic>
              </wp:anchor>
            </w:drawing>
          </mc:Choice>
          <mc:Fallback>
            <w:pict>
              <v:roundrect id="shape_0" ID="Shape5" fillcolor="#ffb66c" stroked="t" style="position:absolute;margin-left:-14.35pt;margin-top:4.85pt;width:521.95pt;height:337.75pt">
                <w10:wrap type="none"/>
                <v:fill o:detectmouseclick="t" type="solid" color2="#004993"/>
                <v:stroke color="#3465a4" joinstyle="round" endcap="flat"/>
              </v:roundrect>
            </w:pict>
          </mc:Fallback>
        </mc:AlternateContent>
      </w:r>
    </w:p>
    <w:p>
      <w:pPr>
        <w:pStyle w:val="Normal"/>
        <w:spacing w:lineRule="auto" w:line="360"/>
        <w:jc w:val="center"/>
        <w:rPr>
          <w:rFonts w:ascii="Times New Roman" w:hAnsi="Times New Roman"/>
          <w:lang w:val="en-US"/>
        </w:rPr>
      </w:pPr>
      <w:r>
        <w:rPr>
          <w:rFonts w:ascii="Times New Roman" w:hAnsi="Times New Roman"/>
          <w:b/>
          <w:bCs/>
          <w:sz w:val="18"/>
          <w:szCs w:val="18"/>
          <w:u w:val="single"/>
          <w:lang w:val="en-US"/>
        </w:rPr>
        <w:t>Article 27</w:t>
      </w:r>
    </w:p>
    <w:p>
      <w:pPr>
        <w:pStyle w:val="Normal"/>
        <w:spacing w:lineRule="auto" w:line="360"/>
        <w:jc w:val="both"/>
        <w:rPr>
          <w:sz w:val="18"/>
          <w:szCs w:val="18"/>
        </w:rPr>
      </w:pPr>
      <w:r>
        <w:rPr>
          <w:rFonts w:ascii="Times New Roman" w:hAnsi="Times New Roman"/>
          <w:sz w:val="18"/>
          <w:szCs w:val="18"/>
          <w:lang w:val="en-US"/>
        </w:rPr>
        <w:t xml:space="preserve">Article 27 states that every child has the right to an adequate standard of living, provided by their parent’s or legal guardian, for the benefit of the child’s over all well-being and development. </w:t>
      </w:r>
    </w:p>
    <w:p>
      <w:pPr>
        <w:pStyle w:val="Normal"/>
        <w:spacing w:lineRule="auto" w:line="360"/>
        <w:jc w:val="both"/>
        <w:rPr>
          <w:sz w:val="18"/>
          <w:szCs w:val="18"/>
        </w:rPr>
      </w:pPr>
      <w:r>
        <w:rPr>
          <w:rFonts w:ascii="Times New Roman" w:hAnsi="Times New Roman"/>
          <w:sz w:val="18"/>
          <w:szCs w:val="18"/>
          <w:lang w:val="en-US"/>
        </w:rPr>
        <w:t>Professionals should support parent’s to provide this right, with providing support regarding, clothing, nutrition and housing (UNCRC, 2006).</w:t>
      </w:r>
    </w:p>
    <w:p>
      <w:pPr>
        <w:pStyle w:val="Normal"/>
        <w:numPr>
          <w:ilvl w:val="0"/>
          <w:numId w:val="4"/>
        </w:numPr>
        <w:spacing w:lineRule="auto" w:line="360"/>
        <w:jc w:val="both"/>
        <w:rPr>
          <w:sz w:val="18"/>
          <w:szCs w:val="18"/>
        </w:rPr>
      </w:pPr>
      <w:r>
        <w:rPr>
          <w:rFonts w:ascii="Times New Roman" w:hAnsi="Times New Roman"/>
          <w:sz w:val="18"/>
          <w:szCs w:val="18"/>
          <w:lang w:val="en-US"/>
        </w:rPr>
        <w:t xml:space="preserve">The Government plans to support parents and guardians where it is needed or wanted, they plan to do this by </w:t>
      </w:r>
      <w:r>
        <w:rPr>
          <w:rFonts w:ascii="Times New Roman" w:hAnsi="Times New Roman"/>
          <w:sz w:val="18"/>
          <w:szCs w:val="18"/>
          <w:lang w:val="en-US"/>
        </w:rPr>
        <w:t>offering</w:t>
      </w:r>
      <w:r>
        <w:rPr>
          <w:rFonts w:ascii="Times New Roman" w:hAnsi="Times New Roman"/>
          <w:sz w:val="18"/>
          <w:szCs w:val="18"/>
          <w:lang w:val="en-US"/>
        </w:rPr>
        <w:t xml:space="preserve"> support through universal services, this would include schools, health and social services and childcare, one of their schemes are the 30 hours free childcare scheme (Gov, 2019). The Every Child Matters (2003) document, has five specific outcomes for children, they are to be healthy, to be safe, to enjoy and to achieve, to make a positive contribution to their community and economic well-being. This is also supported by the foundation phase (2015)</w:t>
      </w:r>
    </w:p>
    <w:p>
      <w:pPr>
        <w:pStyle w:val="Normal"/>
        <w:numPr>
          <w:ilvl w:val="0"/>
          <w:numId w:val="4"/>
        </w:numPr>
        <w:spacing w:lineRule="auto" w:line="360"/>
        <w:jc w:val="both"/>
        <w:rPr>
          <w:rFonts w:ascii="Times New Roman" w:hAnsi="Times New Roman"/>
          <w:sz w:val="18"/>
          <w:szCs w:val="18"/>
          <w:lang w:val="en-US"/>
        </w:rPr>
      </w:pPr>
      <w:r>
        <w:rPr>
          <w:rFonts w:ascii="Times New Roman" w:hAnsi="Times New Roman"/>
          <w:sz w:val="18"/>
          <w:szCs w:val="18"/>
          <w:lang w:val="en-US"/>
        </w:rPr>
        <w:t xml:space="preserve">PaCE (2019) is a government scheme that encourages parent’s to better themselves, giving incentives back to work and helping fund childcare to help parent’s back into education. This will benefit their children in the long run, providing them with employable skills, improving their financial </w:t>
      </w:r>
      <w:r>
        <w:rPr>
          <w:rFonts w:ascii="Times New Roman" w:hAnsi="Times New Roman"/>
          <w:sz w:val="18"/>
          <w:szCs w:val="18"/>
          <w:lang w:val="en-US"/>
        </w:rPr>
        <w:t>situation</w:t>
      </w:r>
      <w:r>
        <w:rPr>
          <w:rFonts w:ascii="Times New Roman" w:hAnsi="Times New Roman"/>
          <w:sz w:val="18"/>
          <w:szCs w:val="18"/>
          <w:lang w:val="en-US"/>
        </w:rPr>
        <w:t xml:space="preserve">. </w:t>
      </w:r>
    </w:p>
    <w:p>
      <w:pPr>
        <w:pStyle w:val="Normal"/>
        <w:numPr>
          <w:ilvl w:val="0"/>
          <w:numId w:val="4"/>
        </w:numPr>
        <w:spacing w:lineRule="auto" w:line="360"/>
        <w:jc w:val="both"/>
        <w:rPr>
          <w:rFonts w:ascii="Times New Roman" w:hAnsi="Times New Roman"/>
          <w:sz w:val="18"/>
          <w:szCs w:val="18"/>
          <w:lang w:val="en-US"/>
        </w:rPr>
      </w:pPr>
      <w:r>
        <w:rPr>
          <w:rFonts w:ascii="Times New Roman" w:hAnsi="Times New Roman"/>
          <w:sz w:val="18"/>
          <w:szCs w:val="18"/>
          <w:lang w:val="en-US"/>
        </w:rPr>
        <w:t xml:space="preserve">The Welsh Government offer a variety of schemes to ensure that all children have the best possible start in life. The first is the Flying Start initiative (no date) which provides support for families in deprived areas, offering the child the best start in life, through free part time childcare, increased health visiting service, various types of parental support, and speech and language therapy. </w:t>
      </w:r>
      <w:r>
        <w:rPr>
          <w:rFonts w:ascii="Times New Roman" w:hAnsi="Times New Roman"/>
          <w:sz w:val="18"/>
          <w:szCs w:val="18"/>
          <w:lang w:val="en-US"/>
        </w:rPr>
        <w:t>The Free School Meals service is also provided to low income families to ensure that children have a hot nutritious meal at school (Welsh Government, no date).</w:t>
      </w:r>
    </w:p>
    <w:p>
      <w:pPr>
        <w:pStyle w:val="Normal"/>
        <w:numPr>
          <w:ilvl w:val="0"/>
          <w:numId w:val="4"/>
        </w:numPr>
        <w:spacing w:lineRule="auto" w:line="360"/>
        <w:jc w:val="both"/>
        <w:rPr>
          <w:sz w:val="18"/>
          <w:szCs w:val="18"/>
        </w:rPr>
      </w:pPr>
      <w:r>
        <w:rPr>
          <w:rFonts w:ascii="Times New Roman" w:hAnsi="Times New Roman"/>
          <w:sz w:val="18"/>
          <w:szCs w:val="18"/>
          <w:lang w:val="en-US"/>
        </w:rPr>
        <w:t xml:space="preserve">Designed to smile, is a Welsh Government program in partnership with the NHS to improve children’s oral health across the nation. They visit school across the nation to provide information about the importance of teeth brushing and fluoride varnishing to children. </w:t>
      </w:r>
    </w:p>
    <w:p>
      <w:pPr>
        <w:pStyle w:val="Normal"/>
        <w:spacing w:lineRule="auto" w:line="360"/>
        <w:jc w:val="both"/>
        <w:rPr>
          <w:rFonts w:ascii="Times New Roman" w:hAnsi="Times New Roman"/>
          <w:sz w:val="18"/>
          <w:szCs w:val="18"/>
          <w:lang w:val="en-US"/>
        </w:rPr>
      </w:pPr>
      <w:r>
        <w:rPr>
          <w:rFonts w:ascii="Times New Roman" w:hAnsi="Times New Roman"/>
          <w:sz w:val="18"/>
          <w:szCs w:val="18"/>
          <w:lang w:val="en-US"/>
        </w:rPr>
        <mc:AlternateContent>
          <mc:Choice Requires="wps">
            <w:drawing>
              <wp:anchor behindDoc="1" distT="0" distB="0" distL="0" distR="0" simplePos="0" locked="0" layoutInCell="1" allowOverlap="1" relativeHeight="7">
                <wp:simplePos x="0" y="0"/>
                <wp:positionH relativeFrom="column">
                  <wp:posOffset>-83185</wp:posOffset>
                </wp:positionH>
                <wp:positionV relativeFrom="paragraph">
                  <wp:posOffset>127635</wp:posOffset>
                </wp:positionV>
                <wp:extent cx="6348095" cy="1148080"/>
                <wp:effectExtent l="0" t="0" r="0" b="0"/>
                <wp:wrapNone/>
                <wp:docPr id="6" name="Shape6"/>
                <a:graphic xmlns:a="http://schemas.openxmlformats.org/drawingml/2006/main">
                  <a:graphicData uri="http://schemas.microsoft.com/office/word/2010/wordprocessingShape">
                    <wps:wsp>
                      <wps:cNvSpPr/>
                      <wps:spPr>
                        <a:xfrm>
                          <a:off x="0" y="0"/>
                          <a:ext cx="6347520" cy="1147320"/>
                        </a:xfrm>
                        <a:custGeom>
                          <a:avLst/>
                          <a:gdLst/>
                          <a:ahLst/>
                          <a:rect l="0" t="0" r="r" b="b"/>
                          <a:pathLst>
                            <a:path w="9998" h="1809">
                              <a:moveTo>
                                <a:pt x="301" y="0"/>
                              </a:moveTo>
                              <a:lnTo>
                                <a:pt x="301" y="0"/>
                              </a:lnTo>
                              <a:cubicBezTo>
                                <a:pt x="248" y="0"/>
                                <a:pt x="196" y="14"/>
                                <a:pt x="151" y="40"/>
                              </a:cubicBezTo>
                              <a:cubicBezTo>
                                <a:pt x="105" y="67"/>
                                <a:pt x="67" y="105"/>
                                <a:pt x="40" y="151"/>
                              </a:cubicBezTo>
                              <a:cubicBezTo>
                                <a:pt x="14" y="196"/>
                                <a:pt x="0" y="248"/>
                                <a:pt x="0" y="301"/>
                              </a:cubicBezTo>
                              <a:lnTo>
                                <a:pt x="0" y="1506"/>
                              </a:lnTo>
                              <a:lnTo>
                                <a:pt x="0" y="1507"/>
                              </a:lnTo>
                              <a:cubicBezTo>
                                <a:pt x="0" y="1560"/>
                                <a:pt x="14" y="1612"/>
                                <a:pt x="40" y="1657"/>
                              </a:cubicBezTo>
                              <a:cubicBezTo>
                                <a:pt x="67" y="1703"/>
                                <a:pt x="105" y="1741"/>
                                <a:pt x="151" y="1768"/>
                              </a:cubicBezTo>
                              <a:cubicBezTo>
                                <a:pt x="196" y="1794"/>
                                <a:pt x="248" y="1808"/>
                                <a:pt x="301" y="1808"/>
                              </a:cubicBezTo>
                              <a:lnTo>
                                <a:pt x="9695" y="1807"/>
                              </a:lnTo>
                              <a:lnTo>
                                <a:pt x="9696" y="1808"/>
                              </a:lnTo>
                              <a:cubicBezTo>
                                <a:pt x="9749" y="1808"/>
                                <a:pt x="9801" y="1794"/>
                                <a:pt x="9846" y="1768"/>
                              </a:cubicBezTo>
                              <a:cubicBezTo>
                                <a:pt x="9892" y="1741"/>
                                <a:pt x="9930" y="1703"/>
                                <a:pt x="9957" y="1657"/>
                              </a:cubicBezTo>
                              <a:cubicBezTo>
                                <a:pt x="9983" y="1612"/>
                                <a:pt x="9997" y="1560"/>
                                <a:pt x="9997" y="1507"/>
                              </a:cubicBezTo>
                              <a:lnTo>
                                <a:pt x="9997" y="301"/>
                              </a:lnTo>
                              <a:lnTo>
                                <a:pt x="9997" y="301"/>
                              </a:lnTo>
                              <a:lnTo>
                                <a:pt x="9997" y="301"/>
                              </a:lnTo>
                              <a:cubicBezTo>
                                <a:pt x="9997" y="248"/>
                                <a:pt x="9983" y="196"/>
                                <a:pt x="9957" y="151"/>
                              </a:cubicBezTo>
                              <a:cubicBezTo>
                                <a:pt x="9930" y="105"/>
                                <a:pt x="9892" y="67"/>
                                <a:pt x="9846" y="40"/>
                              </a:cubicBezTo>
                              <a:cubicBezTo>
                                <a:pt x="9801" y="14"/>
                                <a:pt x="9749" y="0"/>
                                <a:pt x="9696" y="0"/>
                              </a:cubicBezTo>
                              <a:lnTo>
                                <a:pt x="301" y="0"/>
                              </a:lnTo>
                            </a:path>
                          </a:pathLst>
                        </a:custGeom>
                        <a:solidFill>
                          <a:srgbClr val="d4ea6b"/>
                        </a:solidFill>
                        <a:ln>
                          <a:solidFill>
                            <a:srgbClr val="3465a4"/>
                          </a:solidFill>
                        </a:ln>
                      </wps:spPr>
                      <wps:style>
                        <a:lnRef idx="0"/>
                        <a:fillRef idx="0"/>
                        <a:effectRef idx="0"/>
                        <a:fontRef idx="minor"/>
                      </wps:style>
                      <wps:bodyPr/>
                    </wps:wsp>
                  </a:graphicData>
                </a:graphic>
              </wp:anchor>
            </w:drawing>
          </mc:Choice>
          <mc:Fallback>
            <w:pict>
              <v:roundrect id="shape_0" ID="Shape6" fillcolor="#d4ea6b" stroked="t" style="position:absolute;margin-left:-6.55pt;margin-top:10.05pt;width:499.75pt;height:90.3pt">
                <w10:wrap type="none"/>
                <v:fill o:detectmouseclick="t" type="solid" color2="#2b1594"/>
                <v:stroke color="#3465a4" joinstyle="round" endcap="flat"/>
              </v:roundrect>
            </w:pict>
          </mc:Fallback>
        </mc:AlternateContent>
      </w:r>
    </w:p>
    <w:p>
      <w:pPr>
        <w:pStyle w:val="Normal"/>
        <w:spacing w:lineRule="auto" w:line="360"/>
        <w:jc w:val="both"/>
        <w:rPr>
          <w:rFonts w:ascii="Times New Roman" w:hAnsi="Times New Roman"/>
          <w:lang w:val="en-US"/>
        </w:rPr>
      </w:pPr>
      <w:r>
        <w:rPr>
          <w:rFonts w:ascii="Times New Roman" w:hAnsi="Times New Roman"/>
          <w:sz w:val="18"/>
          <w:szCs w:val="18"/>
          <w:lang w:val="en-US"/>
        </w:rPr>
        <w:t xml:space="preserve">To conclude it is clear that the best interests of the child is the factor in each article of the UNCRC (2006). Listening to the voice of the child is the highest importance of respecting children’s individual rights. Practitioners must consider the views and needs of all children in their setting, ensuring their privacy and safety. Practitioners must also, observe and plan accordingly to meet the specific needs of the child, using national frameworks such as the Foundation Phase Curriculum (2015) ensuring that all children in their setting are given the best opportunity to grow and develop. </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u w:val="single"/>
          <w:lang w:val="en-US"/>
        </w:rPr>
      </w:pPr>
      <w:r>
        <w:rPr/>
      </w:r>
    </w:p>
    <w:p>
      <w:pPr>
        <w:pStyle w:val="Normal"/>
        <w:spacing w:lineRule="auto" w:line="360"/>
        <w:jc w:val="both"/>
        <w:rPr>
          <w:rFonts w:ascii="Times New Roman" w:hAnsi="Times New Roman"/>
          <w:u w:val="single"/>
          <w:lang w:val="en-US"/>
        </w:rPr>
      </w:pPr>
      <w:r>
        <w:rPr>
          <w:rFonts w:ascii="Times New Roman" w:hAnsi="Times New Roman"/>
          <w:u w:val="single"/>
          <w:lang w:val="en-US"/>
        </w:rPr>
        <w:t>Reference list – Briefing Paper</w:t>
      </w:r>
    </w:p>
    <w:p>
      <w:pPr>
        <w:pStyle w:val="Normal"/>
        <w:spacing w:lineRule="auto" w:line="360"/>
        <w:jc w:val="both"/>
        <w:rPr>
          <w:rFonts w:ascii="Times New Roman" w:hAnsi="Times New Roman"/>
          <w:u w:val="single"/>
          <w:lang w:val="en-US"/>
        </w:rPr>
      </w:pPr>
      <w:r>
        <w:rPr>
          <w:rFonts w:ascii="Times New Roman" w:hAnsi="Times New Roman"/>
          <w:u w:val="single"/>
          <w:lang w:val="en-US"/>
        </w:rPr>
      </w:r>
    </w:p>
    <w:p>
      <w:pPr>
        <w:pStyle w:val="Normal"/>
        <w:spacing w:lineRule="auto" w:line="360"/>
        <w:jc w:val="both"/>
        <w:rPr/>
      </w:pPr>
      <w:r>
        <w:rPr>
          <w:rFonts w:ascii="Times New Roman" w:hAnsi="Times New Roman"/>
          <w:lang w:val="en-US"/>
        </w:rPr>
        <w:t xml:space="preserve">Age of Montessori (2019) </w:t>
      </w:r>
      <w:r>
        <w:rPr>
          <w:rFonts w:ascii="Times New Roman" w:hAnsi="Times New Roman"/>
          <w:i/>
          <w:iCs/>
          <w:lang w:val="en-US"/>
        </w:rPr>
        <w:t xml:space="preserve">What is the Montessori Method. </w:t>
      </w:r>
      <w:r>
        <w:rPr>
          <w:rFonts w:ascii="Times New Roman" w:hAnsi="Times New Roman"/>
          <w:lang w:val="en-US"/>
        </w:rPr>
        <w:t xml:space="preserve">Available at: </w:t>
      </w:r>
      <w:hyperlink r:id="rId2">
        <w:r>
          <w:rPr>
            <w:rStyle w:val="InternetLink"/>
            <w:rFonts w:ascii="Times New Roman" w:hAnsi="Times New Roman"/>
            <w:lang w:val="en-US"/>
          </w:rPr>
          <w:t>http://ageofmontessori.org/montessori-method/</w:t>
        </w:r>
      </w:hyperlink>
      <w:r>
        <w:rPr>
          <w:rFonts w:ascii="Times New Roman" w:hAnsi="Times New Roman"/>
          <w:lang w:val="en-US"/>
        </w:rPr>
        <w:t xml:space="preserve"> (Accessed on: 26</w:t>
      </w:r>
      <w:r>
        <w:rPr>
          <w:rFonts w:ascii="Times New Roman" w:hAnsi="Times New Roman"/>
          <w:vertAlign w:val="superscript"/>
          <w:lang w:val="en-US"/>
        </w:rPr>
        <w:t>th</w:t>
      </w:r>
      <w:r>
        <w:rPr>
          <w:rFonts w:ascii="Times New Roman" w:hAnsi="Times New Roman"/>
          <w:lang w:val="en-US"/>
        </w:rPr>
        <w:t xml:space="preserve"> October 2019).</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lang w:val="en-US"/>
        </w:rPr>
        <w:t>Bernard Van Leer Foundation</w:t>
      </w:r>
      <w:r>
        <w:rPr>
          <w:rFonts w:ascii="Times New Roman" w:hAnsi="Times New Roman"/>
          <w:i/>
          <w:iCs/>
          <w:lang w:val="en-US"/>
        </w:rPr>
        <w:t xml:space="preserve"> (2006) Implementing Child Rights in Early Childhood. Available at:</w:t>
      </w:r>
      <w:r>
        <w:rPr>
          <w:rFonts w:ascii="Times New Roman" w:hAnsi="Times New Roman"/>
          <w:lang w:val="en-US"/>
        </w:rPr>
        <w:t xml:space="preserve"> </w:t>
      </w:r>
      <w:hyperlink r:id="rId3">
        <w:r>
          <w:rPr>
            <w:rStyle w:val="InternetLink"/>
            <w:rFonts w:ascii="Times New Roman" w:hAnsi="Times New Roman"/>
            <w:lang w:val="en-US"/>
          </w:rPr>
          <w:t>https://www.unicef.org/earlychildhood/files/Guide_to_GC7.pdf</w:t>
        </w:r>
      </w:hyperlink>
      <w:r>
        <w:rPr>
          <w:rFonts w:ascii="Times New Roman" w:hAnsi="Times New Roman"/>
          <w:lang w:val="en-US"/>
        </w:rPr>
        <w:t xml:space="preserve"> (Accessed: 14</w:t>
      </w:r>
      <w:r>
        <w:rPr>
          <w:rFonts w:ascii="Times New Roman" w:hAnsi="Times New Roman"/>
          <w:vertAlign w:val="superscript"/>
          <w:lang w:val="en-US"/>
        </w:rPr>
        <w:t>th</w:t>
      </w:r>
      <w:r>
        <w:rPr>
          <w:rFonts w:ascii="Times New Roman" w:hAnsi="Times New Roman"/>
          <w:lang w:val="en-US"/>
        </w:rPr>
        <w:t xml:space="preserve"> October 2019). </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lang w:val="en-US"/>
        </w:rPr>
        <w:t xml:space="preserve">Child Commissioner Wales (2017) </w:t>
      </w:r>
      <w:r>
        <w:rPr>
          <w:rFonts w:ascii="Times New Roman" w:hAnsi="Times New Roman"/>
          <w:i/>
          <w:iCs/>
          <w:lang w:val="en-US"/>
        </w:rPr>
        <w:t>The Right Way: A Children’s Rights Approach in Wales.</w:t>
      </w:r>
      <w:r>
        <w:rPr>
          <w:rFonts w:ascii="Times New Roman" w:hAnsi="Times New Roman"/>
          <w:lang w:val="en-US"/>
        </w:rPr>
        <w:t xml:space="preserve"> Available at:  </w:t>
      </w:r>
      <w:hyperlink r:id="rId4">
        <w:r>
          <w:rPr>
            <w:rStyle w:val="InternetLink"/>
            <w:rFonts w:ascii="Times New Roman" w:hAnsi="Times New Roman"/>
          </w:rPr>
          <w:t>https://www.childcomwales.org.uk/wp-content/uploads/2017/04/The-Right-Way.pdf</w:t>
        </w:r>
      </w:hyperlink>
      <w:r>
        <w:rPr>
          <w:rStyle w:val="InternetLink"/>
          <w:rFonts w:ascii="Times New Roman" w:hAnsi="Times New Roman"/>
        </w:rPr>
        <w:t xml:space="preserve"> </w:t>
      </w:r>
      <w:r>
        <w:rPr>
          <w:rStyle w:val="InternetLink"/>
          <w:rFonts w:ascii="Times New Roman" w:hAnsi="Times New Roman"/>
          <w:color w:val="auto"/>
          <w:u w:val="none"/>
        </w:rPr>
        <w:t>(</w:t>
      </w:r>
      <w:r>
        <w:rPr>
          <w:rStyle w:val="InternetLink"/>
          <w:rFonts w:ascii="Times New Roman" w:hAnsi="Times New Roman"/>
          <w:color w:val="auto"/>
          <w:u w:val="none"/>
          <w:lang w:val="en-US"/>
        </w:rPr>
        <w:t>Accessed: 26</w:t>
      </w:r>
      <w:r>
        <w:rPr>
          <w:rStyle w:val="InternetLink"/>
          <w:rFonts w:ascii="Times New Roman" w:hAnsi="Times New Roman"/>
          <w:color w:val="auto"/>
          <w:u w:val="none"/>
          <w:vertAlign w:val="superscript"/>
          <w:lang w:val="en-US"/>
        </w:rPr>
        <w:t>th</w:t>
      </w:r>
      <w:r>
        <w:rPr>
          <w:rStyle w:val="InternetLink"/>
          <w:rFonts w:ascii="Times New Roman" w:hAnsi="Times New Roman"/>
          <w:color w:val="auto"/>
          <w:u w:val="none"/>
          <w:lang w:val="en-US"/>
        </w:rPr>
        <w:t xml:space="preserve"> October 2019).</w:t>
      </w:r>
    </w:p>
    <w:p>
      <w:pPr>
        <w:pStyle w:val="Normal"/>
        <w:spacing w:lineRule="auto" w:line="360"/>
        <w:jc w:val="both"/>
        <w:rPr>
          <w:rStyle w:val="InternetLink"/>
          <w:rFonts w:ascii="Times New Roman" w:hAnsi="Times New Roman"/>
          <w:color w:val="auto"/>
          <w:u w:val="none"/>
          <w:lang w:val="en-US"/>
        </w:rPr>
      </w:pPr>
      <w:r>
        <w:rPr/>
      </w:r>
    </w:p>
    <w:p>
      <w:pPr>
        <w:pStyle w:val="Normal"/>
        <w:spacing w:lineRule="auto" w:line="360"/>
        <w:jc w:val="both"/>
        <w:rPr/>
      </w:pPr>
      <w:r>
        <w:rPr>
          <w:rStyle w:val="InternetLink"/>
          <w:rFonts w:ascii="Times New Roman" w:hAnsi="Times New Roman"/>
          <w:color w:val="auto"/>
          <w:u w:val="none"/>
          <w:lang w:val="en-US"/>
        </w:rPr>
        <w:t xml:space="preserve">Designed to Smile (2019) </w:t>
      </w:r>
      <w:r>
        <w:rPr>
          <w:rStyle w:val="InternetLink"/>
          <w:rFonts w:ascii="Times New Roman" w:hAnsi="Times New Roman"/>
          <w:i/>
          <w:iCs/>
          <w:color w:val="auto"/>
          <w:u w:val="none"/>
          <w:lang w:val="en-US"/>
        </w:rPr>
        <w:t>Flouride Varnish – Designed to Smile.</w:t>
      </w:r>
      <w:r>
        <w:rPr>
          <w:rStyle w:val="InternetLink"/>
          <w:rFonts w:ascii="Times New Roman" w:hAnsi="Times New Roman"/>
          <w:color w:val="auto"/>
          <w:u w:val="none"/>
          <w:lang w:val="en-US"/>
        </w:rPr>
        <w:t xml:space="preserve"> Available at: </w:t>
      </w:r>
      <w:hyperlink r:id="rId5">
        <w:r>
          <w:rPr>
            <w:rStyle w:val="InternetLink"/>
            <w:rFonts w:ascii="Times New Roman" w:hAnsi="Times New Roman"/>
            <w:color w:val="auto"/>
            <w:u w:val="none"/>
            <w:lang w:val="en-US"/>
          </w:rPr>
          <w:t>http://www.designedtosmile.org/info/fluoride-varnish/</w:t>
        </w:r>
      </w:hyperlink>
      <w:r>
        <w:rPr>
          <w:rStyle w:val="InternetLink"/>
          <w:rFonts w:ascii="Times New Roman" w:hAnsi="Times New Roman"/>
          <w:color w:val="auto"/>
          <w:u w:val="none"/>
          <w:lang w:val="en-US"/>
        </w:rPr>
        <w:t xml:space="preserve"> (Accessed: 28</w:t>
      </w:r>
      <w:r>
        <w:rPr>
          <w:rStyle w:val="InternetLink"/>
          <w:rFonts w:ascii="Times New Roman" w:hAnsi="Times New Roman"/>
          <w:color w:val="auto"/>
          <w:u w:val="none"/>
          <w:vertAlign w:val="superscript"/>
          <w:lang w:val="en-US"/>
        </w:rPr>
        <w:t>th</w:t>
      </w:r>
      <w:r>
        <w:rPr>
          <w:rStyle w:val="InternetLink"/>
          <w:rFonts w:ascii="Times New Roman" w:hAnsi="Times New Roman"/>
          <w:color w:val="auto"/>
          <w:u w:val="none"/>
          <w:lang w:val="en-US"/>
        </w:rPr>
        <w:t xml:space="preserve"> October 2019).</w:t>
      </w:r>
    </w:p>
    <w:p>
      <w:pPr>
        <w:pStyle w:val="Normal"/>
        <w:spacing w:lineRule="auto" w:line="360"/>
        <w:jc w:val="both"/>
        <w:rPr>
          <w:rStyle w:val="InternetLink"/>
          <w:rFonts w:ascii="Helvetica Neue;Helvetica" w:hAnsi="Helvetica Neue;Helvetica"/>
          <w:b w:val="false"/>
          <w:i w:val="false"/>
          <w:caps w:val="false"/>
          <w:smallCaps w:val="false"/>
          <w:strike w:val="false"/>
          <w:dstrike w:val="false"/>
          <w:spacing w:val="0"/>
          <w:sz w:val="19"/>
          <w:highlight w:val="yellow"/>
          <w:effect w:val="none"/>
          <w:lang w:val="en-US"/>
        </w:rPr>
      </w:pPr>
      <w:r>
        <w:rPr>
          <w:rFonts w:ascii="Times New Roman" w:hAnsi="Times New Roman"/>
          <w:color w:val="auto"/>
          <w:u w:val="none"/>
          <w:lang w:val="en-US"/>
        </w:rPr>
      </w:r>
    </w:p>
    <w:p>
      <w:pPr>
        <w:pStyle w:val="Normal"/>
        <w:spacing w:lineRule="auto" w:line="360"/>
        <w:jc w:val="both"/>
        <w:rPr>
          <w:rFonts w:ascii="Times New Roman" w:hAnsi="Times New Roman"/>
          <w:lang w:val="en-US"/>
        </w:rPr>
      </w:pPr>
      <w:r>
        <w:rPr>
          <w:rFonts w:ascii="Times New Roman" w:hAnsi="Times New Roman"/>
          <w:lang w:val="en-US"/>
        </w:rPr>
        <w:t xml:space="preserve">Gillett-Swan, J and Coppock, V,. (2016) </w:t>
      </w:r>
      <w:r>
        <w:rPr>
          <w:rFonts w:ascii="Times New Roman" w:hAnsi="Times New Roman"/>
          <w:i/>
          <w:iCs/>
          <w:lang w:val="en-US"/>
        </w:rPr>
        <w:t>Children's Rights, Educational Research and the UNCRC: past, present and future.</w:t>
      </w:r>
      <w:r>
        <w:rPr>
          <w:rFonts w:ascii="Times New Roman" w:hAnsi="Times New Roman"/>
          <w:lang w:val="en-US"/>
        </w:rPr>
        <w:t xml:space="preserve"> London: United Kingdom.</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t xml:space="preserve">Elfer, P., Goldschmeid, E., and Selleck, D. (2003) </w:t>
      </w:r>
      <w:r>
        <w:rPr>
          <w:rFonts w:ascii="Times New Roman" w:hAnsi="Times New Roman"/>
          <w:i/>
          <w:iCs/>
          <w:lang w:val="en-US"/>
        </w:rPr>
        <w:t>Key Persons In The Early Years: Building Relationships For Quality Provision In Early Years Setting And Primary Schools.</w:t>
      </w:r>
      <w:r>
        <w:rPr>
          <w:rFonts w:ascii="Times New Roman" w:hAnsi="Times New Roman"/>
          <w:lang w:val="en-US"/>
        </w:rPr>
        <w:t xml:space="preserve"> London: Routledge.</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lang w:val="en-US"/>
        </w:rPr>
        <w:t xml:space="preserve">Gov,. (2003) </w:t>
      </w:r>
      <w:r>
        <w:rPr>
          <w:rFonts w:ascii="Times New Roman" w:hAnsi="Times New Roman"/>
          <w:i/>
          <w:iCs/>
          <w:lang w:val="en-US"/>
        </w:rPr>
        <w:t>Every Child Matters.</w:t>
      </w:r>
      <w:r>
        <w:rPr>
          <w:rFonts w:ascii="Times New Roman" w:hAnsi="Times New Roman"/>
          <w:lang w:val="en-US"/>
        </w:rPr>
        <w:t xml:space="preserve"> Available at: </w:t>
      </w:r>
      <w:hyperlink r:id="rId6">
        <w:r>
          <w:rPr>
            <w:rStyle w:val="InternetLink"/>
            <w:rFonts w:ascii="Times New Roman" w:hAnsi="Times New Roman"/>
            <w:lang w:val="en-US"/>
          </w:rPr>
          <w:t>https://assets.publishing.service.gov.uk/government/uploads/system/uploads/attachment_data/file/272064/5860.pdf</w:t>
        </w:r>
      </w:hyperlink>
      <w:r>
        <w:rPr>
          <w:rFonts w:ascii="Times New Roman" w:hAnsi="Times New Roman"/>
          <w:lang w:val="en-US"/>
        </w:rPr>
        <w:t xml:space="preserve"> (Accessed: 19</w:t>
      </w:r>
      <w:r>
        <w:rPr>
          <w:rFonts w:ascii="Times New Roman" w:hAnsi="Times New Roman"/>
          <w:vertAlign w:val="superscript"/>
          <w:lang w:val="en-US"/>
        </w:rPr>
        <w:t>th</w:t>
      </w:r>
      <w:r>
        <w:rPr>
          <w:rFonts w:ascii="Times New Roman" w:hAnsi="Times New Roman"/>
          <w:lang w:val="en-US"/>
        </w:rPr>
        <w:t xml:space="preserve"> October 2019).</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lang w:val="en-US"/>
        </w:rPr>
        <w:t>Gov. (2017)</w:t>
      </w:r>
      <w:r>
        <w:rPr>
          <w:rFonts w:ascii="Times New Roman" w:hAnsi="Times New Roman"/>
          <w:i/>
          <w:iCs/>
          <w:lang w:val="en-US"/>
        </w:rPr>
        <w:t xml:space="preserve"> Guide to the General Date Protection Regulation (GDPR). </w:t>
      </w:r>
      <w:r>
        <w:rPr>
          <w:rFonts w:ascii="Times New Roman" w:hAnsi="Times New Roman"/>
          <w:lang w:val="en-US"/>
        </w:rPr>
        <w:t xml:space="preserve">Available at: </w:t>
      </w:r>
      <w:hyperlink r:id="rId7">
        <w:r>
          <w:rPr>
            <w:rStyle w:val="InternetLink"/>
            <w:rFonts w:ascii="Times New Roman" w:hAnsi="Times New Roman"/>
            <w:lang w:val="en-US"/>
          </w:rPr>
          <w:t>https://assets.publishing.service.gov.uk/government/uploads/system/uploads/attachment_data/file/711097/guide-to-the-general-data-protection-regulation-gdpr-1-0.pdf</w:t>
        </w:r>
      </w:hyperlink>
      <w:r>
        <w:rPr>
          <w:rFonts w:ascii="Times New Roman" w:hAnsi="Times New Roman"/>
          <w:lang w:val="en-US"/>
        </w:rPr>
        <w:t xml:space="preserve"> (Accessed: 25</w:t>
      </w:r>
      <w:r>
        <w:rPr>
          <w:rFonts w:ascii="Times New Roman" w:hAnsi="Times New Roman"/>
          <w:vertAlign w:val="superscript"/>
          <w:lang w:val="en-US"/>
        </w:rPr>
        <w:t>th</w:t>
      </w:r>
      <w:r>
        <w:rPr>
          <w:rFonts w:ascii="Times New Roman" w:hAnsi="Times New Roman"/>
          <w:lang w:val="en-US"/>
        </w:rPr>
        <w:t xml:space="preserve"> October 2019).</w:t>
      </w:r>
    </w:p>
    <w:p>
      <w:pPr>
        <w:pStyle w:val="Normal"/>
        <w:spacing w:lineRule="auto" w:line="360"/>
        <w:jc w:val="both"/>
        <w:rPr/>
      </w:pPr>
      <w:r>
        <w:rPr/>
      </w:r>
    </w:p>
    <w:p>
      <w:pPr>
        <w:pStyle w:val="Normal"/>
        <w:spacing w:lineRule="auto" w:line="360"/>
        <w:jc w:val="both"/>
        <w:rPr/>
      </w:pPr>
      <w:r>
        <w:rPr>
          <w:rFonts w:ascii="Times New Roman" w:hAnsi="Times New Roman"/>
          <w:lang w:val="en-US"/>
        </w:rPr>
        <w:t>Gov. (2014)</w:t>
      </w:r>
      <w:r>
        <w:rPr>
          <w:rFonts w:ascii="Times New Roman" w:hAnsi="Times New Roman"/>
          <w:i/>
          <w:iCs/>
          <w:lang w:val="en-US"/>
        </w:rPr>
        <w:t xml:space="preserve"> Multi Agency Working and Information Sharing Project: Final Report.</w:t>
      </w:r>
      <w:r>
        <w:rPr>
          <w:rFonts w:ascii="Times New Roman" w:hAnsi="Times New Roman"/>
          <w:lang w:val="en-US"/>
        </w:rPr>
        <w:t xml:space="preserve"> Available at: </w:t>
      </w:r>
      <w:hyperlink r:id="rId8">
        <w:r>
          <w:rPr>
            <w:rStyle w:val="InternetLink"/>
            <w:rFonts w:ascii="Times New Roman" w:hAnsi="Times New Roman"/>
            <w:lang w:val="en-US"/>
          </w:rPr>
          <w:t>https://assets.publishing.service.gov.uk/government/uploads/system/uploads/attachment_data/file/338875/MASH.pdf</w:t>
        </w:r>
      </w:hyperlink>
      <w:r>
        <w:rPr>
          <w:rFonts w:ascii="Times New Roman" w:hAnsi="Times New Roman"/>
          <w:lang w:val="en-US"/>
        </w:rPr>
        <w:t xml:space="preserve"> (Accessed: 25</w:t>
      </w:r>
      <w:r>
        <w:rPr>
          <w:rFonts w:ascii="Times New Roman" w:hAnsi="Times New Roman"/>
          <w:vertAlign w:val="superscript"/>
          <w:lang w:val="en-US"/>
        </w:rPr>
        <w:t>th</w:t>
      </w:r>
      <w:r>
        <w:rPr>
          <w:rFonts w:ascii="Times New Roman" w:hAnsi="Times New Roman"/>
          <w:lang w:val="en-US"/>
        </w:rPr>
        <w:t xml:space="preserve"> October 2019). </w:t>
      </w:r>
    </w:p>
    <w:p>
      <w:pPr>
        <w:pStyle w:val="Normal"/>
        <w:spacing w:lineRule="auto" w:line="360"/>
        <w:jc w:val="both"/>
        <w:rPr/>
      </w:pPr>
      <w:r>
        <w:rPr/>
      </w:r>
    </w:p>
    <w:p>
      <w:pPr>
        <w:pStyle w:val="Normal"/>
        <w:spacing w:lineRule="auto" w:line="360"/>
        <w:jc w:val="both"/>
        <w:rPr>
          <w:rFonts w:ascii="Times New Roman" w:hAnsi="Times New Roman"/>
          <w:lang w:val="en-US"/>
        </w:rPr>
      </w:pPr>
      <w:r>
        <w:rPr>
          <w:rFonts w:ascii="Times New Roman" w:hAnsi="Times New Roman"/>
          <w:lang w:val="en-US"/>
        </w:rPr>
        <w:t xml:space="preserve">Maynard, T and Thomas, N (2009)  </w:t>
      </w:r>
      <w:r>
        <w:rPr>
          <w:rFonts w:ascii="Times New Roman" w:hAnsi="Times New Roman"/>
          <w:i/>
          <w:iCs/>
          <w:lang w:val="en-US"/>
        </w:rPr>
        <w:t>An introduction to Early Childhood Studies</w:t>
      </w:r>
      <w:r>
        <w:rPr>
          <w:rFonts w:ascii="Times New Roman" w:hAnsi="Times New Roman"/>
          <w:lang w:val="en-US"/>
        </w:rPr>
        <w:t xml:space="preserve">. 2nd  Ed.  London: SAGE Publications Ltd. </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lang w:val="en-US"/>
        </w:rPr>
        <w:t xml:space="preserve">National Children’s Bureau (no date) </w:t>
      </w:r>
      <w:r>
        <w:rPr>
          <w:rFonts w:ascii="Times New Roman" w:hAnsi="Times New Roman"/>
          <w:i/>
          <w:iCs/>
          <w:lang w:val="en-US"/>
        </w:rPr>
        <w:t>Play: A briefing paper to inform the Knowledge Makes Change Seminar Series.</w:t>
      </w:r>
      <w:r>
        <w:rPr>
          <w:rFonts w:ascii="Times New Roman" w:hAnsi="Times New Roman"/>
          <w:lang w:val="en-US"/>
        </w:rPr>
        <w:t xml:space="preserve"> Available at: </w:t>
      </w:r>
      <w:hyperlink r:id="rId9">
        <w:r>
          <w:rPr>
            <w:rStyle w:val="InternetLink"/>
            <w:rFonts w:ascii="Times New Roman" w:hAnsi="Times New Roman"/>
            <w:lang w:val="en-US"/>
          </w:rPr>
          <w:t>https://www.ndna.org.uk/NDNA/Need_to_know/UK_Knowledge_Hub/GDPR_nurseries.aspx</w:t>
        </w:r>
      </w:hyperlink>
      <w:r>
        <w:rPr>
          <w:rFonts w:ascii="Times New Roman" w:hAnsi="Times New Roman"/>
          <w:lang w:val="en-US"/>
        </w:rPr>
        <w:t xml:space="preserve"> (Accessed: 20</w:t>
      </w:r>
      <w:r>
        <w:rPr>
          <w:rFonts w:ascii="Times New Roman" w:hAnsi="Times New Roman"/>
          <w:vertAlign w:val="superscript"/>
          <w:lang w:val="en-US"/>
        </w:rPr>
        <w:t>th</w:t>
      </w:r>
      <w:r>
        <w:rPr>
          <w:rFonts w:ascii="Times New Roman" w:hAnsi="Times New Roman"/>
          <w:lang w:val="en-US"/>
        </w:rPr>
        <w:t xml:space="preserve"> October 2019).</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Style w:val="InternetLink"/>
          <w:rFonts w:ascii="Times New Roman" w:hAnsi="Times New Roman"/>
          <w:color w:val="auto"/>
          <w:u w:val="none"/>
          <w:lang w:val="en-US"/>
        </w:rPr>
        <w:t xml:space="preserve">National Day Nurseries Association (no date) </w:t>
      </w:r>
      <w:r>
        <w:rPr>
          <w:rStyle w:val="InternetLink"/>
          <w:rFonts w:ascii="Times New Roman" w:hAnsi="Times New Roman"/>
          <w:i/>
          <w:iCs/>
          <w:color w:val="auto"/>
          <w:u w:val="none"/>
          <w:lang w:val="en-US"/>
        </w:rPr>
        <w:t>General Date Protection Regulation (GDPR) for Nurseries.</w:t>
      </w:r>
      <w:r>
        <w:rPr>
          <w:rStyle w:val="InternetLink"/>
          <w:rFonts w:ascii="Times New Roman" w:hAnsi="Times New Roman"/>
          <w:color w:val="auto"/>
          <w:u w:val="none"/>
          <w:lang w:val="en-US"/>
        </w:rPr>
        <w:t xml:space="preserve">  Available at: </w:t>
      </w:r>
      <w:hyperlink r:id="rId10">
        <w:r>
          <w:rPr>
            <w:rStyle w:val="InternetLink"/>
            <w:rFonts w:ascii="Times New Roman" w:hAnsi="Times New Roman"/>
            <w:color w:val="auto"/>
            <w:u w:val="none"/>
            <w:lang w:val="en-US"/>
          </w:rPr>
          <w:t>https://www.ndna.org.uk/NDNA/Need_to_know/UK_Knowledge_Hub/GDPR_nurseries.asp</w:t>
        </w:r>
        <w:r>
          <w:rPr>
            <w:rStyle w:val="InternetLink"/>
            <w:rFonts w:ascii="Times New Roman" w:hAnsi="Times New Roman"/>
            <w:color w:val="auto"/>
            <w:u w:val="none"/>
            <w:lang w:val="en-US"/>
          </w:rPr>
          <w:t>x</w:t>
        </w:r>
      </w:hyperlink>
      <w:r>
        <w:rPr>
          <w:rStyle w:val="InternetLink"/>
          <w:rFonts w:ascii="Times New Roman" w:hAnsi="Times New Roman"/>
          <w:color w:val="auto"/>
          <w:u w:val="none"/>
          <w:lang w:val="en-US"/>
        </w:rPr>
        <w:t xml:space="preserve"> </w:t>
      </w:r>
      <w:r>
        <w:rPr>
          <w:rStyle w:val="InternetLink"/>
          <w:rFonts w:ascii="Times New Roman" w:hAnsi="Times New Roman"/>
          <w:u w:val="none"/>
          <w:lang w:val="en-US"/>
        </w:rPr>
        <w:t xml:space="preserve"> </w:t>
      </w:r>
      <w:r>
        <w:rPr>
          <w:rStyle w:val="InternetLink"/>
          <w:rFonts w:ascii="Times New Roman" w:hAnsi="Times New Roman"/>
          <w:color w:val="auto"/>
          <w:u w:val="none"/>
          <w:lang w:val="en-US"/>
        </w:rPr>
        <w:t>(Accessed: 24</w:t>
      </w:r>
      <w:r>
        <w:rPr>
          <w:rStyle w:val="InternetLink"/>
          <w:rFonts w:ascii="Times New Roman" w:hAnsi="Times New Roman"/>
          <w:color w:val="auto"/>
          <w:u w:val="none"/>
          <w:vertAlign w:val="superscript"/>
          <w:lang w:val="en-US"/>
        </w:rPr>
        <w:t>th</w:t>
      </w:r>
      <w:r>
        <w:rPr>
          <w:rStyle w:val="InternetLink"/>
          <w:rFonts w:ascii="Times New Roman" w:hAnsi="Times New Roman"/>
          <w:color w:val="auto"/>
          <w:u w:val="none"/>
          <w:lang w:val="en-US"/>
        </w:rPr>
        <w:t xml:space="preserve"> October 2019).</w:t>
      </w:r>
    </w:p>
    <w:p>
      <w:pPr>
        <w:pStyle w:val="Normal"/>
        <w:spacing w:lineRule="auto" w:line="360"/>
        <w:jc w:val="both"/>
        <w:rPr>
          <w:rStyle w:val="InternetLink"/>
          <w:rFonts w:ascii="Times New Roman" w:hAnsi="Times New Roman"/>
          <w:color w:val="auto"/>
          <w:u w:val="none"/>
          <w:lang w:val="en-US"/>
        </w:rPr>
      </w:pPr>
      <w:r>
        <w:rPr/>
      </w:r>
    </w:p>
    <w:p>
      <w:pPr>
        <w:pStyle w:val="Normal"/>
        <w:spacing w:lineRule="auto" w:line="360"/>
        <w:jc w:val="both"/>
        <w:rPr>
          <w:color w:val="auto"/>
          <w:u w:val="none"/>
          <w:lang w:val="en-US"/>
        </w:rPr>
      </w:pPr>
      <w:r>
        <w:rPr>
          <w:rStyle w:val="InternetLink"/>
          <w:color w:val="auto"/>
          <w:u w:val="none"/>
          <w:lang w:val="en-US"/>
        </w:rPr>
        <w:t xml:space="preserve">Save the children (no date) </w:t>
      </w:r>
      <w:r>
        <w:rPr>
          <w:rStyle w:val="InternetLink"/>
          <w:i/>
          <w:iCs/>
          <w:color w:val="auto"/>
          <w:u w:val="none"/>
          <w:lang w:val="en-US"/>
        </w:rPr>
        <w:t xml:space="preserve">Safeguarding children: Our Commitment. </w:t>
      </w:r>
      <w:r>
        <w:rPr>
          <w:rStyle w:val="InternetLink"/>
          <w:color w:val="auto"/>
          <w:u w:val="none"/>
          <w:lang w:val="en-US"/>
        </w:rPr>
        <w:t xml:space="preserve">Available at: </w:t>
      </w:r>
      <w:hyperlink r:id="rId11">
        <w:r>
          <w:rPr>
            <w:rStyle w:val="InternetLink"/>
            <w:color w:val="auto"/>
            <w:u w:val="none"/>
            <w:lang w:val="en-US"/>
          </w:rPr>
          <w:t>https://www.savethechildren.org.uk/about-us/accountability-and-transparency/safeguarding-children</w:t>
        </w:r>
      </w:hyperlink>
      <w:r>
        <w:rPr>
          <w:rStyle w:val="InternetLink"/>
          <w:color w:val="auto"/>
          <w:u w:val="none"/>
          <w:lang w:val="en-US"/>
        </w:rPr>
        <w:t xml:space="preserve"> (Accessed: 28</w:t>
      </w:r>
      <w:r>
        <w:rPr>
          <w:rStyle w:val="InternetLink"/>
          <w:color w:val="auto"/>
          <w:u w:val="none"/>
          <w:vertAlign w:val="superscript"/>
          <w:lang w:val="en-US"/>
        </w:rPr>
        <w:t>th</w:t>
      </w:r>
      <w:r>
        <w:rPr>
          <w:rStyle w:val="InternetLink"/>
          <w:color w:val="auto"/>
          <w:u w:val="none"/>
          <w:lang w:val="en-US"/>
        </w:rPr>
        <w:t xml:space="preserve"> October 2019).</w:t>
      </w:r>
    </w:p>
    <w:p>
      <w:pPr>
        <w:pStyle w:val="Normal"/>
        <w:spacing w:lineRule="auto" w:line="360"/>
        <w:jc w:val="both"/>
        <w:rPr>
          <w:rStyle w:val="InternetLink"/>
          <w:color w:val="auto"/>
          <w:u w:val="none"/>
        </w:rPr>
      </w:pPr>
      <w:r>
        <w:rPr>
          <w:color w:val="auto"/>
          <w:u w:val="none"/>
          <w:lang w:val="en-US"/>
        </w:rPr>
      </w:r>
    </w:p>
    <w:p>
      <w:pPr>
        <w:pStyle w:val="Normal"/>
        <w:spacing w:lineRule="auto" w:line="360"/>
        <w:jc w:val="both"/>
        <w:rPr>
          <w:rFonts w:ascii="Times New Roman" w:hAnsi="Times New Roman"/>
        </w:rPr>
      </w:pPr>
      <w:r>
        <w:rPr>
          <w:rFonts w:ascii="Times New Roman" w:hAnsi="Times New Roman"/>
        </w:rPr>
        <w:t xml:space="preserve">Smith, M. et al </w:t>
      </w:r>
      <w:r>
        <w:rPr>
          <w:rFonts w:ascii="Times New Roman" w:hAnsi="Times New Roman"/>
          <w:lang w:val="en-US"/>
        </w:rPr>
        <w:t xml:space="preserve">(2010) </w:t>
      </w:r>
      <w:r>
        <w:rPr>
          <w:rFonts w:ascii="Times New Roman" w:hAnsi="Times New Roman"/>
          <w:i/>
          <w:iCs/>
        </w:rPr>
        <w:t xml:space="preserve">Children &amp; young people’s workforce – Early learning &amp; childcare. </w:t>
      </w:r>
      <w:r>
        <w:rPr>
          <w:rFonts w:ascii="Times New Roman" w:hAnsi="Times New Roman"/>
        </w:rPr>
        <w:t>Essex: Heinemann.</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rPr>
        <w:t xml:space="preserve">Welsh Government. (2019) </w:t>
      </w:r>
      <w:r>
        <w:rPr>
          <w:rFonts w:ascii="Times New Roman" w:hAnsi="Times New Roman"/>
          <w:i/>
          <w:iCs/>
        </w:rPr>
        <w:t>30 hours free childcare.</w:t>
      </w:r>
      <w:r>
        <w:rPr>
          <w:rFonts w:ascii="Times New Roman" w:hAnsi="Times New Roman"/>
        </w:rPr>
        <w:t xml:space="preserve"> Available at: </w:t>
      </w:r>
      <w:hyperlink r:id="rId12">
        <w:r>
          <w:rPr>
            <w:rStyle w:val="InternetLink"/>
            <w:rFonts w:ascii="Times New Roman" w:hAnsi="Times New Roman"/>
          </w:rPr>
          <w:t>https://www.gov.uk/30-hours-free-childcare</w:t>
        </w:r>
      </w:hyperlink>
      <w:r>
        <w:rPr>
          <w:rFonts w:ascii="Times New Roman" w:hAnsi="Times New Roman"/>
        </w:rPr>
        <w:t xml:space="preserve"> (Accessed: 13</w:t>
      </w:r>
      <w:r>
        <w:rPr>
          <w:rFonts w:ascii="Times New Roman" w:hAnsi="Times New Roman"/>
          <w:vertAlign w:val="superscript"/>
        </w:rPr>
        <w:t>th</w:t>
      </w:r>
      <w:r>
        <w:rPr>
          <w:rFonts w:ascii="Times New Roman" w:hAnsi="Times New Roman"/>
        </w:rPr>
        <w:t xml:space="preserve"> Octobber 2019).</w:t>
      </w:r>
    </w:p>
    <w:p>
      <w:pPr>
        <w:pStyle w:val="Normal"/>
        <w:spacing w:lineRule="auto" w:line="360"/>
        <w:jc w:val="both"/>
        <w:rPr>
          <w:rFonts w:ascii="Times New Roman" w:hAnsi="Times New Roman"/>
          <w:i/>
          <w:i/>
          <w:iCs/>
        </w:rPr>
      </w:pPr>
      <w:r>
        <w:rPr>
          <w:rFonts w:ascii="Times New Roman" w:hAnsi="Times New Roman"/>
          <w:i/>
          <w:iCs/>
        </w:rPr>
      </w:r>
    </w:p>
    <w:p>
      <w:pPr>
        <w:pStyle w:val="Normal"/>
        <w:spacing w:lineRule="auto" w:line="360"/>
        <w:jc w:val="both"/>
        <w:rPr/>
      </w:pPr>
      <w:r>
        <w:rPr>
          <w:rFonts w:ascii="Times New Roman" w:hAnsi="Times New Roman"/>
        </w:rPr>
        <w:t xml:space="preserve">Welsh Government. (2015) </w:t>
      </w:r>
      <w:r>
        <w:rPr>
          <w:rFonts w:ascii="Times New Roman" w:hAnsi="Times New Roman"/>
          <w:i/>
          <w:iCs/>
        </w:rPr>
        <w:t>Curriculum for Wales</w:t>
      </w:r>
      <w:r>
        <w:rPr>
          <w:rFonts w:ascii="Times New Roman" w:hAnsi="Times New Roman"/>
        </w:rPr>
        <w:t xml:space="preserve">. Available at: </w:t>
      </w:r>
      <w:hyperlink r:id="rId13">
        <w:r>
          <w:rPr>
            <w:rStyle w:val="InternetLink"/>
            <w:rFonts w:ascii="Times New Roman" w:hAnsi="Times New Roman"/>
          </w:rPr>
          <w:t>https://gov.wales/sites/default/files/publications/2018-02/foundation-phase-framework-revised-2015.pdf</w:t>
        </w:r>
      </w:hyperlink>
      <w:r>
        <w:rPr>
          <w:rFonts w:ascii="Times New Roman" w:hAnsi="Times New Roman"/>
        </w:rPr>
        <w:t xml:space="preserve"> (Accessed: 18</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
    </w:p>
    <w:p>
      <w:pPr>
        <w:pStyle w:val="Normal"/>
        <w:spacing w:lineRule="auto" w:line="360"/>
        <w:jc w:val="both"/>
        <w:rPr/>
      </w:pPr>
      <w:r>
        <w:rPr>
          <w:rFonts w:ascii="Times New Roman" w:hAnsi="Times New Roman"/>
        </w:rPr>
        <w:t xml:space="preserve">Welsh Government. (no date) </w:t>
      </w:r>
      <w:r>
        <w:rPr>
          <w:rFonts w:ascii="Times New Roman" w:hAnsi="Times New Roman"/>
          <w:i/>
          <w:iCs/>
        </w:rPr>
        <w:t>Free School Meals in Wales: Information for Schools.</w:t>
      </w:r>
      <w:r>
        <w:rPr>
          <w:rFonts w:ascii="Times New Roman" w:hAnsi="Times New Roman"/>
        </w:rPr>
        <w:t xml:space="preserve"> Available at: </w:t>
      </w:r>
      <w:hyperlink r:id="rId14">
        <w:r>
          <w:rPr>
            <w:rStyle w:val="InternetLink"/>
            <w:rFonts w:ascii="Times New Roman" w:hAnsi="Times New Roman"/>
          </w:rPr>
          <w:t>https://gov.wales/sites/default/files/publications/2019-03/free-school-meals-in-wales-information-for-schools.pdf</w:t>
        </w:r>
      </w:hyperlink>
      <w:hyperlink r:id="rId15">
        <w:r>
          <w:rPr>
            <w:rFonts w:ascii="Times New Roman" w:hAnsi="Times New Roman"/>
          </w:rPr>
          <w:t xml:space="preserve"> (Accessed: 28</w:t>
        </w:r>
      </w:hyperlink>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
    </w:p>
    <w:p>
      <w:pPr>
        <w:pStyle w:val="Normal"/>
        <w:spacing w:lineRule="auto" w:line="360"/>
        <w:jc w:val="both"/>
        <w:rPr>
          <w:rFonts w:ascii="Times New Roman" w:hAnsi="Times New Roman"/>
        </w:rPr>
      </w:pPr>
      <w:r>
        <w:rPr>
          <w:rFonts w:ascii="Times New Roman" w:hAnsi="Times New Roman"/>
        </w:rPr>
        <w:t xml:space="preserve">Welsh Government. (2016) </w:t>
      </w:r>
      <w:r>
        <w:rPr>
          <w:rFonts w:ascii="Times New Roman" w:hAnsi="Times New Roman"/>
          <w:i/>
          <w:iCs/>
        </w:rPr>
        <w:t>Inclusion and pupil support</w:t>
      </w:r>
      <w:r>
        <w:rPr>
          <w:rFonts w:ascii="Times New Roman" w:hAnsi="Times New Roman"/>
        </w:rPr>
        <w:t xml:space="preserve">. Available at: </w:t>
      </w:r>
      <w:hyperlink r:id="rId16">
        <w:r>
          <w:rPr>
            <w:rStyle w:val="InternetLink"/>
            <w:rFonts w:ascii="Times New Roman" w:hAnsi="Times New Roman"/>
          </w:rPr>
          <w:t>https://gov.wales/sites/default/files/publications/2018-05/guidance-inclusion-and-pupil-support_0.pdf</w:t>
        </w:r>
      </w:hyperlink>
      <w:r>
        <w:rPr>
          <w:rFonts w:ascii="Times New Roman" w:hAnsi="Times New Roman"/>
        </w:rPr>
        <w:t xml:space="preserve"> (Accessed: 28</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rPr>
        <w:t xml:space="preserve">Welsh Government. (2019) </w:t>
      </w:r>
      <w:r>
        <w:rPr>
          <w:rFonts w:ascii="Times New Roman" w:hAnsi="Times New Roman"/>
          <w:i/>
          <w:iCs/>
        </w:rPr>
        <w:t>Parents and childcare employment project.</w:t>
      </w:r>
      <w:r>
        <w:rPr>
          <w:rFonts w:ascii="Times New Roman" w:hAnsi="Times New Roman"/>
        </w:rPr>
        <w:t xml:space="preserve"> Available at: </w:t>
      </w:r>
      <w:hyperlink r:id="rId17">
        <w:r>
          <w:rPr>
            <w:rStyle w:val="InternetLink"/>
            <w:rFonts w:ascii="Times New Roman" w:hAnsi="Times New Roman"/>
          </w:rPr>
          <w:t>https://gov.wales/parents-childcare-and-employment-pace-project</w:t>
        </w:r>
      </w:hyperlink>
      <w:r>
        <w:rPr>
          <w:rFonts w:ascii="Times New Roman" w:hAnsi="Times New Roman"/>
        </w:rPr>
        <w:t xml:space="preserve"> (Accessed: 19</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color w:val="C9211E"/>
        </w:rPr>
      </w:pPr>
      <w:r>
        <w:rPr>
          <w:rFonts w:ascii="Times New Roman" w:hAnsi="Times New Roman"/>
          <w:color w:val="C9211E"/>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u w:val="single"/>
        </w:rPr>
        <w:t xml:space="preserve">Reference list – </w:t>
      </w:r>
      <w:r>
        <w:rPr>
          <w:rFonts w:ascii="Times New Roman" w:hAnsi="Times New Roman"/>
          <w:u w:val="single"/>
          <w:lang w:val="en-US"/>
        </w:rPr>
        <w:t>P</w:t>
      </w:r>
      <w:r>
        <w:rPr>
          <w:rFonts w:ascii="Times New Roman" w:hAnsi="Times New Roman"/>
          <w:u w:val="single"/>
        </w:rPr>
        <w:t xml:space="preserve">aired </w:t>
      </w:r>
      <w:r>
        <w:rPr>
          <w:rFonts w:ascii="Times New Roman" w:hAnsi="Times New Roman"/>
          <w:u w:val="single"/>
          <w:lang w:val="en-US"/>
        </w:rPr>
        <w:t>P</w:t>
      </w:r>
      <w:r>
        <w:rPr>
          <w:rFonts w:ascii="Times New Roman" w:hAnsi="Times New Roman"/>
          <w:u w:val="single"/>
        </w:rPr>
        <w:t>resentation</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lang w:val="en-US"/>
        </w:rPr>
        <w:t xml:space="preserve">Action for children. (2019) </w:t>
      </w:r>
      <w:r>
        <w:rPr>
          <w:rFonts w:ascii="Times New Roman" w:hAnsi="Times New Roman"/>
          <w:i/>
          <w:iCs/>
          <w:lang w:val="en-US"/>
        </w:rPr>
        <w:t xml:space="preserve">What we do. </w:t>
      </w:r>
      <w:r>
        <w:rPr>
          <w:rFonts w:ascii="Times New Roman" w:hAnsi="Times New Roman"/>
          <w:lang w:val="en-US"/>
        </w:rPr>
        <w:t xml:space="preserve">Available at: </w:t>
      </w:r>
      <w:hyperlink r:id="rId18">
        <w:r>
          <w:rPr>
            <w:rStyle w:val="InternetLink"/>
            <w:rFonts w:ascii="Times New Roman" w:hAnsi="Times New Roman"/>
          </w:rPr>
          <w:t>https://www.actionforchildren.org.uk/what-we-do/</w:t>
        </w:r>
      </w:hyperlink>
      <w:r>
        <w:rPr>
          <w:rFonts w:ascii="Times New Roman" w:hAnsi="Times New Roman"/>
          <w:lang w:val="en-US"/>
        </w:rPr>
        <w:t xml:space="preserve"> (Accessed: 18</w:t>
      </w:r>
      <w:r>
        <w:rPr>
          <w:rFonts w:ascii="Times New Roman" w:hAnsi="Times New Roman"/>
          <w:vertAlign w:val="superscript"/>
          <w:lang w:val="en-US"/>
        </w:rPr>
        <w:t>th</w:t>
      </w:r>
      <w:r>
        <w:rPr>
          <w:rFonts w:ascii="Times New Roman" w:hAnsi="Times New Roman"/>
          <w:lang w:val="en-US"/>
        </w:rPr>
        <w:t xml:space="preserve">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t xml:space="preserve">Alasuutari, M., Markstorm, A., and Vallberg-Roth, A.,  (2014) </w:t>
      </w:r>
      <w:r>
        <w:rPr>
          <w:rFonts w:ascii="Times New Roman" w:hAnsi="Times New Roman"/>
          <w:i/>
          <w:iCs/>
        </w:rPr>
        <w:t xml:space="preserve">Assessment and Documentation in Early Childhood Education. </w:t>
      </w:r>
      <w:r>
        <w:rPr>
          <w:rFonts w:ascii="Times New Roman" w:hAnsi="Times New Roman"/>
        </w:rPr>
        <w:t>London: Routledge.</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t>All Wales Child Protection Procedures (2008) Available at:</w:t>
      </w:r>
    </w:p>
    <w:p>
      <w:pPr>
        <w:pStyle w:val="Normal"/>
        <w:spacing w:lineRule="auto" w:line="360"/>
        <w:jc w:val="both"/>
        <w:rPr/>
      </w:pPr>
      <w:hyperlink r:id="rId19">
        <w:r>
          <w:rPr>
            <w:rStyle w:val="InternetLink"/>
            <w:rFonts w:ascii="Times New Roman" w:hAnsi="Times New Roman"/>
          </w:rPr>
          <w:t>file:///C:/Users/hp%20laptop/AppData/Local/Packages/Microsoft.MicrosoftEdge_8wekyb3d8bbwe/TempState/Downloads/All-Wales-Child-Protection-Procedures-20081%20(1).pdf</w:t>
        </w:r>
      </w:hyperlink>
      <w:r>
        <w:rPr>
          <w:rFonts w:ascii="Times New Roman" w:hAnsi="Times New Roman"/>
        </w:rPr>
        <w:t xml:space="preserve"> (Accessed on 14</w:t>
      </w:r>
      <w:r>
        <w:rPr>
          <w:rFonts w:ascii="Times New Roman" w:hAnsi="Times New Roman"/>
          <w:vertAlign w:val="superscript"/>
        </w:rPr>
        <w:t>th</w:t>
      </w:r>
      <w:r>
        <w:rPr>
          <w:rFonts w:ascii="Times New Roman" w:hAnsi="Times New Roman"/>
        </w:rPr>
        <w:t xml:space="preserve"> of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lang w:val="en-US"/>
        </w:rPr>
      </w:pPr>
      <w:r>
        <w:rPr>
          <w:rFonts w:ascii="Times New Roman" w:hAnsi="Times New Roman"/>
          <w:lang w:val="en-US"/>
        </w:rPr>
        <w:t xml:space="preserve">Beckley, P (2012) </w:t>
      </w:r>
      <w:r>
        <w:rPr>
          <w:rFonts w:ascii="Times New Roman" w:hAnsi="Times New Roman"/>
          <w:i/>
          <w:iCs/>
          <w:lang w:val="en-US"/>
        </w:rPr>
        <w:t xml:space="preserve">Learning in Early childhood. </w:t>
      </w:r>
      <w:r>
        <w:rPr>
          <w:rFonts w:ascii="Times New Roman" w:hAnsi="Times New Roman"/>
          <w:lang w:val="en-US"/>
        </w:rPr>
        <w:t>London: SAGE Publications Ltd.</w:t>
      </w:r>
    </w:p>
    <w:p>
      <w:pPr>
        <w:pStyle w:val="Normal"/>
        <w:spacing w:lineRule="auto" w:line="360"/>
        <w:jc w:val="both"/>
        <w:rPr>
          <w:rFonts w:ascii="Times New Roman" w:hAnsi="Times New Roman"/>
          <w:lang w:val="en-US"/>
        </w:rPr>
      </w:pPr>
      <w:r>
        <w:rPr>
          <w:rFonts w:ascii="Times New Roman" w:hAnsi="Times New Roman"/>
          <w:lang w:val="en-US"/>
        </w:rPr>
      </w:r>
    </w:p>
    <w:p>
      <w:pPr>
        <w:pStyle w:val="Normal"/>
        <w:spacing w:lineRule="auto" w:line="360"/>
        <w:jc w:val="both"/>
        <w:rPr/>
      </w:pPr>
      <w:r>
        <w:rPr>
          <w:rFonts w:ascii="Times New Roman" w:hAnsi="Times New Roman"/>
          <w:lang w:val="en-US"/>
        </w:rPr>
        <w:t>Bernard Van Leer Foundation</w:t>
      </w:r>
      <w:r>
        <w:rPr>
          <w:rFonts w:ascii="Times New Roman" w:hAnsi="Times New Roman"/>
          <w:i/>
          <w:iCs/>
          <w:lang w:val="en-US"/>
        </w:rPr>
        <w:t xml:space="preserve"> (2006) Implementing Child Rights in Early Childhood. Available at:</w:t>
      </w:r>
      <w:r>
        <w:rPr>
          <w:rFonts w:ascii="Times New Roman" w:hAnsi="Times New Roman"/>
          <w:lang w:val="en-US"/>
        </w:rPr>
        <w:t xml:space="preserve"> </w:t>
      </w:r>
      <w:hyperlink r:id="rId20">
        <w:r>
          <w:rPr>
            <w:rStyle w:val="InternetLink"/>
            <w:rFonts w:ascii="Times New Roman" w:hAnsi="Times New Roman"/>
            <w:lang w:val="en-US"/>
          </w:rPr>
          <w:t>https://www.unicef.org/earlychildhood/files/Guide_to_GC7.pdf</w:t>
        </w:r>
      </w:hyperlink>
      <w:r>
        <w:rPr>
          <w:rFonts w:ascii="Times New Roman" w:hAnsi="Times New Roman"/>
          <w:lang w:val="en-US"/>
        </w:rPr>
        <w:t xml:space="preserve"> (Accessed: 14</w:t>
      </w:r>
      <w:r>
        <w:rPr>
          <w:rFonts w:ascii="Times New Roman" w:hAnsi="Times New Roman"/>
          <w:vertAlign w:val="superscript"/>
          <w:lang w:val="en-US"/>
        </w:rPr>
        <w:t>th</w:t>
      </w:r>
      <w:r>
        <w:rPr>
          <w:rFonts w:ascii="Times New Roman" w:hAnsi="Times New Roman"/>
          <w:lang w:val="en-US"/>
        </w:rPr>
        <w:t xml:space="preserve"> October 2019). </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rPr>
        <w:t xml:space="preserve">Carmarthenshire Family Information Service. (2019) </w:t>
      </w:r>
      <w:r>
        <w:rPr>
          <w:rFonts w:ascii="Times New Roman" w:hAnsi="Times New Roman"/>
          <w:i/>
          <w:iCs/>
        </w:rPr>
        <w:t xml:space="preserve">Team Around the Family. </w:t>
      </w:r>
      <w:r>
        <w:rPr>
          <w:rFonts w:ascii="Times New Roman" w:hAnsi="Times New Roman"/>
        </w:rPr>
        <w:t xml:space="preserve">Available at: </w:t>
      </w:r>
      <w:hyperlink r:id="rId21">
        <w:r>
          <w:rPr>
            <w:rStyle w:val="InternetLink"/>
            <w:rFonts w:ascii="Times New Roman" w:hAnsi="Times New Roman"/>
          </w:rPr>
          <w:t>https://fis.carmarthenshire.gov.wales/team-around-family/</w:t>
        </w:r>
      </w:hyperlink>
      <w:r>
        <w:rPr>
          <w:rFonts w:ascii="Times New Roman" w:hAnsi="Times New Roman"/>
        </w:rPr>
        <w:t xml:space="preserve"> (Accessed: 15</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i/>
          <w:i/>
          <w:iCs/>
        </w:rPr>
      </w:pPr>
      <w:r>
        <w:rPr>
          <w:rFonts w:ascii="Times New Roman" w:hAnsi="Times New Roman"/>
          <w:i/>
          <w:iCs/>
        </w:rPr>
        <w:t xml:space="preserve"> </w:t>
      </w:r>
    </w:p>
    <w:p>
      <w:pPr>
        <w:pStyle w:val="Normal"/>
        <w:spacing w:lineRule="auto" w:line="360"/>
        <w:jc w:val="both"/>
        <w:rPr/>
      </w:pPr>
      <w:r>
        <w:rPr>
          <w:rFonts w:ascii="Times New Roman" w:hAnsi="Times New Roman"/>
        </w:rPr>
        <w:t xml:space="preserve">Davies, J. (2006) </w:t>
      </w:r>
      <w:r>
        <w:rPr>
          <w:rFonts w:ascii="Times New Roman" w:hAnsi="Times New Roman"/>
          <w:i/>
          <w:iCs/>
        </w:rPr>
        <w:t xml:space="preserve">Children’s Adjustment to Nursery Class: how to equalise opportunities for a successful experience. </w:t>
      </w:r>
      <w:r>
        <w:rPr>
          <w:rFonts w:ascii="Times New Roman" w:hAnsi="Times New Roman"/>
        </w:rPr>
        <w:t xml:space="preserve">Available at:  </w:t>
      </w:r>
      <w:r>
        <w:rPr>
          <w:rFonts w:ascii="Times New Roman" w:hAnsi="Times New Roman"/>
          <w:lang w:val="en-US"/>
        </w:rPr>
        <w:t xml:space="preserve"> </w:t>
      </w:r>
      <w:hyperlink r:id="rId22">
        <w:r>
          <w:rPr>
            <w:rStyle w:val="InternetLink"/>
            <w:rFonts w:ascii="Times New Roman" w:hAnsi="Times New Roman"/>
          </w:rPr>
          <w:t>https://www.tandfonline.com/doi/abs/10.1080/0260136910110301</w:t>
        </w:r>
      </w:hyperlink>
      <w:r>
        <w:rPr>
          <w:rFonts w:ascii="Times New Roman" w:hAnsi="Times New Roman"/>
        </w:rPr>
        <w:t xml:space="preserve"> (Accessed: 15</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lang w:val="en-US"/>
        </w:rPr>
        <w:t>Maynard, T and Thoma</w:t>
      </w:r>
      <w:r>
        <w:rPr>
          <w:rFonts w:ascii="Times New Roman" w:hAnsi="Times New Roman"/>
        </w:rPr>
        <w:t xml:space="preserve">s, N (2009)  </w:t>
      </w:r>
      <w:r>
        <w:rPr>
          <w:rFonts w:ascii="Times New Roman" w:hAnsi="Times New Roman"/>
          <w:i/>
          <w:iCs/>
        </w:rPr>
        <w:t>An introduction to Early Childhood Studies</w:t>
      </w:r>
      <w:r>
        <w:rPr>
          <w:rFonts w:ascii="Times New Roman" w:hAnsi="Times New Roman"/>
        </w:rPr>
        <w:t xml:space="preserve">. 2nd  Ed.  London: SAGE Publications Ltd. </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color w:val="000000"/>
          <w:highlight w:val="white"/>
        </w:rPr>
        <w:t xml:space="preserve">McLeod, S. A (2018) </w:t>
      </w:r>
      <w:r>
        <w:rPr>
          <w:rFonts w:ascii="Times New Roman" w:hAnsi="Times New Roman"/>
          <w:i/>
          <w:iCs/>
          <w:color w:val="000000"/>
          <w:highlight w:val="white"/>
        </w:rPr>
        <w:t>Maslow's hierarchy of needs</w:t>
      </w:r>
      <w:r>
        <w:rPr>
          <w:rFonts w:ascii="Times New Roman" w:hAnsi="Times New Roman"/>
          <w:color w:val="000000"/>
          <w:highlight w:val="white"/>
        </w:rPr>
        <w:t xml:space="preserve">. Available at: </w:t>
      </w:r>
      <w:hyperlink r:id="rId23">
        <w:r>
          <w:rPr>
            <w:rStyle w:val="ListLabel13"/>
            <w:rFonts w:ascii="Times New Roman" w:hAnsi="Times New Roman"/>
            <w:color w:val="000080"/>
            <w:highlight w:val="white"/>
            <w:u w:val="single"/>
          </w:rPr>
          <w:t>https://www.simplypsychology.org/maslow.html</w:t>
        </w:r>
      </w:hyperlink>
      <w:r>
        <w:rPr>
          <w:rFonts w:ascii="Times New Roman" w:hAnsi="Times New Roman"/>
          <w:color w:val="000000"/>
          <w:highlight w:val="white"/>
        </w:rPr>
        <w:t xml:space="preserve"> (Accessed: 19</w:t>
      </w:r>
      <w:r>
        <w:rPr>
          <w:rFonts w:ascii="Times New Roman" w:hAnsi="Times New Roman"/>
          <w:color w:val="000000"/>
          <w:highlight w:val="white"/>
          <w:vertAlign w:val="superscript"/>
        </w:rPr>
        <w:t>th</w:t>
      </w:r>
      <w:r>
        <w:rPr>
          <w:rFonts w:ascii="Times New Roman" w:hAnsi="Times New Roman"/>
          <w:color w:val="000000"/>
          <w:highlight w:val="white"/>
        </w:rPr>
        <w:t xml:space="preserve"> October 2019).</w:t>
      </w:r>
    </w:p>
    <w:p>
      <w:pPr>
        <w:pStyle w:val="Normal"/>
        <w:spacing w:lineRule="auto" w:line="360"/>
        <w:jc w:val="both"/>
        <w:rPr>
          <w:rFonts w:ascii="Times New Roman" w:hAnsi="Times New Roman"/>
          <w:color w:val="000000"/>
          <w:highlight w:val="white"/>
        </w:rPr>
      </w:pPr>
      <w:r>
        <w:rPr>
          <w:rFonts w:ascii="Times New Roman" w:hAnsi="Times New Roman"/>
          <w:color w:val="000000"/>
          <w:highlight w:val="white"/>
        </w:rPr>
      </w:r>
    </w:p>
    <w:p>
      <w:pPr>
        <w:pStyle w:val="Normal"/>
        <w:spacing w:lineRule="auto" w:line="360"/>
        <w:jc w:val="both"/>
        <w:rPr>
          <w:rFonts w:ascii="Times New Roman" w:hAnsi="Times New Roman"/>
        </w:rPr>
      </w:pPr>
      <w:r>
        <w:rPr>
          <w:rFonts w:ascii="Times New Roman" w:hAnsi="Times New Roman"/>
          <w:lang w:val="en-US"/>
        </w:rPr>
        <w:t xml:space="preserve">Nutkins, S. McDonald, C and Stephen, M.  (2013) </w:t>
      </w:r>
      <w:r>
        <w:rPr>
          <w:rFonts w:ascii="Times New Roman" w:hAnsi="Times New Roman"/>
          <w:i/>
          <w:iCs/>
          <w:lang w:val="en-US"/>
        </w:rPr>
        <w:t>Early Childhood Education and Care.</w:t>
      </w:r>
      <w:r>
        <w:rPr>
          <w:rFonts w:ascii="Times New Roman" w:hAnsi="Times New Roman"/>
          <w:lang w:val="en-US"/>
        </w:rPr>
        <w:t xml:space="preserve"> London: SAGE Publications Ltd. </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t xml:space="preserve">Riddall-Leech, S (2008) </w:t>
      </w:r>
      <w:r>
        <w:rPr>
          <w:rFonts w:ascii="Times New Roman" w:hAnsi="Times New Roman"/>
          <w:i/>
          <w:iCs/>
        </w:rPr>
        <w:t>How to observe children.</w:t>
      </w:r>
      <w:r>
        <w:rPr>
          <w:rFonts w:ascii="Times New Roman" w:hAnsi="Times New Roman"/>
        </w:rPr>
        <w:t xml:space="preserve"> 2</w:t>
      </w:r>
      <w:r>
        <w:rPr>
          <w:rFonts w:ascii="Times New Roman" w:hAnsi="Times New Roman"/>
          <w:vertAlign w:val="superscript"/>
        </w:rPr>
        <w:t>nd</w:t>
      </w:r>
      <w:r>
        <w:rPr>
          <w:rFonts w:ascii="Times New Roman" w:hAnsi="Times New Roman"/>
        </w:rPr>
        <w:t xml:space="preserve"> Ed. </w:t>
      </w:r>
      <w:r>
        <w:rPr>
          <w:rFonts w:ascii="Times New Roman" w:hAnsi="Times New Roman"/>
          <w:lang w:val="en-US"/>
        </w:rPr>
        <w:t>Essex</w:t>
      </w:r>
      <w:r>
        <w:rPr>
          <w:rFonts w:ascii="Times New Roman" w:hAnsi="Times New Roman"/>
        </w:rPr>
        <w:t xml:space="preserve">: Heinemann </w:t>
      </w:r>
    </w:p>
    <w:p>
      <w:pPr>
        <w:pStyle w:val="Normal"/>
        <w:spacing w:lineRule="auto" w:line="360"/>
        <w:jc w:val="both"/>
        <w:rPr/>
      </w:pPr>
      <w:r>
        <w:rPr>
          <w:rFonts w:ascii="Times New Roman" w:hAnsi="Times New Roman"/>
        </w:rPr>
        <w:t xml:space="preserve">Save the children (no date) </w:t>
      </w:r>
      <w:r>
        <w:rPr>
          <w:rFonts w:ascii="Times New Roman" w:hAnsi="Times New Roman"/>
          <w:i/>
          <w:iCs/>
        </w:rPr>
        <w:t xml:space="preserve">United Nations convention on the Rights of the Child. </w:t>
      </w:r>
      <w:r>
        <w:rPr>
          <w:rFonts w:ascii="Times New Roman" w:hAnsi="Times New Roman"/>
        </w:rPr>
        <w:t>Available at:</w:t>
      </w:r>
      <w:r>
        <w:rPr>
          <w:rFonts w:ascii="Times New Roman" w:hAnsi="Times New Roman"/>
          <w:i/>
          <w:iCs/>
        </w:rPr>
        <w:t xml:space="preserve"> </w:t>
      </w:r>
      <w:hyperlink r:id="rId24">
        <w:r>
          <w:rPr>
            <w:rStyle w:val="InternetLink"/>
            <w:rFonts w:ascii="Times New Roman" w:hAnsi="Times New Roman"/>
          </w:rPr>
          <w:t>https://www.savethechildren.org.uk/content/dam/global/reports/uncrc-child-friendly-version.pdf</w:t>
        </w:r>
      </w:hyperlink>
      <w:r>
        <w:rPr>
          <w:rFonts w:ascii="Times New Roman" w:hAnsi="Times New Roman"/>
        </w:rPr>
        <w:t xml:space="preserve"> (Accessed: 15</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t xml:space="preserve">Smith, M. et al </w:t>
      </w:r>
      <w:r>
        <w:rPr>
          <w:rFonts w:ascii="Times New Roman" w:hAnsi="Times New Roman"/>
          <w:lang w:val="en-US"/>
        </w:rPr>
        <w:t xml:space="preserve">(2010) </w:t>
      </w:r>
      <w:r>
        <w:rPr>
          <w:rFonts w:ascii="Times New Roman" w:hAnsi="Times New Roman"/>
          <w:i/>
          <w:iCs/>
        </w:rPr>
        <w:t xml:space="preserve">Children &amp; young people’s workforce – Early learning &amp; childcare. </w:t>
      </w:r>
      <w:r>
        <w:rPr>
          <w:rFonts w:ascii="Times New Roman" w:hAnsi="Times New Roman"/>
        </w:rPr>
        <w:t>Essex: Heinemann</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rPr>
        <w:t xml:space="preserve">Welsh Government. (2019) </w:t>
      </w:r>
      <w:r>
        <w:rPr>
          <w:rFonts w:ascii="Times New Roman" w:hAnsi="Times New Roman"/>
          <w:i/>
          <w:iCs/>
        </w:rPr>
        <w:t>30 hours free childcare.</w:t>
      </w:r>
      <w:r>
        <w:rPr>
          <w:rFonts w:ascii="Times New Roman" w:hAnsi="Times New Roman"/>
        </w:rPr>
        <w:t xml:space="preserve"> Available at: </w:t>
      </w:r>
      <w:hyperlink r:id="rId25">
        <w:r>
          <w:rPr>
            <w:rStyle w:val="InternetLink"/>
            <w:rFonts w:ascii="Times New Roman" w:hAnsi="Times New Roman"/>
          </w:rPr>
          <w:t>https://www.gov.uk/30-hours-free-childcare</w:t>
        </w:r>
      </w:hyperlink>
      <w:r>
        <w:rPr>
          <w:rFonts w:ascii="Times New Roman" w:hAnsi="Times New Roman"/>
        </w:rPr>
        <w:t xml:space="preserve"> (Accessed: 13</w:t>
      </w:r>
      <w:r>
        <w:rPr>
          <w:rFonts w:ascii="Times New Roman" w:hAnsi="Times New Roman"/>
          <w:vertAlign w:val="superscript"/>
        </w:rPr>
        <w:t>th</w:t>
      </w:r>
      <w:r>
        <w:rPr>
          <w:rFonts w:ascii="Times New Roman" w:hAnsi="Times New Roman"/>
        </w:rPr>
        <w:t xml:space="preserve"> Octobber 2019).</w:t>
      </w:r>
    </w:p>
    <w:p>
      <w:pPr>
        <w:pStyle w:val="Normal"/>
        <w:spacing w:lineRule="auto" w:line="360"/>
        <w:jc w:val="both"/>
        <w:rPr>
          <w:rFonts w:ascii="Times New Roman" w:hAnsi="Times New Roman"/>
          <w:i/>
          <w:i/>
          <w:iCs/>
        </w:rPr>
      </w:pPr>
      <w:r>
        <w:rPr>
          <w:rFonts w:ascii="Times New Roman" w:hAnsi="Times New Roman"/>
          <w:i/>
          <w:iCs/>
        </w:rPr>
      </w:r>
    </w:p>
    <w:p>
      <w:pPr>
        <w:pStyle w:val="Normal"/>
        <w:spacing w:lineRule="auto" w:line="360"/>
        <w:jc w:val="both"/>
        <w:rPr/>
      </w:pPr>
      <w:r>
        <w:rPr>
          <w:rFonts w:ascii="Times New Roman" w:hAnsi="Times New Roman"/>
        </w:rPr>
        <w:t xml:space="preserve">Welsh Government. (2015) </w:t>
      </w:r>
      <w:r>
        <w:rPr>
          <w:rFonts w:ascii="Times New Roman" w:hAnsi="Times New Roman"/>
          <w:i/>
          <w:iCs/>
        </w:rPr>
        <w:t>Curriculum for Wales</w:t>
      </w:r>
      <w:r>
        <w:rPr>
          <w:rFonts w:ascii="Times New Roman" w:hAnsi="Times New Roman"/>
        </w:rPr>
        <w:t xml:space="preserve">. Available at: </w:t>
      </w:r>
      <w:hyperlink r:id="rId26">
        <w:r>
          <w:rPr>
            <w:rStyle w:val="InternetLink"/>
            <w:rFonts w:ascii="Times New Roman" w:hAnsi="Times New Roman"/>
          </w:rPr>
          <w:t>https://gov.wales/sites/default/files/publications/2018-02/foundation-phase-framework-revised-2015.pdf</w:t>
        </w:r>
      </w:hyperlink>
      <w:r>
        <w:rPr>
          <w:rFonts w:ascii="Times New Roman" w:hAnsi="Times New Roman"/>
        </w:rPr>
        <w:t xml:space="preserve"> (Accessed: 18</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Fonts w:ascii="Times New Roman" w:hAnsi="Times New Roman"/>
        </w:rPr>
        <w:t xml:space="preserve">Welsh Government. (2019) </w:t>
      </w:r>
      <w:r>
        <w:rPr>
          <w:rFonts w:ascii="Times New Roman" w:hAnsi="Times New Roman"/>
          <w:i/>
          <w:iCs/>
        </w:rPr>
        <w:t>Parents and childcare employment project.</w:t>
      </w:r>
      <w:r>
        <w:rPr>
          <w:rFonts w:ascii="Times New Roman" w:hAnsi="Times New Roman"/>
        </w:rPr>
        <w:t xml:space="preserve"> Available at: </w:t>
      </w:r>
      <w:hyperlink r:id="rId27">
        <w:r>
          <w:rPr>
            <w:rStyle w:val="InternetLink"/>
            <w:rFonts w:ascii="Times New Roman" w:hAnsi="Times New Roman"/>
          </w:rPr>
          <w:t>https://gov.wales/parents-childcare-and-employment-pace-project</w:t>
        </w:r>
      </w:hyperlink>
      <w:r>
        <w:rPr>
          <w:rFonts w:ascii="Times New Roman" w:hAnsi="Times New Roman"/>
        </w:rPr>
        <w:t xml:space="preserve"> (Accessed: 19</w:t>
      </w:r>
      <w:r>
        <w:rPr>
          <w:rFonts w:ascii="Times New Roman" w:hAnsi="Times New Roman"/>
          <w:vertAlign w:val="superscript"/>
        </w:rPr>
        <w:t>th</w:t>
      </w:r>
      <w:r>
        <w:rPr>
          <w:rFonts w:ascii="Times New Roman" w:hAnsi="Times New Roman"/>
        </w:rPr>
        <w:t xml:space="preserve"> October 2019).</w:t>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rFonts w:ascii="Times New Roman" w:hAnsi="Times New Roman"/>
        </w:rPr>
      </w:pPr>
      <w:r>
        <w:rPr>
          <w:rFonts w:ascii="Times New Roman" w:hAnsi="Times New Roman"/>
        </w:rPr>
      </w:r>
    </w:p>
    <w:p>
      <w:pPr>
        <w:pStyle w:val="Normal"/>
        <w:spacing w:lineRule="auto" w:line="360"/>
        <w:jc w:val="both"/>
        <w:rPr/>
      </w:pPr>
      <w:r>
        <w:rPr/>
      </w:r>
    </w:p>
    <w:sectPr>
      <w:headerReference w:type="default" r:id="rId28"/>
      <w:type w:val="nextPage"/>
      <w:pgSz w:w="11906" w:h="16838"/>
      <w:pgMar w:left="1134" w:right="1134" w:header="1134" w:top="1693"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Segoe UI">
    <w:charset w:val="00"/>
    <w:family w:val="roman"/>
    <w:pitch w:val="variable"/>
  </w:font>
  <w:font w:name="Liberation Sans">
    <w:altName w:val="Arial"/>
    <w:charset w:val="00"/>
    <w:family w:val="roman"/>
    <w:pitch w:val="variable"/>
  </w:font>
  <w:font w:name="Helvetica Neue">
    <w:altName w:val="Helvetica"/>
    <w:charset w:val="00"/>
    <w:family w:val="auto"/>
    <w:pitch w:val="default"/>
  </w:font>
  <w:font w:name="OpenSymbol">
    <w:altName w:val="Arial Unicode MS"/>
    <w:charset w:val="01"/>
    <w:family w:val="auto"/>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Times New Roman" w:hAnsi="Times New Roman"/>
        <w:lang w:val="en-US"/>
      </w:rPr>
    </w:pPr>
    <w:r>
      <w:rPr>
        <w:rFonts w:ascii="Times New Roman" w:hAnsi="Times New Roman"/>
        <w:lang w:val="en-US"/>
      </w:rPr>
      <w:t>EAEE4002                                                                                                                             1908450</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en-GB"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Liberation Serif" w:hAnsi="Liberation Serif" w:eastAsia="NSimSun" w:cs="Arial"/>
      <w:color w:val="auto"/>
      <w:kern w:val="2"/>
      <w:sz w:val="24"/>
      <w:szCs w:val="24"/>
      <w:lang w:val="en-GB" w:eastAsia="zh-CN" w:bidi="hi-IN"/>
    </w:rPr>
  </w:style>
  <w:style w:type="character" w:styleId="DefaultParagraphFont" w:default="1">
    <w:name w:val="Default Paragraph Font"/>
    <w:uiPriority w:val="1"/>
    <w:semiHidden/>
    <w:unhideWhenUsed/>
    <w:qFormat/>
    <w:rPr/>
  </w:style>
  <w:style w:type="character" w:styleId="Bullets" w:customStyle="1">
    <w:name w:val="Bullets"/>
    <w:qFormat/>
    <w:rPr>
      <w:rFonts w:ascii="OpenSymbol" w:hAnsi="OpenSymbol" w:eastAsia="OpenSymbol" w:cs="OpenSymbol"/>
    </w:rPr>
  </w:style>
  <w:style w:type="character" w:styleId="InternetLink" w:customStyle="1">
    <w:name w:val="Internet Link"/>
    <w:rPr>
      <w:color w:val="000080"/>
      <w:u w:val="single"/>
    </w:rPr>
  </w:style>
  <w:style w:type="character" w:styleId="VisitedInternetLink" w:customStyle="1">
    <w:name w:val="Visited Internet Link"/>
    <w:rPr>
      <w:color w:val="800000"/>
      <w:u w:val="single"/>
    </w:rPr>
  </w:style>
  <w:style w:type="character" w:styleId="Annotationreference">
    <w:name w:val="annotation reference"/>
    <w:basedOn w:val="DefaultParagraphFont"/>
    <w:uiPriority w:val="99"/>
    <w:semiHidden/>
    <w:unhideWhenUsed/>
    <w:qFormat/>
    <w:rsid w:val="007c42ea"/>
    <w:rPr>
      <w:sz w:val="16"/>
      <w:szCs w:val="16"/>
    </w:rPr>
  </w:style>
  <w:style w:type="character" w:styleId="CommentTextChar" w:customStyle="1">
    <w:name w:val="Comment Text Char"/>
    <w:basedOn w:val="DefaultParagraphFont"/>
    <w:link w:val="CommentText"/>
    <w:uiPriority w:val="99"/>
    <w:semiHidden/>
    <w:qFormat/>
    <w:rsid w:val="007c42ea"/>
    <w:rPr>
      <w:rFonts w:cs="Mangal"/>
      <w:szCs w:val="18"/>
    </w:rPr>
  </w:style>
  <w:style w:type="character" w:styleId="CommentSubjectChar" w:customStyle="1">
    <w:name w:val="Comment Subject Char"/>
    <w:basedOn w:val="CommentTextChar"/>
    <w:link w:val="CommentSubject"/>
    <w:uiPriority w:val="99"/>
    <w:semiHidden/>
    <w:qFormat/>
    <w:rsid w:val="007c42ea"/>
    <w:rPr>
      <w:rFonts w:cs="Mangal"/>
      <w:b/>
      <w:bCs/>
      <w:szCs w:val="18"/>
    </w:rPr>
  </w:style>
  <w:style w:type="character" w:styleId="BalloonTextChar" w:customStyle="1">
    <w:name w:val="Balloon Text Char"/>
    <w:basedOn w:val="DefaultParagraphFont"/>
    <w:link w:val="BalloonText"/>
    <w:uiPriority w:val="99"/>
    <w:semiHidden/>
    <w:qFormat/>
    <w:rsid w:val="007c42ea"/>
    <w:rPr>
      <w:rFonts w:ascii="Segoe UI" w:hAnsi="Segoe UI" w:cs="Mangal"/>
      <w:sz w:val="18"/>
      <w:szCs w:val="16"/>
    </w:rPr>
  </w:style>
  <w:style w:type="paragraph" w:styleId="Heading" w:customStyle="1">
    <w:name w:val="Heading"/>
    <w:basedOn w:val="Normal"/>
    <w:next w:val="TextBody"/>
    <w:qFormat/>
    <w:pPr>
      <w:keepNext w:val="true"/>
      <w:spacing w:before="240" w:after="120"/>
    </w:pPr>
    <w:rPr>
      <w:rFonts w:ascii="Liberation Sans" w:hAnsi="Liberation Sans" w:eastAsia="Microsoft YaHei"/>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HeaderandFooter" w:customStyle="1">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rPr/>
  </w:style>
  <w:style w:type="paragraph" w:styleId="Annotationtext">
    <w:name w:val="annotation text"/>
    <w:basedOn w:val="Normal"/>
    <w:link w:val="CommentTextChar"/>
    <w:uiPriority w:val="99"/>
    <w:semiHidden/>
    <w:unhideWhenUsed/>
    <w:qFormat/>
    <w:rsid w:val="007c42ea"/>
    <w:pPr/>
    <w:rPr>
      <w:rFonts w:cs="Mangal"/>
      <w:sz w:val="20"/>
      <w:szCs w:val="18"/>
    </w:rPr>
  </w:style>
  <w:style w:type="paragraph" w:styleId="Annotationsubject">
    <w:name w:val="annotation subject"/>
    <w:basedOn w:val="Annotationtext"/>
    <w:next w:val="Annotationtext"/>
    <w:link w:val="CommentSubjectChar"/>
    <w:uiPriority w:val="99"/>
    <w:semiHidden/>
    <w:unhideWhenUsed/>
    <w:qFormat/>
    <w:rsid w:val="007c42ea"/>
    <w:pPr/>
    <w:rPr>
      <w:b/>
      <w:bCs/>
    </w:rPr>
  </w:style>
  <w:style w:type="paragraph" w:styleId="BalloonText">
    <w:name w:val="Balloon Text"/>
    <w:basedOn w:val="Normal"/>
    <w:link w:val="BalloonTextChar"/>
    <w:uiPriority w:val="99"/>
    <w:semiHidden/>
    <w:unhideWhenUsed/>
    <w:qFormat/>
    <w:rsid w:val="007c42ea"/>
    <w:pPr/>
    <w:rPr>
      <w:rFonts w:ascii="Segoe UI" w:hAnsi="Segoe UI" w:cs="Mangal"/>
      <w:sz w:val="18"/>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ageofmontessori.org/montessori-method/" TargetMode="External"/><Relationship Id="rId3" Type="http://schemas.openxmlformats.org/officeDocument/2006/relationships/hyperlink" Target="https://www.unicef.org/earlychildhood/files/Guide_to_GC7.pdf" TargetMode="External"/><Relationship Id="rId4" Type="http://schemas.openxmlformats.org/officeDocument/2006/relationships/hyperlink" Target="https://www.childcomwales.org.uk/wp-content/uploads/2017/04/The-Right-Way.pdf" TargetMode="External"/><Relationship Id="rId5" Type="http://schemas.openxmlformats.org/officeDocument/2006/relationships/hyperlink" Target="http://www.designedtosmile.org/info/fluoride-varnish/" TargetMode="External"/><Relationship Id="rId6" Type="http://schemas.openxmlformats.org/officeDocument/2006/relationships/hyperlink" Target="https://assets.publishing.service.gov.uk/government/uploads/system/uploads/attachment_data/file/272064/5860.pdf" TargetMode="External"/><Relationship Id="rId7" Type="http://schemas.openxmlformats.org/officeDocument/2006/relationships/hyperlink" Target="https://assets.publishing.service.gov.uk/government/uploads/system/uploads/attachment_data/file/711097/guide-to-the-general-data-protection-regulation-gdpr-1-0.pdf" TargetMode="External"/><Relationship Id="rId8" Type="http://schemas.openxmlformats.org/officeDocument/2006/relationships/hyperlink" Target="https://assets.publishing.service.gov.uk/government/uploads/system/uploads/attachment_data/file/338875/MASH.pdf" TargetMode="External"/><Relationship Id="rId9" Type="http://schemas.openxmlformats.org/officeDocument/2006/relationships/hyperlink" Target="https://www.ndna.org.uk/NDNA/Need_to_know/UK_Knowledge_Hub/GDPR_nurseries.aspx" TargetMode="External"/><Relationship Id="rId10" Type="http://schemas.openxmlformats.org/officeDocument/2006/relationships/hyperlink" Target="https://www.ndna.org.uk/NDNA/Need_to_know/UK_Knowledge_Hub/GDPR_nurseries.aspx" TargetMode="External"/><Relationship Id="rId11" Type="http://schemas.openxmlformats.org/officeDocument/2006/relationships/hyperlink" Target="https://www.savethechildren.org.uk/about-us/accountability-and-transparency/safeguarding-children" TargetMode="External"/><Relationship Id="rId12" Type="http://schemas.openxmlformats.org/officeDocument/2006/relationships/hyperlink" Target="https://www.gov.uk/30-hours-free-childcare" TargetMode="External"/><Relationship Id="rId13" Type="http://schemas.openxmlformats.org/officeDocument/2006/relationships/hyperlink" Target="https://gov.wales/sites/default/files/publications/2018-02/foundation-phase-framework-revised-2015.pdf" TargetMode="External"/><Relationship Id="rId14" Type="http://schemas.openxmlformats.org/officeDocument/2006/relationships/hyperlink" Target="https://gov.wales/sites/default/files/publications/2019-03/free-school-meals-in-wales-information-for-schools.pdf" TargetMode="External"/><Relationship Id="rId15" Type="http://schemas.openxmlformats.org/officeDocument/2006/relationships/hyperlink" Target="" TargetMode="External"/><Relationship Id="rId16" Type="http://schemas.openxmlformats.org/officeDocument/2006/relationships/hyperlink" Target="https://gov.wales/sites/default/files/publications/2018-05/guidance-inclusion-and-pupil-support_0.pdf" TargetMode="External"/><Relationship Id="rId17" Type="http://schemas.openxmlformats.org/officeDocument/2006/relationships/hyperlink" Target="https://gov.wales/parents-childcare-and-employment-pace-project" TargetMode="External"/><Relationship Id="rId18" Type="http://schemas.openxmlformats.org/officeDocument/2006/relationships/hyperlink" Target="https://www.actionforchildren.org.uk/what-we-do/" TargetMode="External"/><Relationship Id="rId19" Type="http://schemas.openxmlformats.org/officeDocument/2006/relationships/hyperlink" Target="../AppData/Local/Packages/Microsoft.MicrosoftEdge_8wekyb3d8bbwe/TempState/Downloads/All-Wales-Child-Protection-Procedures-20081%20(1).pdf" TargetMode="External"/><Relationship Id="rId20" Type="http://schemas.openxmlformats.org/officeDocument/2006/relationships/hyperlink" Target="https://www.unicef.org/earlychildhood/files/Guide_to_GC7.pdf" TargetMode="External"/><Relationship Id="rId21" Type="http://schemas.openxmlformats.org/officeDocument/2006/relationships/hyperlink" Target="https://fis.carmarthenshire.gov.wales/team-around-family/" TargetMode="External"/><Relationship Id="rId22" Type="http://schemas.openxmlformats.org/officeDocument/2006/relationships/hyperlink" Target="https://www.tandfonline.com/doi/abs/10.1080/0260136910110301" TargetMode="External"/><Relationship Id="rId23" Type="http://schemas.openxmlformats.org/officeDocument/2006/relationships/hyperlink" Target="https://www.simplypsychology.org/maslow.html" TargetMode="External"/><Relationship Id="rId24" Type="http://schemas.openxmlformats.org/officeDocument/2006/relationships/hyperlink" Target="https://www.savethechildren.org.uk/content/dam/global/reports/uncrc-child-friendly-version.pdf" TargetMode="External"/><Relationship Id="rId25" Type="http://schemas.openxmlformats.org/officeDocument/2006/relationships/hyperlink" Target="https://www.gov.uk/30-hours-free-childcare" TargetMode="External"/><Relationship Id="rId26" Type="http://schemas.openxmlformats.org/officeDocument/2006/relationships/hyperlink" Target="https://gov.wales/sites/default/files/publications/2018-02/foundation-phase-framework-revised-2015.pdf" TargetMode="External"/><Relationship Id="rId27" Type="http://schemas.openxmlformats.org/officeDocument/2006/relationships/hyperlink" Target="https://gov.wales/parents-childcare-and-employment-pace-project" TargetMode="External"/><Relationship Id="rId28" Type="http://schemas.openxmlformats.org/officeDocument/2006/relationships/header" Target="header1.xml"/><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Relationship Id="rId3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Application>LibreOffice/6.3.1.2$Windows_X86_64 LibreOffice_project/b79626edf0065ac373bd1df5c28bd630b4424273</Application>
  <Pages>7</Pages>
  <Words>1801</Words>
  <Characters>11920</Characters>
  <CharactersWithSpaces>13806</CharactersWithSpaces>
  <Paragraphs>65</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2019-10-28T08:23:00Z</dcterms:created>
  <dc:creator>Dawn Jones</dc:creator>
  <dc:description/>
  <dc:language>en-GB</dc:language>
  <cp:lastModifiedBy/>
  <dcterms:modified xsi:type="dcterms:W3CDTF">2019-10-28T17:59:32Z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