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B197CE7" w14:textId="77777777" w:rsidR="00B322E0" w:rsidRDefault="00B322E0">
      <w:pPr>
        <w:jc w:val="center"/>
        <w:rPr>
          <w:b/>
          <w:i/>
          <w:color w:val="auto"/>
          <w:sz w:val="88"/>
          <w:szCs w:val="88"/>
        </w:rPr>
      </w:pPr>
    </w:p>
    <w:p w14:paraId="6BD94E8E" w14:textId="77777777" w:rsidR="00410CBD" w:rsidRPr="00752C57" w:rsidRDefault="00410CBD">
      <w:pPr>
        <w:jc w:val="center"/>
        <w:rPr>
          <w:b/>
          <w:i/>
          <w:color w:val="auto"/>
          <w:sz w:val="88"/>
          <w:szCs w:val="8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3"/>
        <w:gridCol w:w="7307"/>
      </w:tblGrid>
      <w:tr w:rsidR="00656B94" w:rsidRPr="00C23109" w14:paraId="6B9BEE6C" w14:textId="77777777" w:rsidTr="00410CBD">
        <w:trPr>
          <w:trHeight w:val="692"/>
        </w:trPr>
        <w:tc>
          <w:tcPr>
            <w:tcW w:w="2048" w:type="dxa"/>
          </w:tcPr>
          <w:p w14:paraId="0AA796F9" w14:textId="77777777" w:rsidR="00656B94" w:rsidRPr="00C23109" w:rsidRDefault="00656B94" w:rsidP="00F80D70">
            <w:pPr>
              <w:rPr>
                <w:b/>
                <w:i/>
              </w:rPr>
            </w:pPr>
            <w:r w:rsidRPr="00C23109">
              <w:rPr>
                <w:b/>
                <w:i/>
              </w:rPr>
              <w:t>Module</w:t>
            </w:r>
          </w:p>
        </w:tc>
        <w:tc>
          <w:tcPr>
            <w:tcW w:w="7347" w:type="dxa"/>
          </w:tcPr>
          <w:p w14:paraId="5A578BD2" w14:textId="77777777" w:rsidR="00656B94" w:rsidRPr="00C23109" w:rsidRDefault="005715D0" w:rsidP="00F80D70">
            <w:r w:rsidRPr="005715D0">
              <w:t>Principles of Health and Social Care Practice</w:t>
            </w:r>
          </w:p>
        </w:tc>
      </w:tr>
      <w:tr w:rsidR="00656B94" w:rsidRPr="00C23109" w14:paraId="1F5E7866" w14:textId="77777777" w:rsidTr="00410CBD">
        <w:trPr>
          <w:trHeight w:val="717"/>
        </w:trPr>
        <w:tc>
          <w:tcPr>
            <w:tcW w:w="2048" w:type="dxa"/>
          </w:tcPr>
          <w:p w14:paraId="58169E18" w14:textId="77777777" w:rsidR="00656B94" w:rsidRPr="00C23109" w:rsidRDefault="00656B94" w:rsidP="00F80D70">
            <w:pPr>
              <w:rPr>
                <w:b/>
                <w:i/>
              </w:rPr>
            </w:pPr>
            <w:r w:rsidRPr="00C23109">
              <w:rPr>
                <w:b/>
                <w:i/>
              </w:rPr>
              <w:t>Module Code</w:t>
            </w:r>
          </w:p>
        </w:tc>
        <w:tc>
          <w:tcPr>
            <w:tcW w:w="7347" w:type="dxa"/>
          </w:tcPr>
          <w:p w14:paraId="76BBD81B" w14:textId="059B081B" w:rsidR="00775234" w:rsidRPr="00C23109" w:rsidRDefault="005715D0" w:rsidP="00F80D70">
            <w:r w:rsidRPr="005715D0">
              <w:t xml:space="preserve">BMHP5016 </w:t>
            </w:r>
          </w:p>
        </w:tc>
      </w:tr>
      <w:tr w:rsidR="00656B94" w:rsidRPr="00C23109" w14:paraId="3D6C983B" w14:textId="77777777" w:rsidTr="00410CBD">
        <w:trPr>
          <w:trHeight w:val="692"/>
        </w:trPr>
        <w:tc>
          <w:tcPr>
            <w:tcW w:w="2048" w:type="dxa"/>
          </w:tcPr>
          <w:p w14:paraId="063DACD0" w14:textId="77777777" w:rsidR="00656B94" w:rsidRPr="00C23109" w:rsidRDefault="00656B94" w:rsidP="00F80D70">
            <w:pPr>
              <w:rPr>
                <w:b/>
                <w:i/>
              </w:rPr>
            </w:pPr>
            <w:r w:rsidRPr="00C23109">
              <w:rPr>
                <w:b/>
                <w:i/>
              </w:rPr>
              <w:t xml:space="preserve">Student Name/ ID </w:t>
            </w:r>
          </w:p>
        </w:tc>
        <w:tc>
          <w:tcPr>
            <w:tcW w:w="7347" w:type="dxa"/>
          </w:tcPr>
          <w:p w14:paraId="557C9445" w14:textId="77777777" w:rsidR="00656B94" w:rsidRDefault="00C5526B" w:rsidP="00F80D70">
            <w:proofErr w:type="spellStart"/>
            <w:r>
              <w:t>Sehrash</w:t>
            </w:r>
            <w:proofErr w:type="spellEnd"/>
            <w:r>
              <w:t xml:space="preserve"> Ali </w:t>
            </w:r>
          </w:p>
          <w:p w14:paraId="071B4D2E" w14:textId="48A06FD0" w:rsidR="00C5526B" w:rsidRPr="00C23109" w:rsidRDefault="00C5526B" w:rsidP="00F80D70">
            <w:r>
              <w:t>2440353</w:t>
            </w:r>
          </w:p>
        </w:tc>
      </w:tr>
      <w:tr w:rsidR="00656B94" w:rsidRPr="00C23109" w14:paraId="7B4F0498" w14:textId="77777777" w:rsidTr="00410CBD">
        <w:trPr>
          <w:trHeight w:val="692"/>
        </w:trPr>
        <w:tc>
          <w:tcPr>
            <w:tcW w:w="2048" w:type="dxa"/>
          </w:tcPr>
          <w:p w14:paraId="0A18E3F5" w14:textId="77777777" w:rsidR="00656B94" w:rsidRPr="00C23109" w:rsidRDefault="00656B94" w:rsidP="00F80D70">
            <w:pPr>
              <w:rPr>
                <w:b/>
                <w:i/>
              </w:rPr>
            </w:pPr>
            <w:r w:rsidRPr="00C23109">
              <w:rPr>
                <w:b/>
                <w:i/>
              </w:rPr>
              <w:t>Assignment Title</w:t>
            </w:r>
          </w:p>
        </w:tc>
        <w:tc>
          <w:tcPr>
            <w:tcW w:w="7347" w:type="dxa"/>
          </w:tcPr>
          <w:p w14:paraId="252AC48C" w14:textId="77777777" w:rsidR="00656B94" w:rsidRDefault="00775234" w:rsidP="00F80D70">
            <w:r>
              <w:t>Component 1</w:t>
            </w:r>
          </w:p>
          <w:p w14:paraId="77EDDD48" w14:textId="33019CCB" w:rsidR="00775234" w:rsidRPr="00C23109" w:rsidRDefault="00775234" w:rsidP="00F80D70">
            <w:r>
              <w:t xml:space="preserve">Assignment </w:t>
            </w:r>
            <w:r w:rsidR="000E5D95">
              <w:t>(Case study report)</w:t>
            </w:r>
          </w:p>
        </w:tc>
      </w:tr>
      <w:tr w:rsidR="00656B94" w:rsidRPr="00C23109" w14:paraId="40F5A453" w14:textId="77777777" w:rsidTr="00410CBD">
        <w:trPr>
          <w:trHeight w:val="692"/>
        </w:trPr>
        <w:tc>
          <w:tcPr>
            <w:tcW w:w="2048" w:type="dxa"/>
          </w:tcPr>
          <w:p w14:paraId="21703B93" w14:textId="77777777" w:rsidR="00656B94" w:rsidRPr="00C23109" w:rsidRDefault="00656B94" w:rsidP="00F80D70">
            <w:pPr>
              <w:rPr>
                <w:b/>
                <w:i/>
              </w:rPr>
            </w:pPr>
            <w:r w:rsidRPr="00C23109">
              <w:rPr>
                <w:b/>
                <w:i/>
              </w:rPr>
              <w:t>Submission Date</w:t>
            </w:r>
          </w:p>
        </w:tc>
        <w:tc>
          <w:tcPr>
            <w:tcW w:w="7347" w:type="dxa"/>
          </w:tcPr>
          <w:p w14:paraId="69AA2FB8" w14:textId="14933DD6" w:rsidR="00656B94" w:rsidRPr="00C23109" w:rsidRDefault="00281B7A" w:rsidP="00F80D70">
            <w:r>
              <w:t>21</w:t>
            </w:r>
            <w:r w:rsidRPr="00281B7A">
              <w:rPr>
                <w:vertAlign w:val="superscript"/>
              </w:rPr>
              <w:t>st</w:t>
            </w:r>
            <w:r>
              <w:t xml:space="preserve"> </w:t>
            </w:r>
            <w:r w:rsidR="00386E4F">
              <w:t>October 2026</w:t>
            </w:r>
          </w:p>
        </w:tc>
      </w:tr>
    </w:tbl>
    <w:p w14:paraId="2AADCF02" w14:textId="77777777" w:rsidR="00793373" w:rsidRPr="00752C57" w:rsidRDefault="009C2D59">
      <w:pPr>
        <w:jc w:val="center"/>
        <w:rPr>
          <w:b/>
          <w:i/>
          <w:color w:val="auto"/>
          <w:sz w:val="72"/>
          <w:szCs w:val="72"/>
        </w:rPr>
      </w:pPr>
      <w:r w:rsidRPr="00752C57">
        <w:rPr>
          <w:b/>
          <w:bCs/>
          <w:i/>
          <w:color w:val="auto"/>
          <w:sz w:val="72"/>
          <w:szCs w:val="72"/>
        </w:rPr>
        <w:t> </w:t>
      </w:r>
      <w:r w:rsidR="00B57A65" w:rsidRPr="00752C57">
        <w:rPr>
          <w:b/>
          <w:i/>
          <w:color w:val="auto"/>
          <w:sz w:val="72"/>
          <w:szCs w:val="72"/>
        </w:rPr>
        <w:t xml:space="preserve"> </w:t>
      </w:r>
    </w:p>
    <w:p w14:paraId="68EB44CF" w14:textId="77777777" w:rsidR="00793373" w:rsidRPr="00752C57" w:rsidRDefault="00793373">
      <w:pPr>
        <w:pStyle w:val="ContentsHeading"/>
        <w:pageBreakBefore/>
        <w:rPr>
          <w:color w:val="auto"/>
        </w:rPr>
      </w:pPr>
      <w:r w:rsidRPr="00752C57">
        <w:rPr>
          <w:color w:val="auto"/>
        </w:rPr>
        <w:t>Table of Contents</w:t>
      </w:r>
    </w:p>
    <w:p w14:paraId="24BBA52C" w14:textId="77777777" w:rsidR="001327F4" w:rsidRDefault="00793373">
      <w:pPr>
        <w:pStyle w:val="TOC1"/>
        <w:rPr>
          <w:rFonts w:asciiTheme="minorHAnsi" w:eastAsiaTheme="minorEastAsia" w:hAnsiTheme="minorHAnsi" w:cstheme="minorBidi"/>
          <w:noProof/>
          <w:color w:val="auto"/>
          <w:sz w:val="22"/>
          <w:lang w:eastAsia="en-GB"/>
        </w:rPr>
      </w:pPr>
      <w:r w:rsidRPr="00752C57">
        <w:rPr>
          <w:rFonts w:cs="Times New Roman"/>
          <w:color w:val="auto"/>
        </w:rPr>
        <w:fldChar w:fldCharType="begin"/>
      </w:r>
      <w:r w:rsidRPr="00752C57">
        <w:rPr>
          <w:rFonts w:cs="Times New Roman"/>
          <w:color w:val="auto"/>
        </w:rPr>
        <w:instrText xml:space="preserve"> TOC \f \o "1-9" \o "1-9" </w:instrText>
      </w:r>
      <w:r w:rsidRPr="00752C57">
        <w:rPr>
          <w:rFonts w:cs="Times New Roman"/>
          <w:color w:val="auto"/>
        </w:rPr>
        <w:fldChar w:fldCharType="separate"/>
      </w:r>
      <w:r w:rsidR="001327F4">
        <w:rPr>
          <w:noProof/>
        </w:rPr>
        <w:t>Introduction</w:t>
      </w:r>
      <w:r w:rsidR="001327F4">
        <w:rPr>
          <w:noProof/>
        </w:rPr>
        <w:tab/>
      </w:r>
      <w:r w:rsidR="001327F4">
        <w:rPr>
          <w:noProof/>
        </w:rPr>
        <w:fldChar w:fldCharType="begin"/>
      </w:r>
      <w:r w:rsidR="001327F4">
        <w:rPr>
          <w:noProof/>
        </w:rPr>
        <w:instrText xml:space="preserve"> PAGEREF _Toc242806738 \h </w:instrText>
      </w:r>
      <w:r w:rsidR="001327F4">
        <w:rPr>
          <w:noProof/>
        </w:rPr>
      </w:r>
      <w:r w:rsidR="001327F4">
        <w:rPr>
          <w:noProof/>
        </w:rPr>
        <w:fldChar w:fldCharType="separate"/>
      </w:r>
      <w:r w:rsidR="001327F4">
        <w:rPr>
          <w:noProof/>
        </w:rPr>
        <w:t>3</w:t>
      </w:r>
      <w:r w:rsidR="001327F4">
        <w:rPr>
          <w:noProof/>
        </w:rPr>
        <w:fldChar w:fldCharType="end"/>
      </w:r>
    </w:p>
    <w:p w14:paraId="4DBC5902" w14:textId="77777777" w:rsidR="001327F4" w:rsidRDefault="001327F4">
      <w:pPr>
        <w:pStyle w:val="TOC1"/>
        <w:rPr>
          <w:rFonts w:asciiTheme="minorHAnsi" w:eastAsiaTheme="minorEastAsia" w:hAnsiTheme="minorHAnsi" w:cstheme="minorBidi"/>
          <w:noProof/>
          <w:color w:val="auto"/>
          <w:sz w:val="22"/>
          <w:lang w:eastAsia="en-GB"/>
        </w:rPr>
      </w:pPr>
      <w:r w:rsidRPr="000D53F7">
        <w:rPr>
          <w:noProof/>
          <w:lang w:val="en-US"/>
        </w:rPr>
        <w:t>Task 1: Critical reflection on the importance of health and social care principles</w:t>
      </w:r>
      <w:r>
        <w:rPr>
          <w:noProof/>
        </w:rPr>
        <w:tab/>
      </w:r>
      <w:r>
        <w:rPr>
          <w:noProof/>
        </w:rPr>
        <w:fldChar w:fldCharType="begin"/>
      </w:r>
      <w:r>
        <w:rPr>
          <w:noProof/>
        </w:rPr>
        <w:instrText xml:space="preserve"> PAGEREF _Toc242806739 \h </w:instrText>
      </w:r>
      <w:r>
        <w:rPr>
          <w:noProof/>
        </w:rPr>
      </w:r>
      <w:r>
        <w:rPr>
          <w:noProof/>
        </w:rPr>
        <w:fldChar w:fldCharType="separate"/>
      </w:r>
      <w:r>
        <w:rPr>
          <w:noProof/>
        </w:rPr>
        <w:t>3</w:t>
      </w:r>
      <w:r>
        <w:rPr>
          <w:noProof/>
        </w:rPr>
        <w:fldChar w:fldCharType="end"/>
      </w:r>
    </w:p>
    <w:p w14:paraId="4DAF7B44" w14:textId="77777777" w:rsidR="001327F4" w:rsidRDefault="001327F4">
      <w:pPr>
        <w:pStyle w:val="TOC2"/>
        <w:rPr>
          <w:rFonts w:asciiTheme="minorHAnsi" w:eastAsiaTheme="minorEastAsia" w:hAnsiTheme="minorHAnsi" w:cstheme="minorBidi"/>
          <w:noProof/>
          <w:color w:val="auto"/>
          <w:sz w:val="22"/>
          <w:lang w:eastAsia="en-GB"/>
        </w:rPr>
      </w:pPr>
      <w:r w:rsidRPr="000D53F7">
        <w:rPr>
          <w:noProof/>
          <w:lang w:val="en-US"/>
        </w:rPr>
        <w:t>Person-centred care</w:t>
      </w:r>
      <w:r>
        <w:rPr>
          <w:noProof/>
        </w:rPr>
        <w:tab/>
      </w:r>
      <w:r>
        <w:rPr>
          <w:noProof/>
        </w:rPr>
        <w:fldChar w:fldCharType="begin"/>
      </w:r>
      <w:r>
        <w:rPr>
          <w:noProof/>
        </w:rPr>
        <w:instrText xml:space="preserve"> PAGEREF _Toc242806740 \h </w:instrText>
      </w:r>
      <w:r>
        <w:rPr>
          <w:noProof/>
        </w:rPr>
      </w:r>
      <w:r>
        <w:rPr>
          <w:noProof/>
        </w:rPr>
        <w:fldChar w:fldCharType="separate"/>
      </w:r>
      <w:r>
        <w:rPr>
          <w:noProof/>
        </w:rPr>
        <w:t>3</w:t>
      </w:r>
      <w:r>
        <w:rPr>
          <w:noProof/>
        </w:rPr>
        <w:fldChar w:fldCharType="end"/>
      </w:r>
    </w:p>
    <w:p w14:paraId="6018BBDD" w14:textId="77777777" w:rsidR="001327F4" w:rsidRDefault="001327F4">
      <w:pPr>
        <w:pStyle w:val="TOC2"/>
        <w:rPr>
          <w:rFonts w:asciiTheme="minorHAnsi" w:eastAsiaTheme="minorEastAsia" w:hAnsiTheme="minorHAnsi" w:cstheme="minorBidi"/>
          <w:noProof/>
          <w:color w:val="auto"/>
          <w:sz w:val="22"/>
          <w:lang w:eastAsia="en-GB"/>
        </w:rPr>
      </w:pPr>
      <w:r w:rsidRPr="000D53F7">
        <w:rPr>
          <w:noProof/>
          <w:lang w:val="en-US"/>
        </w:rPr>
        <w:t>Partnership working</w:t>
      </w:r>
      <w:r>
        <w:rPr>
          <w:noProof/>
        </w:rPr>
        <w:tab/>
      </w:r>
      <w:r>
        <w:rPr>
          <w:noProof/>
        </w:rPr>
        <w:fldChar w:fldCharType="begin"/>
      </w:r>
      <w:r>
        <w:rPr>
          <w:noProof/>
        </w:rPr>
        <w:instrText xml:space="preserve"> PAGEREF _Toc242806741 \h </w:instrText>
      </w:r>
      <w:r>
        <w:rPr>
          <w:noProof/>
        </w:rPr>
      </w:r>
      <w:r>
        <w:rPr>
          <w:noProof/>
        </w:rPr>
        <w:fldChar w:fldCharType="separate"/>
      </w:r>
      <w:r>
        <w:rPr>
          <w:noProof/>
        </w:rPr>
        <w:t>3</w:t>
      </w:r>
      <w:r>
        <w:rPr>
          <w:noProof/>
        </w:rPr>
        <w:fldChar w:fldCharType="end"/>
      </w:r>
    </w:p>
    <w:p w14:paraId="2FEBF729" w14:textId="77777777" w:rsidR="001327F4" w:rsidRDefault="001327F4">
      <w:pPr>
        <w:pStyle w:val="TOC2"/>
        <w:rPr>
          <w:rFonts w:asciiTheme="minorHAnsi" w:eastAsiaTheme="minorEastAsia" w:hAnsiTheme="minorHAnsi" w:cstheme="minorBidi"/>
          <w:noProof/>
          <w:color w:val="auto"/>
          <w:sz w:val="22"/>
          <w:lang w:eastAsia="en-GB"/>
        </w:rPr>
      </w:pPr>
      <w:r w:rsidRPr="000D53F7">
        <w:rPr>
          <w:noProof/>
          <w:lang w:val="en-US"/>
        </w:rPr>
        <w:t>Ethical practice</w:t>
      </w:r>
      <w:r>
        <w:rPr>
          <w:noProof/>
        </w:rPr>
        <w:tab/>
      </w:r>
      <w:r>
        <w:rPr>
          <w:noProof/>
        </w:rPr>
        <w:fldChar w:fldCharType="begin"/>
      </w:r>
      <w:r>
        <w:rPr>
          <w:noProof/>
        </w:rPr>
        <w:instrText xml:space="preserve"> PAGEREF _Toc242806742 \h </w:instrText>
      </w:r>
      <w:r>
        <w:rPr>
          <w:noProof/>
        </w:rPr>
      </w:r>
      <w:r>
        <w:rPr>
          <w:noProof/>
        </w:rPr>
        <w:fldChar w:fldCharType="separate"/>
      </w:r>
      <w:r>
        <w:rPr>
          <w:noProof/>
        </w:rPr>
        <w:t>4</w:t>
      </w:r>
      <w:r>
        <w:rPr>
          <w:noProof/>
        </w:rPr>
        <w:fldChar w:fldCharType="end"/>
      </w:r>
    </w:p>
    <w:p w14:paraId="0A75ACA0" w14:textId="77777777" w:rsidR="001327F4" w:rsidRDefault="001327F4">
      <w:pPr>
        <w:pStyle w:val="TOC2"/>
        <w:rPr>
          <w:rFonts w:asciiTheme="minorHAnsi" w:eastAsiaTheme="minorEastAsia" w:hAnsiTheme="minorHAnsi" w:cstheme="minorBidi"/>
          <w:noProof/>
          <w:color w:val="auto"/>
          <w:sz w:val="22"/>
          <w:lang w:eastAsia="en-GB"/>
        </w:rPr>
      </w:pPr>
      <w:r w:rsidRPr="000D53F7">
        <w:rPr>
          <w:noProof/>
          <w:lang w:val="en-US"/>
        </w:rPr>
        <w:t>Synthesis</w:t>
      </w:r>
      <w:r>
        <w:rPr>
          <w:noProof/>
        </w:rPr>
        <w:tab/>
      </w:r>
      <w:r>
        <w:rPr>
          <w:noProof/>
        </w:rPr>
        <w:fldChar w:fldCharType="begin"/>
      </w:r>
      <w:r>
        <w:rPr>
          <w:noProof/>
        </w:rPr>
        <w:instrText xml:space="preserve"> PAGEREF _Toc242806743 \h </w:instrText>
      </w:r>
      <w:r>
        <w:rPr>
          <w:noProof/>
        </w:rPr>
      </w:r>
      <w:r>
        <w:rPr>
          <w:noProof/>
        </w:rPr>
        <w:fldChar w:fldCharType="separate"/>
      </w:r>
      <w:r>
        <w:rPr>
          <w:noProof/>
        </w:rPr>
        <w:t>4</w:t>
      </w:r>
      <w:r>
        <w:rPr>
          <w:noProof/>
        </w:rPr>
        <w:fldChar w:fldCharType="end"/>
      </w:r>
    </w:p>
    <w:p w14:paraId="5F6C2999" w14:textId="77777777" w:rsidR="001327F4" w:rsidRDefault="001327F4">
      <w:pPr>
        <w:pStyle w:val="TOC1"/>
        <w:rPr>
          <w:rFonts w:asciiTheme="minorHAnsi" w:eastAsiaTheme="minorEastAsia" w:hAnsiTheme="minorHAnsi" w:cstheme="minorBidi"/>
          <w:noProof/>
          <w:color w:val="auto"/>
          <w:sz w:val="22"/>
          <w:lang w:eastAsia="en-GB"/>
        </w:rPr>
      </w:pPr>
      <w:r>
        <w:rPr>
          <w:noProof/>
        </w:rPr>
        <w:t>Task 2: Critical evaluation of person-centred care, partnership working and ethical practice in Robyn’s story</w:t>
      </w:r>
      <w:r>
        <w:rPr>
          <w:noProof/>
        </w:rPr>
        <w:tab/>
      </w:r>
      <w:r>
        <w:rPr>
          <w:noProof/>
        </w:rPr>
        <w:fldChar w:fldCharType="begin"/>
      </w:r>
      <w:r>
        <w:rPr>
          <w:noProof/>
        </w:rPr>
        <w:instrText xml:space="preserve"> PAGEREF _Toc242806744 \h </w:instrText>
      </w:r>
      <w:r>
        <w:rPr>
          <w:noProof/>
        </w:rPr>
      </w:r>
      <w:r>
        <w:rPr>
          <w:noProof/>
        </w:rPr>
        <w:fldChar w:fldCharType="separate"/>
      </w:r>
      <w:r>
        <w:rPr>
          <w:noProof/>
        </w:rPr>
        <w:t>5</w:t>
      </w:r>
      <w:r>
        <w:rPr>
          <w:noProof/>
        </w:rPr>
        <w:fldChar w:fldCharType="end"/>
      </w:r>
    </w:p>
    <w:p w14:paraId="5384CA9E" w14:textId="77777777" w:rsidR="001327F4" w:rsidRDefault="001327F4">
      <w:pPr>
        <w:pStyle w:val="TOC1"/>
        <w:rPr>
          <w:rFonts w:asciiTheme="minorHAnsi" w:eastAsiaTheme="minorEastAsia" w:hAnsiTheme="minorHAnsi" w:cstheme="minorBidi"/>
          <w:noProof/>
          <w:color w:val="auto"/>
          <w:sz w:val="22"/>
          <w:lang w:eastAsia="en-GB"/>
        </w:rPr>
      </w:pPr>
      <w:r>
        <w:rPr>
          <w:noProof/>
        </w:rPr>
        <w:t>Task 3: Critical self-reflection and professional development</w:t>
      </w:r>
      <w:r>
        <w:rPr>
          <w:noProof/>
        </w:rPr>
        <w:tab/>
      </w:r>
      <w:r>
        <w:rPr>
          <w:noProof/>
        </w:rPr>
        <w:fldChar w:fldCharType="begin"/>
      </w:r>
      <w:r>
        <w:rPr>
          <w:noProof/>
        </w:rPr>
        <w:instrText xml:space="preserve"> PAGEREF _Toc242806745 \h </w:instrText>
      </w:r>
      <w:r>
        <w:rPr>
          <w:noProof/>
        </w:rPr>
      </w:r>
      <w:r>
        <w:rPr>
          <w:noProof/>
        </w:rPr>
        <w:fldChar w:fldCharType="separate"/>
      </w:r>
      <w:r>
        <w:rPr>
          <w:noProof/>
        </w:rPr>
        <w:t>7</w:t>
      </w:r>
      <w:r>
        <w:rPr>
          <w:noProof/>
        </w:rPr>
        <w:fldChar w:fldCharType="end"/>
      </w:r>
    </w:p>
    <w:p w14:paraId="285DE8CA" w14:textId="77777777" w:rsidR="001327F4" w:rsidRDefault="001327F4">
      <w:pPr>
        <w:pStyle w:val="TOC2"/>
        <w:rPr>
          <w:rFonts w:asciiTheme="minorHAnsi" w:eastAsiaTheme="minorEastAsia" w:hAnsiTheme="minorHAnsi" w:cstheme="minorBidi"/>
          <w:noProof/>
          <w:color w:val="auto"/>
          <w:sz w:val="22"/>
          <w:lang w:eastAsia="en-GB"/>
        </w:rPr>
      </w:pPr>
      <w:r>
        <w:rPr>
          <w:noProof/>
        </w:rPr>
        <w:t>Professional role and reflective purpose</w:t>
      </w:r>
      <w:r>
        <w:rPr>
          <w:noProof/>
        </w:rPr>
        <w:tab/>
      </w:r>
      <w:r>
        <w:rPr>
          <w:noProof/>
        </w:rPr>
        <w:fldChar w:fldCharType="begin"/>
      </w:r>
      <w:r>
        <w:rPr>
          <w:noProof/>
        </w:rPr>
        <w:instrText xml:space="preserve"> PAGEREF _Toc242806746 \h </w:instrText>
      </w:r>
      <w:r>
        <w:rPr>
          <w:noProof/>
        </w:rPr>
      </w:r>
      <w:r>
        <w:rPr>
          <w:noProof/>
        </w:rPr>
        <w:fldChar w:fldCharType="separate"/>
      </w:r>
      <w:r>
        <w:rPr>
          <w:noProof/>
        </w:rPr>
        <w:t>7</w:t>
      </w:r>
      <w:r>
        <w:rPr>
          <w:noProof/>
        </w:rPr>
        <w:fldChar w:fldCharType="end"/>
      </w:r>
    </w:p>
    <w:p w14:paraId="35B85B9C" w14:textId="77777777" w:rsidR="001327F4" w:rsidRDefault="001327F4">
      <w:pPr>
        <w:pStyle w:val="TOC2"/>
        <w:rPr>
          <w:rFonts w:asciiTheme="minorHAnsi" w:eastAsiaTheme="minorEastAsia" w:hAnsiTheme="minorHAnsi" w:cstheme="minorBidi"/>
          <w:noProof/>
          <w:color w:val="auto"/>
          <w:sz w:val="22"/>
          <w:lang w:eastAsia="en-GB"/>
        </w:rPr>
      </w:pPr>
      <w:r>
        <w:rPr>
          <w:noProof/>
        </w:rPr>
        <w:t>Person-centred practice</w:t>
      </w:r>
      <w:r>
        <w:rPr>
          <w:noProof/>
        </w:rPr>
        <w:tab/>
      </w:r>
      <w:r>
        <w:rPr>
          <w:noProof/>
        </w:rPr>
        <w:fldChar w:fldCharType="begin"/>
      </w:r>
      <w:r>
        <w:rPr>
          <w:noProof/>
        </w:rPr>
        <w:instrText xml:space="preserve"> PAGEREF _Toc242806747 \h </w:instrText>
      </w:r>
      <w:r>
        <w:rPr>
          <w:noProof/>
        </w:rPr>
      </w:r>
      <w:r>
        <w:rPr>
          <w:noProof/>
        </w:rPr>
        <w:fldChar w:fldCharType="separate"/>
      </w:r>
      <w:r>
        <w:rPr>
          <w:noProof/>
        </w:rPr>
        <w:t>7</w:t>
      </w:r>
      <w:r>
        <w:rPr>
          <w:noProof/>
        </w:rPr>
        <w:fldChar w:fldCharType="end"/>
      </w:r>
    </w:p>
    <w:p w14:paraId="7C9F3B6C" w14:textId="77777777" w:rsidR="001327F4" w:rsidRDefault="001327F4">
      <w:pPr>
        <w:pStyle w:val="TOC2"/>
        <w:rPr>
          <w:rFonts w:asciiTheme="minorHAnsi" w:eastAsiaTheme="minorEastAsia" w:hAnsiTheme="minorHAnsi" w:cstheme="minorBidi"/>
          <w:noProof/>
          <w:color w:val="auto"/>
          <w:sz w:val="22"/>
          <w:lang w:eastAsia="en-GB"/>
        </w:rPr>
      </w:pPr>
      <w:r>
        <w:rPr>
          <w:noProof/>
        </w:rPr>
        <w:t>Partnership working</w:t>
      </w:r>
      <w:r>
        <w:rPr>
          <w:noProof/>
        </w:rPr>
        <w:tab/>
      </w:r>
      <w:r>
        <w:rPr>
          <w:noProof/>
        </w:rPr>
        <w:fldChar w:fldCharType="begin"/>
      </w:r>
      <w:r>
        <w:rPr>
          <w:noProof/>
        </w:rPr>
        <w:instrText xml:space="preserve"> PAGEREF _Toc242806748 \h </w:instrText>
      </w:r>
      <w:r>
        <w:rPr>
          <w:noProof/>
        </w:rPr>
      </w:r>
      <w:r>
        <w:rPr>
          <w:noProof/>
        </w:rPr>
        <w:fldChar w:fldCharType="separate"/>
      </w:r>
      <w:r>
        <w:rPr>
          <w:noProof/>
        </w:rPr>
        <w:t>7</w:t>
      </w:r>
      <w:r>
        <w:rPr>
          <w:noProof/>
        </w:rPr>
        <w:fldChar w:fldCharType="end"/>
      </w:r>
    </w:p>
    <w:p w14:paraId="03B79094" w14:textId="77777777" w:rsidR="001327F4" w:rsidRDefault="001327F4">
      <w:pPr>
        <w:pStyle w:val="TOC2"/>
        <w:rPr>
          <w:rFonts w:asciiTheme="minorHAnsi" w:eastAsiaTheme="minorEastAsia" w:hAnsiTheme="minorHAnsi" w:cstheme="minorBidi"/>
          <w:noProof/>
          <w:color w:val="auto"/>
          <w:sz w:val="22"/>
          <w:lang w:eastAsia="en-GB"/>
        </w:rPr>
      </w:pPr>
      <w:r>
        <w:rPr>
          <w:noProof/>
        </w:rPr>
        <w:t>Ethical practice and accountability</w:t>
      </w:r>
      <w:r>
        <w:rPr>
          <w:noProof/>
        </w:rPr>
        <w:tab/>
      </w:r>
      <w:r>
        <w:rPr>
          <w:noProof/>
        </w:rPr>
        <w:fldChar w:fldCharType="begin"/>
      </w:r>
      <w:r>
        <w:rPr>
          <w:noProof/>
        </w:rPr>
        <w:instrText xml:space="preserve"> PAGEREF _Toc242806749 \h </w:instrText>
      </w:r>
      <w:r>
        <w:rPr>
          <w:noProof/>
        </w:rPr>
      </w:r>
      <w:r>
        <w:rPr>
          <w:noProof/>
        </w:rPr>
        <w:fldChar w:fldCharType="separate"/>
      </w:r>
      <w:r>
        <w:rPr>
          <w:noProof/>
        </w:rPr>
        <w:t>8</w:t>
      </w:r>
      <w:r>
        <w:rPr>
          <w:noProof/>
        </w:rPr>
        <w:fldChar w:fldCharType="end"/>
      </w:r>
    </w:p>
    <w:p w14:paraId="34323849" w14:textId="77777777" w:rsidR="001327F4" w:rsidRDefault="001327F4">
      <w:pPr>
        <w:pStyle w:val="TOC2"/>
        <w:rPr>
          <w:rFonts w:asciiTheme="minorHAnsi" w:eastAsiaTheme="minorEastAsia" w:hAnsiTheme="minorHAnsi" w:cstheme="minorBidi"/>
          <w:noProof/>
          <w:color w:val="auto"/>
          <w:sz w:val="22"/>
          <w:lang w:eastAsia="en-GB"/>
        </w:rPr>
      </w:pPr>
      <w:r>
        <w:rPr>
          <w:noProof/>
        </w:rPr>
        <w:t>Strengths, limitations and learning needs</w:t>
      </w:r>
      <w:r>
        <w:rPr>
          <w:noProof/>
        </w:rPr>
        <w:tab/>
      </w:r>
      <w:r>
        <w:rPr>
          <w:noProof/>
        </w:rPr>
        <w:fldChar w:fldCharType="begin"/>
      </w:r>
      <w:r>
        <w:rPr>
          <w:noProof/>
        </w:rPr>
        <w:instrText xml:space="preserve"> PAGEREF _Toc242806750 \h </w:instrText>
      </w:r>
      <w:r>
        <w:rPr>
          <w:noProof/>
        </w:rPr>
      </w:r>
      <w:r>
        <w:rPr>
          <w:noProof/>
        </w:rPr>
        <w:fldChar w:fldCharType="separate"/>
      </w:r>
      <w:r>
        <w:rPr>
          <w:noProof/>
        </w:rPr>
        <w:t>8</w:t>
      </w:r>
      <w:r>
        <w:rPr>
          <w:noProof/>
        </w:rPr>
        <w:fldChar w:fldCharType="end"/>
      </w:r>
    </w:p>
    <w:p w14:paraId="05A61D0B" w14:textId="77777777" w:rsidR="001327F4" w:rsidRDefault="001327F4">
      <w:pPr>
        <w:pStyle w:val="TOC2"/>
        <w:rPr>
          <w:rFonts w:asciiTheme="minorHAnsi" w:eastAsiaTheme="minorEastAsia" w:hAnsiTheme="minorHAnsi" w:cstheme="minorBidi"/>
          <w:noProof/>
          <w:color w:val="auto"/>
          <w:sz w:val="22"/>
          <w:lang w:eastAsia="en-GB"/>
        </w:rPr>
      </w:pPr>
      <w:r>
        <w:rPr>
          <w:noProof/>
        </w:rPr>
        <w:t>Professional development action plan</w:t>
      </w:r>
      <w:r>
        <w:rPr>
          <w:noProof/>
        </w:rPr>
        <w:tab/>
      </w:r>
      <w:r>
        <w:rPr>
          <w:noProof/>
        </w:rPr>
        <w:fldChar w:fldCharType="begin"/>
      </w:r>
      <w:r>
        <w:rPr>
          <w:noProof/>
        </w:rPr>
        <w:instrText xml:space="preserve"> PAGEREF _Toc242806751 \h </w:instrText>
      </w:r>
      <w:r>
        <w:rPr>
          <w:noProof/>
        </w:rPr>
      </w:r>
      <w:r>
        <w:rPr>
          <w:noProof/>
        </w:rPr>
        <w:fldChar w:fldCharType="separate"/>
      </w:r>
      <w:r>
        <w:rPr>
          <w:noProof/>
        </w:rPr>
        <w:t>9</w:t>
      </w:r>
      <w:r>
        <w:rPr>
          <w:noProof/>
        </w:rPr>
        <w:fldChar w:fldCharType="end"/>
      </w:r>
    </w:p>
    <w:p w14:paraId="50B4DE46" w14:textId="77777777" w:rsidR="001327F4" w:rsidRDefault="001327F4">
      <w:pPr>
        <w:pStyle w:val="TOC2"/>
        <w:rPr>
          <w:rFonts w:asciiTheme="minorHAnsi" w:eastAsiaTheme="minorEastAsia" w:hAnsiTheme="minorHAnsi" w:cstheme="minorBidi"/>
          <w:noProof/>
          <w:color w:val="auto"/>
          <w:sz w:val="22"/>
          <w:lang w:eastAsia="en-GB"/>
        </w:rPr>
      </w:pPr>
      <w:r>
        <w:rPr>
          <w:noProof/>
        </w:rPr>
        <w:t>Future professional practice</w:t>
      </w:r>
      <w:r>
        <w:rPr>
          <w:noProof/>
        </w:rPr>
        <w:tab/>
      </w:r>
      <w:r>
        <w:rPr>
          <w:noProof/>
        </w:rPr>
        <w:fldChar w:fldCharType="begin"/>
      </w:r>
      <w:r>
        <w:rPr>
          <w:noProof/>
        </w:rPr>
        <w:instrText xml:space="preserve"> PAGEREF _Toc242806752 \h </w:instrText>
      </w:r>
      <w:r>
        <w:rPr>
          <w:noProof/>
        </w:rPr>
      </w:r>
      <w:r>
        <w:rPr>
          <w:noProof/>
        </w:rPr>
        <w:fldChar w:fldCharType="separate"/>
      </w:r>
      <w:r>
        <w:rPr>
          <w:noProof/>
        </w:rPr>
        <w:t>9</w:t>
      </w:r>
      <w:r>
        <w:rPr>
          <w:noProof/>
        </w:rPr>
        <w:fldChar w:fldCharType="end"/>
      </w:r>
    </w:p>
    <w:p w14:paraId="45C014DF" w14:textId="77777777" w:rsidR="001327F4" w:rsidRDefault="001327F4">
      <w:pPr>
        <w:pStyle w:val="TOC1"/>
        <w:rPr>
          <w:rFonts w:asciiTheme="minorHAnsi" w:eastAsiaTheme="minorEastAsia" w:hAnsiTheme="minorHAnsi" w:cstheme="minorBidi"/>
          <w:noProof/>
          <w:color w:val="auto"/>
          <w:sz w:val="22"/>
          <w:lang w:eastAsia="en-GB"/>
        </w:rPr>
      </w:pPr>
      <w:r>
        <w:rPr>
          <w:noProof/>
        </w:rPr>
        <w:t>Conclusion</w:t>
      </w:r>
      <w:r>
        <w:rPr>
          <w:noProof/>
        </w:rPr>
        <w:tab/>
      </w:r>
      <w:r>
        <w:rPr>
          <w:noProof/>
        </w:rPr>
        <w:fldChar w:fldCharType="begin"/>
      </w:r>
      <w:r>
        <w:rPr>
          <w:noProof/>
        </w:rPr>
        <w:instrText xml:space="preserve"> PAGEREF _Toc242806753 \h </w:instrText>
      </w:r>
      <w:r>
        <w:rPr>
          <w:noProof/>
        </w:rPr>
      </w:r>
      <w:r>
        <w:rPr>
          <w:noProof/>
        </w:rPr>
        <w:fldChar w:fldCharType="separate"/>
      </w:r>
      <w:r>
        <w:rPr>
          <w:noProof/>
        </w:rPr>
        <w:t>10</w:t>
      </w:r>
      <w:r>
        <w:rPr>
          <w:noProof/>
        </w:rPr>
        <w:fldChar w:fldCharType="end"/>
      </w:r>
    </w:p>
    <w:p w14:paraId="74ED88FF" w14:textId="77777777" w:rsidR="001327F4" w:rsidRDefault="001327F4">
      <w:pPr>
        <w:pStyle w:val="TOC1"/>
        <w:rPr>
          <w:rFonts w:asciiTheme="minorHAnsi" w:eastAsiaTheme="minorEastAsia" w:hAnsiTheme="minorHAnsi" w:cstheme="minorBidi"/>
          <w:noProof/>
          <w:color w:val="auto"/>
          <w:sz w:val="22"/>
          <w:lang w:eastAsia="en-GB"/>
        </w:rPr>
      </w:pPr>
      <w:r>
        <w:rPr>
          <w:noProof/>
        </w:rPr>
        <w:t>References</w:t>
      </w:r>
      <w:r>
        <w:rPr>
          <w:noProof/>
        </w:rPr>
        <w:tab/>
      </w:r>
      <w:r>
        <w:rPr>
          <w:noProof/>
        </w:rPr>
        <w:fldChar w:fldCharType="begin"/>
      </w:r>
      <w:r>
        <w:rPr>
          <w:noProof/>
        </w:rPr>
        <w:instrText xml:space="preserve"> PAGEREF _Toc242806754 \h </w:instrText>
      </w:r>
      <w:r>
        <w:rPr>
          <w:noProof/>
        </w:rPr>
      </w:r>
      <w:r>
        <w:rPr>
          <w:noProof/>
        </w:rPr>
        <w:fldChar w:fldCharType="separate"/>
      </w:r>
      <w:r>
        <w:rPr>
          <w:noProof/>
        </w:rPr>
        <w:t>11</w:t>
      </w:r>
      <w:r>
        <w:rPr>
          <w:noProof/>
        </w:rPr>
        <w:fldChar w:fldCharType="end"/>
      </w:r>
    </w:p>
    <w:p w14:paraId="57ADA49B" w14:textId="77777777" w:rsidR="005901D0" w:rsidRPr="00752C57" w:rsidRDefault="00793373" w:rsidP="005901D0">
      <w:pPr>
        <w:pStyle w:val="TOC1"/>
        <w:rPr>
          <w:rFonts w:cs="Times New Roman"/>
          <w:color w:val="auto"/>
          <w:szCs w:val="24"/>
        </w:rPr>
      </w:pPr>
      <w:r w:rsidRPr="00752C57">
        <w:rPr>
          <w:rFonts w:cs="Times New Roman"/>
          <w:color w:val="auto"/>
        </w:rPr>
        <w:fldChar w:fldCharType="end"/>
      </w:r>
    </w:p>
    <w:p w14:paraId="3B90C5D2" w14:textId="77777777" w:rsidR="00793373" w:rsidRPr="00407CC9" w:rsidRDefault="00407CC9" w:rsidP="00407CC9">
      <w:pPr>
        <w:jc w:val="center"/>
        <w:rPr>
          <w:b/>
          <w:color w:val="auto"/>
          <w:sz w:val="28"/>
          <w:szCs w:val="24"/>
        </w:rPr>
      </w:pPr>
      <w:r w:rsidRPr="00407CC9">
        <w:rPr>
          <w:b/>
          <w:color w:val="auto"/>
          <w:sz w:val="28"/>
          <w:szCs w:val="24"/>
        </w:rPr>
        <w:t>List of Tables</w:t>
      </w:r>
    </w:p>
    <w:p w14:paraId="3C01D844" w14:textId="77777777" w:rsidR="001327F4" w:rsidRDefault="00407CC9">
      <w:pPr>
        <w:pStyle w:val="TableofFigures"/>
        <w:tabs>
          <w:tab w:val="right" w:leader="dot" w:pos="9350"/>
        </w:tabs>
        <w:rPr>
          <w:rFonts w:asciiTheme="minorHAnsi" w:eastAsiaTheme="minorEastAsia" w:hAnsiTheme="minorHAnsi" w:cstheme="minorBidi"/>
          <w:noProof/>
          <w:color w:val="auto"/>
          <w:sz w:val="22"/>
          <w:lang w:eastAsia="en-GB"/>
        </w:rPr>
      </w:pPr>
      <w:r>
        <w:rPr>
          <w:color w:val="auto"/>
          <w:szCs w:val="24"/>
        </w:rPr>
        <w:fldChar w:fldCharType="begin"/>
      </w:r>
      <w:r>
        <w:rPr>
          <w:color w:val="auto"/>
          <w:szCs w:val="24"/>
        </w:rPr>
        <w:instrText xml:space="preserve"> TOC \h \z \c "Table" </w:instrText>
      </w:r>
      <w:r>
        <w:rPr>
          <w:color w:val="auto"/>
          <w:szCs w:val="24"/>
        </w:rPr>
        <w:fldChar w:fldCharType="separate"/>
      </w:r>
      <w:hyperlink w:anchor="_Toc242806755" w:history="1">
        <w:r w:rsidR="001327F4" w:rsidRPr="00590C11">
          <w:rPr>
            <w:rStyle w:val="Hyperlink"/>
            <w:noProof/>
          </w:rPr>
          <w:t>Table 1: Reflective professional development action plan</w:t>
        </w:r>
        <w:r w:rsidR="001327F4">
          <w:rPr>
            <w:noProof/>
            <w:webHidden/>
          </w:rPr>
          <w:tab/>
        </w:r>
        <w:r w:rsidR="001327F4">
          <w:rPr>
            <w:noProof/>
            <w:webHidden/>
          </w:rPr>
          <w:fldChar w:fldCharType="begin"/>
        </w:r>
        <w:r w:rsidR="001327F4">
          <w:rPr>
            <w:noProof/>
            <w:webHidden/>
          </w:rPr>
          <w:instrText xml:space="preserve"> PAGEREF _Toc242806755 \h </w:instrText>
        </w:r>
        <w:r w:rsidR="001327F4">
          <w:rPr>
            <w:noProof/>
            <w:webHidden/>
          </w:rPr>
        </w:r>
        <w:r w:rsidR="001327F4">
          <w:rPr>
            <w:noProof/>
            <w:webHidden/>
          </w:rPr>
          <w:fldChar w:fldCharType="separate"/>
        </w:r>
        <w:r w:rsidR="001327F4">
          <w:rPr>
            <w:noProof/>
            <w:webHidden/>
          </w:rPr>
          <w:t>9</w:t>
        </w:r>
        <w:r w:rsidR="001327F4">
          <w:rPr>
            <w:noProof/>
            <w:webHidden/>
          </w:rPr>
          <w:fldChar w:fldCharType="end"/>
        </w:r>
      </w:hyperlink>
    </w:p>
    <w:p w14:paraId="2DD26D6A" w14:textId="77777777" w:rsidR="00407CC9" w:rsidRPr="00752C57" w:rsidRDefault="00407CC9">
      <w:pPr>
        <w:rPr>
          <w:color w:val="auto"/>
          <w:szCs w:val="24"/>
        </w:rPr>
      </w:pPr>
      <w:r>
        <w:rPr>
          <w:color w:val="auto"/>
          <w:szCs w:val="24"/>
        </w:rPr>
        <w:fldChar w:fldCharType="end"/>
      </w:r>
    </w:p>
    <w:p w14:paraId="7CBC44A2" w14:textId="77777777" w:rsidR="00FA3835" w:rsidRPr="00752C57" w:rsidRDefault="00FA3835">
      <w:pPr>
        <w:rPr>
          <w:color w:val="auto"/>
          <w:szCs w:val="24"/>
        </w:rPr>
      </w:pPr>
    </w:p>
    <w:p w14:paraId="5DA205D8" w14:textId="77777777" w:rsidR="00FA3835" w:rsidRPr="00752C57" w:rsidRDefault="00FA3835">
      <w:pPr>
        <w:rPr>
          <w:color w:val="auto"/>
          <w:szCs w:val="24"/>
        </w:rPr>
      </w:pPr>
    </w:p>
    <w:p w14:paraId="2BC70736" w14:textId="77777777" w:rsidR="0093725C" w:rsidRDefault="006407FE" w:rsidP="00F623A0">
      <w:pPr>
        <w:pStyle w:val="Heading1"/>
        <w:ind w:left="0" w:firstLine="0"/>
      </w:pPr>
      <w:r w:rsidRPr="00752C57">
        <w:br w:type="page"/>
      </w:r>
      <w:bookmarkStart w:id="0" w:name="_Toc242806738"/>
      <w:r w:rsidR="00607926" w:rsidRPr="00752C57">
        <w:t>Introduction</w:t>
      </w:r>
      <w:bookmarkEnd w:id="0"/>
    </w:p>
    <w:p w14:paraId="0D6C70FF" w14:textId="77777777" w:rsidR="005715D0" w:rsidRDefault="005715D0" w:rsidP="005715D0">
      <w:r w:rsidRPr="005715D0">
        <w:t xml:space="preserve">However, good health and social care provision needs to go beyond physical safety, as it needs to ensure the protection of dignity, autonomy and participation. This essay critically </w:t>
      </w:r>
      <w:proofErr w:type="spellStart"/>
      <w:r w:rsidRPr="005715D0">
        <w:t>analyzes</w:t>
      </w:r>
      <w:proofErr w:type="spellEnd"/>
      <w:r w:rsidRPr="005715D0">
        <w:t xml:space="preserve"> the concepts of person-cantered care, partnerships and ethics, applying these concepts to the case study of Robyn and her experience with the personal health budget (PHB). The core message of this essay is that successful personalization is not only about choice, but it also about coordination, communication, resources and risk.</w:t>
      </w:r>
    </w:p>
    <w:p w14:paraId="143799F7" w14:textId="77777777" w:rsidR="005715D0" w:rsidRPr="005715D0" w:rsidRDefault="005715D0" w:rsidP="005715D0">
      <w:pPr>
        <w:pStyle w:val="Heading1"/>
        <w:rPr>
          <w:lang w:val="en-US"/>
        </w:rPr>
      </w:pPr>
      <w:bookmarkStart w:id="1" w:name="_Toc242806739"/>
      <w:r w:rsidRPr="005715D0">
        <w:rPr>
          <w:lang w:val="en-US"/>
        </w:rPr>
        <w:t>Task 1: Critical reflection on the importance of health and social care principles</w:t>
      </w:r>
      <w:bookmarkEnd w:id="1"/>
    </w:p>
    <w:p w14:paraId="341A5C77" w14:textId="77777777" w:rsidR="005715D0" w:rsidRPr="005715D0" w:rsidRDefault="005715D0" w:rsidP="00E34CA7">
      <w:pPr>
        <w:pStyle w:val="Heading2"/>
        <w:rPr>
          <w:lang w:val="en-US"/>
        </w:rPr>
      </w:pPr>
      <w:bookmarkStart w:id="2" w:name="_Toc242806740"/>
      <w:r w:rsidRPr="005715D0">
        <w:rPr>
          <w:lang w:val="en-US"/>
        </w:rPr>
        <w:t>Person-</w:t>
      </w:r>
      <w:proofErr w:type="spellStart"/>
      <w:r w:rsidRPr="005715D0">
        <w:rPr>
          <w:lang w:val="en-US"/>
        </w:rPr>
        <w:t>centred</w:t>
      </w:r>
      <w:proofErr w:type="spellEnd"/>
      <w:r w:rsidRPr="005715D0">
        <w:rPr>
          <w:lang w:val="en-US"/>
        </w:rPr>
        <w:t xml:space="preserve"> care</w:t>
      </w:r>
      <w:bookmarkEnd w:id="2"/>
    </w:p>
    <w:p w14:paraId="725A22DC" w14:textId="77777777" w:rsidR="005715D0" w:rsidRPr="005715D0" w:rsidRDefault="005715D0" w:rsidP="005715D0">
      <w:pPr>
        <w:rPr>
          <w:lang w:val="en-US"/>
        </w:rPr>
      </w:pPr>
      <w:r w:rsidRPr="005715D0">
        <w:rPr>
          <w:lang w:val="en-US"/>
        </w:rPr>
        <w:t>Person-</w:t>
      </w:r>
      <w:proofErr w:type="spellStart"/>
      <w:r w:rsidRPr="005715D0">
        <w:rPr>
          <w:lang w:val="en-US"/>
        </w:rPr>
        <w:t>centred</w:t>
      </w:r>
      <w:proofErr w:type="spellEnd"/>
      <w:r w:rsidRPr="005715D0">
        <w:rPr>
          <w:lang w:val="en-US"/>
        </w:rPr>
        <w:t xml:space="preserve"> care views the person as a partner whose desires, resources, relationships, and goals are essential for care. Unlike task-based care, success does not mean doing the washing, dressing, and transferring; it also involves identity, relationships, and preferred activities. Meta-synthesis of 12 studies found that shared decision-making, capability of staff, coordination and timing were factors affecting community-based person-</w:t>
      </w:r>
      <w:proofErr w:type="spellStart"/>
      <w:r w:rsidRPr="005715D0">
        <w:rPr>
          <w:lang w:val="en-US"/>
        </w:rPr>
        <w:t>centred</w:t>
      </w:r>
      <w:proofErr w:type="spellEnd"/>
      <w:r w:rsidRPr="005715D0">
        <w:rPr>
          <w:lang w:val="en-US"/>
        </w:rPr>
        <w:t xml:space="preserve"> care and demonstrated that good intentions do not compensate for weak systems (Liao et al., 2023). </w:t>
      </w:r>
      <w:proofErr w:type="spellStart"/>
      <w:r w:rsidRPr="005715D0">
        <w:rPr>
          <w:lang w:val="en-US"/>
        </w:rPr>
        <w:t>Personalisation</w:t>
      </w:r>
      <w:proofErr w:type="spellEnd"/>
      <w:r w:rsidRPr="005715D0">
        <w:rPr>
          <w:lang w:val="en-US"/>
        </w:rPr>
        <w:t xml:space="preserve"> becomes a mere rhetoric if plans contain only needs but fail to mention aspects that make life meaningful. Maslow’s hierarchy of needs includes not only physical safety but also belonging and esteem, but must not be interpreted in a rigid way because people can prioritize identity or purpose even though they require considerable support. Goals have to be negotiated, recorded, and reviewed, and potential hazards explained but not presented as an excuse for limiting choices. Personal accounts of residents </w:t>
      </w:r>
      <w:proofErr w:type="spellStart"/>
      <w:r w:rsidRPr="005715D0">
        <w:rPr>
          <w:lang w:val="en-US"/>
        </w:rPr>
        <w:t>emphasi</w:t>
      </w:r>
      <w:r>
        <w:rPr>
          <w:lang w:val="en-US"/>
        </w:rPr>
        <w:t>s</w:t>
      </w:r>
      <w:r w:rsidRPr="005715D0">
        <w:rPr>
          <w:lang w:val="en-US"/>
        </w:rPr>
        <w:t>e</w:t>
      </w:r>
      <w:proofErr w:type="spellEnd"/>
      <w:r w:rsidRPr="005715D0">
        <w:rPr>
          <w:lang w:val="en-US"/>
        </w:rPr>
        <w:t xml:space="preserve"> communication and independence as essential components of person-</w:t>
      </w:r>
      <w:proofErr w:type="spellStart"/>
      <w:r w:rsidRPr="005715D0">
        <w:rPr>
          <w:lang w:val="en-US"/>
        </w:rPr>
        <w:t>centred</w:t>
      </w:r>
      <w:proofErr w:type="spellEnd"/>
      <w:r w:rsidRPr="005715D0">
        <w:rPr>
          <w:lang w:val="en-US"/>
        </w:rPr>
        <w:t xml:space="preserve"> care (Kim and Chang, 2022).</w:t>
      </w:r>
    </w:p>
    <w:p w14:paraId="06F845C4" w14:textId="77777777" w:rsidR="005715D0" w:rsidRPr="005715D0" w:rsidRDefault="005715D0" w:rsidP="00E34CA7">
      <w:pPr>
        <w:pStyle w:val="Heading2"/>
        <w:rPr>
          <w:lang w:val="en-US"/>
        </w:rPr>
      </w:pPr>
      <w:bookmarkStart w:id="3" w:name="_Toc242806741"/>
      <w:r w:rsidRPr="005715D0">
        <w:rPr>
          <w:lang w:val="en-US"/>
        </w:rPr>
        <w:t>Partnership working</w:t>
      </w:r>
      <w:bookmarkEnd w:id="3"/>
    </w:p>
    <w:p w14:paraId="7D991CA2" w14:textId="77777777" w:rsidR="005715D0" w:rsidRPr="005715D0" w:rsidRDefault="005715D0" w:rsidP="005715D0">
      <w:pPr>
        <w:rPr>
          <w:lang w:val="en-US"/>
        </w:rPr>
      </w:pPr>
      <w:r w:rsidRPr="005715D0">
        <w:rPr>
          <w:lang w:val="en-US"/>
        </w:rPr>
        <w:t xml:space="preserve">Collaborative working involves the provision of information, expertise and responsibility sharing among the service user, professionals, and appropriate supporters in pursuit of set goals. </w:t>
      </w:r>
      <w:r w:rsidR="008E5D4C" w:rsidRPr="008E5D4C">
        <w:rPr>
          <w:lang w:val="en-US"/>
        </w:rPr>
        <w:t>It will avoid fragmentation in decision-making processes because the needs of the person do not stop at organizational borders; nonetheless, collaboration is not merely about working with different organizations.</w:t>
      </w:r>
      <w:r w:rsidRPr="005715D0">
        <w:rPr>
          <w:lang w:val="en-US"/>
        </w:rPr>
        <w:t xml:space="preserve"> Interviews of 32 senior level individuals from three English integrated care systems indicated that cultural, capability, and policy barriers hinder collaborative efforts, and restructuring sometimes interfered with the relationships established through reforms </w:t>
      </w:r>
      <w:r w:rsidR="006D1840" w:rsidRPr="006D1840">
        <w:rPr>
          <w:lang w:val="en-US"/>
        </w:rPr>
        <w:t>(</w:t>
      </w:r>
      <w:proofErr w:type="spellStart"/>
      <w:r w:rsidR="006D1840" w:rsidRPr="006D1840">
        <w:rPr>
          <w:lang w:val="en-US"/>
        </w:rPr>
        <w:t>Alderwick</w:t>
      </w:r>
      <w:proofErr w:type="spellEnd"/>
      <w:r w:rsidR="006D1840" w:rsidRPr="006D1840">
        <w:rPr>
          <w:lang w:val="en-US"/>
        </w:rPr>
        <w:t>, Hutchings and Mays, 2024)</w:t>
      </w:r>
      <w:r w:rsidRPr="005715D0">
        <w:rPr>
          <w:lang w:val="en-US"/>
        </w:rPr>
        <w:t>. Collaboration thus needs accountability, stability of relationships, resources, and effective communication. The issue of power inequality is crucial since the professionals could use their expertise and financial muscle to make decisions. The decisions need to align with the goals of the person, and the reasons for any delay need to be stated.</w:t>
      </w:r>
    </w:p>
    <w:p w14:paraId="75EC6809" w14:textId="77777777" w:rsidR="005715D0" w:rsidRPr="005715D0" w:rsidRDefault="005715D0" w:rsidP="00E34CA7">
      <w:pPr>
        <w:pStyle w:val="Heading2"/>
        <w:rPr>
          <w:lang w:val="en-US"/>
        </w:rPr>
      </w:pPr>
      <w:bookmarkStart w:id="4" w:name="_Toc242806742"/>
      <w:r w:rsidRPr="005715D0">
        <w:rPr>
          <w:lang w:val="en-US"/>
        </w:rPr>
        <w:t>Ethical practice</w:t>
      </w:r>
      <w:bookmarkEnd w:id="4"/>
    </w:p>
    <w:p w14:paraId="096024C6" w14:textId="77777777" w:rsidR="005715D0" w:rsidRPr="005715D0" w:rsidRDefault="00A812AD" w:rsidP="005715D0">
      <w:pPr>
        <w:rPr>
          <w:lang w:val="en-US"/>
        </w:rPr>
      </w:pPr>
      <w:r w:rsidRPr="00A812AD">
        <w:rPr>
          <w:lang w:val="en-US"/>
        </w:rPr>
        <w:t>Autonomy helps one make an informed decision, beneficence entails helping individuals prosper, non-maleficence involves considering the possible harm that could have been avoided, and justice is about equality. It is important to strike a balance in all four principles of ethics since prioritizing any single principle among them will be inappropriate.</w:t>
      </w:r>
      <w:r w:rsidR="005715D0" w:rsidRPr="005715D0">
        <w:rPr>
          <w:lang w:val="en-US"/>
        </w:rPr>
        <w:t xml:space="preserve"> Sometimes there could be a clash between these principles as restriction lowers the level of risk but hinders independence, while the absence of restriction can lead to a person's exposure to danger. The Mental Capacity Act 2005 states that capacity is specific to particular decisions and cannot be assumed based on a condition. The Care Act 2014 stresses the importance of well-being and involvement in social care of adults</w:t>
      </w:r>
      <w:r w:rsidR="00166B1E">
        <w:rPr>
          <w:lang w:val="en-US"/>
        </w:rPr>
        <w:t xml:space="preserve"> </w:t>
      </w:r>
      <w:r w:rsidR="00166B1E" w:rsidRPr="00166B1E">
        <w:rPr>
          <w:lang w:val="en-US"/>
        </w:rPr>
        <w:t>(Gov.UK, 2014</w:t>
      </w:r>
      <w:r w:rsidR="00054E52">
        <w:rPr>
          <w:lang w:val="en-US"/>
        </w:rPr>
        <w:t>; GOV.UK, 2005</w:t>
      </w:r>
      <w:r w:rsidR="00166B1E" w:rsidRPr="00166B1E">
        <w:rPr>
          <w:lang w:val="en-US"/>
        </w:rPr>
        <w:t>)</w:t>
      </w:r>
      <w:r w:rsidR="005715D0" w:rsidRPr="005715D0">
        <w:rPr>
          <w:lang w:val="en-US"/>
        </w:rPr>
        <w:t>.</w:t>
      </w:r>
    </w:p>
    <w:p w14:paraId="486F6B03" w14:textId="77777777" w:rsidR="005715D0" w:rsidRPr="005715D0" w:rsidRDefault="005715D0" w:rsidP="00E34CA7">
      <w:pPr>
        <w:pStyle w:val="Heading2"/>
        <w:rPr>
          <w:lang w:val="en-US"/>
        </w:rPr>
      </w:pPr>
      <w:bookmarkStart w:id="5" w:name="_Toc242806743"/>
      <w:r w:rsidRPr="005715D0">
        <w:rPr>
          <w:lang w:val="en-US"/>
        </w:rPr>
        <w:t>Synthesis</w:t>
      </w:r>
      <w:bookmarkEnd w:id="5"/>
    </w:p>
    <w:p w14:paraId="75693CEF" w14:textId="77777777" w:rsidR="005715D0" w:rsidRDefault="005715D0" w:rsidP="005715D0">
      <w:pPr>
        <w:rPr>
          <w:lang w:val="en-US"/>
        </w:rPr>
      </w:pPr>
      <w:r w:rsidRPr="005715D0">
        <w:rPr>
          <w:lang w:val="en-US"/>
        </w:rPr>
        <w:t>These concepts are interdependent on each other; person-</w:t>
      </w:r>
      <w:proofErr w:type="spellStart"/>
      <w:r w:rsidRPr="005715D0">
        <w:rPr>
          <w:lang w:val="en-US"/>
        </w:rPr>
        <w:t>centred</w:t>
      </w:r>
      <w:proofErr w:type="spellEnd"/>
      <w:r w:rsidRPr="005715D0">
        <w:rPr>
          <w:lang w:val="en-US"/>
        </w:rPr>
        <w:t xml:space="preserve"> aims need collaborative partnerships, and ethics protect choice and safety. Therefore, quality needs to be measured by the consistency of service delivery and also by the ability to help people live in accordance with their values.</w:t>
      </w:r>
    </w:p>
    <w:p w14:paraId="61539DC6" w14:textId="77777777" w:rsidR="00E34CA7" w:rsidRDefault="00E34CA7">
      <w:pPr>
        <w:suppressAutoHyphens w:val="0"/>
        <w:spacing w:line="240" w:lineRule="auto"/>
        <w:jc w:val="left"/>
        <w:rPr>
          <w:lang w:val="en-US"/>
        </w:rPr>
      </w:pPr>
      <w:r>
        <w:rPr>
          <w:lang w:val="en-US"/>
        </w:rPr>
        <w:br w:type="page"/>
      </w:r>
    </w:p>
    <w:p w14:paraId="5FD8A5FF" w14:textId="77777777" w:rsidR="00E34CA7" w:rsidRDefault="00E34CA7" w:rsidP="00E34CA7">
      <w:pPr>
        <w:pStyle w:val="Heading1"/>
      </w:pPr>
      <w:bookmarkStart w:id="6" w:name="_Toc242806744"/>
      <w:r>
        <w:t>Task 2: Critical evaluation of person-centred care, partnership working and ethical practice in Robyn’s story</w:t>
      </w:r>
      <w:bookmarkEnd w:id="6"/>
    </w:p>
    <w:p w14:paraId="15650526" w14:textId="77777777" w:rsidR="00E34CA7" w:rsidRDefault="00E34CA7" w:rsidP="00E34CA7">
      <w:r>
        <w:t>Robyn's example highlights the contrast between physical safety and a meaningful existence. Due to the fact that a spinal injury had led to Robyn being tetraplegic and requiring around-the-clock care, poor staffing at the agency meant that there were 36 personal assistants in 2014. Unstable situation affected her routine and deprived access to ponies and her work</w:t>
      </w:r>
      <w:r w:rsidR="002C7931">
        <w:t xml:space="preserve"> </w:t>
      </w:r>
      <w:r w:rsidR="002C7931" w:rsidRPr="002C7931">
        <w:t xml:space="preserve">(NHS England, </w:t>
      </w:r>
      <w:proofErr w:type="spellStart"/>
      <w:r w:rsidR="002C7931" w:rsidRPr="002C7931">
        <w:t>n.d.</w:t>
      </w:r>
      <w:proofErr w:type="spellEnd"/>
      <w:r w:rsidR="002C7931" w:rsidRPr="002C7931">
        <w:t>)</w:t>
      </w:r>
      <w:r>
        <w:t>.</w:t>
      </w:r>
    </w:p>
    <w:p w14:paraId="5F8350A7" w14:textId="77777777" w:rsidR="00E34CA7" w:rsidRDefault="00E34CA7" w:rsidP="00E34CA7">
      <w:r>
        <w:tab/>
        <w:t>From the person-centred view, the initial approach to the situation was unsatisfactory because the mere presence of a PA was seen as success despite the inability of the particular staff to fit Robyn's needs in terms of skills and background. When she employed PAs using the PHB, it provided her with more control over hiring process and relationships, which allowed her to go back to self-employment and competitive carriage driving along with an active social life</w:t>
      </w:r>
      <w:r w:rsidR="00A812AD">
        <w:t>.</w:t>
      </w:r>
      <w:r>
        <w:t xml:space="preserve"> On the other hand, direct employment also means the transfer of administration functions to the budget holder.</w:t>
      </w:r>
    </w:p>
    <w:p w14:paraId="4BBA0C4E" w14:textId="77777777" w:rsidR="00E34CA7" w:rsidRDefault="00E34CA7" w:rsidP="00E34CA7">
      <w:r>
        <w:tab/>
      </w:r>
      <w:r w:rsidRPr="00E34CA7">
        <w:t>Working in partnership was a facilitator and a limitation too. The nurse from the PHB service and the Personal Budget Support Service assisted Robyn in her transition from agency provision to employing directly but this process had taken 18 months with long periods of no news at all. Such a situation affects planning in a collaborative manner since it becomes impossible to be part of planning without knowing what is going on and what is needed to be done. This was also revealed by the research that was conducted among 24 participants in the two integrated care systems in England (</w:t>
      </w:r>
      <w:proofErr w:type="spellStart"/>
      <w:r w:rsidRPr="00E34CA7">
        <w:t>Gidlow</w:t>
      </w:r>
      <w:proofErr w:type="spellEnd"/>
      <w:r w:rsidRPr="00E34CA7">
        <w:t xml:space="preserve"> et al., 2024). Robyn might benefit from regular review of progress, a contact person, a time plan and mentoring from people who have PHBs already.</w:t>
      </w:r>
    </w:p>
    <w:p w14:paraId="3B76ECEB" w14:textId="77777777" w:rsidR="00E34CA7" w:rsidRDefault="00E34CA7" w:rsidP="00E34CA7">
      <w:r>
        <w:tab/>
      </w:r>
      <w:r w:rsidRPr="00E34CA7">
        <w:t xml:space="preserve">Constant carer changes and inappropriate staff could pose threats to safe transitions and participation; additionally, the case illustrates the poor state of Robyn’s health. On the other hand, overemphasis on the issue of safety led to lack of activities for Robyn. The current case shows an improvement in Robyn’s welfare and participation; however, since this is a personal story and not a research study, it does not prove the point that PHBs will lead to the same effects for everyone. Administrative statistics show that there were 182,360 recipients of PHBs in England at the end of 2024-25 year, out of which 17% received their budget as direct payments, proving that PHBs are a significant but diverse system, rather than employment policy </w:t>
      </w:r>
      <w:r w:rsidR="002C7931">
        <w:t>(NHS England, 2024</w:t>
      </w:r>
      <w:r w:rsidR="00935E3E" w:rsidRPr="00935E3E">
        <w:t>)</w:t>
      </w:r>
      <w:r w:rsidRPr="00E34CA7">
        <w:t>. Protection measures could involve person-</w:t>
      </w:r>
      <w:proofErr w:type="spellStart"/>
      <w:r w:rsidRPr="00E34CA7">
        <w:t>centered</w:t>
      </w:r>
      <w:proofErr w:type="spellEnd"/>
      <w:r w:rsidRPr="00E34CA7">
        <w:t xml:space="preserve"> planning, recruitment, training, cover arrangements and outcomes review without creating unnecessary restrictions.</w:t>
      </w:r>
    </w:p>
    <w:p w14:paraId="5C6BD261" w14:textId="77777777" w:rsidR="00E34CA7" w:rsidRDefault="00E34CA7" w:rsidP="00E34CA7">
      <w:r>
        <w:tab/>
      </w:r>
      <w:r w:rsidRPr="00E34CA7">
        <w:t>The experiences of Robyn show the importance of personalized care if choice is coupled with a responsive system. It was not just the issue of staff change; rather it was the problem of how her priorities could be transformed into an action. The PHB helped with controlling, but the whole process indicates that personalization needs support throughout.</w:t>
      </w:r>
    </w:p>
    <w:p w14:paraId="2F72B95E" w14:textId="77777777" w:rsidR="00E34CA7" w:rsidRDefault="00E34CA7">
      <w:pPr>
        <w:suppressAutoHyphens w:val="0"/>
        <w:spacing w:line="240" w:lineRule="auto"/>
        <w:jc w:val="left"/>
        <w:rPr>
          <w:lang w:val="en-US"/>
        </w:rPr>
      </w:pPr>
      <w:r>
        <w:rPr>
          <w:lang w:val="en-US"/>
        </w:rPr>
        <w:br w:type="page"/>
      </w:r>
    </w:p>
    <w:p w14:paraId="5F3E14BA" w14:textId="77777777" w:rsidR="00E34CA7" w:rsidRDefault="00E34CA7" w:rsidP="00E34CA7">
      <w:pPr>
        <w:pStyle w:val="Heading1"/>
      </w:pPr>
      <w:bookmarkStart w:id="7" w:name="_Toc242806745"/>
      <w:r>
        <w:t>Task 3: Critical self-reflection and professional development</w:t>
      </w:r>
      <w:bookmarkEnd w:id="7"/>
    </w:p>
    <w:p w14:paraId="6BAE0BA5" w14:textId="77777777" w:rsidR="00E34CA7" w:rsidRDefault="00E34CA7" w:rsidP="00E34CA7">
      <w:pPr>
        <w:pStyle w:val="Heading2"/>
      </w:pPr>
      <w:bookmarkStart w:id="8" w:name="_Toc242806746"/>
      <w:r>
        <w:t>Professional role and reflective purpose</w:t>
      </w:r>
      <w:bookmarkEnd w:id="8"/>
    </w:p>
    <w:p w14:paraId="0F019E3F" w14:textId="77777777" w:rsidR="00E34CA7" w:rsidRDefault="00E34CA7" w:rsidP="00E34CA7">
      <w:r w:rsidRPr="00E34CA7">
        <w:t>In terms of my health and social care practice, I respect clients, implement care plans, communicate worries and keep precise records. Reflection allows me to evaluate whether what I do supports choice, dignity and continuity, or is simply task-based. The story of Robyn forces me to judge care from the client’s point of view and realize that routines may impair independence.</w:t>
      </w:r>
    </w:p>
    <w:p w14:paraId="4C20A08A" w14:textId="77777777" w:rsidR="00E34CA7" w:rsidRDefault="00E34CA7" w:rsidP="00E34CA7">
      <w:pPr>
        <w:pStyle w:val="Heading2"/>
      </w:pPr>
      <w:bookmarkStart w:id="9" w:name="_Toc242806747"/>
      <w:r>
        <w:t>Person-centred practice</w:t>
      </w:r>
      <w:bookmarkEnd w:id="9"/>
    </w:p>
    <w:p w14:paraId="1ABBBD2E" w14:textId="77777777" w:rsidR="00E34CA7" w:rsidRDefault="00E34CA7" w:rsidP="00E34CA7">
      <w:r w:rsidRPr="00E34CA7">
        <w:t>Respectful communication and consideration of personal preferences are the aspects that I take as strengths of my practice. For instance, during domiciliary care, when helping someone with personal care, it is important to explain everything, get the permission from the individual, maintain confidentiality, and encourage him/her to do things independently. In case there is an elderly person who suffers from restricted mobility or memory problems, it becomes quite easy to help such people quickly and complete all tasks instead of asking about the preferences. The situation with Robyn demonstrates that care plan must describe the needs, goals, and personality of the individual. It is important for me to turn preferences into reality and review them accordingly</w:t>
      </w:r>
      <w:r w:rsidR="008E49BD">
        <w:t xml:space="preserve"> </w:t>
      </w:r>
      <w:r w:rsidR="008E49BD" w:rsidRPr="008E49BD">
        <w:t>(NHS, 2025)</w:t>
      </w:r>
      <w:r w:rsidRPr="00E34CA7">
        <w:t>.</w:t>
      </w:r>
      <w:r>
        <w:t xml:space="preserve"> </w:t>
      </w:r>
    </w:p>
    <w:p w14:paraId="2F554888" w14:textId="77777777" w:rsidR="00E34CA7" w:rsidRDefault="00E34CA7" w:rsidP="00E34CA7">
      <w:r>
        <w:tab/>
      </w:r>
      <w:r w:rsidRPr="00E34CA7">
        <w:t>This involves determining what is important to the individual, verifying that activities have been kept practical, and noting barriers in order to discuss these with the relevant professional. Person-</w:t>
      </w:r>
      <w:proofErr w:type="spellStart"/>
      <w:r w:rsidRPr="00E34CA7">
        <w:t>centered</w:t>
      </w:r>
      <w:proofErr w:type="spellEnd"/>
      <w:r w:rsidRPr="00E34CA7">
        <w:t xml:space="preserve"> care does not involve complying with all requests at the expense of safety; this process entails collaborative problem-solving and explaining why it is safer to do something else. It is also necessary for me to gather feedback when appropriate because my perception that support was respectful cannot ensure this was their experience</w:t>
      </w:r>
      <w:r w:rsidR="008E49BD">
        <w:t xml:space="preserve"> </w:t>
      </w:r>
      <w:r w:rsidR="008E49BD" w:rsidRPr="008E49BD">
        <w:t xml:space="preserve">(Kwame and </w:t>
      </w:r>
      <w:proofErr w:type="spellStart"/>
      <w:r w:rsidR="008E49BD" w:rsidRPr="008E49BD">
        <w:t>Petrucka</w:t>
      </w:r>
      <w:proofErr w:type="spellEnd"/>
      <w:r w:rsidR="008E49BD" w:rsidRPr="008E49BD">
        <w:t>, 2021)</w:t>
      </w:r>
      <w:r w:rsidRPr="00E34CA7">
        <w:t>.</w:t>
      </w:r>
    </w:p>
    <w:p w14:paraId="75CC536F" w14:textId="77777777" w:rsidR="00E34CA7" w:rsidRDefault="00E34CA7" w:rsidP="00E34CA7">
      <w:pPr>
        <w:pStyle w:val="Heading2"/>
      </w:pPr>
      <w:bookmarkStart w:id="10" w:name="_Toc242806748"/>
      <w:r>
        <w:t>Partnership working</w:t>
      </w:r>
      <w:bookmarkEnd w:id="10"/>
    </w:p>
    <w:p w14:paraId="3AA9B4D9" w14:textId="77777777" w:rsidR="00E34CA7" w:rsidRDefault="00E34CA7" w:rsidP="00E34CA7">
      <w:r w:rsidRPr="00E34CA7">
        <w:t>Efficient collaboration in my work involves effective handovers, proper documentation and escalation of any change or concern</w:t>
      </w:r>
      <w:r w:rsidR="00A812AD">
        <w:t>.</w:t>
      </w:r>
      <w:r w:rsidRPr="00E34CA7">
        <w:t xml:space="preserve"> One problem that may exist in my day-to-day work is where there is information but it does not reach the relevant colleague who needs to act on it. The case of Robyn is an example showing how communication should not just involve passing information but two-way process. It is therefore essential that I ensure my concern has been relayed to the right colleague, differentiate facts from my perspective, and document the actions taken</w:t>
      </w:r>
      <w:r w:rsidR="00070B98">
        <w:t xml:space="preserve"> </w:t>
      </w:r>
      <w:r w:rsidR="00070B98" w:rsidRPr="00070B98">
        <w:t>(</w:t>
      </w:r>
      <w:proofErr w:type="spellStart"/>
      <w:r w:rsidR="00070B98" w:rsidRPr="00070B98">
        <w:t>Fernández</w:t>
      </w:r>
      <w:proofErr w:type="spellEnd"/>
      <w:r w:rsidR="00070B98" w:rsidRPr="00070B98">
        <w:t xml:space="preserve"> et al., 2022)</w:t>
      </w:r>
      <w:r w:rsidRPr="00E34CA7">
        <w:t>.</w:t>
      </w:r>
      <w:r>
        <w:t xml:space="preserve"> </w:t>
      </w:r>
    </w:p>
    <w:p w14:paraId="1B8BB57C" w14:textId="77777777" w:rsidR="00E34CA7" w:rsidRDefault="00E34CA7" w:rsidP="00E34CA7">
      <w:r>
        <w:tab/>
      </w:r>
      <w:r w:rsidRPr="00E34CA7">
        <w:t>In case of changed needs of the service user, I must refrain from assuming that this matter is known and raised to a different team member. Rather, I must ensure that I adhere to the defined pathway and make clear responsibilities when needed. Partnership also involves valuing the knowledge of the service user about their own life. Whereas professionals know about the clinical risks, it is the service user who knows about his or her daily routine, priorities, and how the support can be achieved.</w:t>
      </w:r>
    </w:p>
    <w:p w14:paraId="59BE28EB" w14:textId="77777777" w:rsidR="00E34CA7" w:rsidRDefault="00E34CA7" w:rsidP="00E34CA7">
      <w:pPr>
        <w:pStyle w:val="Heading2"/>
      </w:pPr>
      <w:bookmarkStart w:id="11" w:name="_Toc242806749"/>
      <w:r>
        <w:t>Ethical practice and accountability</w:t>
      </w:r>
      <w:bookmarkEnd w:id="11"/>
    </w:p>
    <w:p w14:paraId="6F349529" w14:textId="77777777" w:rsidR="008F4C1A" w:rsidRDefault="008F4C1A" w:rsidP="00E34CA7">
      <w:r w:rsidRPr="008F4C1A">
        <w:t>In ethics, I need to get consent, confidentiality, dignity, and work within the bounds of my competence. Consent in personal care should always be continuous. A person will give their consent for something but not others. I will need to listen, explain the reasons behind the refusal, not force my own opinion, and ensure that proper safeguarding is put into place if need be. The balancing of autonomy and safety can be challenging. If the person wants to do something potentially dangerous, I must not decide on my own to stop them from doing it without a good reason. I also cannot allow something dangerous to occur when I know about it</w:t>
      </w:r>
      <w:r w:rsidR="00DB3F7E">
        <w:t xml:space="preserve"> </w:t>
      </w:r>
      <w:r w:rsidR="00DB3F7E" w:rsidRPr="00DB3F7E">
        <w:t>(Health and Care Professions Council (HCPC), 2024)</w:t>
      </w:r>
      <w:r w:rsidRPr="008F4C1A">
        <w:t>.</w:t>
      </w:r>
      <w:r w:rsidR="00E34CA7">
        <w:t xml:space="preserve"> </w:t>
      </w:r>
    </w:p>
    <w:p w14:paraId="4F4B4546" w14:textId="77777777" w:rsidR="00E34CA7" w:rsidRDefault="008F4C1A" w:rsidP="00E34CA7">
      <w:r>
        <w:tab/>
      </w:r>
      <w:r w:rsidRPr="008F4C1A">
        <w:t>Robyn’s case makes me realize how ethics in risk management could be compromised if the priority is to protect the service while disregarding the goals of the individual. Assumptions should never be made concerning capability and competency on the basis of an individual’s disability. Whenever there is any doubt about consent, capacity, safeguarding or sharing of information, I need to consult and record my decision-making process.</w:t>
      </w:r>
    </w:p>
    <w:p w14:paraId="15AD602E" w14:textId="77777777" w:rsidR="00E34CA7" w:rsidRDefault="00E34CA7" w:rsidP="00E34CA7">
      <w:pPr>
        <w:pStyle w:val="Heading2"/>
      </w:pPr>
      <w:bookmarkStart w:id="12" w:name="_Toc242806750"/>
      <w:r>
        <w:t>Strengths, limitations and learning needs</w:t>
      </w:r>
      <w:bookmarkEnd w:id="12"/>
    </w:p>
    <w:p w14:paraId="374F7EB5" w14:textId="77777777" w:rsidR="00E34CA7" w:rsidRDefault="008F4C1A" w:rsidP="00E34CA7">
      <w:r w:rsidRPr="008F4C1A">
        <w:t>The aspects that I am strong in at present are my dedication to respectful care, ability to follow care plans and my understanding that the maintenance of accurate records is significant. However, I have to improve in my confidence in expressing the goals of the person involved in handovers and in justifying ethical decisions. Another aspect is that I have to assess the effectiveness of support in promoting participation and not take for granted that doing all assigned activities will be enough. It is necessary since the problem of ineffective communication may exist regardless of the conscientiousness of individual workers.</w:t>
      </w:r>
    </w:p>
    <w:p w14:paraId="7FBCAFDB" w14:textId="77777777" w:rsidR="00E34CA7" w:rsidRDefault="00E34CA7" w:rsidP="00E34CA7">
      <w:pPr>
        <w:pStyle w:val="Heading2"/>
      </w:pPr>
      <w:bookmarkStart w:id="13" w:name="_Toc242806751"/>
      <w:r>
        <w:t>Professional development action plan</w:t>
      </w:r>
      <w:bookmarkEnd w:id="13"/>
    </w:p>
    <w:p w14:paraId="04B3570E" w14:textId="77777777" w:rsidR="008F4C1A" w:rsidRDefault="008F4C1A" w:rsidP="00E34CA7">
      <w:r w:rsidRPr="008F4C1A">
        <w:t>My personal development action plan is to revise my understanding of person-centred care planning and related consent, safeguarding, and information sharing guidelines over the coming three months. For this, each month, I will reflect on a practice example, based on an anonymous case, which will cover my client's objectives, possible alternatives considered, decision taken and outcome of that decision. In addition, I will obtain comments from my supervisor about the quality of my handovers and whether record-keeping is clear about the facts, issues and interventions. Further, I will find a learning opportunity on communication or person-centred care and reflect on it.</w:t>
      </w:r>
      <w:r w:rsidR="00E34CA7">
        <w:t xml:space="preserve"> </w:t>
      </w:r>
    </w:p>
    <w:p w14:paraId="6F1F562D" w14:textId="77777777" w:rsidR="00E34CA7" w:rsidRDefault="008F4C1A" w:rsidP="00E34CA7">
      <w:r>
        <w:tab/>
      </w:r>
      <w:r w:rsidRPr="008F4C1A">
        <w:t>Successful completion will be evaluated based on learning achievement, supervisor evaluation, and documentation of individuals’ preferences as well as their actions. These criteria make more sense than attendance to classes since they focus on evaluating whether learning has any impact on practice. In case the gaps identified persist, I will reconsider my strategy.</w:t>
      </w:r>
    </w:p>
    <w:p w14:paraId="2039EEFD" w14:textId="77777777" w:rsidR="00E34CA7" w:rsidRDefault="00E34CA7" w:rsidP="00E34CA7">
      <w:pPr>
        <w:pStyle w:val="Heading2"/>
      </w:pPr>
      <w:bookmarkStart w:id="14" w:name="_Toc242806752"/>
      <w:r>
        <w:t>Future professional practice</w:t>
      </w:r>
      <w:bookmarkEnd w:id="14"/>
    </w:p>
    <w:p w14:paraId="6992364D" w14:textId="77777777" w:rsidR="008F4C1A" w:rsidRPr="008F4C1A" w:rsidRDefault="008F4C1A" w:rsidP="008F4C1A">
      <w:r w:rsidRPr="008F4C1A">
        <w:t>I will assess care not only on the basis of task completion but also from the experience of the individual</w:t>
      </w:r>
      <w:r>
        <w:t>,</w:t>
      </w:r>
      <w:r w:rsidRPr="008F4C1A">
        <w:t xml:space="preserve"> I will inform quickly and make decisions ethically.</w:t>
      </w:r>
    </w:p>
    <w:p w14:paraId="293A125F" w14:textId="77777777" w:rsidR="008F4C1A" w:rsidRDefault="008F4C1A" w:rsidP="008F4C1A">
      <w:pPr>
        <w:pStyle w:val="Caption"/>
        <w:keepNext/>
        <w:jc w:val="center"/>
      </w:pPr>
      <w:bookmarkStart w:id="15" w:name="_Toc242806755"/>
      <w:r>
        <w:t xml:space="preserve">Table </w:t>
      </w:r>
      <w:r>
        <w:fldChar w:fldCharType="begin"/>
      </w:r>
      <w:r>
        <w:instrText xml:space="preserve"> SEQ Table \* ARABIC </w:instrText>
      </w:r>
      <w:r>
        <w:fldChar w:fldCharType="separate"/>
      </w:r>
      <w:r>
        <w:rPr>
          <w:noProof/>
        </w:rPr>
        <w:t>1</w:t>
      </w:r>
      <w:r>
        <w:rPr>
          <w:noProof/>
        </w:rPr>
        <w:fldChar w:fldCharType="end"/>
      </w:r>
      <w:r>
        <w:t xml:space="preserve">: </w:t>
      </w:r>
      <w:r w:rsidRPr="00FB3F2E">
        <w:t>Reflective professional development action plan</w:t>
      </w:r>
      <w:bookmarkEnd w:id="15"/>
    </w:p>
    <w:tbl>
      <w:tblPr>
        <w:tblStyle w:val="GridTable4-Accent2"/>
        <w:tblW w:w="0" w:type="auto"/>
        <w:tblLook w:val="04A0" w:firstRow="1" w:lastRow="0" w:firstColumn="1" w:lastColumn="0" w:noHBand="0" w:noVBand="1"/>
      </w:tblPr>
      <w:tblGrid>
        <w:gridCol w:w="3119"/>
        <w:gridCol w:w="3113"/>
        <w:gridCol w:w="3118"/>
      </w:tblGrid>
      <w:tr w:rsidR="008F4C1A" w:rsidRPr="008F4C1A" w14:paraId="7A44660E" w14:textId="77777777" w:rsidTr="00407CC9">
        <w:trPr>
          <w:cnfStyle w:val="100000000000" w:firstRow="1" w:lastRow="0" w:firstColumn="0" w:lastColumn="0" w:oddVBand="0" w:evenVBand="0" w:oddHBand="0" w:evenHBand="0" w:firstRowFirstColumn="0" w:firstRowLastColumn="0" w:lastRowFirstColumn="0" w:lastRowLastColumn="0"/>
          <w:trHeight w:val="676"/>
        </w:trPr>
        <w:tc>
          <w:tcPr>
            <w:cnfStyle w:val="001000000000" w:firstRow="0" w:lastRow="0" w:firstColumn="1" w:lastColumn="0" w:oddVBand="0" w:evenVBand="0" w:oddHBand="0" w:evenHBand="0" w:firstRowFirstColumn="0" w:firstRowLastColumn="0" w:lastRowFirstColumn="0" w:lastRowLastColumn="0"/>
            <w:tcW w:w="3119" w:type="dxa"/>
          </w:tcPr>
          <w:p w14:paraId="33DF9DA8" w14:textId="77777777" w:rsidR="008F4C1A" w:rsidRPr="008F4C1A" w:rsidRDefault="008F4C1A" w:rsidP="008F4C1A">
            <w:pPr>
              <w:rPr>
                <w:lang w:val="en-US"/>
              </w:rPr>
            </w:pPr>
            <w:r w:rsidRPr="008F4C1A">
              <w:rPr>
                <w:lang w:val="en-US"/>
              </w:rPr>
              <w:t>Development priority</w:t>
            </w:r>
          </w:p>
        </w:tc>
        <w:tc>
          <w:tcPr>
            <w:tcW w:w="3113" w:type="dxa"/>
          </w:tcPr>
          <w:p w14:paraId="24AFF306" w14:textId="77777777" w:rsidR="008F4C1A" w:rsidRPr="008F4C1A" w:rsidRDefault="008F4C1A" w:rsidP="008F4C1A">
            <w:pPr>
              <w:cnfStyle w:val="100000000000" w:firstRow="1" w:lastRow="0" w:firstColumn="0" w:lastColumn="0" w:oddVBand="0" w:evenVBand="0" w:oddHBand="0" w:evenHBand="0" w:firstRowFirstColumn="0" w:firstRowLastColumn="0" w:lastRowFirstColumn="0" w:lastRowLastColumn="0"/>
              <w:rPr>
                <w:lang w:val="en-US"/>
              </w:rPr>
            </w:pPr>
            <w:r w:rsidRPr="008F4C1A">
              <w:rPr>
                <w:lang w:val="en-US"/>
              </w:rPr>
              <w:t>Action and timescale</w:t>
            </w:r>
          </w:p>
        </w:tc>
        <w:tc>
          <w:tcPr>
            <w:tcW w:w="3118" w:type="dxa"/>
          </w:tcPr>
          <w:p w14:paraId="0D0B017A" w14:textId="77777777" w:rsidR="008F4C1A" w:rsidRPr="008F4C1A" w:rsidRDefault="008F4C1A" w:rsidP="008F4C1A">
            <w:pPr>
              <w:cnfStyle w:val="100000000000" w:firstRow="1" w:lastRow="0" w:firstColumn="0" w:lastColumn="0" w:oddVBand="0" w:evenVBand="0" w:oddHBand="0" w:evenHBand="0" w:firstRowFirstColumn="0" w:firstRowLastColumn="0" w:lastRowFirstColumn="0" w:lastRowLastColumn="0"/>
              <w:rPr>
                <w:lang w:val="en-US"/>
              </w:rPr>
            </w:pPr>
            <w:r w:rsidRPr="008F4C1A">
              <w:rPr>
                <w:lang w:val="en-US"/>
              </w:rPr>
              <w:t>Evidence of progress</w:t>
            </w:r>
          </w:p>
        </w:tc>
      </w:tr>
      <w:tr w:rsidR="008F4C1A" w:rsidRPr="008F4C1A" w14:paraId="14D63373" w14:textId="77777777" w:rsidTr="00407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9" w:type="dxa"/>
          </w:tcPr>
          <w:p w14:paraId="2D0C24E4" w14:textId="77777777" w:rsidR="008F4C1A" w:rsidRPr="008F4C1A" w:rsidRDefault="008F4C1A" w:rsidP="008F4C1A">
            <w:pPr>
              <w:rPr>
                <w:lang w:val="en-US"/>
              </w:rPr>
            </w:pPr>
            <w:r w:rsidRPr="008F4C1A">
              <w:rPr>
                <w:lang w:val="en-US"/>
              </w:rPr>
              <w:t>Person-</w:t>
            </w:r>
            <w:proofErr w:type="spellStart"/>
            <w:r w:rsidRPr="008F4C1A">
              <w:rPr>
                <w:lang w:val="en-US"/>
              </w:rPr>
              <w:t>centred</w:t>
            </w:r>
            <w:proofErr w:type="spellEnd"/>
            <w:r w:rsidRPr="008F4C1A">
              <w:rPr>
                <w:lang w:val="en-US"/>
              </w:rPr>
              <w:t xml:space="preserve"> planning</w:t>
            </w:r>
          </w:p>
        </w:tc>
        <w:tc>
          <w:tcPr>
            <w:tcW w:w="3113" w:type="dxa"/>
          </w:tcPr>
          <w:p w14:paraId="45F017C5" w14:textId="77777777" w:rsidR="008F4C1A" w:rsidRPr="008F4C1A" w:rsidRDefault="008F4C1A" w:rsidP="008F4C1A">
            <w:pPr>
              <w:cnfStyle w:val="000000100000" w:firstRow="0" w:lastRow="0" w:firstColumn="0" w:lastColumn="0" w:oddVBand="0" w:evenVBand="0" w:oddHBand="1" w:evenHBand="0" w:firstRowFirstColumn="0" w:firstRowLastColumn="0" w:lastRowFirstColumn="0" w:lastRowLastColumn="0"/>
              <w:rPr>
                <w:lang w:val="en-US"/>
              </w:rPr>
            </w:pPr>
            <w:r w:rsidRPr="008F4C1A">
              <w:rPr>
                <w:lang w:val="en-US"/>
              </w:rPr>
              <w:t>Within 3 months, review how preferences and personal goals are recorded; discuss one example in supervision.</w:t>
            </w:r>
          </w:p>
        </w:tc>
        <w:tc>
          <w:tcPr>
            <w:tcW w:w="3118" w:type="dxa"/>
          </w:tcPr>
          <w:p w14:paraId="26CCAB59" w14:textId="77777777" w:rsidR="008F4C1A" w:rsidRPr="008F4C1A" w:rsidRDefault="008F4C1A" w:rsidP="008F4C1A">
            <w:pPr>
              <w:cnfStyle w:val="000000100000" w:firstRow="0" w:lastRow="0" w:firstColumn="0" w:lastColumn="0" w:oddVBand="0" w:evenVBand="0" w:oddHBand="1" w:evenHBand="0" w:firstRowFirstColumn="0" w:firstRowLastColumn="0" w:lastRowFirstColumn="0" w:lastRowLastColumn="0"/>
              <w:rPr>
                <w:lang w:val="en-US"/>
              </w:rPr>
            </w:pPr>
            <w:r w:rsidRPr="008F4C1A">
              <w:rPr>
                <w:lang w:val="en-US"/>
              </w:rPr>
              <w:t>Care records show individual priorities and supervisor feedback confirms clearer goal-focused planning.</w:t>
            </w:r>
          </w:p>
        </w:tc>
      </w:tr>
      <w:tr w:rsidR="008F4C1A" w:rsidRPr="008F4C1A" w14:paraId="64313F09" w14:textId="77777777" w:rsidTr="00407CC9">
        <w:tc>
          <w:tcPr>
            <w:cnfStyle w:val="001000000000" w:firstRow="0" w:lastRow="0" w:firstColumn="1" w:lastColumn="0" w:oddVBand="0" w:evenVBand="0" w:oddHBand="0" w:evenHBand="0" w:firstRowFirstColumn="0" w:firstRowLastColumn="0" w:lastRowFirstColumn="0" w:lastRowLastColumn="0"/>
            <w:tcW w:w="3119" w:type="dxa"/>
          </w:tcPr>
          <w:p w14:paraId="78808C81" w14:textId="77777777" w:rsidR="008F4C1A" w:rsidRPr="008F4C1A" w:rsidRDefault="008F4C1A" w:rsidP="008F4C1A">
            <w:pPr>
              <w:rPr>
                <w:lang w:val="en-US"/>
              </w:rPr>
            </w:pPr>
            <w:r w:rsidRPr="008F4C1A">
              <w:rPr>
                <w:lang w:val="en-US"/>
              </w:rPr>
              <w:t>Partnership communication</w:t>
            </w:r>
          </w:p>
        </w:tc>
        <w:tc>
          <w:tcPr>
            <w:tcW w:w="3113" w:type="dxa"/>
          </w:tcPr>
          <w:p w14:paraId="769B26DF" w14:textId="77777777" w:rsidR="008F4C1A" w:rsidRPr="008F4C1A" w:rsidRDefault="008F4C1A" w:rsidP="008F4C1A">
            <w:pPr>
              <w:cnfStyle w:val="000000000000" w:firstRow="0" w:lastRow="0" w:firstColumn="0" w:lastColumn="0" w:oddVBand="0" w:evenVBand="0" w:oddHBand="0" w:evenHBand="0" w:firstRowFirstColumn="0" w:firstRowLastColumn="0" w:lastRowFirstColumn="0" w:lastRowLastColumn="0"/>
              <w:rPr>
                <w:lang w:val="en-US"/>
              </w:rPr>
            </w:pPr>
            <w:r w:rsidRPr="008F4C1A">
              <w:rPr>
                <w:lang w:val="en-US"/>
              </w:rPr>
              <w:t>Monthly, review one handover or escalation example and seek feedback on clarity and follow-through.</w:t>
            </w:r>
          </w:p>
        </w:tc>
        <w:tc>
          <w:tcPr>
            <w:tcW w:w="3118" w:type="dxa"/>
          </w:tcPr>
          <w:p w14:paraId="392F3C83" w14:textId="77777777" w:rsidR="008F4C1A" w:rsidRPr="008F4C1A" w:rsidRDefault="008F4C1A" w:rsidP="008F4C1A">
            <w:pPr>
              <w:cnfStyle w:val="000000000000" w:firstRow="0" w:lastRow="0" w:firstColumn="0" w:lastColumn="0" w:oddVBand="0" w:evenVBand="0" w:oddHBand="0" w:evenHBand="0" w:firstRowFirstColumn="0" w:firstRowLastColumn="0" w:lastRowFirstColumn="0" w:lastRowLastColumn="0"/>
              <w:rPr>
                <w:lang w:val="en-US"/>
              </w:rPr>
            </w:pPr>
            <w:r w:rsidRPr="008F4C1A">
              <w:rPr>
                <w:lang w:val="en-US"/>
              </w:rPr>
              <w:t>Records distinguish concern, recipient, action and outcome; fewer unresolved communication gaps.</w:t>
            </w:r>
          </w:p>
        </w:tc>
      </w:tr>
      <w:tr w:rsidR="008F4C1A" w:rsidRPr="008F4C1A" w14:paraId="4EAEA82D" w14:textId="77777777" w:rsidTr="00407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9" w:type="dxa"/>
          </w:tcPr>
          <w:p w14:paraId="504C271E" w14:textId="77777777" w:rsidR="008F4C1A" w:rsidRPr="008F4C1A" w:rsidRDefault="008F4C1A" w:rsidP="008F4C1A">
            <w:pPr>
              <w:rPr>
                <w:lang w:val="en-US"/>
              </w:rPr>
            </w:pPr>
            <w:r w:rsidRPr="008F4C1A">
              <w:rPr>
                <w:lang w:val="en-US"/>
              </w:rPr>
              <w:t>Ethical decision-making</w:t>
            </w:r>
          </w:p>
        </w:tc>
        <w:tc>
          <w:tcPr>
            <w:tcW w:w="3113" w:type="dxa"/>
          </w:tcPr>
          <w:p w14:paraId="1485847D" w14:textId="77777777" w:rsidR="008F4C1A" w:rsidRPr="008F4C1A" w:rsidRDefault="008F4C1A" w:rsidP="008F4C1A">
            <w:pPr>
              <w:cnfStyle w:val="000000100000" w:firstRow="0" w:lastRow="0" w:firstColumn="0" w:lastColumn="0" w:oddVBand="0" w:evenVBand="0" w:oddHBand="1" w:evenHBand="0" w:firstRowFirstColumn="0" w:firstRowLastColumn="0" w:lastRowFirstColumn="0" w:lastRowLastColumn="0"/>
              <w:rPr>
                <w:lang w:val="en-US"/>
              </w:rPr>
            </w:pPr>
            <w:r w:rsidRPr="008F4C1A">
              <w:rPr>
                <w:lang w:val="en-US"/>
              </w:rPr>
              <w:t>Complete relevant learning within 3 months and reflect monthly on consent, proportionality and escalation.</w:t>
            </w:r>
          </w:p>
        </w:tc>
        <w:tc>
          <w:tcPr>
            <w:tcW w:w="3118" w:type="dxa"/>
          </w:tcPr>
          <w:p w14:paraId="61387A09" w14:textId="77777777" w:rsidR="008F4C1A" w:rsidRPr="008F4C1A" w:rsidRDefault="008F4C1A" w:rsidP="008F4C1A">
            <w:pPr>
              <w:cnfStyle w:val="000000100000" w:firstRow="0" w:lastRow="0" w:firstColumn="0" w:lastColumn="0" w:oddVBand="0" w:evenVBand="0" w:oddHBand="1" w:evenHBand="0" w:firstRowFirstColumn="0" w:firstRowLastColumn="0" w:lastRowFirstColumn="0" w:lastRowLastColumn="0"/>
              <w:rPr>
                <w:lang w:val="en-US"/>
              </w:rPr>
            </w:pPr>
            <w:r w:rsidRPr="008F4C1A">
              <w:rPr>
                <w:lang w:val="en-US"/>
              </w:rPr>
              <w:t>Reflective entries justify decisions, identify alternatives and show appropriate escalation.</w:t>
            </w:r>
          </w:p>
        </w:tc>
      </w:tr>
    </w:tbl>
    <w:p w14:paraId="1D769852" w14:textId="77777777" w:rsidR="008F4C1A" w:rsidRDefault="008F4C1A" w:rsidP="00E34CA7"/>
    <w:p w14:paraId="69BE50B0" w14:textId="77777777" w:rsidR="00E34CA7" w:rsidRDefault="00E34CA7" w:rsidP="00E34CA7">
      <w:pPr>
        <w:pStyle w:val="Heading1"/>
      </w:pPr>
      <w:bookmarkStart w:id="16" w:name="_Toc242806753"/>
      <w:r>
        <w:t>Conclusion</w:t>
      </w:r>
      <w:bookmarkEnd w:id="16"/>
    </w:p>
    <w:p w14:paraId="452A540B" w14:textId="77777777" w:rsidR="00E34CA7" w:rsidRDefault="008F4C1A" w:rsidP="00E34CA7">
      <w:r w:rsidRPr="008F4C1A">
        <w:t xml:space="preserve">Individualized care, partnership working and ethics are fundamental aspects of good UK health and social care practice, but the value of these aspects is realized through implementation and not just policy. Robyn's case clearly shows how ineffective care characterized by lack of listening, communication and task orientation limits a person's autonomy and participation, but personalized care helps regain individual's autonomy once proper structures are put in place. </w:t>
      </w:r>
      <w:r w:rsidR="00A812AD" w:rsidRPr="00A812AD">
        <w:t>However, there have been some shortcomings that have come up because of the use of the PHB approach. This is because I need to learn the art of listening to individual priorities, communication, decision-making, and evaluating results in my personal development.</w:t>
      </w:r>
    </w:p>
    <w:p w14:paraId="03E6F740" w14:textId="77777777" w:rsidR="008F4C1A" w:rsidRDefault="008F4C1A">
      <w:pPr>
        <w:suppressAutoHyphens w:val="0"/>
        <w:spacing w:line="240" w:lineRule="auto"/>
        <w:jc w:val="left"/>
      </w:pPr>
      <w:r>
        <w:br w:type="page"/>
      </w:r>
    </w:p>
    <w:p w14:paraId="4EA81024" w14:textId="77777777" w:rsidR="008F4C1A" w:rsidRDefault="008F4C1A" w:rsidP="00393D44">
      <w:pPr>
        <w:pStyle w:val="Heading1"/>
      </w:pPr>
      <w:bookmarkStart w:id="17" w:name="_Toc242806754"/>
      <w:r>
        <w:t>References</w:t>
      </w:r>
      <w:bookmarkEnd w:id="17"/>
    </w:p>
    <w:p w14:paraId="20801045" w14:textId="77777777" w:rsidR="008A5CDC" w:rsidRPr="008A5CDC" w:rsidRDefault="008A5CDC" w:rsidP="008A5CDC">
      <w:pPr>
        <w:suppressAutoHyphens w:val="0"/>
        <w:spacing w:after="240" w:line="240" w:lineRule="auto"/>
        <w:ind w:left="567" w:hanging="567"/>
        <w:rPr>
          <w:rFonts w:eastAsia="Times New Roman"/>
          <w:color w:val="auto"/>
          <w:szCs w:val="24"/>
          <w:lang w:eastAsia="en-GB"/>
        </w:rPr>
      </w:pPr>
      <w:proofErr w:type="spellStart"/>
      <w:r w:rsidRPr="008A5CDC">
        <w:rPr>
          <w:rFonts w:eastAsia="Times New Roman"/>
          <w:color w:val="auto"/>
          <w:szCs w:val="24"/>
          <w:lang w:eastAsia="en-GB"/>
        </w:rPr>
        <w:t>Alderwick</w:t>
      </w:r>
      <w:proofErr w:type="spellEnd"/>
      <w:r w:rsidRPr="008A5CDC">
        <w:rPr>
          <w:rFonts w:eastAsia="Times New Roman"/>
          <w:color w:val="auto"/>
          <w:szCs w:val="24"/>
          <w:lang w:eastAsia="en-GB"/>
        </w:rPr>
        <w:t xml:space="preserve">, H., Hutchings, A. and Mays, N. (2024). Cross-sector collaboration to reduce health inequalities: A qualitative study of local collaboration between health care, social services, and other sectors under health system reforms in England. </w:t>
      </w:r>
      <w:r w:rsidRPr="008A5CDC">
        <w:rPr>
          <w:rFonts w:eastAsia="Times New Roman"/>
          <w:i/>
          <w:iCs/>
          <w:color w:val="auto"/>
          <w:szCs w:val="24"/>
          <w:lang w:eastAsia="en-GB"/>
        </w:rPr>
        <w:t>BMC Public Health</w:t>
      </w:r>
      <w:r w:rsidRPr="008A5CDC">
        <w:rPr>
          <w:rFonts w:eastAsia="Times New Roman"/>
          <w:color w:val="auto"/>
          <w:szCs w:val="24"/>
          <w:lang w:eastAsia="en-GB"/>
        </w:rPr>
        <w:t xml:space="preserve">, 24(1), pp.1–19.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8" w:history="1">
        <w:r w:rsidRPr="00CB5DE2">
          <w:rPr>
            <w:rStyle w:val="Hyperlink"/>
            <w:rFonts w:eastAsia="Times New Roman"/>
            <w:szCs w:val="24"/>
            <w:lang w:eastAsia="en-GB"/>
          </w:rPr>
          <w:t>https://doi.org/10.1186/s12889-024-20089-5</w:t>
        </w:r>
      </w:hyperlink>
      <w:r w:rsidRPr="008A5CDC">
        <w:rPr>
          <w:rFonts w:eastAsia="Times New Roman"/>
          <w:color w:val="auto"/>
          <w:szCs w:val="24"/>
          <w:lang w:eastAsia="en-GB"/>
        </w:rPr>
        <w:t>.</w:t>
      </w:r>
      <w:r>
        <w:rPr>
          <w:rFonts w:eastAsia="Times New Roman"/>
          <w:color w:val="auto"/>
          <w:szCs w:val="24"/>
          <w:lang w:eastAsia="en-GB"/>
        </w:rPr>
        <w:t xml:space="preserve"> </w:t>
      </w:r>
    </w:p>
    <w:p w14:paraId="6BFCDCB6" w14:textId="77777777" w:rsidR="008A5CDC" w:rsidRPr="008A5CDC" w:rsidRDefault="008A5CDC" w:rsidP="008A5CDC">
      <w:pPr>
        <w:suppressAutoHyphens w:val="0"/>
        <w:spacing w:after="240" w:line="240" w:lineRule="auto"/>
        <w:ind w:left="567" w:hanging="567"/>
        <w:rPr>
          <w:rFonts w:eastAsia="Times New Roman"/>
          <w:color w:val="auto"/>
          <w:szCs w:val="24"/>
          <w:lang w:eastAsia="en-GB"/>
        </w:rPr>
      </w:pPr>
      <w:proofErr w:type="spellStart"/>
      <w:r w:rsidRPr="008A5CDC">
        <w:rPr>
          <w:rFonts w:eastAsia="Times New Roman"/>
          <w:color w:val="auto"/>
          <w:szCs w:val="24"/>
          <w:lang w:eastAsia="en-GB"/>
        </w:rPr>
        <w:t>Fernández</w:t>
      </w:r>
      <w:proofErr w:type="spellEnd"/>
      <w:r w:rsidRPr="008A5CDC">
        <w:rPr>
          <w:rFonts w:eastAsia="Times New Roman"/>
          <w:color w:val="auto"/>
          <w:szCs w:val="24"/>
          <w:lang w:eastAsia="en-GB"/>
        </w:rPr>
        <w:t xml:space="preserve">, M.C.M., Martín, S.C., </w:t>
      </w:r>
      <w:proofErr w:type="spellStart"/>
      <w:r w:rsidRPr="008A5CDC">
        <w:rPr>
          <w:rFonts w:eastAsia="Times New Roman"/>
          <w:color w:val="auto"/>
          <w:szCs w:val="24"/>
          <w:lang w:eastAsia="en-GB"/>
        </w:rPr>
        <w:t>Presa</w:t>
      </w:r>
      <w:proofErr w:type="spellEnd"/>
      <w:r w:rsidRPr="008A5CDC">
        <w:rPr>
          <w:rFonts w:eastAsia="Times New Roman"/>
          <w:color w:val="auto"/>
          <w:szCs w:val="24"/>
          <w:lang w:eastAsia="en-GB"/>
        </w:rPr>
        <w:t xml:space="preserve">, C.L., </w:t>
      </w:r>
      <w:proofErr w:type="spellStart"/>
      <w:r w:rsidRPr="008A5CDC">
        <w:rPr>
          <w:rFonts w:eastAsia="Times New Roman"/>
          <w:color w:val="auto"/>
          <w:szCs w:val="24"/>
          <w:lang w:eastAsia="en-GB"/>
        </w:rPr>
        <w:t>Martínez</w:t>
      </w:r>
      <w:proofErr w:type="spellEnd"/>
      <w:r w:rsidRPr="008A5CDC">
        <w:rPr>
          <w:rFonts w:eastAsia="Times New Roman"/>
          <w:color w:val="auto"/>
          <w:szCs w:val="24"/>
          <w:lang w:eastAsia="en-GB"/>
        </w:rPr>
        <w:t xml:space="preserve">, E.F., Gomes, L. and Sanchez, P.M. (2022). SBAR method for improving well-being in the internal medicine unit: Quasi-Experimental research. </w:t>
      </w:r>
      <w:r w:rsidRPr="008A5CDC">
        <w:rPr>
          <w:rFonts w:eastAsia="Times New Roman"/>
          <w:i/>
          <w:iCs/>
          <w:color w:val="auto"/>
          <w:szCs w:val="24"/>
          <w:lang w:eastAsia="en-GB"/>
        </w:rPr>
        <w:t>International Journal of Environmental Research and Public Health</w:t>
      </w:r>
      <w:r w:rsidRPr="008A5CDC">
        <w:rPr>
          <w:rFonts w:eastAsia="Times New Roman"/>
          <w:color w:val="auto"/>
          <w:szCs w:val="24"/>
          <w:lang w:eastAsia="en-GB"/>
        </w:rPr>
        <w:t xml:space="preserve">, 19(24), pp.1–13.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9" w:history="1">
        <w:r w:rsidRPr="00CB5DE2">
          <w:rPr>
            <w:rStyle w:val="Hyperlink"/>
            <w:rFonts w:eastAsia="Times New Roman"/>
            <w:szCs w:val="24"/>
            <w:lang w:eastAsia="en-GB"/>
          </w:rPr>
          <w:t>https://doi.org/10.3390/ijerph192416813</w:t>
        </w:r>
      </w:hyperlink>
      <w:r w:rsidRPr="008A5CDC">
        <w:rPr>
          <w:rFonts w:eastAsia="Times New Roman"/>
          <w:color w:val="auto"/>
          <w:szCs w:val="24"/>
          <w:lang w:eastAsia="en-GB"/>
        </w:rPr>
        <w:t>.</w:t>
      </w:r>
      <w:r>
        <w:rPr>
          <w:rFonts w:eastAsia="Times New Roman"/>
          <w:color w:val="auto"/>
          <w:szCs w:val="24"/>
          <w:lang w:eastAsia="en-GB"/>
        </w:rPr>
        <w:t xml:space="preserve"> </w:t>
      </w:r>
    </w:p>
    <w:p w14:paraId="5EAC346A" w14:textId="77777777" w:rsidR="008A5CDC" w:rsidRPr="008A5CDC" w:rsidRDefault="008A5CDC" w:rsidP="008A5CDC">
      <w:pPr>
        <w:suppressAutoHyphens w:val="0"/>
        <w:spacing w:after="240" w:line="240" w:lineRule="auto"/>
        <w:ind w:left="567" w:hanging="567"/>
        <w:rPr>
          <w:rFonts w:eastAsia="Times New Roman"/>
          <w:color w:val="auto"/>
          <w:szCs w:val="24"/>
          <w:lang w:eastAsia="en-GB"/>
        </w:rPr>
      </w:pPr>
      <w:proofErr w:type="spellStart"/>
      <w:r w:rsidRPr="008A5CDC">
        <w:rPr>
          <w:rFonts w:eastAsia="Times New Roman"/>
          <w:color w:val="auto"/>
          <w:szCs w:val="24"/>
          <w:lang w:eastAsia="en-GB"/>
        </w:rPr>
        <w:t>Gidlow</w:t>
      </w:r>
      <w:proofErr w:type="spellEnd"/>
      <w:r w:rsidRPr="008A5CDC">
        <w:rPr>
          <w:rFonts w:eastAsia="Times New Roman"/>
          <w:color w:val="auto"/>
          <w:szCs w:val="24"/>
          <w:lang w:eastAsia="en-GB"/>
        </w:rPr>
        <w:t xml:space="preserve">, C.J., </w:t>
      </w:r>
      <w:proofErr w:type="spellStart"/>
      <w:r w:rsidRPr="008A5CDC">
        <w:rPr>
          <w:rFonts w:eastAsia="Times New Roman"/>
          <w:color w:val="auto"/>
          <w:szCs w:val="24"/>
          <w:lang w:eastAsia="en-GB"/>
        </w:rPr>
        <w:t>Sams</w:t>
      </w:r>
      <w:proofErr w:type="spellEnd"/>
      <w:r w:rsidRPr="008A5CDC">
        <w:rPr>
          <w:rFonts w:eastAsia="Times New Roman"/>
          <w:color w:val="auto"/>
          <w:szCs w:val="24"/>
          <w:lang w:eastAsia="en-GB"/>
        </w:rPr>
        <w:t xml:space="preserve">, L., </w:t>
      </w:r>
      <w:proofErr w:type="spellStart"/>
      <w:r w:rsidRPr="008A5CDC">
        <w:rPr>
          <w:rFonts w:eastAsia="Times New Roman"/>
          <w:color w:val="auto"/>
          <w:szCs w:val="24"/>
          <w:lang w:eastAsia="en-GB"/>
        </w:rPr>
        <w:t>Buckless</w:t>
      </w:r>
      <w:proofErr w:type="spellEnd"/>
      <w:r w:rsidRPr="008A5CDC">
        <w:rPr>
          <w:rFonts w:eastAsia="Times New Roman"/>
          <w:color w:val="auto"/>
          <w:szCs w:val="24"/>
          <w:lang w:eastAsia="en-GB"/>
        </w:rPr>
        <w:t xml:space="preserve">, K., Ellis, N.J., Duffy, H.C., </w:t>
      </w:r>
      <w:proofErr w:type="spellStart"/>
      <w:r w:rsidRPr="008A5CDC">
        <w:rPr>
          <w:rFonts w:eastAsia="Times New Roman"/>
          <w:color w:val="auto"/>
          <w:szCs w:val="24"/>
          <w:lang w:eastAsia="en-GB"/>
        </w:rPr>
        <w:t>Lambley</w:t>
      </w:r>
      <w:proofErr w:type="spellEnd"/>
      <w:r w:rsidRPr="008A5CDC">
        <w:rPr>
          <w:rFonts w:eastAsia="Times New Roman"/>
          <w:color w:val="auto"/>
          <w:szCs w:val="24"/>
          <w:lang w:eastAsia="en-GB"/>
        </w:rPr>
        <w:t xml:space="preserve">-Burke, R., Campbell, P., Cooke, A., </w:t>
      </w:r>
      <w:proofErr w:type="spellStart"/>
      <w:r w:rsidRPr="008A5CDC">
        <w:rPr>
          <w:rFonts w:eastAsia="Times New Roman"/>
          <w:color w:val="auto"/>
          <w:szCs w:val="24"/>
          <w:lang w:eastAsia="en-GB"/>
        </w:rPr>
        <w:t>Dziedzic</w:t>
      </w:r>
      <w:proofErr w:type="spellEnd"/>
      <w:r w:rsidRPr="008A5CDC">
        <w:rPr>
          <w:rFonts w:eastAsia="Times New Roman"/>
          <w:color w:val="auto"/>
          <w:szCs w:val="24"/>
          <w:lang w:eastAsia="en-GB"/>
        </w:rPr>
        <w:t xml:space="preserve">, K., Brookes, M., </w:t>
      </w:r>
      <w:proofErr w:type="spellStart"/>
      <w:r w:rsidRPr="008A5CDC">
        <w:rPr>
          <w:rFonts w:eastAsia="Times New Roman"/>
          <w:color w:val="auto"/>
          <w:szCs w:val="24"/>
          <w:lang w:eastAsia="en-GB"/>
        </w:rPr>
        <w:t>Nachiappan</w:t>
      </w:r>
      <w:proofErr w:type="spellEnd"/>
      <w:r w:rsidRPr="008A5CDC">
        <w:rPr>
          <w:rFonts w:eastAsia="Times New Roman"/>
          <w:color w:val="auto"/>
          <w:szCs w:val="24"/>
          <w:lang w:eastAsia="en-GB"/>
        </w:rPr>
        <w:t xml:space="preserve"> </w:t>
      </w:r>
      <w:proofErr w:type="spellStart"/>
      <w:r w:rsidRPr="008A5CDC">
        <w:rPr>
          <w:rFonts w:eastAsia="Times New Roman"/>
          <w:color w:val="auto"/>
          <w:szCs w:val="24"/>
          <w:lang w:eastAsia="en-GB"/>
        </w:rPr>
        <w:t>Chockalingam</w:t>
      </w:r>
      <w:proofErr w:type="spellEnd"/>
      <w:r w:rsidRPr="008A5CDC">
        <w:rPr>
          <w:rFonts w:eastAsia="Times New Roman"/>
          <w:color w:val="auto"/>
          <w:szCs w:val="24"/>
          <w:lang w:eastAsia="en-GB"/>
        </w:rPr>
        <w:t xml:space="preserve">, Devall, P. and </w:t>
      </w:r>
      <w:proofErr w:type="spellStart"/>
      <w:r w:rsidRPr="008A5CDC">
        <w:rPr>
          <w:rFonts w:eastAsia="Times New Roman"/>
          <w:color w:val="auto"/>
          <w:szCs w:val="24"/>
          <w:lang w:eastAsia="en-GB"/>
        </w:rPr>
        <w:t>Mallen</w:t>
      </w:r>
      <w:proofErr w:type="spellEnd"/>
      <w:r w:rsidRPr="008A5CDC">
        <w:rPr>
          <w:rFonts w:eastAsia="Times New Roman"/>
          <w:color w:val="auto"/>
          <w:szCs w:val="24"/>
          <w:lang w:eastAsia="en-GB"/>
        </w:rPr>
        <w:t xml:space="preserve">, C. (2024). “We have to change our </w:t>
      </w:r>
      <w:proofErr w:type="spellStart"/>
      <w:r w:rsidRPr="008A5CDC">
        <w:rPr>
          <w:rFonts w:eastAsia="Times New Roman"/>
          <w:color w:val="auto"/>
          <w:szCs w:val="24"/>
          <w:lang w:eastAsia="en-GB"/>
        </w:rPr>
        <w:t>mindsets</w:t>
      </w:r>
      <w:proofErr w:type="spellEnd"/>
      <w:r w:rsidRPr="008A5CDC">
        <w:rPr>
          <w:rFonts w:eastAsia="Times New Roman"/>
          <w:color w:val="auto"/>
          <w:szCs w:val="24"/>
          <w:lang w:eastAsia="en-GB"/>
        </w:rPr>
        <w:t xml:space="preserve">”: A qualitative study of barriers and facilitators in research collaboration across integrated care system organisations. </w:t>
      </w:r>
      <w:r w:rsidRPr="008A5CDC">
        <w:rPr>
          <w:rFonts w:eastAsia="Times New Roman"/>
          <w:i/>
          <w:iCs/>
          <w:color w:val="auto"/>
          <w:szCs w:val="24"/>
          <w:lang w:eastAsia="en-GB"/>
        </w:rPr>
        <w:t>BMC Health Services Research</w:t>
      </w:r>
      <w:r w:rsidRPr="008A5CDC">
        <w:rPr>
          <w:rFonts w:eastAsia="Times New Roman"/>
          <w:color w:val="auto"/>
          <w:szCs w:val="24"/>
          <w:lang w:eastAsia="en-GB"/>
        </w:rPr>
        <w:t xml:space="preserve">, [online] 24(1).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0" w:history="1">
        <w:r w:rsidRPr="00CB5DE2">
          <w:rPr>
            <w:rStyle w:val="Hyperlink"/>
            <w:rFonts w:eastAsia="Times New Roman"/>
            <w:szCs w:val="24"/>
            <w:lang w:eastAsia="en-GB"/>
          </w:rPr>
          <w:t>https://doi.org/10.1186/s12913-024-10760-3</w:t>
        </w:r>
      </w:hyperlink>
      <w:r w:rsidRPr="008A5CDC">
        <w:rPr>
          <w:rFonts w:eastAsia="Times New Roman"/>
          <w:color w:val="auto"/>
          <w:szCs w:val="24"/>
          <w:lang w:eastAsia="en-GB"/>
        </w:rPr>
        <w:t>.</w:t>
      </w:r>
      <w:r>
        <w:rPr>
          <w:rFonts w:eastAsia="Times New Roman"/>
          <w:color w:val="auto"/>
          <w:szCs w:val="24"/>
          <w:lang w:eastAsia="en-GB"/>
        </w:rPr>
        <w:t xml:space="preserve"> </w:t>
      </w:r>
    </w:p>
    <w:p w14:paraId="0F63C1EB" w14:textId="77777777" w:rsidR="008A5CDC" w:rsidRPr="008A5CDC" w:rsidRDefault="008A5CDC" w:rsidP="008A5CDC">
      <w:pPr>
        <w:suppressAutoHyphens w:val="0"/>
        <w:spacing w:after="240" w:line="240" w:lineRule="auto"/>
        <w:ind w:left="567" w:hanging="567"/>
        <w:rPr>
          <w:rFonts w:eastAsia="Times New Roman"/>
          <w:color w:val="auto"/>
          <w:szCs w:val="24"/>
          <w:lang w:eastAsia="en-GB"/>
        </w:rPr>
      </w:pPr>
      <w:r w:rsidRPr="008A5CDC">
        <w:rPr>
          <w:rFonts w:eastAsia="Times New Roman"/>
          <w:color w:val="auto"/>
          <w:szCs w:val="24"/>
          <w:lang w:eastAsia="en-GB"/>
        </w:rPr>
        <w:t xml:space="preserve">GOV.UK (2005). </w:t>
      </w:r>
      <w:r w:rsidRPr="008A5CDC">
        <w:rPr>
          <w:rFonts w:eastAsia="Times New Roman"/>
          <w:i/>
          <w:iCs/>
          <w:color w:val="auto"/>
          <w:szCs w:val="24"/>
          <w:lang w:eastAsia="en-GB"/>
        </w:rPr>
        <w:t>Mental capacity act 2005</w:t>
      </w:r>
      <w:r w:rsidRPr="008A5CDC">
        <w:rPr>
          <w:rFonts w:eastAsia="Times New Roman"/>
          <w:color w:val="auto"/>
          <w:szCs w:val="24"/>
          <w:lang w:eastAsia="en-GB"/>
        </w:rPr>
        <w:t xml:space="preserve">. [online] Legislation.gov.uk. Available at: </w:t>
      </w:r>
      <w:hyperlink r:id="rId11" w:history="1">
        <w:r w:rsidRPr="00CB5DE2">
          <w:rPr>
            <w:rStyle w:val="Hyperlink"/>
            <w:rFonts w:eastAsia="Times New Roman"/>
            <w:szCs w:val="24"/>
            <w:lang w:eastAsia="en-GB"/>
          </w:rPr>
          <w:t>https://www.legislation.gov.uk/ukpga/2005/9/contents</w:t>
        </w:r>
      </w:hyperlink>
      <w:r w:rsidRPr="008A5CDC">
        <w:rPr>
          <w:rFonts w:eastAsia="Times New Roman"/>
          <w:color w:val="auto"/>
          <w:szCs w:val="24"/>
          <w:lang w:eastAsia="en-GB"/>
        </w:rPr>
        <w:t>.</w:t>
      </w:r>
      <w:r>
        <w:rPr>
          <w:rFonts w:eastAsia="Times New Roman"/>
          <w:color w:val="auto"/>
          <w:szCs w:val="24"/>
          <w:lang w:eastAsia="en-GB"/>
        </w:rPr>
        <w:t xml:space="preserve"> </w:t>
      </w:r>
    </w:p>
    <w:p w14:paraId="01130E12" w14:textId="77777777" w:rsidR="008A5CDC" w:rsidRPr="008A5CDC" w:rsidRDefault="008A5CDC" w:rsidP="008A5CDC">
      <w:pPr>
        <w:suppressAutoHyphens w:val="0"/>
        <w:spacing w:after="240" w:line="240" w:lineRule="auto"/>
        <w:ind w:left="567" w:hanging="567"/>
        <w:rPr>
          <w:rFonts w:eastAsia="Times New Roman"/>
          <w:color w:val="auto"/>
          <w:szCs w:val="24"/>
          <w:lang w:eastAsia="en-GB"/>
        </w:rPr>
      </w:pPr>
      <w:r w:rsidRPr="008A5CDC">
        <w:rPr>
          <w:rFonts w:eastAsia="Times New Roman"/>
          <w:color w:val="auto"/>
          <w:szCs w:val="24"/>
          <w:lang w:eastAsia="en-GB"/>
        </w:rPr>
        <w:t xml:space="preserve">Gov.UK (2014). </w:t>
      </w:r>
      <w:r w:rsidRPr="008A5CDC">
        <w:rPr>
          <w:rFonts w:eastAsia="Times New Roman"/>
          <w:i/>
          <w:iCs/>
          <w:color w:val="auto"/>
          <w:szCs w:val="24"/>
          <w:lang w:eastAsia="en-GB"/>
        </w:rPr>
        <w:t>Care act 2014</w:t>
      </w:r>
      <w:r w:rsidRPr="008A5CDC">
        <w:rPr>
          <w:rFonts w:eastAsia="Times New Roman"/>
          <w:color w:val="auto"/>
          <w:szCs w:val="24"/>
          <w:lang w:eastAsia="en-GB"/>
        </w:rPr>
        <w:t xml:space="preserve">. [online] Legislation.gov.uk. Available at: </w:t>
      </w:r>
      <w:hyperlink r:id="rId12" w:history="1">
        <w:r w:rsidRPr="00CB5DE2">
          <w:rPr>
            <w:rStyle w:val="Hyperlink"/>
            <w:rFonts w:eastAsia="Times New Roman"/>
            <w:szCs w:val="24"/>
            <w:lang w:eastAsia="en-GB"/>
          </w:rPr>
          <w:t>https://www.legislation.gov.uk/ukpga/2014/23/contents</w:t>
        </w:r>
      </w:hyperlink>
      <w:r w:rsidRPr="008A5CDC">
        <w:rPr>
          <w:rFonts w:eastAsia="Times New Roman"/>
          <w:color w:val="auto"/>
          <w:szCs w:val="24"/>
          <w:lang w:eastAsia="en-GB"/>
        </w:rPr>
        <w:t>.</w:t>
      </w:r>
      <w:r>
        <w:rPr>
          <w:rFonts w:eastAsia="Times New Roman"/>
          <w:color w:val="auto"/>
          <w:szCs w:val="24"/>
          <w:lang w:eastAsia="en-GB"/>
        </w:rPr>
        <w:t xml:space="preserve"> </w:t>
      </w:r>
    </w:p>
    <w:p w14:paraId="530F76C5" w14:textId="77777777" w:rsidR="008A5CDC" w:rsidRPr="008A5CDC" w:rsidRDefault="008A5CDC" w:rsidP="008A5CDC">
      <w:pPr>
        <w:suppressAutoHyphens w:val="0"/>
        <w:spacing w:after="240" w:line="240" w:lineRule="auto"/>
        <w:ind w:left="567" w:hanging="567"/>
        <w:rPr>
          <w:rFonts w:eastAsia="Times New Roman"/>
          <w:color w:val="auto"/>
          <w:szCs w:val="24"/>
          <w:lang w:eastAsia="en-GB"/>
        </w:rPr>
      </w:pPr>
      <w:r w:rsidRPr="008A5CDC">
        <w:rPr>
          <w:rFonts w:eastAsia="Times New Roman"/>
          <w:color w:val="auto"/>
          <w:szCs w:val="24"/>
          <w:lang w:eastAsia="en-GB"/>
        </w:rPr>
        <w:t xml:space="preserve">Health and Care Professions Council (HCPC) (2024). </w:t>
      </w:r>
      <w:r w:rsidRPr="008A5CDC">
        <w:rPr>
          <w:rFonts w:eastAsia="Times New Roman"/>
          <w:i/>
          <w:iCs/>
          <w:color w:val="auto"/>
          <w:szCs w:val="24"/>
          <w:lang w:eastAsia="en-GB"/>
        </w:rPr>
        <w:t>Consent and confidentiality</w:t>
      </w:r>
      <w:r w:rsidRPr="008A5CDC">
        <w:rPr>
          <w:rFonts w:eastAsia="Times New Roman"/>
          <w:color w:val="auto"/>
          <w:szCs w:val="24"/>
          <w:lang w:eastAsia="en-GB"/>
        </w:rPr>
        <w:t xml:space="preserve">. [online] HCPC. Available at: </w:t>
      </w:r>
      <w:hyperlink r:id="rId13" w:history="1">
        <w:r w:rsidRPr="00CB5DE2">
          <w:rPr>
            <w:rStyle w:val="Hyperlink"/>
            <w:rFonts w:eastAsia="Times New Roman"/>
            <w:szCs w:val="24"/>
            <w:lang w:eastAsia="en-GB"/>
          </w:rPr>
          <w:t>https://www.hcpc-uk.org/standards/meeting-our-standards/confidentiality/guidance-on-confidentiality/consent-and-confidentiality/</w:t>
        </w:r>
      </w:hyperlink>
      <w:r w:rsidRPr="008A5CDC">
        <w:rPr>
          <w:rFonts w:eastAsia="Times New Roman"/>
          <w:color w:val="auto"/>
          <w:szCs w:val="24"/>
          <w:lang w:eastAsia="en-GB"/>
        </w:rPr>
        <w:t>.</w:t>
      </w:r>
      <w:r>
        <w:rPr>
          <w:rFonts w:eastAsia="Times New Roman"/>
          <w:color w:val="auto"/>
          <w:szCs w:val="24"/>
          <w:lang w:eastAsia="en-GB"/>
        </w:rPr>
        <w:t xml:space="preserve"> </w:t>
      </w:r>
    </w:p>
    <w:p w14:paraId="134C402F" w14:textId="77777777" w:rsidR="008A5CDC" w:rsidRPr="008A5CDC" w:rsidRDefault="008A5CDC" w:rsidP="008A5CDC">
      <w:pPr>
        <w:suppressAutoHyphens w:val="0"/>
        <w:spacing w:after="240" w:line="240" w:lineRule="auto"/>
        <w:ind w:left="567" w:hanging="567"/>
        <w:rPr>
          <w:rFonts w:eastAsia="Times New Roman"/>
          <w:color w:val="auto"/>
          <w:szCs w:val="24"/>
          <w:lang w:eastAsia="en-GB"/>
        </w:rPr>
      </w:pPr>
      <w:r w:rsidRPr="008A5CDC">
        <w:rPr>
          <w:rFonts w:eastAsia="Times New Roman"/>
          <w:color w:val="auto"/>
          <w:szCs w:val="24"/>
          <w:lang w:eastAsia="en-GB"/>
        </w:rPr>
        <w:t>Kim, E.-Y. and Chang, S.-O. (2022). A meta-synthesis study of person-</w:t>
      </w:r>
      <w:proofErr w:type="spellStart"/>
      <w:r w:rsidRPr="008A5CDC">
        <w:rPr>
          <w:rFonts w:eastAsia="Times New Roman"/>
          <w:color w:val="auto"/>
          <w:szCs w:val="24"/>
          <w:lang w:eastAsia="en-GB"/>
        </w:rPr>
        <w:t>centered</w:t>
      </w:r>
      <w:proofErr w:type="spellEnd"/>
      <w:r w:rsidRPr="008A5CDC">
        <w:rPr>
          <w:rFonts w:eastAsia="Times New Roman"/>
          <w:color w:val="auto"/>
          <w:szCs w:val="24"/>
          <w:lang w:eastAsia="en-GB"/>
        </w:rPr>
        <w:t xml:space="preserve"> care experience from the perspective of nursing home residents. </w:t>
      </w:r>
      <w:r w:rsidRPr="008A5CDC">
        <w:rPr>
          <w:rFonts w:eastAsia="Times New Roman"/>
          <w:i/>
          <w:iCs/>
          <w:color w:val="auto"/>
          <w:szCs w:val="24"/>
          <w:lang w:eastAsia="en-GB"/>
        </w:rPr>
        <w:t>International Journal of Environmental Research and Public Health</w:t>
      </w:r>
      <w:r w:rsidRPr="008A5CDC">
        <w:rPr>
          <w:rFonts w:eastAsia="Times New Roman"/>
          <w:color w:val="auto"/>
          <w:szCs w:val="24"/>
          <w:lang w:eastAsia="en-GB"/>
        </w:rPr>
        <w:t xml:space="preserve">, 19(14), p.8576.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4" w:history="1">
        <w:r w:rsidRPr="00CB5DE2">
          <w:rPr>
            <w:rStyle w:val="Hyperlink"/>
            <w:rFonts w:eastAsia="Times New Roman"/>
            <w:szCs w:val="24"/>
            <w:lang w:eastAsia="en-GB"/>
          </w:rPr>
          <w:t>https://doi.org/10.3390/ijerph19148576</w:t>
        </w:r>
      </w:hyperlink>
      <w:r w:rsidRPr="008A5CDC">
        <w:rPr>
          <w:rFonts w:eastAsia="Times New Roman"/>
          <w:color w:val="auto"/>
          <w:szCs w:val="24"/>
          <w:lang w:eastAsia="en-GB"/>
        </w:rPr>
        <w:t>.</w:t>
      </w:r>
      <w:r>
        <w:rPr>
          <w:rFonts w:eastAsia="Times New Roman"/>
          <w:color w:val="auto"/>
          <w:szCs w:val="24"/>
          <w:lang w:eastAsia="en-GB"/>
        </w:rPr>
        <w:t xml:space="preserve"> </w:t>
      </w:r>
    </w:p>
    <w:p w14:paraId="6F46F721" w14:textId="77777777" w:rsidR="008A5CDC" w:rsidRPr="008A5CDC" w:rsidRDefault="008A5CDC" w:rsidP="008A5CDC">
      <w:pPr>
        <w:suppressAutoHyphens w:val="0"/>
        <w:spacing w:after="240" w:line="240" w:lineRule="auto"/>
        <w:ind w:left="567" w:hanging="567"/>
        <w:rPr>
          <w:rFonts w:eastAsia="Times New Roman"/>
          <w:color w:val="auto"/>
          <w:szCs w:val="24"/>
          <w:lang w:eastAsia="en-GB"/>
        </w:rPr>
      </w:pPr>
      <w:r w:rsidRPr="008A5CDC">
        <w:rPr>
          <w:rFonts w:eastAsia="Times New Roman"/>
          <w:color w:val="auto"/>
          <w:szCs w:val="24"/>
          <w:lang w:eastAsia="en-GB"/>
        </w:rPr>
        <w:t xml:space="preserve">Kwame, A. and </w:t>
      </w:r>
      <w:proofErr w:type="spellStart"/>
      <w:r w:rsidRPr="008A5CDC">
        <w:rPr>
          <w:rFonts w:eastAsia="Times New Roman"/>
          <w:color w:val="auto"/>
          <w:szCs w:val="24"/>
          <w:lang w:eastAsia="en-GB"/>
        </w:rPr>
        <w:t>Petrucka</w:t>
      </w:r>
      <w:proofErr w:type="spellEnd"/>
      <w:r w:rsidRPr="008A5CDC">
        <w:rPr>
          <w:rFonts w:eastAsia="Times New Roman"/>
          <w:color w:val="auto"/>
          <w:szCs w:val="24"/>
          <w:lang w:eastAsia="en-GB"/>
        </w:rPr>
        <w:t>, P. (2021). A literature-based study of patient-</w:t>
      </w:r>
      <w:proofErr w:type="spellStart"/>
      <w:r w:rsidRPr="008A5CDC">
        <w:rPr>
          <w:rFonts w:eastAsia="Times New Roman"/>
          <w:color w:val="auto"/>
          <w:szCs w:val="24"/>
          <w:lang w:eastAsia="en-GB"/>
        </w:rPr>
        <w:t>centered</w:t>
      </w:r>
      <w:proofErr w:type="spellEnd"/>
      <w:r w:rsidRPr="008A5CDC">
        <w:rPr>
          <w:rFonts w:eastAsia="Times New Roman"/>
          <w:color w:val="auto"/>
          <w:szCs w:val="24"/>
          <w:lang w:eastAsia="en-GB"/>
        </w:rPr>
        <w:t xml:space="preserve"> care and communication in nurse-patient interactions: Barriers, facilitators, and the way forward. </w:t>
      </w:r>
      <w:r w:rsidRPr="008A5CDC">
        <w:rPr>
          <w:rFonts w:eastAsia="Times New Roman"/>
          <w:i/>
          <w:iCs/>
          <w:color w:val="auto"/>
          <w:szCs w:val="24"/>
          <w:lang w:eastAsia="en-GB"/>
        </w:rPr>
        <w:t>BMC Nursing</w:t>
      </w:r>
      <w:r w:rsidRPr="008A5CDC">
        <w:rPr>
          <w:rFonts w:eastAsia="Times New Roman"/>
          <w:color w:val="auto"/>
          <w:szCs w:val="24"/>
          <w:lang w:eastAsia="en-GB"/>
        </w:rPr>
        <w:t xml:space="preserve">, 20(158), pp.1–10.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5" w:history="1">
        <w:r w:rsidRPr="00CB5DE2">
          <w:rPr>
            <w:rStyle w:val="Hyperlink"/>
            <w:rFonts w:eastAsia="Times New Roman"/>
            <w:szCs w:val="24"/>
            <w:lang w:eastAsia="en-GB"/>
          </w:rPr>
          <w:t>https://doi.org/https://doi.org/10.1186/s12912-021-00684-2</w:t>
        </w:r>
      </w:hyperlink>
      <w:r w:rsidRPr="008A5CDC">
        <w:rPr>
          <w:rFonts w:eastAsia="Times New Roman"/>
          <w:color w:val="auto"/>
          <w:szCs w:val="24"/>
          <w:lang w:eastAsia="en-GB"/>
        </w:rPr>
        <w:t>.</w:t>
      </w:r>
      <w:r>
        <w:rPr>
          <w:rFonts w:eastAsia="Times New Roman"/>
          <w:color w:val="auto"/>
          <w:szCs w:val="24"/>
          <w:lang w:eastAsia="en-GB"/>
        </w:rPr>
        <w:t xml:space="preserve"> </w:t>
      </w:r>
    </w:p>
    <w:p w14:paraId="1083A5B3" w14:textId="77777777" w:rsidR="008A5CDC" w:rsidRPr="008A5CDC" w:rsidRDefault="008A5CDC" w:rsidP="008A5CDC">
      <w:pPr>
        <w:suppressAutoHyphens w:val="0"/>
        <w:spacing w:after="240" w:line="240" w:lineRule="auto"/>
        <w:ind w:left="567" w:hanging="567"/>
        <w:rPr>
          <w:rFonts w:eastAsia="Times New Roman"/>
          <w:color w:val="auto"/>
          <w:szCs w:val="24"/>
          <w:lang w:eastAsia="en-GB"/>
        </w:rPr>
      </w:pPr>
      <w:r w:rsidRPr="008A5CDC">
        <w:rPr>
          <w:rFonts w:eastAsia="Times New Roman"/>
          <w:color w:val="auto"/>
          <w:szCs w:val="24"/>
          <w:lang w:eastAsia="en-GB"/>
        </w:rPr>
        <w:t>Liao, L., Feng, M., You, Y., Chen, Y., Guan, C. and Liu, Y. (2023). Experiences of older people, healthcare providers and caregivers on implementing person-</w:t>
      </w:r>
      <w:proofErr w:type="spellStart"/>
      <w:r w:rsidRPr="008A5CDC">
        <w:rPr>
          <w:rFonts w:eastAsia="Times New Roman"/>
          <w:color w:val="auto"/>
          <w:szCs w:val="24"/>
          <w:lang w:eastAsia="en-GB"/>
        </w:rPr>
        <w:t>centered</w:t>
      </w:r>
      <w:proofErr w:type="spellEnd"/>
      <w:r w:rsidRPr="008A5CDC">
        <w:rPr>
          <w:rFonts w:eastAsia="Times New Roman"/>
          <w:color w:val="auto"/>
          <w:szCs w:val="24"/>
          <w:lang w:eastAsia="en-GB"/>
        </w:rPr>
        <w:t xml:space="preserve"> care for community-dwelling older people: A systematic review and qualitative meta-synthesis. </w:t>
      </w:r>
      <w:r w:rsidRPr="008A5CDC">
        <w:rPr>
          <w:rFonts w:eastAsia="Times New Roman"/>
          <w:i/>
          <w:iCs/>
          <w:color w:val="auto"/>
          <w:szCs w:val="24"/>
          <w:lang w:eastAsia="en-GB"/>
        </w:rPr>
        <w:t>BMC geriatrics</w:t>
      </w:r>
      <w:r w:rsidRPr="008A5CDC">
        <w:rPr>
          <w:rFonts w:eastAsia="Times New Roman"/>
          <w:color w:val="auto"/>
          <w:szCs w:val="24"/>
          <w:lang w:eastAsia="en-GB"/>
        </w:rPr>
        <w:t xml:space="preserve">, 23(1), p.207.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6" w:history="1">
        <w:r w:rsidRPr="00CB5DE2">
          <w:rPr>
            <w:rStyle w:val="Hyperlink"/>
            <w:rFonts w:eastAsia="Times New Roman"/>
            <w:szCs w:val="24"/>
            <w:lang w:eastAsia="en-GB"/>
          </w:rPr>
          <w:t>https://doi.org/10.1186/s12877-023-03915-0</w:t>
        </w:r>
      </w:hyperlink>
      <w:r w:rsidRPr="008A5CDC">
        <w:rPr>
          <w:rFonts w:eastAsia="Times New Roman"/>
          <w:color w:val="auto"/>
          <w:szCs w:val="24"/>
          <w:lang w:eastAsia="en-GB"/>
        </w:rPr>
        <w:t>.</w:t>
      </w:r>
      <w:r>
        <w:rPr>
          <w:rFonts w:eastAsia="Times New Roman"/>
          <w:color w:val="auto"/>
          <w:szCs w:val="24"/>
          <w:lang w:eastAsia="en-GB"/>
        </w:rPr>
        <w:t xml:space="preserve"> </w:t>
      </w:r>
    </w:p>
    <w:p w14:paraId="25788F7B" w14:textId="77777777" w:rsidR="008A5CDC" w:rsidRPr="008A5CDC" w:rsidRDefault="008A5CDC" w:rsidP="008A5CDC">
      <w:pPr>
        <w:suppressAutoHyphens w:val="0"/>
        <w:spacing w:after="240" w:line="240" w:lineRule="auto"/>
        <w:ind w:left="567" w:hanging="567"/>
        <w:rPr>
          <w:rFonts w:eastAsia="Times New Roman"/>
          <w:color w:val="auto"/>
          <w:szCs w:val="24"/>
          <w:lang w:eastAsia="en-GB"/>
        </w:rPr>
      </w:pPr>
      <w:r w:rsidRPr="008A5CDC">
        <w:rPr>
          <w:rFonts w:eastAsia="Times New Roman"/>
          <w:color w:val="auto"/>
          <w:szCs w:val="24"/>
          <w:lang w:eastAsia="en-GB"/>
        </w:rPr>
        <w:t xml:space="preserve">NHS (2025). </w:t>
      </w:r>
      <w:r w:rsidRPr="008A5CDC">
        <w:rPr>
          <w:rFonts w:eastAsia="Times New Roman"/>
          <w:i/>
          <w:iCs/>
          <w:color w:val="auto"/>
          <w:szCs w:val="24"/>
          <w:lang w:eastAsia="en-GB"/>
        </w:rPr>
        <w:t>Standard what you need to know</w:t>
      </w:r>
      <w:r w:rsidRPr="008A5CDC">
        <w:rPr>
          <w:rFonts w:eastAsia="Times New Roman"/>
          <w:color w:val="auto"/>
          <w:szCs w:val="24"/>
          <w:lang w:eastAsia="en-GB"/>
        </w:rPr>
        <w:t xml:space="preserve">. [online] Available at: </w:t>
      </w:r>
      <w:hyperlink r:id="rId17" w:history="1">
        <w:r w:rsidRPr="00CB5DE2">
          <w:rPr>
            <w:rStyle w:val="Hyperlink"/>
            <w:rFonts w:eastAsia="Times New Roman"/>
            <w:szCs w:val="24"/>
            <w:lang w:eastAsia="en-GB"/>
          </w:rPr>
          <w:t>https://www.hee.nhs.uk/sites/default/files/documents/Standard-6%20Communication.pdf</w:t>
        </w:r>
      </w:hyperlink>
      <w:r w:rsidRPr="008A5CDC">
        <w:rPr>
          <w:rFonts w:eastAsia="Times New Roman"/>
          <w:color w:val="auto"/>
          <w:szCs w:val="24"/>
          <w:lang w:eastAsia="en-GB"/>
        </w:rPr>
        <w:t>.</w:t>
      </w:r>
      <w:r>
        <w:rPr>
          <w:rFonts w:eastAsia="Times New Roman"/>
          <w:color w:val="auto"/>
          <w:szCs w:val="24"/>
          <w:lang w:eastAsia="en-GB"/>
        </w:rPr>
        <w:t xml:space="preserve"> </w:t>
      </w:r>
    </w:p>
    <w:p w14:paraId="1D253827" w14:textId="77777777" w:rsidR="008A5CDC" w:rsidRPr="008A5CDC" w:rsidRDefault="008A5CDC" w:rsidP="008A5CDC">
      <w:pPr>
        <w:suppressAutoHyphens w:val="0"/>
        <w:spacing w:after="240" w:line="240" w:lineRule="auto"/>
        <w:ind w:left="567" w:hanging="567"/>
        <w:rPr>
          <w:rFonts w:eastAsia="Times New Roman"/>
          <w:color w:val="auto"/>
          <w:szCs w:val="24"/>
          <w:lang w:eastAsia="en-GB"/>
        </w:rPr>
      </w:pPr>
      <w:r w:rsidRPr="008A5CDC">
        <w:rPr>
          <w:rFonts w:eastAsia="Times New Roman"/>
          <w:color w:val="auto"/>
          <w:szCs w:val="24"/>
          <w:lang w:eastAsia="en-GB"/>
        </w:rPr>
        <w:t xml:space="preserve">NHS England (2024). </w:t>
      </w:r>
      <w:r w:rsidRPr="008A5CDC">
        <w:rPr>
          <w:rFonts w:eastAsia="Times New Roman"/>
          <w:i/>
          <w:iCs/>
          <w:color w:val="auto"/>
          <w:szCs w:val="24"/>
          <w:lang w:eastAsia="en-GB"/>
        </w:rPr>
        <w:t>Personal health budgets: Quarter 4 2024-25 - NHS England Digital</w:t>
      </w:r>
      <w:r w:rsidRPr="008A5CDC">
        <w:rPr>
          <w:rFonts w:eastAsia="Times New Roman"/>
          <w:color w:val="auto"/>
          <w:szCs w:val="24"/>
          <w:lang w:eastAsia="en-GB"/>
        </w:rPr>
        <w:t xml:space="preserve">. [online] NHS England Digital. Available at: </w:t>
      </w:r>
      <w:hyperlink r:id="rId18" w:history="1">
        <w:r w:rsidRPr="00CB5DE2">
          <w:rPr>
            <w:rStyle w:val="Hyperlink"/>
            <w:rFonts w:eastAsia="Times New Roman"/>
            <w:szCs w:val="24"/>
            <w:lang w:eastAsia="en-GB"/>
          </w:rPr>
          <w:t>https://digital.nhs.uk/data-and-information/publications/statistical/personal-health-budgets/2024-25-q4/personal-health-budgets-q4-2024-25</w:t>
        </w:r>
      </w:hyperlink>
      <w:r w:rsidRPr="008A5CDC">
        <w:rPr>
          <w:rFonts w:eastAsia="Times New Roman"/>
          <w:color w:val="auto"/>
          <w:szCs w:val="24"/>
          <w:lang w:eastAsia="en-GB"/>
        </w:rPr>
        <w:t>.</w:t>
      </w:r>
      <w:r>
        <w:rPr>
          <w:rFonts w:eastAsia="Times New Roman"/>
          <w:color w:val="auto"/>
          <w:szCs w:val="24"/>
          <w:lang w:eastAsia="en-GB"/>
        </w:rPr>
        <w:t xml:space="preserve"> </w:t>
      </w:r>
    </w:p>
    <w:p w14:paraId="37E7FB2C" w14:textId="77777777" w:rsidR="008A5CDC" w:rsidRPr="008A5CDC" w:rsidRDefault="008A5CDC" w:rsidP="008A5CDC">
      <w:pPr>
        <w:suppressAutoHyphens w:val="0"/>
        <w:spacing w:after="240" w:line="240" w:lineRule="auto"/>
        <w:ind w:left="567" w:hanging="567"/>
        <w:rPr>
          <w:rFonts w:eastAsia="Times New Roman"/>
          <w:color w:val="auto"/>
          <w:szCs w:val="24"/>
          <w:lang w:eastAsia="en-GB"/>
        </w:rPr>
      </w:pPr>
      <w:r w:rsidRPr="008A5CDC">
        <w:rPr>
          <w:rFonts w:eastAsia="Times New Roman"/>
          <w:color w:val="auto"/>
          <w:szCs w:val="24"/>
          <w:lang w:eastAsia="en-GB"/>
        </w:rPr>
        <w:t>NHS England (</w:t>
      </w:r>
      <w:proofErr w:type="spellStart"/>
      <w:r w:rsidRPr="008A5CDC">
        <w:rPr>
          <w:rFonts w:eastAsia="Times New Roman"/>
          <w:color w:val="auto"/>
          <w:szCs w:val="24"/>
          <w:lang w:eastAsia="en-GB"/>
        </w:rPr>
        <w:t>n.d.</w:t>
      </w:r>
      <w:proofErr w:type="spellEnd"/>
      <w:r w:rsidRPr="008A5CDC">
        <w:rPr>
          <w:rFonts w:eastAsia="Times New Roman"/>
          <w:color w:val="auto"/>
          <w:szCs w:val="24"/>
          <w:lang w:eastAsia="en-GB"/>
        </w:rPr>
        <w:t xml:space="preserve">). </w:t>
      </w:r>
      <w:r w:rsidRPr="008A5CDC">
        <w:rPr>
          <w:rFonts w:eastAsia="Times New Roman"/>
          <w:i/>
          <w:iCs/>
          <w:color w:val="auto"/>
          <w:szCs w:val="24"/>
          <w:lang w:eastAsia="en-GB"/>
        </w:rPr>
        <w:t>NHS England » Robyn’s story</w:t>
      </w:r>
      <w:r w:rsidRPr="008A5CDC">
        <w:rPr>
          <w:rFonts w:eastAsia="Times New Roman"/>
          <w:color w:val="auto"/>
          <w:szCs w:val="24"/>
          <w:lang w:eastAsia="en-GB"/>
        </w:rPr>
        <w:t xml:space="preserve">. [online] England.nhs.uk. Available at: </w:t>
      </w:r>
      <w:hyperlink r:id="rId19" w:history="1">
        <w:r w:rsidRPr="00CB5DE2">
          <w:rPr>
            <w:rStyle w:val="Hyperlink"/>
            <w:rFonts w:eastAsia="Times New Roman"/>
            <w:szCs w:val="24"/>
            <w:lang w:eastAsia="en-GB"/>
          </w:rPr>
          <w:t>https://www.england.nhs.uk/personalisedcare/comprehensive-model/case-studies/robyns-story/</w:t>
        </w:r>
      </w:hyperlink>
      <w:r w:rsidRPr="008A5CDC">
        <w:rPr>
          <w:rFonts w:eastAsia="Times New Roman"/>
          <w:color w:val="auto"/>
          <w:szCs w:val="24"/>
          <w:lang w:eastAsia="en-GB"/>
        </w:rPr>
        <w:t>.</w:t>
      </w:r>
      <w:r>
        <w:rPr>
          <w:rFonts w:eastAsia="Times New Roman"/>
          <w:color w:val="auto"/>
          <w:szCs w:val="24"/>
          <w:lang w:eastAsia="en-GB"/>
        </w:rPr>
        <w:t xml:space="preserve"> </w:t>
      </w:r>
    </w:p>
    <w:p w14:paraId="599B9A01" w14:textId="77777777" w:rsidR="008A5CDC" w:rsidRPr="008A5CDC" w:rsidRDefault="008A5CDC" w:rsidP="008A5CDC"/>
    <w:sectPr w:rsidR="008A5CDC" w:rsidRPr="008A5CDC">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17C5F7" w14:textId="77777777" w:rsidR="004B797D" w:rsidRDefault="004B797D" w:rsidP="00A87747">
      <w:pPr>
        <w:spacing w:line="240" w:lineRule="auto"/>
      </w:pPr>
      <w:r>
        <w:separator/>
      </w:r>
    </w:p>
  </w:endnote>
  <w:endnote w:type="continuationSeparator" w:id="0">
    <w:p w14:paraId="5F2E6873" w14:textId="77777777" w:rsidR="004B797D" w:rsidRDefault="004B797D"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variable"/>
  </w:font>
  <w:font w:name="OpenSymbol">
    <w:altName w:val="Arial Unicode MS"/>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jaVu Sans">
    <w:altName w:val="MS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B1A73A" w14:textId="77777777" w:rsidR="00C5526B" w:rsidRDefault="00C552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429AEA" w14:textId="77777777" w:rsidR="00A87747" w:rsidRDefault="00A87747">
    <w:pPr>
      <w:pStyle w:val="Footer"/>
      <w:jc w:val="center"/>
    </w:pPr>
    <w:r>
      <w:fldChar w:fldCharType="begin"/>
    </w:r>
    <w:r>
      <w:instrText xml:space="preserve"> PAGE   \* MERGEFORMAT </w:instrText>
    </w:r>
    <w:r>
      <w:fldChar w:fldCharType="separate"/>
    </w:r>
    <w:r w:rsidR="001327F4">
      <w:rPr>
        <w:noProof/>
      </w:rPr>
      <w:t>12</w:t>
    </w:r>
    <w:r>
      <w:rPr>
        <w:noProof/>
      </w:rPr>
      <w:fldChar w:fldCharType="end"/>
    </w:r>
  </w:p>
  <w:p w14:paraId="333DECBC" w14:textId="77777777" w:rsidR="00A87747" w:rsidRDefault="00A877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34516" w14:textId="77777777" w:rsidR="00C5526B" w:rsidRDefault="00C55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6F57F" w14:textId="77777777" w:rsidR="004B797D" w:rsidRDefault="004B797D" w:rsidP="00A87747">
      <w:pPr>
        <w:spacing w:line="240" w:lineRule="auto"/>
      </w:pPr>
      <w:r>
        <w:separator/>
      </w:r>
    </w:p>
  </w:footnote>
  <w:footnote w:type="continuationSeparator" w:id="0">
    <w:p w14:paraId="56CAF162" w14:textId="77777777" w:rsidR="004B797D" w:rsidRDefault="004B797D"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DA14DC" w14:textId="77777777" w:rsidR="00C5526B" w:rsidRDefault="00C552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A80FFC" w14:textId="77777777" w:rsidR="00C5526B" w:rsidRDefault="00C552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A9D914" w14:textId="77777777" w:rsidR="00C5526B" w:rsidRDefault="00C552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68222D"/>
    <w:multiLevelType w:val="hybridMultilevel"/>
    <w:tmpl w:val="B2B2C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95F2BA5"/>
    <w:multiLevelType w:val="hybridMultilevel"/>
    <w:tmpl w:val="07DCF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4795090">
    <w:abstractNumId w:val="0"/>
  </w:num>
  <w:num w:numId="2" w16cid:durableId="472717719">
    <w:abstractNumId w:val="1"/>
  </w:num>
  <w:num w:numId="3" w16cid:durableId="1357074858">
    <w:abstractNumId w:val="10"/>
  </w:num>
  <w:num w:numId="4" w16cid:durableId="980042316">
    <w:abstractNumId w:val="25"/>
  </w:num>
  <w:num w:numId="5" w16cid:durableId="575290460">
    <w:abstractNumId w:val="9"/>
  </w:num>
  <w:num w:numId="6" w16cid:durableId="31536934">
    <w:abstractNumId w:val="24"/>
  </w:num>
  <w:num w:numId="7" w16cid:durableId="887452975">
    <w:abstractNumId w:val="29"/>
  </w:num>
  <w:num w:numId="8" w16cid:durableId="1732771865">
    <w:abstractNumId w:val="20"/>
  </w:num>
  <w:num w:numId="9" w16cid:durableId="1773040967">
    <w:abstractNumId w:val="6"/>
  </w:num>
  <w:num w:numId="10" w16cid:durableId="862283374">
    <w:abstractNumId w:val="17"/>
  </w:num>
  <w:num w:numId="11" w16cid:durableId="430854781">
    <w:abstractNumId w:val="21"/>
  </w:num>
  <w:num w:numId="12" w16cid:durableId="679046506">
    <w:abstractNumId w:val="12"/>
  </w:num>
  <w:num w:numId="13" w16cid:durableId="2098867075">
    <w:abstractNumId w:val="4"/>
  </w:num>
  <w:num w:numId="14" w16cid:durableId="1822690382">
    <w:abstractNumId w:val="18"/>
  </w:num>
  <w:num w:numId="15" w16cid:durableId="1376350299">
    <w:abstractNumId w:val="5"/>
  </w:num>
  <w:num w:numId="16" w16cid:durableId="445199432">
    <w:abstractNumId w:val="23"/>
  </w:num>
  <w:num w:numId="17" w16cid:durableId="491530961">
    <w:abstractNumId w:val="3"/>
  </w:num>
  <w:num w:numId="18" w16cid:durableId="166868705">
    <w:abstractNumId w:val="19"/>
  </w:num>
  <w:num w:numId="19" w16cid:durableId="482282320">
    <w:abstractNumId w:val="2"/>
  </w:num>
  <w:num w:numId="20" w16cid:durableId="1781683449">
    <w:abstractNumId w:val="27"/>
  </w:num>
  <w:num w:numId="21" w16cid:durableId="899363627">
    <w:abstractNumId w:val="14"/>
  </w:num>
  <w:num w:numId="22" w16cid:durableId="1002658722">
    <w:abstractNumId w:val="13"/>
  </w:num>
  <w:num w:numId="23" w16cid:durableId="288559520">
    <w:abstractNumId w:val="26"/>
  </w:num>
  <w:num w:numId="24" w16cid:durableId="821846025">
    <w:abstractNumId w:val="30"/>
  </w:num>
  <w:num w:numId="25" w16cid:durableId="999692947">
    <w:abstractNumId w:val="7"/>
  </w:num>
  <w:num w:numId="26" w16cid:durableId="1242789928">
    <w:abstractNumId w:val="16"/>
  </w:num>
  <w:num w:numId="27" w16cid:durableId="1080639696">
    <w:abstractNumId w:val="15"/>
  </w:num>
  <w:num w:numId="28" w16cid:durableId="1380789129">
    <w:abstractNumId w:val="22"/>
  </w:num>
  <w:num w:numId="29" w16cid:durableId="13188395">
    <w:abstractNumId w:val="8"/>
  </w:num>
  <w:num w:numId="30" w16cid:durableId="1404596034">
    <w:abstractNumId w:val="28"/>
  </w:num>
  <w:num w:numId="31" w16cid:durableId="18341772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gwNawGiZSaALQAAAA=="/>
  </w:docVars>
  <w:rsids>
    <w:rsidRoot w:val="008D09FF"/>
    <w:rsid w:val="000143B4"/>
    <w:rsid w:val="000157F7"/>
    <w:rsid w:val="000169FC"/>
    <w:rsid w:val="00026F62"/>
    <w:rsid w:val="0003210E"/>
    <w:rsid w:val="00033E1E"/>
    <w:rsid w:val="00043DD1"/>
    <w:rsid w:val="00044E03"/>
    <w:rsid w:val="00051B13"/>
    <w:rsid w:val="0005499F"/>
    <w:rsid w:val="00054E52"/>
    <w:rsid w:val="00070B98"/>
    <w:rsid w:val="00073CCE"/>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5D95"/>
    <w:rsid w:val="000E7C63"/>
    <w:rsid w:val="000F7A29"/>
    <w:rsid w:val="0010080F"/>
    <w:rsid w:val="001127EC"/>
    <w:rsid w:val="00115FA2"/>
    <w:rsid w:val="0011725C"/>
    <w:rsid w:val="0012311E"/>
    <w:rsid w:val="00124129"/>
    <w:rsid w:val="00131CE2"/>
    <w:rsid w:val="001327F4"/>
    <w:rsid w:val="00135FA8"/>
    <w:rsid w:val="0014081F"/>
    <w:rsid w:val="0014236D"/>
    <w:rsid w:val="001543C4"/>
    <w:rsid w:val="00155DFF"/>
    <w:rsid w:val="00166B1E"/>
    <w:rsid w:val="00171AB7"/>
    <w:rsid w:val="001959E7"/>
    <w:rsid w:val="001A2386"/>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B85"/>
    <w:rsid w:val="002157B6"/>
    <w:rsid w:val="00245957"/>
    <w:rsid w:val="00245FD9"/>
    <w:rsid w:val="0024714F"/>
    <w:rsid w:val="00251842"/>
    <w:rsid w:val="00255300"/>
    <w:rsid w:val="00267D0D"/>
    <w:rsid w:val="00273F83"/>
    <w:rsid w:val="00281B7A"/>
    <w:rsid w:val="002923C2"/>
    <w:rsid w:val="0029461D"/>
    <w:rsid w:val="002A218E"/>
    <w:rsid w:val="002B1C88"/>
    <w:rsid w:val="002B6D16"/>
    <w:rsid w:val="002C58C6"/>
    <w:rsid w:val="002C5976"/>
    <w:rsid w:val="002C5AFE"/>
    <w:rsid w:val="002C5DF6"/>
    <w:rsid w:val="002C7931"/>
    <w:rsid w:val="002D5608"/>
    <w:rsid w:val="002E2445"/>
    <w:rsid w:val="002F3715"/>
    <w:rsid w:val="002F4531"/>
    <w:rsid w:val="002F4C8F"/>
    <w:rsid w:val="00306373"/>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86E4F"/>
    <w:rsid w:val="00390787"/>
    <w:rsid w:val="003915E6"/>
    <w:rsid w:val="003A21CE"/>
    <w:rsid w:val="003B2223"/>
    <w:rsid w:val="003D2B08"/>
    <w:rsid w:val="003D6472"/>
    <w:rsid w:val="003E3CE3"/>
    <w:rsid w:val="003F2920"/>
    <w:rsid w:val="003F321A"/>
    <w:rsid w:val="003F546F"/>
    <w:rsid w:val="003F58CF"/>
    <w:rsid w:val="003F652C"/>
    <w:rsid w:val="003F6A34"/>
    <w:rsid w:val="004001C6"/>
    <w:rsid w:val="0040516B"/>
    <w:rsid w:val="00406F8A"/>
    <w:rsid w:val="00407CC9"/>
    <w:rsid w:val="00410CBD"/>
    <w:rsid w:val="004118BC"/>
    <w:rsid w:val="00412D04"/>
    <w:rsid w:val="00426EFB"/>
    <w:rsid w:val="004275E6"/>
    <w:rsid w:val="00430271"/>
    <w:rsid w:val="0043392D"/>
    <w:rsid w:val="00435F23"/>
    <w:rsid w:val="00454D5E"/>
    <w:rsid w:val="00455304"/>
    <w:rsid w:val="00460545"/>
    <w:rsid w:val="0046208D"/>
    <w:rsid w:val="0047293C"/>
    <w:rsid w:val="00480840"/>
    <w:rsid w:val="004836C4"/>
    <w:rsid w:val="0049384C"/>
    <w:rsid w:val="0049537E"/>
    <w:rsid w:val="00496C57"/>
    <w:rsid w:val="004A17F2"/>
    <w:rsid w:val="004A42D9"/>
    <w:rsid w:val="004A6F78"/>
    <w:rsid w:val="004A78C8"/>
    <w:rsid w:val="004B2DC1"/>
    <w:rsid w:val="004B6253"/>
    <w:rsid w:val="004B637E"/>
    <w:rsid w:val="004B797D"/>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3005"/>
    <w:rsid w:val="00565E1A"/>
    <w:rsid w:val="005715D0"/>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60463A"/>
    <w:rsid w:val="00607926"/>
    <w:rsid w:val="0061173B"/>
    <w:rsid w:val="00615B24"/>
    <w:rsid w:val="00621B9C"/>
    <w:rsid w:val="006237FB"/>
    <w:rsid w:val="006302B6"/>
    <w:rsid w:val="006407FE"/>
    <w:rsid w:val="006438EC"/>
    <w:rsid w:val="006475FF"/>
    <w:rsid w:val="00654A6E"/>
    <w:rsid w:val="00656B94"/>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D07E0"/>
    <w:rsid w:val="006D1840"/>
    <w:rsid w:val="006D6837"/>
    <w:rsid w:val="006D7C5E"/>
    <w:rsid w:val="006E177F"/>
    <w:rsid w:val="00705F33"/>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5234"/>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3D9D"/>
    <w:rsid w:val="00814EE5"/>
    <w:rsid w:val="0082293E"/>
    <w:rsid w:val="0083045C"/>
    <w:rsid w:val="0083094A"/>
    <w:rsid w:val="008309B1"/>
    <w:rsid w:val="00831ABD"/>
    <w:rsid w:val="00841350"/>
    <w:rsid w:val="00853117"/>
    <w:rsid w:val="008645D9"/>
    <w:rsid w:val="0087207B"/>
    <w:rsid w:val="00872FDC"/>
    <w:rsid w:val="00884801"/>
    <w:rsid w:val="008934D6"/>
    <w:rsid w:val="008A4FEE"/>
    <w:rsid w:val="008A5AAC"/>
    <w:rsid w:val="008A5CDC"/>
    <w:rsid w:val="008B1D5E"/>
    <w:rsid w:val="008B6785"/>
    <w:rsid w:val="008C4464"/>
    <w:rsid w:val="008C5894"/>
    <w:rsid w:val="008D09FF"/>
    <w:rsid w:val="008E49BD"/>
    <w:rsid w:val="008E5D4C"/>
    <w:rsid w:val="008E6B1D"/>
    <w:rsid w:val="008F29E6"/>
    <w:rsid w:val="008F4C1A"/>
    <w:rsid w:val="00900DD5"/>
    <w:rsid w:val="009022FD"/>
    <w:rsid w:val="0090744C"/>
    <w:rsid w:val="009125AD"/>
    <w:rsid w:val="00913FA1"/>
    <w:rsid w:val="00914249"/>
    <w:rsid w:val="009172DB"/>
    <w:rsid w:val="00924407"/>
    <w:rsid w:val="00932737"/>
    <w:rsid w:val="00935E3E"/>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0D5C"/>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60F2E"/>
    <w:rsid w:val="00A62491"/>
    <w:rsid w:val="00A630B9"/>
    <w:rsid w:val="00A64F25"/>
    <w:rsid w:val="00A654E6"/>
    <w:rsid w:val="00A7011E"/>
    <w:rsid w:val="00A70CE1"/>
    <w:rsid w:val="00A73945"/>
    <w:rsid w:val="00A75675"/>
    <w:rsid w:val="00A801A0"/>
    <w:rsid w:val="00A812AD"/>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1613"/>
    <w:rsid w:val="00B56352"/>
    <w:rsid w:val="00B57A65"/>
    <w:rsid w:val="00B61DB0"/>
    <w:rsid w:val="00B61FED"/>
    <w:rsid w:val="00B671A3"/>
    <w:rsid w:val="00B702BF"/>
    <w:rsid w:val="00B7065F"/>
    <w:rsid w:val="00B71230"/>
    <w:rsid w:val="00B74848"/>
    <w:rsid w:val="00B87943"/>
    <w:rsid w:val="00B91486"/>
    <w:rsid w:val="00B97BB3"/>
    <w:rsid w:val="00BA2FDA"/>
    <w:rsid w:val="00BA45F5"/>
    <w:rsid w:val="00BA67AD"/>
    <w:rsid w:val="00BC0402"/>
    <w:rsid w:val="00BC3B3A"/>
    <w:rsid w:val="00BD180E"/>
    <w:rsid w:val="00BD411F"/>
    <w:rsid w:val="00BE6EAE"/>
    <w:rsid w:val="00BF4E4E"/>
    <w:rsid w:val="00BF5CCF"/>
    <w:rsid w:val="00BF6034"/>
    <w:rsid w:val="00C00C12"/>
    <w:rsid w:val="00C106CE"/>
    <w:rsid w:val="00C14BE6"/>
    <w:rsid w:val="00C24BF1"/>
    <w:rsid w:val="00C41329"/>
    <w:rsid w:val="00C42CEC"/>
    <w:rsid w:val="00C433FF"/>
    <w:rsid w:val="00C47BCC"/>
    <w:rsid w:val="00C52007"/>
    <w:rsid w:val="00C53CCD"/>
    <w:rsid w:val="00C5526B"/>
    <w:rsid w:val="00C57D30"/>
    <w:rsid w:val="00C66F95"/>
    <w:rsid w:val="00C73ADD"/>
    <w:rsid w:val="00C74D7D"/>
    <w:rsid w:val="00C8669D"/>
    <w:rsid w:val="00C8743A"/>
    <w:rsid w:val="00C919FB"/>
    <w:rsid w:val="00CA59F2"/>
    <w:rsid w:val="00CB18BE"/>
    <w:rsid w:val="00CC3413"/>
    <w:rsid w:val="00CC671B"/>
    <w:rsid w:val="00CD2539"/>
    <w:rsid w:val="00CE4E4E"/>
    <w:rsid w:val="00CE5BDB"/>
    <w:rsid w:val="00CF15D8"/>
    <w:rsid w:val="00CF5F42"/>
    <w:rsid w:val="00D120C8"/>
    <w:rsid w:val="00D20ECD"/>
    <w:rsid w:val="00D2166C"/>
    <w:rsid w:val="00D23569"/>
    <w:rsid w:val="00D30910"/>
    <w:rsid w:val="00D35421"/>
    <w:rsid w:val="00D4151E"/>
    <w:rsid w:val="00D444CD"/>
    <w:rsid w:val="00D50037"/>
    <w:rsid w:val="00D73C7F"/>
    <w:rsid w:val="00D81130"/>
    <w:rsid w:val="00D942AF"/>
    <w:rsid w:val="00D9463B"/>
    <w:rsid w:val="00DA3189"/>
    <w:rsid w:val="00DA3A21"/>
    <w:rsid w:val="00DA5D0B"/>
    <w:rsid w:val="00DB19D0"/>
    <w:rsid w:val="00DB3F7E"/>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3AC0"/>
    <w:rsid w:val="00E34CA7"/>
    <w:rsid w:val="00E37264"/>
    <w:rsid w:val="00E41AB6"/>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1549"/>
    <w:rsid w:val="00EB32F9"/>
    <w:rsid w:val="00EB6093"/>
    <w:rsid w:val="00EC3B38"/>
    <w:rsid w:val="00EC3CED"/>
    <w:rsid w:val="00EC74AE"/>
    <w:rsid w:val="00ED6A6B"/>
    <w:rsid w:val="00EE04C1"/>
    <w:rsid w:val="00EE2BBA"/>
    <w:rsid w:val="00EE58F1"/>
    <w:rsid w:val="00EF0350"/>
    <w:rsid w:val="00F05440"/>
    <w:rsid w:val="00F10C64"/>
    <w:rsid w:val="00F16248"/>
    <w:rsid w:val="00F16569"/>
    <w:rsid w:val="00F17CBC"/>
    <w:rsid w:val="00F31831"/>
    <w:rsid w:val="00F320B3"/>
    <w:rsid w:val="00F35020"/>
    <w:rsid w:val="00F42555"/>
    <w:rsid w:val="00F52B0E"/>
    <w:rsid w:val="00F71CCB"/>
    <w:rsid w:val="00F80D70"/>
    <w:rsid w:val="00FA1905"/>
    <w:rsid w:val="00FA3835"/>
    <w:rsid w:val="00FB012C"/>
    <w:rsid w:val="00FB44DD"/>
    <w:rsid w:val="00FB5913"/>
    <w:rsid w:val="00FB636C"/>
    <w:rsid w:val="00FD08F7"/>
    <w:rsid w:val="00FE007F"/>
    <w:rsid w:val="00FE1106"/>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6AC381F0"/>
  <w15:chartTrackingRefBased/>
  <w15:docId w15:val="{244C03BB-C201-42E7-B33D-E7F425737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813D9D"/>
    <w:pPr>
      <w:keepNext/>
      <w:keepLines/>
      <w:numPr>
        <w:ilvl w:val="1"/>
        <w:numId w:val="1"/>
      </w:numPr>
      <w:spacing w:before="113"/>
      <w:outlineLvl w:val="1"/>
    </w:pPr>
    <w:rPr>
      <w:rFonts w:eastAsia="Times New Roman"/>
      <w:b/>
      <w:bCs/>
      <w:szCs w:val="26"/>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customStyle="1" w:styleId="UnresolvedMention1">
    <w:name w:val="Unresolved Mention1"/>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 w:type="table" w:styleId="GridTable4-Accent2">
    <w:name w:val="Grid Table 4 Accent 2"/>
    <w:basedOn w:val="TableNormal"/>
    <w:uiPriority w:val="49"/>
    <w:rsid w:val="00407CC9"/>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370955324">
      <w:bodyDiv w:val="1"/>
      <w:marLeft w:val="0"/>
      <w:marRight w:val="0"/>
      <w:marTop w:val="0"/>
      <w:marBottom w:val="0"/>
      <w:divBdr>
        <w:top w:val="none" w:sz="0" w:space="0" w:color="auto"/>
        <w:left w:val="none" w:sz="0" w:space="0" w:color="auto"/>
        <w:bottom w:val="none" w:sz="0" w:space="0" w:color="auto"/>
        <w:right w:val="none" w:sz="0" w:space="0" w:color="auto"/>
      </w:divBdr>
      <w:divsChild>
        <w:div w:id="1429930942">
          <w:marLeft w:val="0"/>
          <w:marRight w:val="0"/>
          <w:marTop w:val="0"/>
          <w:marBottom w:val="0"/>
          <w:divBdr>
            <w:top w:val="none" w:sz="0" w:space="0" w:color="auto"/>
            <w:left w:val="none" w:sz="0" w:space="0" w:color="auto"/>
            <w:bottom w:val="none" w:sz="0" w:space="0" w:color="auto"/>
            <w:right w:val="none" w:sz="0" w:space="0" w:color="auto"/>
          </w:divBdr>
        </w:div>
      </w:divsChild>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563879997">
      <w:bodyDiv w:val="1"/>
      <w:marLeft w:val="0"/>
      <w:marRight w:val="0"/>
      <w:marTop w:val="0"/>
      <w:marBottom w:val="0"/>
      <w:divBdr>
        <w:top w:val="none" w:sz="0" w:space="0" w:color="auto"/>
        <w:left w:val="none" w:sz="0" w:space="0" w:color="auto"/>
        <w:bottom w:val="none" w:sz="0" w:space="0" w:color="auto"/>
        <w:right w:val="none" w:sz="0" w:space="0" w:color="auto"/>
      </w:divBdr>
    </w:div>
    <w:div w:id="567375774">
      <w:bodyDiv w:val="1"/>
      <w:marLeft w:val="0"/>
      <w:marRight w:val="0"/>
      <w:marTop w:val="0"/>
      <w:marBottom w:val="0"/>
      <w:divBdr>
        <w:top w:val="none" w:sz="0" w:space="0" w:color="auto"/>
        <w:left w:val="none" w:sz="0" w:space="0" w:color="auto"/>
        <w:bottom w:val="none" w:sz="0" w:space="0" w:color="auto"/>
        <w:right w:val="none" w:sz="0" w:space="0" w:color="auto"/>
      </w:divBdr>
      <w:divsChild>
        <w:div w:id="720791003">
          <w:marLeft w:val="0"/>
          <w:marRight w:val="0"/>
          <w:marTop w:val="0"/>
          <w:marBottom w:val="0"/>
          <w:divBdr>
            <w:top w:val="none" w:sz="0" w:space="0" w:color="auto"/>
            <w:left w:val="none" w:sz="0" w:space="0" w:color="auto"/>
            <w:bottom w:val="none" w:sz="0" w:space="0" w:color="auto"/>
            <w:right w:val="none" w:sz="0" w:space="0" w:color="auto"/>
          </w:divBdr>
        </w:div>
      </w:divsChild>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79832066">
      <w:bodyDiv w:val="1"/>
      <w:marLeft w:val="0"/>
      <w:marRight w:val="0"/>
      <w:marTop w:val="0"/>
      <w:marBottom w:val="0"/>
      <w:divBdr>
        <w:top w:val="none" w:sz="0" w:space="0" w:color="auto"/>
        <w:left w:val="none" w:sz="0" w:space="0" w:color="auto"/>
        <w:bottom w:val="none" w:sz="0" w:space="0" w:color="auto"/>
        <w:right w:val="none" w:sz="0" w:space="0" w:color="auto"/>
      </w:divBdr>
      <w:divsChild>
        <w:div w:id="1533034506">
          <w:marLeft w:val="0"/>
          <w:marRight w:val="0"/>
          <w:marTop w:val="0"/>
          <w:marBottom w:val="0"/>
          <w:divBdr>
            <w:top w:val="none" w:sz="0" w:space="0" w:color="auto"/>
            <w:left w:val="none" w:sz="0" w:space="0" w:color="auto"/>
            <w:bottom w:val="none" w:sz="0" w:space="0" w:color="auto"/>
            <w:right w:val="none" w:sz="0" w:space="0" w:color="auto"/>
          </w:divBdr>
        </w:div>
      </w:divsChild>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889-024-20089-5" TargetMode="External" /><Relationship Id="rId13" Type="http://schemas.openxmlformats.org/officeDocument/2006/relationships/hyperlink" Target="https://www.hcpc-uk.org/standards/meeting-our-standards/confidentiality/guidance-on-confidentiality/consent-and-confidentiality/" TargetMode="External" /><Relationship Id="rId18" Type="http://schemas.openxmlformats.org/officeDocument/2006/relationships/hyperlink" Target="https://digital.nhs.uk/data-and-information/publications/statistical/personal-health-budgets/2024-25-q4/personal-health-budgets-q4-2024-25"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eader" Target="header2.xml" /><Relationship Id="rId7" Type="http://schemas.openxmlformats.org/officeDocument/2006/relationships/endnotes" Target="endnotes.xml" /><Relationship Id="rId12" Type="http://schemas.openxmlformats.org/officeDocument/2006/relationships/hyperlink" Target="https://www.legislation.gov.uk/ukpga/2014/23/contents" TargetMode="External" /><Relationship Id="rId17" Type="http://schemas.openxmlformats.org/officeDocument/2006/relationships/hyperlink" Target="https://www.hee.nhs.uk/sites/default/files/documents/Standard-6%20Communication.pdf" TargetMode="External" /><Relationship Id="rId25" Type="http://schemas.openxmlformats.org/officeDocument/2006/relationships/footer" Target="footer3.xml" /><Relationship Id="rId2" Type="http://schemas.openxmlformats.org/officeDocument/2006/relationships/numbering" Target="numbering.xml" /><Relationship Id="rId16" Type="http://schemas.openxmlformats.org/officeDocument/2006/relationships/hyperlink" Target="https://doi.org/10.1186/s12877-023-03915-0"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legislation.gov.uk/ukpga/2005/9/contents" TargetMode="External" /><Relationship Id="rId24" Type="http://schemas.openxmlformats.org/officeDocument/2006/relationships/header" Target="header3.xml" /><Relationship Id="rId5" Type="http://schemas.openxmlformats.org/officeDocument/2006/relationships/webSettings" Target="webSettings.xml" /><Relationship Id="rId15" Type="http://schemas.openxmlformats.org/officeDocument/2006/relationships/hyperlink" Target="https://doi.org/https://doi.org/10.1186/s12912-021-00684-2" TargetMode="External" /><Relationship Id="rId23" Type="http://schemas.openxmlformats.org/officeDocument/2006/relationships/footer" Target="footer2.xml" /><Relationship Id="rId10" Type="http://schemas.openxmlformats.org/officeDocument/2006/relationships/hyperlink" Target="https://doi.org/10.1186/s12913-024-10760-3" TargetMode="External" /><Relationship Id="rId19" Type="http://schemas.openxmlformats.org/officeDocument/2006/relationships/hyperlink" Target="https://www.england.nhs.uk/personalisedcare/comprehensive-model/case-studies/robyns-story/" TargetMode="External" /><Relationship Id="rId4" Type="http://schemas.openxmlformats.org/officeDocument/2006/relationships/settings" Target="settings.xml" /><Relationship Id="rId9" Type="http://schemas.openxmlformats.org/officeDocument/2006/relationships/hyperlink" Target="https://doi.org/10.3390/ijerph192416813" TargetMode="External" /><Relationship Id="rId14" Type="http://schemas.openxmlformats.org/officeDocument/2006/relationships/hyperlink" Target="https://doi.org/10.3390/ijerph19148576" TargetMode="External" /><Relationship Id="rId22" Type="http://schemas.openxmlformats.org/officeDocument/2006/relationships/footer" Target="footer1.xm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B239E-8EBD-4C5F-897A-16CE60532A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3055</Words>
  <Characters>17420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Safa khan</cp:lastModifiedBy>
  <cp:revision>2</cp:revision>
  <cp:lastPrinted>1900-01-01T00:00:00Z</cp:lastPrinted>
  <dcterms:created xsi:type="dcterms:W3CDTF">2026-10-21T09:20:00Z</dcterms:created>
  <dcterms:modified xsi:type="dcterms:W3CDTF">2026-10-21T09:20:00Z</dcterms:modified>
</cp:coreProperties>
</file>