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85095" w14:textId="060EF27E" w:rsidR="003E2330" w:rsidRDefault="003E7D32">
      <w:r w:rsidRPr="003E7D32">
        <w:rPr>
          <w:noProof/>
        </w:rPr>
        <w:drawing>
          <wp:inline distT="0" distB="0" distL="0" distR="0" wp14:anchorId="06797F54" wp14:editId="7E166BCA">
            <wp:extent cx="1971950" cy="685896"/>
            <wp:effectExtent l="0" t="0" r="0" b="0"/>
            <wp:docPr id="134781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12100" name=""/>
                    <pic:cNvPicPr/>
                  </pic:nvPicPr>
                  <pic:blipFill>
                    <a:blip r:embed="rId7"/>
                    <a:stretch>
                      <a:fillRect/>
                    </a:stretch>
                  </pic:blipFill>
                  <pic:spPr>
                    <a:xfrm>
                      <a:off x="0" y="0"/>
                      <a:ext cx="1971950" cy="685896"/>
                    </a:xfrm>
                    <a:prstGeom prst="rect">
                      <a:avLst/>
                    </a:prstGeom>
                  </pic:spPr>
                </pic:pic>
              </a:graphicData>
            </a:graphic>
          </wp:inline>
        </w:drawing>
      </w:r>
    </w:p>
    <w:p w14:paraId="47030834" w14:textId="77777777" w:rsidR="003E7D32" w:rsidRDefault="003E7D32"/>
    <w:p w14:paraId="4555138E" w14:textId="77777777" w:rsidR="0009738E" w:rsidRDefault="0009738E" w:rsidP="0009738E">
      <w:pPr>
        <w:jc w:val="center"/>
      </w:pPr>
    </w:p>
    <w:p w14:paraId="72F152A1" w14:textId="77777777" w:rsidR="0009738E" w:rsidRDefault="0009738E" w:rsidP="0009738E">
      <w:pPr>
        <w:jc w:val="center"/>
      </w:pPr>
    </w:p>
    <w:p w14:paraId="10256889" w14:textId="77777777" w:rsidR="0009738E" w:rsidRDefault="0009738E" w:rsidP="0009738E">
      <w:pPr>
        <w:jc w:val="center"/>
      </w:pPr>
    </w:p>
    <w:p w14:paraId="49396C3D" w14:textId="77777777" w:rsidR="0009738E" w:rsidRDefault="0009738E" w:rsidP="0009738E">
      <w:pPr>
        <w:jc w:val="center"/>
      </w:pPr>
    </w:p>
    <w:p w14:paraId="77BCD9F0" w14:textId="1F396C39" w:rsidR="003E7D32" w:rsidRPr="00991A08" w:rsidRDefault="003E7D32" w:rsidP="0009738E">
      <w:pPr>
        <w:jc w:val="center"/>
        <w:rPr>
          <w:b/>
          <w:bCs/>
          <w:sz w:val="40"/>
          <w:szCs w:val="40"/>
        </w:rPr>
      </w:pPr>
      <w:r w:rsidRPr="00991A08">
        <w:rPr>
          <w:b/>
          <w:bCs/>
          <w:sz w:val="40"/>
          <w:szCs w:val="40"/>
        </w:rPr>
        <w:t>Module Title: Criminal</w:t>
      </w:r>
      <w:r w:rsidR="0009738E" w:rsidRPr="00991A08">
        <w:rPr>
          <w:b/>
          <w:bCs/>
          <w:sz w:val="40"/>
          <w:szCs w:val="40"/>
        </w:rPr>
        <w:t xml:space="preserve"> L</w:t>
      </w:r>
      <w:r w:rsidRPr="00991A08">
        <w:rPr>
          <w:b/>
          <w:bCs/>
          <w:sz w:val="40"/>
          <w:szCs w:val="40"/>
        </w:rPr>
        <w:t>aw</w:t>
      </w:r>
    </w:p>
    <w:p w14:paraId="54CA849A" w14:textId="3AF0DDEB" w:rsidR="003E7D32" w:rsidRPr="00991A08" w:rsidRDefault="003E7D32" w:rsidP="0009738E">
      <w:pPr>
        <w:jc w:val="center"/>
        <w:rPr>
          <w:b/>
          <w:bCs/>
          <w:sz w:val="40"/>
          <w:szCs w:val="40"/>
        </w:rPr>
      </w:pPr>
      <w:r w:rsidRPr="00991A08">
        <w:rPr>
          <w:b/>
          <w:bCs/>
          <w:sz w:val="40"/>
          <w:szCs w:val="40"/>
        </w:rPr>
        <w:t>Module Code: BMPL4009</w:t>
      </w:r>
    </w:p>
    <w:p w14:paraId="6CE6C138" w14:textId="7EFEBE8C" w:rsidR="003E7D32" w:rsidRDefault="003E7D32" w:rsidP="007D517B">
      <w:pPr>
        <w:jc w:val="center"/>
        <w:rPr>
          <w:b/>
          <w:bCs/>
          <w:sz w:val="36"/>
          <w:szCs w:val="36"/>
        </w:rPr>
      </w:pPr>
      <w:r w:rsidRPr="00991A08">
        <w:rPr>
          <w:b/>
          <w:bCs/>
          <w:sz w:val="36"/>
          <w:szCs w:val="36"/>
        </w:rPr>
        <w:t>Assignment Title:</w:t>
      </w:r>
    </w:p>
    <w:p w14:paraId="53BA62B4" w14:textId="7B12D3ED" w:rsidR="00FA7AD9" w:rsidRPr="00991A08" w:rsidRDefault="007D517B" w:rsidP="0009738E">
      <w:pPr>
        <w:jc w:val="center"/>
        <w:rPr>
          <w:b/>
          <w:bCs/>
          <w:sz w:val="36"/>
          <w:szCs w:val="36"/>
        </w:rPr>
      </w:pPr>
      <w:r w:rsidRPr="007D517B">
        <w:rPr>
          <w:b/>
          <w:bCs/>
          <w:sz w:val="36"/>
          <w:szCs w:val="36"/>
        </w:rPr>
        <w:t>Evaluate the challenges associated with the concept of Men’s Rea and the confirmation of criminal liability within law.</w:t>
      </w:r>
    </w:p>
    <w:p w14:paraId="2294C7B8" w14:textId="32342F58" w:rsidR="003E7D32" w:rsidRPr="00991A08" w:rsidRDefault="003E7D32" w:rsidP="0009738E">
      <w:pPr>
        <w:jc w:val="center"/>
        <w:rPr>
          <w:sz w:val="28"/>
          <w:szCs w:val="22"/>
        </w:rPr>
      </w:pPr>
      <w:r w:rsidRPr="00991A08">
        <w:rPr>
          <w:sz w:val="28"/>
          <w:szCs w:val="22"/>
        </w:rPr>
        <w:t>Student Name: Anamaria Raluca Moldovan</w:t>
      </w:r>
    </w:p>
    <w:p w14:paraId="46691130" w14:textId="0F45DE8C" w:rsidR="0009738E" w:rsidRPr="00991A08" w:rsidRDefault="003E7D32" w:rsidP="0009738E">
      <w:pPr>
        <w:jc w:val="center"/>
        <w:rPr>
          <w:sz w:val="28"/>
          <w:szCs w:val="22"/>
        </w:rPr>
      </w:pPr>
      <w:r w:rsidRPr="00991A08">
        <w:rPr>
          <w:sz w:val="28"/>
          <w:szCs w:val="22"/>
        </w:rPr>
        <w:t>Student ID:</w:t>
      </w:r>
      <w:r w:rsidR="00985FE9">
        <w:rPr>
          <w:sz w:val="28"/>
          <w:szCs w:val="22"/>
        </w:rPr>
        <w:t>2314722</w:t>
      </w:r>
    </w:p>
    <w:p w14:paraId="52DE0DBB" w14:textId="77777777" w:rsidR="0009738E" w:rsidRDefault="0009738E">
      <w:pPr>
        <w:spacing w:after="160" w:line="259" w:lineRule="auto"/>
        <w:jc w:val="left"/>
      </w:pPr>
      <w:r>
        <w:br w:type="page"/>
      </w:r>
    </w:p>
    <w:p w14:paraId="27129D83" w14:textId="7F022BB2" w:rsidR="003E7D32" w:rsidRDefault="00A86A58" w:rsidP="00296F03">
      <w:pPr>
        <w:pStyle w:val="Heading1"/>
      </w:pPr>
      <w:r>
        <w:lastRenderedPageBreak/>
        <w:t>Introduction</w:t>
      </w:r>
    </w:p>
    <w:p w14:paraId="43F1310D" w14:textId="7B0E092E" w:rsidR="006B370A" w:rsidRDefault="00A86A58" w:rsidP="00A86A58">
      <w:r>
        <w:t xml:space="preserve">Criminal law is a body of law that is concerned with crimes and laws which are applied to the ones who commit those crimes. </w:t>
      </w:r>
      <w:r w:rsidR="00A86403">
        <w:t xml:space="preserve">The following essay will significantly present the concept of mens rea in criminal law and the challenges that are associated with it. The various forms of intent and the types of mens rea will be discussed in the essay. </w:t>
      </w:r>
      <w:r w:rsidR="009F1A17">
        <w:t xml:space="preserve">In that context, the Woollin case law (1988) will be taken into consideration. Apart from that, the essay will also discuss the relation between mens rea and Wollin law will be highlighted. Legal presumptions and burdens of proof will be analysed in the essay along with the implications for criminal liability.   </w:t>
      </w:r>
    </w:p>
    <w:p w14:paraId="648318D4" w14:textId="77777777" w:rsidR="006B370A" w:rsidRDefault="006B370A">
      <w:pPr>
        <w:spacing w:after="160" w:line="259" w:lineRule="auto"/>
        <w:jc w:val="left"/>
      </w:pPr>
      <w:r>
        <w:br w:type="page"/>
      </w:r>
    </w:p>
    <w:p w14:paraId="32DA4822" w14:textId="688F8AC7" w:rsidR="00A86A58" w:rsidRDefault="006B370A" w:rsidP="00296F03">
      <w:pPr>
        <w:pStyle w:val="Heading1"/>
      </w:pPr>
      <w:r>
        <w:lastRenderedPageBreak/>
        <w:t>Discussion</w:t>
      </w:r>
    </w:p>
    <w:p w14:paraId="622E91D6" w14:textId="1D681A90" w:rsidR="001276F6" w:rsidRDefault="001276F6" w:rsidP="001276F6">
      <w:pPr>
        <w:rPr>
          <w:shd w:val="clear" w:color="auto" w:fill="FFFFFF"/>
          <w:lang w:val="en-GB" w:eastAsia="en-GB"/>
        </w:rPr>
      </w:pPr>
      <w:r>
        <w:rPr>
          <w:shd w:val="clear" w:color="auto" w:fill="FFFFFF"/>
          <w:lang w:val="en-GB" w:eastAsia="en-GB"/>
        </w:rPr>
        <w:t xml:space="preserve">The concept of mens rea is based on the principle that a person cannot be convicted and found guilty of crime if </w:t>
      </w:r>
      <w:r w:rsidR="003307C5">
        <w:rPr>
          <w:shd w:val="clear" w:color="auto" w:fill="FFFFFF"/>
          <w:lang w:val="en-GB" w:eastAsia="en-GB"/>
        </w:rPr>
        <w:t>law enforcers do not have proof beyond a reasonable doubt. The doubt is based on the fact that the person had the intent to commit the potential crime, then they cannot be punished. The term ‘mens rea’ is a Latin word, the meaning of which is ‘guilty mind’</w:t>
      </w:r>
      <w:sdt>
        <w:sdtPr>
          <w:rPr>
            <w:shd w:val="clear" w:color="auto" w:fill="FFFFFF"/>
            <w:lang w:val="en-GB" w:eastAsia="en-GB"/>
          </w:rPr>
          <w:id w:val="-1312860762"/>
          <w:citation/>
        </w:sdtPr>
        <w:sdtContent>
          <w:r w:rsidR="00297CD9">
            <w:rPr>
              <w:shd w:val="clear" w:color="auto" w:fill="FFFFFF"/>
              <w:lang w:val="en-GB" w:eastAsia="en-GB"/>
            </w:rPr>
            <w:fldChar w:fldCharType="begin"/>
          </w:r>
          <w:r w:rsidR="00297CD9">
            <w:rPr>
              <w:shd w:val="clear" w:color="auto" w:fill="FFFFFF"/>
              <w:lang w:eastAsia="en-GB"/>
            </w:rPr>
            <w:instrText xml:space="preserve"> CITATION eri23 \l 1033 </w:instrText>
          </w:r>
          <w:r w:rsidR="00297CD9">
            <w:rPr>
              <w:shd w:val="clear" w:color="auto" w:fill="FFFFFF"/>
              <w:lang w:val="en-GB" w:eastAsia="en-GB"/>
            </w:rPr>
            <w:fldChar w:fldCharType="separate"/>
          </w:r>
          <w:r w:rsidR="00297CD9">
            <w:rPr>
              <w:noProof/>
              <w:shd w:val="clear" w:color="auto" w:fill="FFFFFF"/>
              <w:lang w:eastAsia="en-GB"/>
            </w:rPr>
            <w:t xml:space="preserve"> </w:t>
          </w:r>
          <w:r w:rsidR="00297CD9" w:rsidRPr="00297CD9">
            <w:rPr>
              <w:noProof/>
              <w:shd w:val="clear" w:color="auto" w:fill="FFFFFF"/>
              <w:lang w:eastAsia="en-GB"/>
            </w:rPr>
            <w:t>(ericjburch, 2023)</w:t>
          </w:r>
          <w:r w:rsidR="00297CD9">
            <w:rPr>
              <w:shd w:val="clear" w:color="auto" w:fill="FFFFFF"/>
              <w:lang w:val="en-GB" w:eastAsia="en-GB"/>
            </w:rPr>
            <w:fldChar w:fldCharType="end"/>
          </w:r>
        </w:sdtContent>
      </w:sdt>
      <w:r w:rsidR="003307C5">
        <w:rPr>
          <w:shd w:val="clear" w:color="auto" w:fill="FFFFFF"/>
          <w:lang w:val="en-GB" w:eastAsia="en-GB"/>
        </w:rPr>
        <w:t>. In other words, it can be represented as one cannot be convicted of a crime if they committed the crime unintentionally. There are four levels of culpability based on this aspect that are namely intent, knowledge, recklessness and negligence. A person is said to have criminal intent if they perform dangerous acts of crime with determination. For instance, a victim is assaulted by a defendant with the intent of imposing physical injury to the person</w:t>
      </w:r>
      <w:r w:rsidR="00EF34C0">
        <w:rPr>
          <w:shd w:val="clear" w:color="auto" w:fill="FFFFFF"/>
          <w:lang w:val="en-GB" w:eastAsia="en-GB"/>
        </w:rPr>
        <w:t>. In that context, the term ‘dolus eventualis’ is to be considered where the word ‘dolus’ means intent</w:t>
      </w:r>
      <w:sdt>
        <w:sdtPr>
          <w:rPr>
            <w:shd w:val="clear" w:color="auto" w:fill="FFFFFF"/>
            <w:lang w:val="en-GB" w:eastAsia="en-GB"/>
          </w:rPr>
          <w:id w:val="1053812569"/>
          <w:citation/>
        </w:sdtPr>
        <w:sdtContent>
          <w:r w:rsidR="00586289">
            <w:rPr>
              <w:shd w:val="clear" w:color="auto" w:fill="FFFFFF"/>
              <w:lang w:val="en-GB" w:eastAsia="en-GB"/>
            </w:rPr>
            <w:fldChar w:fldCharType="begin"/>
          </w:r>
          <w:r w:rsidR="00586289">
            <w:rPr>
              <w:shd w:val="clear" w:color="auto" w:fill="FFFFFF"/>
              <w:lang w:eastAsia="en-GB"/>
            </w:rPr>
            <w:instrText xml:space="preserve"> CITATION cen23 \l 1033 </w:instrText>
          </w:r>
          <w:r w:rsidR="00586289">
            <w:rPr>
              <w:shd w:val="clear" w:color="auto" w:fill="FFFFFF"/>
              <w:lang w:val="en-GB" w:eastAsia="en-GB"/>
            </w:rPr>
            <w:fldChar w:fldCharType="separate"/>
          </w:r>
          <w:r w:rsidR="00586289">
            <w:rPr>
              <w:noProof/>
              <w:shd w:val="clear" w:color="auto" w:fill="FFFFFF"/>
              <w:lang w:eastAsia="en-GB"/>
            </w:rPr>
            <w:t xml:space="preserve"> </w:t>
          </w:r>
          <w:r w:rsidR="00586289" w:rsidRPr="00586289">
            <w:rPr>
              <w:noProof/>
              <w:shd w:val="clear" w:color="auto" w:fill="FFFFFF"/>
              <w:lang w:eastAsia="en-GB"/>
            </w:rPr>
            <w:t>(centurylawfirm, 2023)</w:t>
          </w:r>
          <w:r w:rsidR="00586289">
            <w:rPr>
              <w:shd w:val="clear" w:color="auto" w:fill="FFFFFF"/>
              <w:lang w:val="en-GB" w:eastAsia="en-GB"/>
            </w:rPr>
            <w:fldChar w:fldCharType="end"/>
          </w:r>
        </w:sdtContent>
      </w:sdt>
      <w:r w:rsidR="00EF34C0">
        <w:rPr>
          <w:shd w:val="clear" w:color="auto" w:fill="FFFFFF"/>
          <w:lang w:val="en-GB" w:eastAsia="en-GB"/>
        </w:rPr>
        <w:t xml:space="preserve">. This term was only known by criminal lawyers and law students before its introduction by Judge Masipa. There are majorly three types of intention in law like direct intention, legal intention and indirect intention. </w:t>
      </w:r>
      <w:r w:rsidR="00D33196">
        <w:rPr>
          <w:shd w:val="clear" w:color="auto" w:fill="FFFFFF"/>
          <w:lang w:val="en-GB" w:eastAsia="en-GB"/>
        </w:rPr>
        <w:t>The ‘dolus directus’ or direct intention can be defined as the process where a perpetrator has the determination to commit dangerous forms of crimes and unlawful acts. The consequences of these actions are severe that are imposed upon by law enforcers like police officers, courts and judges</w:t>
      </w:r>
      <w:r w:rsidR="00FA72F7" w:rsidRPr="00FA72F7">
        <w:rPr>
          <w:shd w:val="clear" w:color="auto" w:fill="FFFFFF"/>
          <w:lang w:val="en-GB" w:eastAsia="en-GB"/>
        </w:rPr>
        <w:t xml:space="preserve"> </w:t>
      </w:r>
      <w:sdt>
        <w:sdtPr>
          <w:rPr>
            <w:shd w:val="clear" w:color="auto" w:fill="FFFFFF"/>
            <w:lang w:val="en-GB" w:eastAsia="en-GB"/>
          </w:rPr>
          <w:id w:val="359783912"/>
          <w:citation/>
        </w:sdtPr>
        <w:sdtContent>
          <w:r w:rsidR="00FA72F7">
            <w:rPr>
              <w:shd w:val="clear" w:color="auto" w:fill="FFFFFF"/>
              <w:lang w:val="en-GB" w:eastAsia="en-GB"/>
            </w:rPr>
            <w:fldChar w:fldCharType="begin"/>
          </w:r>
          <w:r w:rsidR="00FA72F7">
            <w:rPr>
              <w:shd w:val="clear" w:color="auto" w:fill="FFFFFF"/>
              <w:lang w:eastAsia="en-GB"/>
            </w:rPr>
            <w:instrText xml:space="preserve"> CITATION fin24 \l 1033 </w:instrText>
          </w:r>
          <w:r w:rsidR="00FA72F7">
            <w:rPr>
              <w:shd w:val="clear" w:color="auto" w:fill="FFFFFF"/>
              <w:lang w:val="en-GB" w:eastAsia="en-GB"/>
            </w:rPr>
            <w:fldChar w:fldCharType="separate"/>
          </w:r>
          <w:r w:rsidR="00FA72F7">
            <w:rPr>
              <w:noProof/>
              <w:shd w:val="clear" w:color="auto" w:fill="FFFFFF"/>
              <w:lang w:eastAsia="en-GB"/>
            </w:rPr>
            <w:t xml:space="preserve"> </w:t>
          </w:r>
          <w:r w:rsidR="00FA72F7" w:rsidRPr="003817B8">
            <w:rPr>
              <w:noProof/>
              <w:shd w:val="clear" w:color="auto" w:fill="FFFFFF"/>
              <w:lang w:eastAsia="en-GB"/>
            </w:rPr>
            <w:t>(findanattorney, 2024)</w:t>
          </w:r>
          <w:r w:rsidR="00FA72F7">
            <w:rPr>
              <w:shd w:val="clear" w:color="auto" w:fill="FFFFFF"/>
              <w:lang w:val="en-GB" w:eastAsia="en-GB"/>
            </w:rPr>
            <w:fldChar w:fldCharType="end"/>
          </w:r>
        </w:sdtContent>
      </w:sdt>
      <w:r w:rsidR="00D33196">
        <w:rPr>
          <w:shd w:val="clear" w:color="auto" w:fill="FFFFFF"/>
          <w:lang w:val="en-GB" w:eastAsia="en-GB"/>
        </w:rPr>
        <w:t>. On the contrary, the ‘dolus indirectus’ or indirect intention where a defendant commits a crime without exactly knowing its outcome. In other words, one knows that their actions could result in another outcomes apart from their desired situations and still proceeds with the unlawful conduct. Finally, the ‘dolus eventualis’ or legal intent is where a person is convicted of conducting harmful crimes like that of murder</w:t>
      </w:r>
      <w:r w:rsidR="00F25FDA">
        <w:rPr>
          <w:shd w:val="clear" w:color="auto" w:fill="FFFFFF"/>
          <w:lang w:val="en-GB" w:eastAsia="en-GB"/>
        </w:rPr>
        <w:t xml:space="preserve"> </w:t>
      </w:r>
      <w:sdt>
        <w:sdtPr>
          <w:rPr>
            <w:shd w:val="clear" w:color="auto" w:fill="FFFFFF"/>
            <w:lang w:val="en-GB" w:eastAsia="en-GB"/>
          </w:rPr>
          <w:id w:val="279379069"/>
          <w:citation/>
        </w:sdtPr>
        <w:sdtContent>
          <w:r w:rsidR="00F25FDA">
            <w:rPr>
              <w:shd w:val="clear" w:color="auto" w:fill="FFFFFF"/>
              <w:lang w:val="en-GB" w:eastAsia="en-GB"/>
            </w:rPr>
            <w:fldChar w:fldCharType="begin"/>
          </w:r>
          <w:r w:rsidR="00F25FDA">
            <w:rPr>
              <w:shd w:val="clear" w:color="auto" w:fill="FFFFFF"/>
              <w:lang w:eastAsia="en-GB"/>
            </w:rPr>
            <w:instrText xml:space="preserve"> CITATION fin24 \l 1033 </w:instrText>
          </w:r>
          <w:r w:rsidR="00F25FDA">
            <w:rPr>
              <w:shd w:val="clear" w:color="auto" w:fill="FFFFFF"/>
              <w:lang w:val="en-GB" w:eastAsia="en-GB"/>
            </w:rPr>
            <w:fldChar w:fldCharType="separate"/>
          </w:r>
          <w:r w:rsidR="00F25FDA">
            <w:rPr>
              <w:noProof/>
              <w:shd w:val="clear" w:color="auto" w:fill="FFFFFF"/>
              <w:lang w:eastAsia="en-GB"/>
            </w:rPr>
            <w:t xml:space="preserve"> </w:t>
          </w:r>
          <w:r w:rsidR="00F25FDA" w:rsidRPr="003817B8">
            <w:rPr>
              <w:noProof/>
              <w:shd w:val="clear" w:color="auto" w:fill="FFFFFF"/>
              <w:lang w:eastAsia="en-GB"/>
            </w:rPr>
            <w:t>(findanattorney, 2024)</w:t>
          </w:r>
          <w:r w:rsidR="00F25FDA">
            <w:rPr>
              <w:shd w:val="clear" w:color="auto" w:fill="FFFFFF"/>
              <w:lang w:val="en-GB" w:eastAsia="en-GB"/>
            </w:rPr>
            <w:fldChar w:fldCharType="end"/>
          </w:r>
        </w:sdtContent>
      </w:sdt>
      <w:r w:rsidR="00D33196">
        <w:rPr>
          <w:shd w:val="clear" w:color="auto" w:fill="FFFFFF"/>
          <w:lang w:val="en-GB" w:eastAsia="en-GB"/>
        </w:rPr>
        <w:t xml:space="preserve">. This is where the accused can objectively foresee that their actions can </w:t>
      </w:r>
      <w:r w:rsidR="00D33196">
        <w:rPr>
          <w:shd w:val="clear" w:color="auto" w:fill="FFFFFF"/>
          <w:lang w:val="en-GB" w:eastAsia="en-GB"/>
        </w:rPr>
        <w:lastRenderedPageBreak/>
        <w:t xml:space="preserve">cause the death of another person concerned, however, still proceeds to commit that conduct and face strict legal consequences. </w:t>
      </w:r>
    </w:p>
    <w:p w14:paraId="385A3C94" w14:textId="46DDA433" w:rsidR="001276F6" w:rsidRDefault="00BD563C" w:rsidP="002C2C0D">
      <w:pPr>
        <w:rPr>
          <w:color w:val="222222"/>
          <w:lang w:val="en-GB" w:eastAsia="en-GB"/>
        </w:rPr>
      </w:pPr>
      <w:r>
        <w:rPr>
          <w:shd w:val="clear" w:color="auto" w:fill="FFFFFF"/>
          <w:lang w:val="en-GB" w:eastAsia="en-GB"/>
        </w:rPr>
        <w:t xml:space="preserve">Mens rea is considered to be a fundamental principle within criminal law which ensures that a person is not convicted unjustly or even punished for that as they are not aware of it. </w:t>
      </w:r>
      <w:r w:rsidR="00213B05">
        <w:rPr>
          <w:shd w:val="clear" w:color="auto" w:fill="FFFFFF"/>
          <w:lang w:val="en-GB" w:eastAsia="en-GB"/>
        </w:rPr>
        <w:t xml:space="preserve">There are challenges that are faced while implementing </w:t>
      </w:r>
      <w:r w:rsidR="007127A7">
        <w:rPr>
          <w:shd w:val="clear" w:color="auto" w:fill="FFFFFF"/>
          <w:lang w:val="en-GB" w:eastAsia="en-GB"/>
        </w:rPr>
        <w:t>it</w:t>
      </w:r>
      <w:r w:rsidR="00213B05">
        <w:rPr>
          <w:shd w:val="clear" w:color="auto" w:fill="FFFFFF"/>
          <w:lang w:val="en-GB" w:eastAsia="en-GB"/>
        </w:rPr>
        <w:t xml:space="preserve"> in criminal cases as it is based on proving the mental state of the defendant subjectively. This mental situation of the accused may not be easily discernible by the law enforcers</w:t>
      </w:r>
      <w:r w:rsidR="002264F3">
        <w:rPr>
          <w:shd w:val="clear" w:color="auto" w:fill="FFFFFF"/>
          <w:lang w:val="en-GB" w:eastAsia="en-GB"/>
        </w:rPr>
        <w:t xml:space="preserve"> (</w:t>
      </w:r>
      <w:r w:rsidR="002264F3">
        <w:rPr>
          <w:shd w:val="clear" w:color="auto" w:fill="FFFFFF"/>
        </w:rPr>
        <w:t>Luna, 2021)</w:t>
      </w:r>
      <w:r w:rsidR="00213B05">
        <w:rPr>
          <w:shd w:val="clear" w:color="auto" w:fill="FFFFFF"/>
          <w:lang w:val="en-GB" w:eastAsia="en-GB"/>
        </w:rPr>
        <w:t xml:space="preserve">. In order to infer their mental state, it is necessary to record the defendant’s actions, words and surrounding circumstances as evidence. Therefore, proving this aspect in criminal cases seems to be a burden as a </w:t>
      </w:r>
      <w:r w:rsidR="007127A7">
        <w:rPr>
          <w:shd w:val="clear" w:color="auto" w:fill="FFFFFF"/>
          <w:lang w:val="en-GB" w:eastAsia="en-GB"/>
        </w:rPr>
        <w:t>reasonable doubt rest</w:t>
      </w:r>
      <w:r w:rsidR="00213B05">
        <w:rPr>
          <w:shd w:val="clear" w:color="auto" w:fill="FFFFFF"/>
          <w:lang w:val="en-GB" w:eastAsia="en-GB"/>
        </w:rPr>
        <w:t xml:space="preserve"> with the cases handled by prosecution. </w:t>
      </w:r>
      <w:r w:rsidR="005718E8">
        <w:rPr>
          <w:shd w:val="clear" w:color="auto" w:fill="FFFFFF"/>
          <w:lang w:val="en-GB" w:eastAsia="en-GB"/>
        </w:rPr>
        <w:t>Physical acts can be documented as well as observed by a person. However, this is not the case of mental states where determining it would require circumstantial evidence or inference. Hence, proving the psychological condition of an accused in criminal cases that goes beyond reasonable doubts can be sometimes challenging as it relies on subjective factors. Since mens rea consists of four levels of culpability, each of them can pose potential complexities when one tries to understand them</w:t>
      </w:r>
      <w:r w:rsidR="00B8257B">
        <w:rPr>
          <w:shd w:val="clear" w:color="auto" w:fill="FFFFFF"/>
          <w:lang w:val="en-GB" w:eastAsia="en-GB"/>
        </w:rPr>
        <w:t xml:space="preserve"> (</w:t>
      </w:r>
      <w:r w:rsidR="00B8257B">
        <w:rPr>
          <w:shd w:val="clear" w:color="auto" w:fill="FFFFFF"/>
        </w:rPr>
        <w:t>Mizel</w:t>
      </w:r>
      <w:r w:rsidR="00B8257B">
        <w:rPr>
          <w:i/>
          <w:iCs/>
        </w:rPr>
        <w:t xml:space="preserve"> et al.,</w:t>
      </w:r>
      <w:r w:rsidR="00B8257B">
        <w:t xml:space="preserve"> 2023)</w:t>
      </w:r>
      <w:r w:rsidR="005718E8">
        <w:rPr>
          <w:shd w:val="clear" w:color="auto" w:fill="FFFFFF"/>
          <w:lang w:val="en-GB" w:eastAsia="en-GB"/>
        </w:rPr>
        <w:t xml:space="preserve">. This varies on the specific offense committed by the defendant and also on the jurisdiction. </w:t>
      </w:r>
      <w:r w:rsidR="00845A59">
        <w:rPr>
          <w:shd w:val="clear" w:color="auto" w:fill="FFFFFF"/>
          <w:lang w:val="en-GB" w:eastAsia="en-GB"/>
        </w:rPr>
        <w:t xml:space="preserve">Therefore, it can lead to difficulty in comprehending the appropriate mens rea for a specific offense as well as results in ambiguity. It can also vary across different cultural notions and legal systems in criminal law. The outcomes of these are inconsistencies or difficulties in applying the state of law in criminal cases that might include cross-border offenses and international crimes. </w:t>
      </w:r>
    </w:p>
    <w:p w14:paraId="64D51A60" w14:textId="70C24DE9" w:rsidR="002C2C0D" w:rsidRDefault="00A46E30" w:rsidP="002C2C0D">
      <w:pPr>
        <w:rPr>
          <w:color w:val="222222"/>
          <w:lang w:val="en-GB" w:eastAsia="en-GB"/>
        </w:rPr>
      </w:pPr>
      <w:r>
        <w:rPr>
          <w:color w:val="222222"/>
          <w:lang w:val="en-GB" w:eastAsia="en-GB"/>
        </w:rPr>
        <w:t xml:space="preserve">The concept of mens rea can be interlinked with the Woollin fact where the defendant threw his three-month old baby to the ground after noticing that it did not stop crying at any cost. The frustration that worked within him led to the death of the baby due to fracture in the skull. </w:t>
      </w:r>
      <w:r w:rsidR="00CD7A3D">
        <w:rPr>
          <w:color w:val="222222"/>
          <w:lang w:val="en-GB" w:eastAsia="en-GB"/>
        </w:rPr>
        <w:t xml:space="preserve">It was </w:t>
      </w:r>
      <w:r w:rsidR="00CD7A3D">
        <w:rPr>
          <w:color w:val="222222"/>
          <w:lang w:val="en-GB" w:eastAsia="en-GB"/>
        </w:rPr>
        <w:lastRenderedPageBreak/>
        <w:t>accepted in the court that the accused did not intend to cause any harm to the baby, but somehow ended up doing so</w:t>
      </w:r>
      <w:sdt>
        <w:sdtPr>
          <w:rPr>
            <w:color w:val="222222"/>
            <w:lang w:val="en-GB" w:eastAsia="en-GB"/>
          </w:rPr>
          <w:id w:val="971866300"/>
          <w:citation/>
        </w:sdtPr>
        <w:sdtContent>
          <w:r w:rsidR="00240FC3">
            <w:rPr>
              <w:color w:val="222222"/>
              <w:lang w:val="en-GB" w:eastAsia="en-GB"/>
            </w:rPr>
            <w:fldChar w:fldCharType="begin"/>
          </w:r>
          <w:r w:rsidR="00240FC3">
            <w:rPr>
              <w:color w:val="222222"/>
              <w:lang w:eastAsia="en-GB"/>
            </w:rPr>
            <w:instrText xml:space="preserve"> CITATION law21 \l 1033 </w:instrText>
          </w:r>
          <w:r w:rsidR="00240FC3">
            <w:rPr>
              <w:color w:val="222222"/>
              <w:lang w:val="en-GB" w:eastAsia="en-GB"/>
            </w:rPr>
            <w:fldChar w:fldCharType="separate"/>
          </w:r>
          <w:r w:rsidR="00240FC3">
            <w:rPr>
              <w:noProof/>
              <w:color w:val="222222"/>
              <w:lang w:eastAsia="en-GB"/>
            </w:rPr>
            <w:t xml:space="preserve"> </w:t>
          </w:r>
          <w:r w:rsidR="00240FC3" w:rsidRPr="00240FC3">
            <w:rPr>
              <w:noProof/>
              <w:color w:val="222222"/>
              <w:lang w:eastAsia="en-GB"/>
            </w:rPr>
            <w:t>(lawteacher, 2021)</w:t>
          </w:r>
          <w:r w:rsidR="00240FC3">
            <w:rPr>
              <w:color w:val="222222"/>
              <w:lang w:val="en-GB" w:eastAsia="en-GB"/>
            </w:rPr>
            <w:fldChar w:fldCharType="end"/>
          </w:r>
        </w:sdtContent>
      </w:sdt>
      <w:r w:rsidR="00CD7A3D">
        <w:rPr>
          <w:color w:val="222222"/>
          <w:lang w:val="en-GB" w:eastAsia="en-GB"/>
        </w:rPr>
        <w:t xml:space="preserve">. The defendant foresaw that the action he is going to commit can kill the baby and can lead to serious consequences. The jury at the original trial was directed by the judge that oblique intention is prevalent if ‘an appreciation of a substantial risk of injury’ is determined. </w:t>
      </w:r>
      <w:r w:rsidR="001B3FEF">
        <w:rPr>
          <w:color w:val="222222"/>
          <w:lang w:val="en-GB" w:eastAsia="en-GB"/>
        </w:rPr>
        <w:t>As a result of this, the jury decided that exposing the toddler to such high intensity risk as to end his life, itself results in intention. This case was then transferred to the Court of Appeal and then to the House of Lords to determine whether this was the correct way to define intention in criminal cases. The murder conviction was upheld by the Court of Appeal and however, it was overturned by the decision of the House of Lords that substituted it as manslaughter</w:t>
      </w:r>
      <w:sdt>
        <w:sdtPr>
          <w:rPr>
            <w:color w:val="222222"/>
            <w:lang w:val="en-GB" w:eastAsia="en-GB"/>
          </w:rPr>
          <w:id w:val="-952638352"/>
          <w:citation/>
        </w:sdtPr>
        <w:sdtContent>
          <w:r w:rsidR="00FB103B">
            <w:rPr>
              <w:color w:val="222222"/>
              <w:lang w:val="en-GB" w:eastAsia="en-GB"/>
            </w:rPr>
            <w:fldChar w:fldCharType="begin"/>
          </w:r>
          <w:r w:rsidR="00FB103B">
            <w:rPr>
              <w:color w:val="222222"/>
              <w:lang w:eastAsia="en-GB"/>
            </w:rPr>
            <w:instrText xml:space="preserve"> CITATION par201 \l 1033 </w:instrText>
          </w:r>
          <w:r w:rsidR="00FB103B">
            <w:rPr>
              <w:color w:val="222222"/>
              <w:lang w:val="en-GB" w:eastAsia="en-GB"/>
            </w:rPr>
            <w:fldChar w:fldCharType="separate"/>
          </w:r>
          <w:r w:rsidR="00FB103B">
            <w:rPr>
              <w:noProof/>
              <w:color w:val="222222"/>
              <w:lang w:eastAsia="en-GB"/>
            </w:rPr>
            <w:t xml:space="preserve"> </w:t>
          </w:r>
          <w:r w:rsidR="00FB103B" w:rsidRPr="00FB103B">
            <w:rPr>
              <w:noProof/>
              <w:color w:val="222222"/>
              <w:lang w:eastAsia="en-GB"/>
            </w:rPr>
            <w:t>(parliament.uk, 2020)</w:t>
          </w:r>
          <w:r w:rsidR="00FB103B">
            <w:rPr>
              <w:color w:val="222222"/>
              <w:lang w:val="en-GB" w:eastAsia="en-GB"/>
            </w:rPr>
            <w:fldChar w:fldCharType="end"/>
          </w:r>
        </w:sdtContent>
      </w:sdt>
      <w:r w:rsidR="001B3FEF">
        <w:rPr>
          <w:color w:val="222222"/>
          <w:lang w:val="en-GB" w:eastAsia="en-GB"/>
        </w:rPr>
        <w:t xml:space="preserve">. The term ‘substantial risk’ seems to lighten the prominent distinction between intent and recklessness. Since the latter cannot be considered as a state of mind that would be enough to convict the defendant of murder, it is vital to keep them separate. Therefore, the Nedrick test was recommended by the House of Lords when judges want to consider it as oblique intention. </w:t>
      </w:r>
      <w:r w:rsidR="00D376AF">
        <w:rPr>
          <w:color w:val="222222"/>
          <w:lang w:val="en-GB" w:eastAsia="en-GB"/>
        </w:rPr>
        <w:t>However, the statutory body amended one aspect in this test where it allows the jury to find only the intention. They are not obliged to determine whether the defendant caused the harm with actually any form of intent</w:t>
      </w:r>
      <w:r w:rsidR="00FB103B">
        <w:rPr>
          <w:color w:val="222222"/>
          <w:lang w:val="en-GB" w:eastAsia="en-GB"/>
        </w:rPr>
        <w:t xml:space="preserve"> (</w:t>
      </w:r>
      <w:r w:rsidR="00FB103B">
        <w:rPr>
          <w:shd w:val="clear" w:color="auto" w:fill="FFFFFF"/>
        </w:rPr>
        <w:t>Leigh, 2022)</w:t>
      </w:r>
      <w:r w:rsidR="00D376AF">
        <w:rPr>
          <w:color w:val="222222"/>
          <w:lang w:val="en-GB" w:eastAsia="en-GB"/>
        </w:rPr>
        <w:t xml:space="preserve">. </w:t>
      </w:r>
    </w:p>
    <w:p w14:paraId="797E8133" w14:textId="49C9B24D" w:rsidR="00D764F9" w:rsidRDefault="00D764F9" w:rsidP="00D764F9">
      <w:pPr>
        <w:pStyle w:val="NormalWeb"/>
        <w:spacing w:before="0" w:beforeAutospacing="0" w:after="0" w:afterAutospacing="0" w:line="480" w:lineRule="auto"/>
        <w:jc w:val="both"/>
      </w:pPr>
      <w:r>
        <w:rPr>
          <w:color w:val="000000"/>
        </w:rPr>
        <w:t xml:space="preserve">Within legal cases, burden of proof generally considered when a person is bound to provide the fact that exists, then it totally depends on its activities. Analysis of criminal proceedings, the prosecutor always has the legal burden that beyond reasonable doubt where all elements are in offence. The presumption of men’s rea is a huge crime rather say that it is an evil intention or recklessness that happened due to a guilty mind or act. It becomes a significant factor in every offence however the presumption displaced either by the subject matter or by the words of the statute creating the offence. Within various civil cases, the standard proof clearly identifies the </w:t>
      </w:r>
      <w:r>
        <w:rPr>
          <w:color w:val="000000"/>
        </w:rPr>
        <w:lastRenderedPageBreak/>
        <w:t>balances of probabilities when a party is arguing within the court through sufficient evidence only for supporting the claim (</w:t>
      </w:r>
      <w:r w:rsidRPr="00D764F9">
        <w:t>Roberts</w:t>
      </w:r>
      <w:r>
        <w:t>, 2023</w:t>
      </w:r>
      <w:r>
        <w:rPr>
          <w:color w:val="000000"/>
        </w:rPr>
        <w:t>). There are no such legal instances or acts of mens rea which may place burden of proof on the defendant. Apart from that, legal presumptions could raise judicial decisions which clearly depend on the nature of the offence and the jurisdiction. Such situation of these problem could create mental pressure on people in intended to do the crime and found guilty related to statement of English legal systems. During this process, no persons have been punished or convicted as it shows that they have a guilty mind. Therefore, the mind game of the criminal nature definitely difficult to predict in proving. While observing the criminal guilty, the establishment of mens rea realising the factors of wrongful act. Without developing mens rea and actus reus, the conviction might go in an unlikely manner</w:t>
      </w:r>
      <w:r w:rsidR="00CA0F90">
        <w:rPr>
          <w:color w:val="000000"/>
        </w:rPr>
        <w:t xml:space="preserve"> (</w:t>
      </w:r>
      <w:r w:rsidR="00CA0F90" w:rsidRPr="00D764F9">
        <w:t>Morse,</w:t>
      </w:r>
      <w:r w:rsidR="00CA0F90">
        <w:t xml:space="preserve"> 2023</w:t>
      </w:r>
      <w:r w:rsidR="00CA0F90">
        <w:rPr>
          <w:color w:val="000000"/>
        </w:rPr>
        <w:t>)</w:t>
      </w:r>
      <w:r>
        <w:rPr>
          <w:color w:val="000000"/>
        </w:rPr>
        <w:t>. Such defenses can negate the specific intentions where the defendant has no option to find them guilty and state their crimes in the court. </w:t>
      </w:r>
    </w:p>
    <w:p w14:paraId="361F69EE" w14:textId="77777777" w:rsidR="00D764F9" w:rsidRDefault="00D764F9">
      <w:pPr>
        <w:spacing w:after="160" w:line="259" w:lineRule="auto"/>
        <w:jc w:val="left"/>
        <w:rPr>
          <w:b/>
          <w:bCs/>
          <w:color w:val="000000"/>
          <w:szCs w:val="24"/>
          <w14:ligatures w14:val="none"/>
        </w:rPr>
      </w:pPr>
      <w:r>
        <w:rPr>
          <w:b/>
          <w:bCs/>
          <w:color w:val="000000"/>
        </w:rPr>
        <w:br w:type="page"/>
      </w:r>
    </w:p>
    <w:p w14:paraId="052F688F" w14:textId="66611996" w:rsidR="00D764F9" w:rsidRDefault="00D764F9" w:rsidP="00D764F9">
      <w:pPr>
        <w:pStyle w:val="Heading1"/>
      </w:pPr>
      <w:r>
        <w:lastRenderedPageBreak/>
        <w:t>Conclusion</w:t>
      </w:r>
    </w:p>
    <w:p w14:paraId="06CAE023" w14:textId="77777777" w:rsidR="00D764F9" w:rsidRDefault="00D764F9" w:rsidP="00D764F9">
      <w:pPr>
        <w:pStyle w:val="NormalWeb"/>
        <w:spacing w:before="0" w:beforeAutospacing="0" w:after="0" w:afterAutospacing="0" w:line="480" w:lineRule="auto"/>
        <w:jc w:val="both"/>
      </w:pPr>
      <w:r>
        <w:rPr>
          <w:color w:val="000000"/>
        </w:rPr>
        <w:t>The whole essay has mentioned about the challenges of mens rea with considering the factors through which it evolves in various cases. While analysing the meaning of this situation, relevant activities have been identified including guilty act or mind in a detailed manner. Afterwards, intentions related to mens rea have been incorporated with identifies its different forms like purposely, recklessly, negligently and knowingly. These are all considered as activities or actions that create the nature of the offender. The Woollin case law has been described and its substantial risks have been stated properly. Lastly, legal presumptions and burden of proof of this situation have been illustrated by analysing a few facts that can figure out the guilty mind of people. </w:t>
      </w:r>
    </w:p>
    <w:p w14:paraId="1837D656" w14:textId="77777777" w:rsidR="00D764F9" w:rsidRPr="001276F6" w:rsidRDefault="00D764F9" w:rsidP="002C2C0D">
      <w:pPr>
        <w:rPr>
          <w:color w:val="222222"/>
          <w:lang w:val="en-GB" w:eastAsia="en-GB"/>
        </w:rPr>
      </w:pPr>
    </w:p>
    <w:p w14:paraId="58EBC649" w14:textId="127195BE" w:rsidR="00FB103B" w:rsidRDefault="00FB103B">
      <w:pPr>
        <w:spacing w:after="160" w:line="259" w:lineRule="auto"/>
        <w:jc w:val="left"/>
        <w:rPr>
          <w:lang w:val="en-GB"/>
        </w:rPr>
      </w:pPr>
      <w:r>
        <w:rPr>
          <w:lang w:val="en-GB"/>
        </w:rPr>
        <w:br w:type="page"/>
      </w:r>
    </w:p>
    <w:p w14:paraId="2A8A53F2" w14:textId="46305ABD" w:rsidR="006B370A" w:rsidRDefault="00FB103B" w:rsidP="00296F03">
      <w:pPr>
        <w:pStyle w:val="Heading1"/>
        <w:rPr>
          <w:lang w:val="en-GB"/>
        </w:rPr>
      </w:pPr>
      <w:r>
        <w:rPr>
          <w:lang w:val="en-GB"/>
        </w:rPr>
        <w:lastRenderedPageBreak/>
        <w:t>References</w:t>
      </w:r>
    </w:p>
    <w:p w14:paraId="186574CF" w14:textId="77777777" w:rsidR="00296F03" w:rsidRPr="00AB0A0F" w:rsidRDefault="00296F03" w:rsidP="00AB0A0F">
      <w:pPr>
        <w:pStyle w:val="Bibliography"/>
        <w:rPr>
          <w:noProof/>
          <w:szCs w:val="24"/>
          <w14:ligatures w14:val="none"/>
        </w:rPr>
      </w:pPr>
      <w:r w:rsidRPr="00AB0A0F">
        <w:rPr>
          <w:noProof/>
        </w:rPr>
        <w:t xml:space="preserve">centurylawfirm, (2023) </w:t>
      </w:r>
      <w:r w:rsidRPr="00AB0A0F">
        <w:rPr>
          <w:i/>
          <w:iCs/>
          <w:noProof/>
        </w:rPr>
        <w:t xml:space="preserve">Mens Rea – Legal Maxim of the Day. </w:t>
      </w:r>
      <w:r w:rsidRPr="00AB0A0F">
        <w:rPr>
          <w:noProof/>
        </w:rPr>
        <w:t xml:space="preserve">[Online] Available at: </w:t>
      </w:r>
      <w:hyperlink r:id="rId8" w:anchor=":~:text=Mens%20Rea%20%E2%80%93%20Legal%20Maxim%20of%20the%20Day&amp;text=%E2%80%9CMens%20rea%E2%80%9D%20is%20a%20Latin,responsible%20for%20a%20criminal%20act" w:history="1">
        <w:r w:rsidRPr="00AB0A0F">
          <w:rPr>
            <w:rStyle w:val="Hyperlink"/>
            <w:noProof/>
            <w:color w:val="auto"/>
            <w:u w:val="none"/>
          </w:rPr>
          <w:t>https://www.centurylawfirm.in/blog/legal-maxim-of-the-day-11/#:~:text=Mens%20Rea%20%E2%80%93%20Legal%20Maxim%20of%20the%20Day&amp;text=%E2%80%9CMens%20rea%E2%80%9D%20is%20a%20Latin,responsible%20for%20a%20criminal%20act</w:t>
        </w:r>
      </w:hyperlink>
      <w:r w:rsidRPr="00AB0A0F">
        <w:rPr>
          <w:noProof/>
        </w:rPr>
        <w:t>. [Accessed 9 February 2024].</w:t>
      </w:r>
    </w:p>
    <w:p w14:paraId="073EEF56" w14:textId="77777777" w:rsidR="00296F03" w:rsidRPr="00AB0A0F" w:rsidRDefault="00296F03" w:rsidP="00AB0A0F">
      <w:pPr>
        <w:pStyle w:val="Bibliography"/>
        <w:rPr>
          <w:noProof/>
        </w:rPr>
      </w:pPr>
      <w:r w:rsidRPr="00AB0A0F">
        <w:rPr>
          <w:noProof/>
        </w:rPr>
        <w:t xml:space="preserve">ericjburch, (2023) </w:t>
      </w:r>
      <w:r w:rsidRPr="00AB0A0F">
        <w:rPr>
          <w:i/>
          <w:iCs/>
          <w:noProof/>
        </w:rPr>
        <w:t xml:space="preserve">Tennessee General Law Blog. </w:t>
      </w:r>
      <w:r w:rsidRPr="00AB0A0F">
        <w:rPr>
          <w:noProof/>
        </w:rPr>
        <w:t xml:space="preserve">[Online] Available at: </w:t>
      </w:r>
      <w:hyperlink r:id="rId9" w:history="1">
        <w:r w:rsidRPr="00AB0A0F">
          <w:rPr>
            <w:rStyle w:val="Hyperlink"/>
            <w:noProof/>
            <w:color w:val="auto"/>
            <w:u w:val="none"/>
          </w:rPr>
          <w:t>https://www.ericjburch.com/blog/2021/2/what-is-mens-rea-and-what-are-the-types.html</w:t>
        </w:r>
      </w:hyperlink>
      <w:r w:rsidRPr="00AB0A0F">
        <w:rPr>
          <w:noProof/>
        </w:rPr>
        <w:t xml:space="preserve"> [Accessed 9 February 2024].</w:t>
      </w:r>
    </w:p>
    <w:p w14:paraId="14706A52" w14:textId="77777777" w:rsidR="00296F03" w:rsidRPr="00AB0A0F" w:rsidRDefault="00296F03" w:rsidP="00AB0A0F">
      <w:pPr>
        <w:pStyle w:val="Bibliography"/>
        <w:rPr>
          <w:noProof/>
        </w:rPr>
      </w:pPr>
      <w:r w:rsidRPr="00AB0A0F">
        <w:rPr>
          <w:noProof/>
        </w:rPr>
        <w:t xml:space="preserve">findanattorney, (2024) </w:t>
      </w:r>
      <w:r w:rsidRPr="00AB0A0F">
        <w:rPr>
          <w:i/>
          <w:iCs/>
          <w:noProof/>
        </w:rPr>
        <w:t xml:space="preserve">OSCAR PISTORIUS : DOLUS EVENTUALIS. </w:t>
      </w:r>
      <w:r w:rsidRPr="00AB0A0F">
        <w:rPr>
          <w:noProof/>
        </w:rPr>
        <w:t xml:space="preserve">[Online] Available at: </w:t>
      </w:r>
      <w:hyperlink r:id="rId10" w:anchor=":~:text=An%20intention%20comprises%20of%20a,intention%20and%20lastly%20legal%20intention" w:history="1">
        <w:r w:rsidRPr="00AB0A0F">
          <w:rPr>
            <w:rStyle w:val="Hyperlink"/>
            <w:noProof/>
            <w:color w:val="auto"/>
            <w:u w:val="none"/>
          </w:rPr>
          <w:t>https://www.findanattorney.co.za/content_dolus-eventualis#:~:text=An%20intention%20comprises%20of%20a,intention%20and%20lastly%20legal%20intention</w:t>
        </w:r>
      </w:hyperlink>
      <w:r w:rsidRPr="00AB0A0F">
        <w:rPr>
          <w:noProof/>
        </w:rPr>
        <w:t>. [Accessed 9 February 2024].</w:t>
      </w:r>
    </w:p>
    <w:p w14:paraId="37AB887B" w14:textId="77777777" w:rsidR="00296F03" w:rsidRPr="00AB0A0F" w:rsidRDefault="00296F03" w:rsidP="00AB0A0F">
      <w:pPr>
        <w:pStyle w:val="Bibliography"/>
        <w:rPr>
          <w:noProof/>
        </w:rPr>
      </w:pPr>
      <w:r w:rsidRPr="00AB0A0F">
        <w:rPr>
          <w:noProof/>
        </w:rPr>
        <w:t xml:space="preserve">lawteacher, (2021) </w:t>
      </w:r>
      <w:r w:rsidRPr="00AB0A0F">
        <w:rPr>
          <w:i/>
          <w:iCs/>
          <w:noProof/>
        </w:rPr>
        <w:t xml:space="preserve">R v Woollin. </w:t>
      </w:r>
      <w:r w:rsidRPr="00AB0A0F">
        <w:rPr>
          <w:noProof/>
        </w:rPr>
        <w:t xml:space="preserve">[Online] Available at: </w:t>
      </w:r>
      <w:hyperlink r:id="rId11" w:history="1">
        <w:r w:rsidRPr="00AB0A0F">
          <w:rPr>
            <w:rStyle w:val="Hyperlink"/>
            <w:noProof/>
            <w:color w:val="auto"/>
            <w:u w:val="none"/>
          </w:rPr>
          <w:t>https://www.lawteacher.net/cases/r-v-woollin.php</w:t>
        </w:r>
      </w:hyperlink>
      <w:r w:rsidRPr="00AB0A0F">
        <w:rPr>
          <w:noProof/>
        </w:rPr>
        <w:t xml:space="preserve"> [Accessed 10 February 2024].</w:t>
      </w:r>
    </w:p>
    <w:p w14:paraId="4A9FB578" w14:textId="77777777" w:rsidR="00296F03" w:rsidRPr="00AB0A0F" w:rsidRDefault="00296F03" w:rsidP="00FB103B">
      <w:pPr>
        <w:rPr>
          <w:shd w:val="clear" w:color="auto" w:fill="FFFFFF"/>
        </w:rPr>
      </w:pPr>
      <w:r w:rsidRPr="00AB0A0F">
        <w:rPr>
          <w:shd w:val="clear" w:color="auto" w:fill="FFFFFF"/>
        </w:rPr>
        <w:t xml:space="preserve">Leigh, G., (2022) Murderous intent—The attitude of a </w:t>
      </w:r>
      <w:proofErr w:type="gramStart"/>
      <w:r w:rsidRPr="00AB0A0F">
        <w:rPr>
          <w:shd w:val="clear" w:color="auto" w:fill="FFFFFF"/>
        </w:rPr>
        <w:t>murderer?.</w:t>
      </w:r>
      <w:proofErr w:type="gramEnd"/>
      <w:r w:rsidRPr="00AB0A0F">
        <w:rPr>
          <w:shd w:val="clear" w:color="auto" w:fill="FFFFFF"/>
        </w:rPr>
        <w:t> </w:t>
      </w:r>
      <w:r w:rsidRPr="00AB0A0F">
        <w:rPr>
          <w:i/>
          <w:iCs/>
          <w:shd w:val="clear" w:color="auto" w:fill="FFFFFF"/>
        </w:rPr>
        <w:t>The Journal of Criminal Law</w:t>
      </w:r>
      <w:r w:rsidRPr="00AB0A0F">
        <w:rPr>
          <w:shd w:val="clear" w:color="auto" w:fill="FFFFFF"/>
        </w:rPr>
        <w:t>, </w:t>
      </w:r>
      <w:r w:rsidRPr="00AB0A0F">
        <w:rPr>
          <w:i/>
          <w:iCs/>
          <w:shd w:val="clear" w:color="auto" w:fill="FFFFFF"/>
        </w:rPr>
        <w:t>86</w:t>
      </w:r>
      <w:r w:rsidRPr="00AB0A0F">
        <w:rPr>
          <w:shd w:val="clear" w:color="auto" w:fill="FFFFFF"/>
        </w:rPr>
        <w:t>(1), pp.18-28.</w:t>
      </w:r>
    </w:p>
    <w:p w14:paraId="6C018DD0" w14:textId="77777777" w:rsidR="00296F03" w:rsidRPr="00AB0A0F" w:rsidRDefault="00296F03" w:rsidP="002264F3">
      <w:pPr>
        <w:rPr>
          <w:shd w:val="clear" w:color="auto" w:fill="FFFFFF"/>
        </w:rPr>
      </w:pPr>
      <w:r w:rsidRPr="00AB0A0F">
        <w:rPr>
          <w:shd w:val="clear" w:color="auto" w:fill="FFFFFF"/>
        </w:rPr>
        <w:t>Luna, E., (2021) Mezzanine Law: The Case of a Mens Rea Presumption. </w:t>
      </w:r>
      <w:r w:rsidRPr="00AB0A0F">
        <w:rPr>
          <w:i/>
          <w:iCs/>
          <w:shd w:val="clear" w:color="auto" w:fill="FFFFFF"/>
        </w:rPr>
        <w:t>Ariz. St. LJ</w:t>
      </w:r>
      <w:r w:rsidRPr="00AB0A0F">
        <w:rPr>
          <w:shd w:val="clear" w:color="auto" w:fill="FFFFFF"/>
        </w:rPr>
        <w:t>, </w:t>
      </w:r>
      <w:r w:rsidRPr="00AB0A0F">
        <w:rPr>
          <w:i/>
          <w:iCs/>
          <w:shd w:val="clear" w:color="auto" w:fill="FFFFFF"/>
        </w:rPr>
        <w:t>53</w:t>
      </w:r>
      <w:r w:rsidRPr="00AB0A0F">
        <w:rPr>
          <w:shd w:val="clear" w:color="auto" w:fill="FFFFFF"/>
        </w:rPr>
        <w:t>, p.565.</w:t>
      </w:r>
    </w:p>
    <w:p w14:paraId="12AA60DF" w14:textId="77777777" w:rsidR="00296F03" w:rsidRPr="00AB0A0F" w:rsidRDefault="00296F03" w:rsidP="00AB0A0F">
      <w:pPr>
        <w:rPr>
          <w:shd w:val="clear" w:color="auto" w:fill="FFFFFF"/>
        </w:rPr>
      </w:pPr>
      <w:r w:rsidRPr="00AB0A0F">
        <w:rPr>
          <w:shd w:val="clear" w:color="auto" w:fill="FFFFFF"/>
        </w:rPr>
        <w:t xml:space="preserve">Mizel, M.L., Serota, M., Cantor, J. and Russell-Fritch, J., (2023). Does Mens Rea </w:t>
      </w:r>
      <w:proofErr w:type="gramStart"/>
      <w:r w:rsidRPr="00AB0A0F">
        <w:rPr>
          <w:shd w:val="clear" w:color="auto" w:fill="FFFFFF"/>
        </w:rPr>
        <w:t>Matter?.</w:t>
      </w:r>
      <w:proofErr w:type="gramEnd"/>
      <w:r w:rsidRPr="00AB0A0F">
        <w:rPr>
          <w:shd w:val="clear" w:color="auto" w:fill="FFFFFF"/>
        </w:rPr>
        <w:t> </w:t>
      </w:r>
      <w:r w:rsidRPr="00AB0A0F">
        <w:rPr>
          <w:i/>
          <w:iCs/>
          <w:shd w:val="clear" w:color="auto" w:fill="FFFFFF"/>
        </w:rPr>
        <w:t>Wis. L. Rev.</w:t>
      </w:r>
      <w:r w:rsidRPr="00AB0A0F">
        <w:rPr>
          <w:shd w:val="clear" w:color="auto" w:fill="FFFFFF"/>
        </w:rPr>
        <w:t>, p.28.</w:t>
      </w:r>
    </w:p>
    <w:p w14:paraId="2D530BAD" w14:textId="77777777" w:rsidR="00296F03" w:rsidRPr="00D764F9" w:rsidRDefault="00296F03" w:rsidP="00D764F9">
      <w:r w:rsidRPr="00D764F9">
        <w:t xml:space="preserve">Morse, S.J., </w:t>
      </w:r>
      <w:r>
        <w:t>(</w:t>
      </w:r>
      <w:r w:rsidRPr="00D764F9">
        <w:t>2023</w:t>
      </w:r>
      <w:r>
        <w:t>)</w:t>
      </w:r>
      <w:r w:rsidRPr="00D764F9">
        <w:t xml:space="preserve">. Neurolaw: Challenges and limits. </w:t>
      </w:r>
      <w:r w:rsidRPr="00D764F9">
        <w:rPr>
          <w:i/>
          <w:iCs/>
        </w:rPr>
        <w:t>Handbook of Clinical Neurology, 197,</w:t>
      </w:r>
      <w:r w:rsidRPr="00D764F9">
        <w:t xml:space="preserve"> pp.235-250.</w:t>
      </w:r>
    </w:p>
    <w:p w14:paraId="65F3BC52" w14:textId="77777777" w:rsidR="00296F03" w:rsidRDefault="00296F03" w:rsidP="00AB0A0F">
      <w:pPr>
        <w:pStyle w:val="Bibliography"/>
        <w:rPr>
          <w:noProof/>
        </w:rPr>
      </w:pPr>
      <w:r w:rsidRPr="00AB0A0F">
        <w:rPr>
          <w:noProof/>
        </w:rPr>
        <w:lastRenderedPageBreak/>
        <w:t xml:space="preserve">parliament.uk, (2020) </w:t>
      </w:r>
      <w:r w:rsidRPr="00AB0A0F">
        <w:rPr>
          <w:i/>
          <w:iCs/>
          <w:noProof/>
        </w:rPr>
        <w:t xml:space="preserve">Judgments - Regina v. Woollin. </w:t>
      </w:r>
      <w:r w:rsidRPr="00AB0A0F">
        <w:rPr>
          <w:noProof/>
        </w:rPr>
        <w:t xml:space="preserve">[Online] Available at: </w:t>
      </w:r>
      <w:hyperlink r:id="rId12" w:anchor=":~:text=The%20House%20ruled%20(1)%20that,his%20position%20would%20have%20foreseen" w:history="1">
        <w:r w:rsidRPr="00AB0A0F">
          <w:rPr>
            <w:rStyle w:val="Hyperlink"/>
            <w:noProof/>
            <w:color w:val="auto"/>
            <w:u w:val="none"/>
          </w:rPr>
          <w:t>https://publications.parliament.uk/pa/ld199798/ldjudgmt/jd980722/wool.htm#:~:text=The%20House%20ruled%20(1)%20that,his%20position%20would%20have%20foreseen</w:t>
        </w:r>
      </w:hyperlink>
      <w:r w:rsidRPr="00AB0A0F">
        <w:rPr>
          <w:noProof/>
        </w:rPr>
        <w:t>. [Accessed 10 February 2024].</w:t>
      </w:r>
    </w:p>
    <w:p w14:paraId="528C72C6" w14:textId="77777777" w:rsidR="00296F03" w:rsidRDefault="00296F03" w:rsidP="00D764F9">
      <w:pPr>
        <w:rPr>
          <w:i/>
          <w:iCs/>
        </w:rPr>
      </w:pPr>
      <w:r w:rsidRPr="00D764F9">
        <w:t xml:space="preserve">Roberts, P., </w:t>
      </w:r>
      <w:r>
        <w:t>(</w:t>
      </w:r>
      <w:r w:rsidRPr="00D764F9">
        <w:t>2023</w:t>
      </w:r>
      <w:r>
        <w:t>)</w:t>
      </w:r>
      <w:r w:rsidRPr="00D764F9">
        <w:t xml:space="preserve">. </w:t>
      </w:r>
      <w:proofErr w:type="spellStart"/>
      <w:r w:rsidRPr="00D764F9">
        <w:t>Theorising</w:t>
      </w:r>
      <w:proofErr w:type="spellEnd"/>
      <w:r w:rsidRPr="00D764F9">
        <w:t xml:space="preserve"> Evidence Law. </w:t>
      </w:r>
      <w:r w:rsidRPr="00D764F9">
        <w:rPr>
          <w:i/>
          <w:iCs/>
        </w:rPr>
        <w:t>Oxford Journal of Legal Studies.</w:t>
      </w:r>
    </w:p>
    <w:p w14:paraId="577B1905" w14:textId="77777777" w:rsidR="00AB0A0F" w:rsidRPr="00AB0A0F" w:rsidRDefault="00AB0A0F" w:rsidP="00AB0A0F">
      <w:pPr>
        <w:rPr>
          <w:shd w:val="clear" w:color="auto" w:fill="FFFFFF"/>
        </w:rPr>
      </w:pPr>
    </w:p>
    <w:p w14:paraId="69BF53DB" w14:textId="3482471D" w:rsidR="00AB0A0F" w:rsidRPr="001276F6" w:rsidRDefault="00AB0A0F" w:rsidP="00B8257B">
      <w:pPr>
        <w:rPr>
          <w:lang w:val="en-GB"/>
        </w:rPr>
      </w:pPr>
    </w:p>
    <w:sectPr w:rsidR="00AB0A0F" w:rsidRPr="001276F6" w:rsidSect="00B65284">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F5483" w14:textId="77777777" w:rsidR="00B65284" w:rsidRDefault="00B65284" w:rsidP="0009738E">
      <w:pPr>
        <w:spacing w:line="240" w:lineRule="auto"/>
      </w:pPr>
      <w:r>
        <w:separator/>
      </w:r>
    </w:p>
  </w:endnote>
  <w:endnote w:type="continuationSeparator" w:id="0">
    <w:p w14:paraId="5E11A6F3" w14:textId="77777777" w:rsidR="00B65284" w:rsidRDefault="00B65284" w:rsidP="000973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139303"/>
      <w:docPartObj>
        <w:docPartGallery w:val="Page Numbers (Bottom of Page)"/>
        <w:docPartUnique/>
      </w:docPartObj>
    </w:sdtPr>
    <w:sdtContent>
      <w:sdt>
        <w:sdtPr>
          <w:id w:val="-1769616900"/>
          <w:docPartObj>
            <w:docPartGallery w:val="Page Numbers (Top of Page)"/>
            <w:docPartUnique/>
          </w:docPartObj>
        </w:sdtPr>
        <w:sdtContent>
          <w:p w14:paraId="68256488" w14:textId="649B0D35" w:rsidR="0009738E" w:rsidRDefault="0009738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ABF525" w14:textId="77777777" w:rsidR="0009738E" w:rsidRDefault="00097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BE70C" w14:textId="77777777" w:rsidR="00B65284" w:rsidRDefault="00B65284" w:rsidP="0009738E">
      <w:pPr>
        <w:spacing w:line="240" w:lineRule="auto"/>
      </w:pPr>
      <w:r>
        <w:separator/>
      </w:r>
    </w:p>
  </w:footnote>
  <w:footnote w:type="continuationSeparator" w:id="0">
    <w:p w14:paraId="4EE330A6" w14:textId="77777777" w:rsidR="00B65284" w:rsidRDefault="00B65284" w:rsidP="000973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F8F80" w14:textId="3F9839E8" w:rsidR="0009738E" w:rsidRDefault="0009738E" w:rsidP="0009738E">
    <w:pPr>
      <w:jc w:val="right"/>
    </w:pPr>
    <w:r w:rsidRPr="003E7D32">
      <w:t>Criminal</w:t>
    </w:r>
    <w:r>
      <w:t xml:space="preserve"> L</w:t>
    </w:r>
    <w:r w:rsidRPr="003E7D32">
      <w:t>aw</w:t>
    </w:r>
  </w:p>
  <w:p w14:paraId="723F9D91" w14:textId="77777777" w:rsidR="0009738E" w:rsidRDefault="000973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D32"/>
    <w:rsid w:val="00003925"/>
    <w:rsid w:val="00003BFC"/>
    <w:rsid w:val="000166E8"/>
    <w:rsid w:val="00030013"/>
    <w:rsid w:val="00085E3F"/>
    <w:rsid w:val="00086568"/>
    <w:rsid w:val="0009738E"/>
    <w:rsid w:val="001276F6"/>
    <w:rsid w:val="0016522B"/>
    <w:rsid w:val="001704D2"/>
    <w:rsid w:val="001B3FEF"/>
    <w:rsid w:val="001C5796"/>
    <w:rsid w:val="001D0887"/>
    <w:rsid w:val="001F705D"/>
    <w:rsid w:val="00205238"/>
    <w:rsid w:val="00213B05"/>
    <w:rsid w:val="002264F3"/>
    <w:rsid w:val="002368B8"/>
    <w:rsid w:val="00240FC3"/>
    <w:rsid w:val="00244727"/>
    <w:rsid w:val="002454C8"/>
    <w:rsid w:val="002662F8"/>
    <w:rsid w:val="00276040"/>
    <w:rsid w:val="00293551"/>
    <w:rsid w:val="00296F03"/>
    <w:rsid w:val="00297CD9"/>
    <w:rsid w:val="002A28AD"/>
    <w:rsid w:val="002C2C0D"/>
    <w:rsid w:val="00303AD8"/>
    <w:rsid w:val="00304655"/>
    <w:rsid w:val="003060B9"/>
    <w:rsid w:val="00323620"/>
    <w:rsid w:val="003307C5"/>
    <w:rsid w:val="00335FC1"/>
    <w:rsid w:val="003579B4"/>
    <w:rsid w:val="00367576"/>
    <w:rsid w:val="003817B8"/>
    <w:rsid w:val="003869F9"/>
    <w:rsid w:val="003A5016"/>
    <w:rsid w:val="003C50C8"/>
    <w:rsid w:val="003E2330"/>
    <w:rsid w:val="003E7D32"/>
    <w:rsid w:val="00472E96"/>
    <w:rsid w:val="004752B8"/>
    <w:rsid w:val="0048039D"/>
    <w:rsid w:val="004822DE"/>
    <w:rsid w:val="00482FBE"/>
    <w:rsid w:val="00487A30"/>
    <w:rsid w:val="004B6220"/>
    <w:rsid w:val="004C11EB"/>
    <w:rsid w:val="0050727E"/>
    <w:rsid w:val="00510BB9"/>
    <w:rsid w:val="00532715"/>
    <w:rsid w:val="005718E8"/>
    <w:rsid w:val="00586289"/>
    <w:rsid w:val="005C0EBB"/>
    <w:rsid w:val="005D15EB"/>
    <w:rsid w:val="00654331"/>
    <w:rsid w:val="00672B33"/>
    <w:rsid w:val="0069502D"/>
    <w:rsid w:val="006B370A"/>
    <w:rsid w:val="006D0E5D"/>
    <w:rsid w:val="006E2319"/>
    <w:rsid w:val="00712536"/>
    <w:rsid w:val="007127A7"/>
    <w:rsid w:val="007334F6"/>
    <w:rsid w:val="00744E62"/>
    <w:rsid w:val="00765CA6"/>
    <w:rsid w:val="00780440"/>
    <w:rsid w:val="007973AC"/>
    <w:rsid w:val="007B7762"/>
    <w:rsid w:val="007C1ECB"/>
    <w:rsid w:val="007D517B"/>
    <w:rsid w:val="007E4365"/>
    <w:rsid w:val="00831AB6"/>
    <w:rsid w:val="00845A59"/>
    <w:rsid w:val="00846509"/>
    <w:rsid w:val="00874956"/>
    <w:rsid w:val="00884423"/>
    <w:rsid w:val="008A77B6"/>
    <w:rsid w:val="008B00B6"/>
    <w:rsid w:val="008B6F48"/>
    <w:rsid w:val="008D6D8D"/>
    <w:rsid w:val="0090246C"/>
    <w:rsid w:val="0091533B"/>
    <w:rsid w:val="009322D6"/>
    <w:rsid w:val="0097118E"/>
    <w:rsid w:val="00985FE9"/>
    <w:rsid w:val="00991A08"/>
    <w:rsid w:val="009E6281"/>
    <w:rsid w:val="009E6301"/>
    <w:rsid w:val="009F1A17"/>
    <w:rsid w:val="00A21DDD"/>
    <w:rsid w:val="00A3309A"/>
    <w:rsid w:val="00A46E30"/>
    <w:rsid w:val="00A61AA2"/>
    <w:rsid w:val="00A6363A"/>
    <w:rsid w:val="00A86403"/>
    <w:rsid w:val="00A86A58"/>
    <w:rsid w:val="00AB0A0F"/>
    <w:rsid w:val="00AF453F"/>
    <w:rsid w:val="00B16ABB"/>
    <w:rsid w:val="00B65284"/>
    <w:rsid w:val="00B664AD"/>
    <w:rsid w:val="00B7458B"/>
    <w:rsid w:val="00B8257B"/>
    <w:rsid w:val="00B9699B"/>
    <w:rsid w:val="00BB4C52"/>
    <w:rsid w:val="00BD563C"/>
    <w:rsid w:val="00BF305F"/>
    <w:rsid w:val="00BF5AEB"/>
    <w:rsid w:val="00C03588"/>
    <w:rsid w:val="00C063DE"/>
    <w:rsid w:val="00C24040"/>
    <w:rsid w:val="00C40562"/>
    <w:rsid w:val="00C535C9"/>
    <w:rsid w:val="00C95233"/>
    <w:rsid w:val="00CA0F90"/>
    <w:rsid w:val="00CD7A3D"/>
    <w:rsid w:val="00CF4AC1"/>
    <w:rsid w:val="00D33196"/>
    <w:rsid w:val="00D376AF"/>
    <w:rsid w:val="00D53342"/>
    <w:rsid w:val="00D764F9"/>
    <w:rsid w:val="00D97254"/>
    <w:rsid w:val="00DA382B"/>
    <w:rsid w:val="00DC4427"/>
    <w:rsid w:val="00DD3D58"/>
    <w:rsid w:val="00DE0A7A"/>
    <w:rsid w:val="00DF1BC7"/>
    <w:rsid w:val="00E02406"/>
    <w:rsid w:val="00E73BDE"/>
    <w:rsid w:val="00E75EC9"/>
    <w:rsid w:val="00E9342A"/>
    <w:rsid w:val="00ED55C8"/>
    <w:rsid w:val="00EF34C0"/>
    <w:rsid w:val="00F209C8"/>
    <w:rsid w:val="00F25FDA"/>
    <w:rsid w:val="00F60CA9"/>
    <w:rsid w:val="00F70307"/>
    <w:rsid w:val="00F92184"/>
    <w:rsid w:val="00FA72F7"/>
    <w:rsid w:val="00FA7AD9"/>
    <w:rsid w:val="00FB103B"/>
    <w:rsid w:val="00FE3965"/>
    <w:rsid w:val="00FE79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7ADD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4AD"/>
    <w:pPr>
      <w:spacing w:after="0" w:line="480" w:lineRule="auto"/>
      <w:jc w:val="both"/>
    </w:pPr>
    <w:rPr>
      <w:rFonts w:ascii="Times New Roman" w:hAnsi="Times New Roman" w:cs="Times New Roman"/>
      <w:kern w:val="0"/>
      <w:sz w:val="24"/>
      <w:szCs w:val="20"/>
      <w:lang w:val="en-US"/>
    </w:rPr>
  </w:style>
  <w:style w:type="paragraph" w:styleId="Heading1">
    <w:name w:val="heading 1"/>
    <w:basedOn w:val="Normal"/>
    <w:next w:val="Normal"/>
    <w:link w:val="Heading1Char"/>
    <w:autoRedefine/>
    <w:uiPriority w:val="9"/>
    <w:qFormat/>
    <w:rsid w:val="00A61AA2"/>
    <w:pPr>
      <w:keepNext/>
      <w:keepLines/>
      <w:spacing w:before="400" w:after="120"/>
      <w:outlineLvl w:val="0"/>
    </w:pPr>
    <w:rPr>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b/>
      <w:bCs/>
      <w:sz w:val="26"/>
      <w:szCs w:val="36"/>
    </w:rPr>
  </w:style>
  <w:style w:type="paragraph" w:styleId="Heading3">
    <w:name w:val="heading 3"/>
    <w:basedOn w:val="Normal"/>
    <w:next w:val="Normal"/>
    <w:link w:val="Heading3Char"/>
    <w:autoRedefine/>
    <w:uiPriority w:val="9"/>
    <w:unhideWhenUsed/>
    <w:qFormat/>
    <w:rsid w:val="008D6D8D"/>
    <w:pPr>
      <w:keepNext/>
      <w:keepLines/>
      <w:spacing w:before="320" w:after="80"/>
      <w:outlineLvl w:val="2"/>
    </w:pPr>
    <w:rPr>
      <w:i/>
      <w:szCs w:val="28"/>
      <w:u w:val="single"/>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8D6D8D"/>
    <w:rPr>
      <w:rFonts w:ascii="Times New Roman" w:eastAsia="Times New Roman" w:hAnsi="Times New Roman" w:cs="Times New Roman"/>
      <w:i/>
      <w:kern w:val="0"/>
      <w:sz w:val="24"/>
      <w:szCs w:val="28"/>
      <w:u w:val="single"/>
      <w:lang w:eastAsia="en-GB"/>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A61AA2"/>
    <w:rPr>
      <w:rFonts w:ascii="Times New Roman" w:eastAsia="Arial" w:hAnsi="Times New Roman" w:cs="Arial"/>
      <w:b/>
      <w:kern w:val="0"/>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482FBE"/>
    <w:rPr>
      <w:bCs w:val="0"/>
      <w:shd w:val="clear" w:color="auto" w:fill="FFFFFF"/>
      <w:lang w:eastAsia="en-GB"/>
    </w:rPr>
  </w:style>
  <w:style w:type="character" w:customStyle="1" w:styleId="Heading2Char1">
    <w:name w:val="Heading2 Char"/>
    <w:basedOn w:val="DefaultParagraphFont"/>
    <w:link w:val="Heading21"/>
    <w:rsid w:val="00482FBE"/>
    <w:rPr>
      <w:rFonts w:ascii="Times New Roman" w:eastAsia="Calibri" w:hAnsi="Times New Roman" w:cs="Arial"/>
      <w:b/>
      <w:kern w:val="0"/>
      <w:sz w:val="26"/>
      <w:szCs w:val="36"/>
      <w:lang w:eastAsia="en-GB"/>
    </w:rPr>
  </w:style>
  <w:style w:type="paragraph" w:customStyle="1" w:styleId="Heading10">
    <w:name w:val="Heading1"/>
    <w:basedOn w:val="Heading1"/>
    <w:link w:val="Heading1Char0"/>
    <w:autoRedefine/>
    <w:qFormat/>
    <w:rsid w:val="00DE0A7A"/>
    <w:pPr>
      <w:spacing w:after="0"/>
    </w:pPr>
    <w:rPr>
      <w:color w:val="000000"/>
      <w:szCs w:val="28"/>
    </w:rPr>
  </w:style>
  <w:style w:type="character" w:customStyle="1" w:styleId="Heading1Char0">
    <w:name w:val="Heading1 Char"/>
    <w:basedOn w:val="DefaultParagraphFont"/>
    <w:link w:val="Heading10"/>
    <w:rsid w:val="00DE0A7A"/>
    <w:rPr>
      <w:rFonts w:ascii="Times New Roman" w:hAnsi="Times New Roman" w:cs="Arial"/>
      <w:b/>
      <w:color w:val="000000"/>
      <w:kern w:val="2"/>
      <w:sz w:val="28"/>
      <w:szCs w:val="28"/>
      <w14:ligatures w14:val="standardContextual"/>
    </w:rPr>
  </w:style>
  <w:style w:type="paragraph" w:styleId="Header">
    <w:name w:val="header"/>
    <w:basedOn w:val="Normal"/>
    <w:link w:val="HeaderChar"/>
    <w:uiPriority w:val="99"/>
    <w:unhideWhenUsed/>
    <w:rsid w:val="0009738E"/>
    <w:pPr>
      <w:tabs>
        <w:tab w:val="center" w:pos="4513"/>
        <w:tab w:val="right" w:pos="9026"/>
      </w:tabs>
      <w:spacing w:line="240" w:lineRule="auto"/>
    </w:pPr>
  </w:style>
  <w:style w:type="character" w:customStyle="1" w:styleId="HeaderChar">
    <w:name w:val="Header Char"/>
    <w:basedOn w:val="DefaultParagraphFont"/>
    <w:link w:val="Header"/>
    <w:uiPriority w:val="99"/>
    <w:rsid w:val="0009738E"/>
    <w:rPr>
      <w:rFonts w:ascii="Times New Roman" w:hAnsi="Times New Roman" w:cs="Times New Roman"/>
      <w:kern w:val="0"/>
      <w:sz w:val="24"/>
      <w:szCs w:val="20"/>
      <w:lang w:val="en-US"/>
    </w:rPr>
  </w:style>
  <w:style w:type="paragraph" w:styleId="Footer">
    <w:name w:val="footer"/>
    <w:basedOn w:val="Normal"/>
    <w:link w:val="FooterChar"/>
    <w:uiPriority w:val="99"/>
    <w:unhideWhenUsed/>
    <w:rsid w:val="0009738E"/>
    <w:pPr>
      <w:tabs>
        <w:tab w:val="center" w:pos="4513"/>
        <w:tab w:val="right" w:pos="9026"/>
      </w:tabs>
      <w:spacing w:line="240" w:lineRule="auto"/>
    </w:pPr>
  </w:style>
  <w:style w:type="character" w:customStyle="1" w:styleId="FooterChar">
    <w:name w:val="Footer Char"/>
    <w:basedOn w:val="DefaultParagraphFont"/>
    <w:link w:val="Footer"/>
    <w:uiPriority w:val="99"/>
    <w:rsid w:val="0009738E"/>
    <w:rPr>
      <w:rFonts w:ascii="Times New Roman" w:hAnsi="Times New Roman" w:cs="Times New Roman"/>
      <w:kern w:val="0"/>
      <w:sz w:val="24"/>
      <w:szCs w:val="20"/>
      <w:lang w:val="en-US"/>
    </w:rPr>
  </w:style>
  <w:style w:type="paragraph" w:styleId="Bibliography">
    <w:name w:val="Bibliography"/>
    <w:basedOn w:val="Normal"/>
    <w:next w:val="Normal"/>
    <w:uiPriority w:val="37"/>
    <w:unhideWhenUsed/>
    <w:rsid w:val="00AB0A0F"/>
  </w:style>
  <w:style w:type="character" w:styleId="Hyperlink">
    <w:name w:val="Hyperlink"/>
    <w:basedOn w:val="DefaultParagraphFont"/>
    <w:uiPriority w:val="99"/>
    <w:unhideWhenUsed/>
    <w:rsid w:val="00AB0A0F"/>
    <w:rPr>
      <w:color w:val="0563C1" w:themeColor="hyperlink"/>
      <w:u w:val="single"/>
    </w:rPr>
  </w:style>
  <w:style w:type="character" w:styleId="UnresolvedMention">
    <w:name w:val="Unresolved Mention"/>
    <w:basedOn w:val="DefaultParagraphFont"/>
    <w:uiPriority w:val="99"/>
    <w:semiHidden/>
    <w:unhideWhenUsed/>
    <w:rsid w:val="00AB0A0F"/>
    <w:rPr>
      <w:color w:val="605E5C"/>
      <w:shd w:val="clear" w:color="auto" w:fill="E1DFDD"/>
    </w:rPr>
  </w:style>
  <w:style w:type="paragraph" w:styleId="ListParagraph">
    <w:name w:val="List Paragraph"/>
    <w:basedOn w:val="Normal"/>
    <w:uiPriority w:val="34"/>
    <w:qFormat/>
    <w:rsid w:val="00AB0A0F"/>
    <w:pPr>
      <w:ind w:left="720"/>
      <w:contextualSpacing/>
    </w:pPr>
  </w:style>
  <w:style w:type="paragraph" w:styleId="NormalWeb">
    <w:name w:val="Normal (Web)"/>
    <w:basedOn w:val="Normal"/>
    <w:uiPriority w:val="99"/>
    <w:semiHidden/>
    <w:unhideWhenUsed/>
    <w:rsid w:val="00D764F9"/>
    <w:pPr>
      <w:spacing w:before="100" w:beforeAutospacing="1" w:after="100" w:afterAutospacing="1" w:line="240" w:lineRule="auto"/>
      <w:jc w:val="left"/>
    </w:pPr>
    <w:rPr>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05620">
      <w:bodyDiv w:val="1"/>
      <w:marLeft w:val="0"/>
      <w:marRight w:val="0"/>
      <w:marTop w:val="0"/>
      <w:marBottom w:val="0"/>
      <w:divBdr>
        <w:top w:val="none" w:sz="0" w:space="0" w:color="auto"/>
        <w:left w:val="none" w:sz="0" w:space="0" w:color="auto"/>
        <w:bottom w:val="none" w:sz="0" w:space="0" w:color="auto"/>
        <w:right w:val="none" w:sz="0" w:space="0" w:color="auto"/>
      </w:divBdr>
    </w:div>
    <w:div w:id="325941782">
      <w:bodyDiv w:val="1"/>
      <w:marLeft w:val="0"/>
      <w:marRight w:val="0"/>
      <w:marTop w:val="0"/>
      <w:marBottom w:val="0"/>
      <w:divBdr>
        <w:top w:val="none" w:sz="0" w:space="0" w:color="auto"/>
        <w:left w:val="none" w:sz="0" w:space="0" w:color="auto"/>
        <w:bottom w:val="none" w:sz="0" w:space="0" w:color="auto"/>
        <w:right w:val="none" w:sz="0" w:space="0" w:color="auto"/>
      </w:divBdr>
    </w:div>
    <w:div w:id="598684463">
      <w:bodyDiv w:val="1"/>
      <w:marLeft w:val="0"/>
      <w:marRight w:val="0"/>
      <w:marTop w:val="0"/>
      <w:marBottom w:val="0"/>
      <w:divBdr>
        <w:top w:val="none" w:sz="0" w:space="0" w:color="auto"/>
        <w:left w:val="none" w:sz="0" w:space="0" w:color="auto"/>
        <w:bottom w:val="none" w:sz="0" w:space="0" w:color="auto"/>
        <w:right w:val="none" w:sz="0" w:space="0" w:color="auto"/>
      </w:divBdr>
      <w:divsChild>
        <w:div w:id="1297833148">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12229645">
              <w:marLeft w:val="0"/>
              <w:marRight w:val="0"/>
              <w:marTop w:val="0"/>
              <w:marBottom w:val="0"/>
              <w:divBdr>
                <w:top w:val="none" w:sz="0" w:space="0" w:color="auto"/>
                <w:left w:val="none" w:sz="0" w:space="0" w:color="auto"/>
                <w:bottom w:val="none" w:sz="0" w:space="0" w:color="auto"/>
                <w:right w:val="none" w:sz="0" w:space="0" w:color="auto"/>
              </w:divBdr>
              <w:divsChild>
                <w:div w:id="1806508949">
                  <w:marLeft w:val="0"/>
                  <w:marRight w:val="0"/>
                  <w:marTop w:val="0"/>
                  <w:marBottom w:val="0"/>
                  <w:divBdr>
                    <w:top w:val="none" w:sz="0" w:space="0" w:color="auto"/>
                    <w:left w:val="none" w:sz="0" w:space="0" w:color="auto"/>
                    <w:bottom w:val="none" w:sz="0" w:space="0" w:color="auto"/>
                    <w:right w:val="none" w:sz="0" w:space="0" w:color="auto"/>
                  </w:divBdr>
                  <w:divsChild>
                    <w:div w:id="67118447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11638738">
                          <w:marLeft w:val="0"/>
                          <w:marRight w:val="0"/>
                          <w:marTop w:val="0"/>
                          <w:marBottom w:val="0"/>
                          <w:divBdr>
                            <w:top w:val="none" w:sz="0" w:space="0" w:color="auto"/>
                            <w:left w:val="none" w:sz="0" w:space="0" w:color="auto"/>
                            <w:bottom w:val="none" w:sz="0" w:space="0" w:color="auto"/>
                            <w:right w:val="none" w:sz="0" w:space="0" w:color="auto"/>
                          </w:divBdr>
                          <w:divsChild>
                            <w:div w:id="1837064806">
                              <w:marLeft w:val="0"/>
                              <w:marRight w:val="0"/>
                              <w:marTop w:val="0"/>
                              <w:marBottom w:val="0"/>
                              <w:divBdr>
                                <w:top w:val="none" w:sz="0" w:space="0" w:color="auto"/>
                                <w:left w:val="none" w:sz="0" w:space="0" w:color="auto"/>
                                <w:bottom w:val="none" w:sz="0" w:space="0" w:color="auto"/>
                                <w:right w:val="none" w:sz="0" w:space="0" w:color="auto"/>
                              </w:divBdr>
                              <w:divsChild>
                                <w:div w:id="1662460716">
                                  <w:marLeft w:val="0"/>
                                  <w:marRight w:val="0"/>
                                  <w:marTop w:val="0"/>
                                  <w:marBottom w:val="0"/>
                                  <w:divBdr>
                                    <w:top w:val="none" w:sz="0" w:space="0" w:color="auto"/>
                                    <w:left w:val="none" w:sz="0" w:space="0" w:color="auto"/>
                                    <w:bottom w:val="none" w:sz="0" w:space="0" w:color="auto"/>
                                    <w:right w:val="none" w:sz="0" w:space="0" w:color="auto"/>
                                  </w:divBdr>
                                </w:div>
                                <w:div w:id="185699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3915233">
          <w:marLeft w:val="0"/>
          <w:marRight w:val="0"/>
          <w:marTop w:val="0"/>
          <w:marBottom w:val="0"/>
          <w:divBdr>
            <w:top w:val="none" w:sz="0" w:space="0" w:color="auto"/>
            <w:left w:val="none" w:sz="0" w:space="0" w:color="auto"/>
            <w:bottom w:val="none" w:sz="0" w:space="0" w:color="auto"/>
            <w:right w:val="none" w:sz="0" w:space="0" w:color="auto"/>
          </w:divBdr>
        </w:div>
        <w:div w:id="199787719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40663768">
              <w:marLeft w:val="0"/>
              <w:marRight w:val="0"/>
              <w:marTop w:val="0"/>
              <w:marBottom w:val="0"/>
              <w:divBdr>
                <w:top w:val="none" w:sz="0" w:space="0" w:color="auto"/>
                <w:left w:val="none" w:sz="0" w:space="0" w:color="auto"/>
                <w:bottom w:val="none" w:sz="0" w:space="0" w:color="auto"/>
                <w:right w:val="none" w:sz="0" w:space="0" w:color="auto"/>
              </w:divBdr>
              <w:divsChild>
                <w:div w:id="207642594">
                  <w:marLeft w:val="0"/>
                  <w:marRight w:val="0"/>
                  <w:marTop w:val="0"/>
                  <w:marBottom w:val="0"/>
                  <w:divBdr>
                    <w:top w:val="none" w:sz="0" w:space="0" w:color="auto"/>
                    <w:left w:val="none" w:sz="0" w:space="0" w:color="auto"/>
                    <w:bottom w:val="none" w:sz="0" w:space="0" w:color="auto"/>
                    <w:right w:val="none" w:sz="0" w:space="0" w:color="auto"/>
                  </w:divBdr>
                  <w:divsChild>
                    <w:div w:id="804390846">
                      <w:blockQuote w:val="1"/>
                      <w:marLeft w:val="96"/>
                      <w:marRight w:val="0"/>
                      <w:marTop w:val="0"/>
                      <w:marBottom w:val="0"/>
                      <w:divBdr>
                        <w:top w:val="none" w:sz="0" w:space="0" w:color="auto"/>
                        <w:left w:val="single" w:sz="6" w:space="6" w:color="CCCCCC"/>
                        <w:bottom w:val="none" w:sz="0" w:space="0" w:color="auto"/>
                        <w:right w:val="none" w:sz="0" w:space="0" w:color="auto"/>
                      </w:divBdr>
                      <w:divsChild>
                        <w:div w:id="812451832">
                          <w:marLeft w:val="0"/>
                          <w:marRight w:val="0"/>
                          <w:marTop w:val="0"/>
                          <w:marBottom w:val="0"/>
                          <w:divBdr>
                            <w:top w:val="none" w:sz="0" w:space="0" w:color="auto"/>
                            <w:left w:val="none" w:sz="0" w:space="0" w:color="auto"/>
                            <w:bottom w:val="none" w:sz="0" w:space="0" w:color="auto"/>
                            <w:right w:val="none" w:sz="0" w:space="0" w:color="auto"/>
                          </w:divBdr>
                          <w:divsChild>
                            <w:div w:id="227422556">
                              <w:marLeft w:val="0"/>
                              <w:marRight w:val="0"/>
                              <w:marTop w:val="0"/>
                              <w:marBottom w:val="0"/>
                              <w:divBdr>
                                <w:top w:val="none" w:sz="0" w:space="0" w:color="auto"/>
                                <w:left w:val="none" w:sz="0" w:space="0" w:color="auto"/>
                                <w:bottom w:val="none" w:sz="0" w:space="0" w:color="auto"/>
                                <w:right w:val="none" w:sz="0" w:space="0" w:color="auto"/>
                              </w:divBdr>
                              <w:divsChild>
                                <w:div w:id="786701498">
                                  <w:marLeft w:val="0"/>
                                  <w:marRight w:val="0"/>
                                  <w:marTop w:val="0"/>
                                  <w:marBottom w:val="0"/>
                                  <w:divBdr>
                                    <w:top w:val="none" w:sz="0" w:space="0" w:color="auto"/>
                                    <w:left w:val="none" w:sz="0" w:space="0" w:color="auto"/>
                                    <w:bottom w:val="none" w:sz="0" w:space="0" w:color="auto"/>
                                    <w:right w:val="none" w:sz="0" w:space="0" w:color="auto"/>
                                  </w:divBdr>
                                </w:div>
                                <w:div w:id="4311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7045822">
      <w:bodyDiv w:val="1"/>
      <w:marLeft w:val="0"/>
      <w:marRight w:val="0"/>
      <w:marTop w:val="0"/>
      <w:marBottom w:val="0"/>
      <w:divBdr>
        <w:top w:val="none" w:sz="0" w:space="0" w:color="auto"/>
        <w:left w:val="none" w:sz="0" w:space="0" w:color="auto"/>
        <w:bottom w:val="none" w:sz="0" w:space="0" w:color="auto"/>
        <w:right w:val="none" w:sz="0" w:space="0" w:color="auto"/>
      </w:divBdr>
    </w:div>
    <w:div w:id="707996460">
      <w:bodyDiv w:val="1"/>
      <w:marLeft w:val="0"/>
      <w:marRight w:val="0"/>
      <w:marTop w:val="0"/>
      <w:marBottom w:val="0"/>
      <w:divBdr>
        <w:top w:val="none" w:sz="0" w:space="0" w:color="auto"/>
        <w:left w:val="none" w:sz="0" w:space="0" w:color="auto"/>
        <w:bottom w:val="none" w:sz="0" w:space="0" w:color="auto"/>
        <w:right w:val="none" w:sz="0" w:space="0" w:color="auto"/>
      </w:divBdr>
    </w:div>
    <w:div w:id="1199471573">
      <w:bodyDiv w:val="1"/>
      <w:marLeft w:val="0"/>
      <w:marRight w:val="0"/>
      <w:marTop w:val="0"/>
      <w:marBottom w:val="0"/>
      <w:divBdr>
        <w:top w:val="none" w:sz="0" w:space="0" w:color="auto"/>
        <w:left w:val="none" w:sz="0" w:space="0" w:color="auto"/>
        <w:bottom w:val="none" w:sz="0" w:space="0" w:color="auto"/>
        <w:right w:val="none" w:sz="0" w:space="0" w:color="auto"/>
      </w:divBdr>
    </w:div>
    <w:div w:id="1219628296">
      <w:bodyDiv w:val="1"/>
      <w:marLeft w:val="0"/>
      <w:marRight w:val="0"/>
      <w:marTop w:val="0"/>
      <w:marBottom w:val="0"/>
      <w:divBdr>
        <w:top w:val="none" w:sz="0" w:space="0" w:color="auto"/>
        <w:left w:val="none" w:sz="0" w:space="0" w:color="auto"/>
        <w:bottom w:val="none" w:sz="0" w:space="0" w:color="auto"/>
        <w:right w:val="none" w:sz="0" w:space="0" w:color="auto"/>
      </w:divBdr>
    </w:div>
    <w:div w:id="1468010895">
      <w:bodyDiv w:val="1"/>
      <w:marLeft w:val="0"/>
      <w:marRight w:val="0"/>
      <w:marTop w:val="0"/>
      <w:marBottom w:val="0"/>
      <w:divBdr>
        <w:top w:val="none" w:sz="0" w:space="0" w:color="auto"/>
        <w:left w:val="none" w:sz="0" w:space="0" w:color="auto"/>
        <w:bottom w:val="none" w:sz="0" w:space="0" w:color="auto"/>
        <w:right w:val="none" w:sz="0" w:space="0" w:color="auto"/>
      </w:divBdr>
    </w:div>
    <w:div w:id="1644431279">
      <w:bodyDiv w:val="1"/>
      <w:marLeft w:val="0"/>
      <w:marRight w:val="0"/>
      <w:marTop w:val="0"/>
      <w:marBottom w:val="0"/>
      <w:divBdr>
        <w:top w:val="none" w:sz="0" w:space="0" w:color="auto"/>
        <w:left w:val="none" w:sz="0" w:space="0" w:color="auto"/>
        <w:bottom w:val="none" w:sz="0" w:space="0" w:color="auto"/>
        <w:right w:val="none" w:sz="0" w:space="0" w:color="auto"/>
      </w:divBdr>
    </w:div>
    <w:div w:id="197532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urylawfirm.in/blog/legal-maxim-of-the-day-1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lications.parliament.uk/pa/ld199798/ldjudgmt/jd980722/wool.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awteacher.net/cases/r-v-woollin.ph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indanattorney.co.za/content_dolus-eventualis" TargetMode="External"/><Relationship Id="rId4" Type="http://schemas.openxmlformats.org/officeDocument/2006/relationships/webSettings" Target="webSettings.xml"/><Relationship Id="rId9" Type="http://schemas.openxmlformats.org/officeDocument/2006/relationships/hyperlink" Target="https://www.ericjburch.com/blog/2021/2/what-is-mens-rea-and-what-are-the-types.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law21</b:Tag>
    <b:SourceType>InternetSite</b:SourceType>
    <b:Guid>{6FEB05E9-A30C-41FD-ADEE-68543AE4DA8C}</b:Guid>
    <b:Author>
      <b:Author>
        <b:Corporate>lawteacher</b:Corporate>
      </b:Author>
    </b:Author>
    <b:Title>R v Woollin</b:Title>
    <b:Year>2021</b:Year>
    <b:YearAccessed>2024</b:YearAccessed>
    <b:MonthAccessed>February</b:MonthAccessed>
    <b:DayAccessed>10</b:DayAccessed>
    <b:URL>https://www.lawteacher.net/cases/r-v-woollin.php</b:URL>
    <b:RefOrder>4</b:RefOrder>
  </b:Source>
  <b:Source>
    <b:Tag>par201</b:Tag>
    <b:SourceType>InternetSite</b:SourceType>
    <b:Guid>{DB21E97C-ED33-4FDF-BF49-2FC5C9E6AF56}</b:Guid>
    <b:Author>
      <b:Author>
        <b:Corporate>parliament.uk</b:Corporate>
      </b:Author>
    </b:Author>
    <b:Title>Judgments - Regina v. Woollin</b:Title>
    <b:Year>2020</b:Year>
    <b:YearAccessed>2024</b:YearAccessed>
    <b:MonthAccessed>February</b:MonthAccessed>
    <b:DayAccessed>10</b:DayAccessed>
    <b:URL>https://publications.parliament.uk/pa/ld199798/ldjudgmt/jd980722/wool.htm#:~:text=The%20House%20ruled%20(1)%20that,his%20position%20would%20have%20foreseen.</b:URL>
    <b:RefOrder>5</b:RefOrder>
  </b:Source>
  <b:Source>
    <b:Tag>eri23</b:Tag>
    <b:SourceType>InternetSite</b:SourceType>
    <b:Guid>{1AD70350-0A49-4CD6-A1DC-19D040582249}</b:Guid>
    <b:Author>
      <b:Author>
        <b:Corporate>ericjburch</b:Corporate>
      </b:Author>
    </b:Author>
    <b:Title>Tennessee General Law Blog</b:Title>
    <b:Year>2023</b:Year>
    <b:YearAccessed>2024</b:YearAccessed>
    <b:MonthAccessed>February</b:MonthAccessed>
    <b:DayAccessed>9</b:DayAccessed>
    <b:URL>https://www.ericjburch.com/blog/2021/2/what-is-mens-rea-and-what-are-the-types.html</b:URL>
    <b:RefOrder>1</b:RefOrder>
  </b:Source>
  <b:Source>
    <b:Tag>cen23</b:Tag>
    <b:SourceType>InternetSite</b:SourceType>
    <b:Guid>{9D051ECB-5251-42C9-A1E2-A3B54ECD96F7}</b:Guid>
    <b:Author>
      <b:Author>
        <b:Corporate>centurylawfirm</b:Corporate>
      </b:Author>
    </b:Author>
    <b:Title>Mens Rea – Legal Maxim of the Day</b:Title>
    <b:Year>2023</b:Year>
    <b:YearAccessed>2024</b:YearAccessed>
    <b:MonthAccessed>February</b:MonthAccessed>
    <b:DayAccessed>9</b:DayAccessed>
    <b:URL>https://www.centurylawfirm.in/blog/legal-maxim-of-the-day-11/#:~:text=Mens%20Rea%20%E2%80%93%20Legal%20Maxim%20of%20the%20Day&amp;text=%E2%80%9CMens%20rea%E2%80%9D%20is%20a%20Latin,responsible%20for%20a%20criminal%20act.</b:URL>
    <b:RefOrder>2</b:RefOrder>
  </b:Source>
  <b:Source>
    <b:Tag>fin24</b:Tag>
    <b:SourceType>InternetSite</b:SourceType>
    <b:Guid>{86BD798B-93CD-4465-9B28-529271F4D4E7}</b:Guid>
    <b:Author>
      <b:Author>
        <b:Corporate>findanattorney</b:Corporate>
      </b:Author>
    </b:Author>
    <b:Title>OSCAR PISTORIUS : DOLUS EVENTUALIS</b:Title>
    <b:Year>2024</b:Year>
    <b:YearAccessed>2024</b:YearAccessed>
    <b:MonthAccessed>February</b:MonthAccessed>
    <b:DayAccessed>9</b:DayAccessed>
    <b:URL>https://www.findanattorney.co.za/content_dolus-eventualis#:~:text=An%20intention%20comprises%20of%20a,intention%20and%20lastly%20legal%20intention.</b:URL>
    <b:RefOrder>3</b:RefOrder>
  </b:Source>
</b:Sources>
</file>

<file path=customXml/itemProps1.xml><?xml version="1.0" encoding="utf-8"?>
<ds:datastoreItem xmlns:ds="http://schemas.openxmlformats.org/officeDocument/2006/customXml" ds:itemID="{AB5CB009-D676-4D85-93BF-EF934C938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1754</Words>
  <Characters>10003</Characters>
  <Application>Microsoft Office Word</Application>
  <DocSecurity>0</DocSecurity>
  <Lines>83</Lines>
  <Paragraphs>23</Paragraphs>
  <ScaleCrop>false</ScaleCrop>
  <Company/>
  <LinksUpToDate>false</LinksUpToDate>
  <CharactersWithSpaces>11734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2024-02-15T17:08:00Z</dcterms:created>
  <dcterms:modified xsi:type="dcterms:W3CDTF">2024-03-14T21:21:00Z</dcterms:modified>
</cp:coreProperties>
</file>