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6486122"/>
        <w:docPartObj>
          <w:docPartGallery w:val="Cover Pages"/>
          <w:docPartUnique/>
        </w:docPartObj>
      </w:sdtPr>
      <w:sdtEndPr>
        <w:rPr>
          <w:rFonts w:ascii="Arial Black" w:hAnsi="Arial Black" w:cs="Arial"/>
        </w:rPr>
      </w:sdtEndPr>
      <w:sdtContent>
        <w:p w14:paraId="4467E576" w14:textId="4CA61626" w:rsidR="00E530BB" w:rsidRPr="00E530BB" w:rsidRDefault="00E530BB" w:rsidP="00E530BB">
          <w:pPr>
            <w:rPr>
              <w:rFonts w:ascii="Arial Black" w:hAnsi="Arial Black"/>
            </w:rPr>
          </w:pPr>
          <w:r w:rsidRPr="00E530BB">
            <w:rPr>
              <w:rFonts w:ascii="Arial Black" w:hAnsi="Arial Black"/>
            </w:rPr>
            <w:t>Student name:</w:t>
          </w:r>
          <w:r w:rsidRPr="00E530BB">
            <w:rPr>
              <w:rFonts w:ascii="Arial Black" w:hAnsi="Arial Black"/>
            </w:rPr>
            <w:t xml:space="preserve"> Corneliu Ciobanu </w:t>
          </w:r>
          <w:r w:rsidRPr="00E530BB">
            <w:rPr>
              <w:rFonts w:ascii="Arial Black" w:hAnsi="Arial Black"/>
            </w:rPr>
            <w:tab/>
            <w:t xml:space="preserve">     </w:t>
          </w:r>
        </w:p>
        <w:p w14:paraId="60DAB12A" w14:textId="4F7B336B" w:rsidR="00E530BB" w:rsidRPr="00E530BB" w:rsidRDefault="00E530BB" w:rsidP="00E530BB">
          <w:pPr>
            <w:rPr>
              <w:rFonts w:ascii="Arial Black" w:hAnsi="Arial Black"/>
            </w:rPr>
          </w:pPr>
          <w:r w:rsidRPr="00E530BB">
            <w:rPr>
              <w:rFonts w:ascii="Arial Black" w:hAnsi="Arial Black"/>
            </w:rPr>
            <w:t>Programme:</w:t>
          </w:r>
          <w:r w:rsidRPr="00E530BB">
            <w:rPr>
              <w:rFonts w:ascii="Arial Black" w:hAnsi="Arial Black"/>
            </w:rPr>
            <w:t xml:space="preserve"> </w:t>
          </w:r>
          <w:r w:rsidRPr="00E530BB">
            <w:rPr>
              <w:rFonts w:ascii="Arial Black" w:hAnsi="Arial Black"/>
            </w:rPr>
            <w:t>Sustainable Enterprise/ Social Enterprise Management</w:t>
          </w:r>
        </w:p>
        <w:p w14:paraId="40CB752B" w14:textId="682390DF" w:rsidR="00E530BB" w:rsidRPr="00E530BB" w:rsidRDefault="00E530BB" w:rsidP="00E530BB">
          <w:pPr>
            <w:rPr>
              <w:rFonts w:ascii="Arial Black" w:hAnsi="Arial Black"/>
            </w:rPr>
          </w:pPr>
          <w:r w:rsidRPr="00E530BB">
            <w:rPr>
              <w:rFonts w:ascii="Arial Black" w:hAnsi="Arial Black"/>
            </w:rPr>
            <w:t>Module:</w:t>
          </w:r>
          <w:r w:rsidRPr="00E530BB">
            <w:rPr>
              <w:rFonts w:ascii="Arial Black" w:hAnsi="Arial Black"/>
            </w:rPr>
            <w:t xml:space="preserve"> </w:t>
          </w:r>
          <w:r w:rsidRPr="00E530BB">
            <w:rPr>
              <w:rFonts w:ascii="Arial Black" w:hAnsi="Arial Black"/>
            </w:rPr>
            <w:t xml:space="preserve">Sustainable Enterprise </w:t>
          </w:r>
        </w:p>
        <w:p w14:paraId="18F61813" w14:textId="77404ACF" w:rsidR="00E530BB" w:rsidRPr="00E530BB" w:rsidRDefault="00E530BB" w:rsidP="00E530BB">
          <w:pPr>
            <w:rPr>
              <w:rFonts w:ascii="Arial Black" w:hAnsi="Arial Black"/>
            </w:rPr>
          </w:pPr>
          <w:r w:rsidRPr="00E530BB">
            <w:rPr>
              <w:rFonts w:ascii="Arial Black" w:hAnsi="Arial Black"/>
            </w:rPr>
            <w:t>Module code:</w:t>
          </w:r>
          <w:r>
            <w:rPr>
              <w:rFonts w:ascii="Arial Black" w:hAnsi="Arial Black"/>
            </w:rPr>
            <w:t xml:space="preserve"> </w:t>
          </w:r>
          <w:r w:rsidRPr="00E530BB">
            <w:rPr>
              <w:rFonts w:ascii="Arial Black" w:hAnsi="Arial Black"/>
            </w:rPr>
            <w:t>BMSE4010D</w:t>
          </w:r>
        </w:p>
        <w:p w14:paraId="4EF394F6" w14:textId="7882D14B" w:rsidR="00E530BB" w:rsidRDefault="00E530BB">
          <w:pPr>
            <w:rPr>
              <w:rFonts w:ascii="Arial Black" w:hAnsi="Arial Black" w:cs="Arial"/>
            </w:rPr>
          </w:pPr>
          <w:r w:rsidRPr="00E530BB">
            <w:rPr>
              <w:rFonts w:ascii="Arial Black" w:hAnsi="Arial Black"/>
              <w:noProof/>
            </w:rPr>
            <mc:AlternateContent>
              <mc:Choice Requires="wps">
                <w:drawing>
                  <wp:anchor distT="0" distB="0" distL="114300" distR="114300" simplePos="0" relativeHeight="251659264" behindDoc="1" locked="0" layoutInCell="1" allowOverlap="1" wp14:anchorId="34065B62" wp14:editId="4F61CDD2">
                    <wp:simplePos x="0" y="0"/>
                    <wp:positionH relativeFrom="page">
                      <wp:posOffset>354106</wp:posOffset>
                    </wp:positionH>
                    <wp:positionV relativeFrom="page">
                      <wp:posOffset>7104528</wp:posOffset>
                    </wp:positionV>
                    <wp:extent cx="7034530" cy="1007335"/>
                    <wp:effectExtent l="0" t="0" r="8255" b="254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1007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E530BB" w14:paraId="6B0C9E9F" w14:textId="77777777">
                                  <w:trPr>
                                    <w:trHeight w:val="2376"/>
                                  </w:trPr>
                                  <w:tc>
                                    <w:tcPr>
                                      <w:tcW w:w="370" w:type="pct"/>
                                      <w:shd w:val="clear" w:color="auto" w:fill="156082" w:themeFill="accent1"/>
                                    </w:tcPr>
                                    <w:p w14:paraId="1E88E71F" w14:textId="77777777" w:rsidR="00E530BB" w:rsidRDefault="00E530BB"/>
                                  </w:tc>
                                  <w:sdt>
                                    <w:sdtPr>
                                      <w:rPr>
                                        <w:rFonts w:ascii="Arial Black" w:hAnsi="Arial Black"/>
                                        <w:color w:val="FFFFFF" w:themeColor="background1"/>
                                        <w:sz w:val="72"/>
                                        <w:szCs w:val="72"/>
                                      </w:rPr>
                                      <w:alias w:val="Title"/>
                                      <w:tag w:val=""/>
                                      <w:id w:val="739824258"/>
                                      <w:placeholder>
                                        <w:docPart w:val="C47C7A08DD0044AC95F7BB5689BF759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175460" w14:textId="23F282BD" w:rsidR="00E530BB" w:rsidRPr="00E530BB" w:rsidRDefault="00E530BB" w:rsidP="00E530BB">
                                          <w:pPr>
                                            <w:pStyle w:val="NoSpacing"/>
                                            <w:spacing w:before="240" w:line="216" w:lineRule="auto"/>
                                            <w:ind w:left="360" w:right="360"/>
                                            <w:contextualSpacing/>
                                            <w:jc w:val="center"/>
                                            <w:rPr>
                                              <w:rFonts w:ascii="Arial Black" w:hAnsi="Arial Black"/>
                                              <w:color w:val="FFFFFF" w:themeColor="background1"/>
                                              <w:sz w:val="72"/>
                                              <w:szCs w:val="72"/>
                                            </w:rPr>
                                          </w:pPr>
                                          <w:r w:rsidRPr="00E530BB">
                                            <w:rPr>
                                              <w:rFonts w:ascii="Arial Black" w:hAnsi="Arial Black"/>
                                              <w:color w:val="FFFFFF" w:themeColor="background1"/>
                                              <w:sz w:val="72"/>
                                              <w:szCs w:val="72"/>
                                            </w:rPr>
                                            <w:t>GreenGlow Energy</w:t>
                                          </w:r>
                                        </w:p>
                                      </w:tc>
                                    </w:sdtContent>
                                  </w:sdt>
                                </w:tr>
                                <w:tr w:rsidR="00E530BB" w14:paraId="72314AC9" w14:textId="77777777">
                                  <w:trPr>
                                    <w:trHeight w:hRule="exact" w:val="648"/>
                                  </w:trPr>
                                  <w:tc>
                                    <w:tcPr>
                                      <w:tcW w:w="370" w:type="pct"/>
                                      <w:shd w:val="clear" w:color="auto" w:fill="156082" w:themeFill="accent1"/>
                                    </w:tcPr>
                                    <w:p w14:paraId="5E2E18FE" w14:textId="77777777" w:rsidR="00E530BB" w:rsidRDefault="00E530BB"/>
                                  </w:tc>
                                  <w:tc>
                                    <w:tcPr>
                                      <w:tcW w:w="4630" w:type="pct"/>
                                      <w:shd w:val="clear" w:color="auto" w:fill="404040" w:themeFill="text1" w:themeFillTint="BF"/>
                                      <w:vAlign w:val="bottom"/>
                                    </w:tcPr>
                                    <w:p w14:paraId="2981C362" w14:textId="77777777" w:rsidR="00E530BB" w:rsidRDefault="00E530BB">
                                      <w:pPr>
                                        <w:ind w:left="360" w:right="360"/>
                                        <w:rPr>
                                          <w:color w:val="FFFFFF" w:themeColor="background1"/>
                                          <w:sz w:val="28"/>
                                          <w:szCs w:val="28"/>
                                        </w:rPr>
                                      </w:pPr>
                                    </w:p>
                                  </w:tc>
                                </w:tr>
                                <w:tr w:rsidR="00E530BB" w14:paraId="5D8E01DC" w14:textId="77777777">
                                  <w:tc>
                                    <w:tcPr>
                                      <w:tcW w:w="370" w:type="pct"/>
                                      <w:shd w:val="clear" w:color="auto" w:fill="156082" w:themeFill="accent1"/>
                                    </w:tcPr>
                                    <w:p w14:paraId="680EE618" w14:textId="77777777" w:rsidR="00E530BB" w:rsidRDefault="00E530BB"/>
                                  </w:tc>
                                  <w:tc>
                                    <w:tcPr>
                                      <w:tcW w:w="4630" w:type="pct"/>
                                      <w:shd w:val="clear" w:color="auto" w:fill="404040" w:themeFill="text1" w:themeFillTint="BF"/>
                                      <w:vAlign w:val="bottom"/>
                                    </w:tcPr>
                                    <w:p w14:paraId="09C4CA35" w14:textId="4F4FBB94" w:rsidR="00E530BB" w:rsidRDefault="00E530BB" w:rsidP="00E530BB">
                                      <w:pPr>
                                        <w:pStyle w:val="NoSpacing"/>
                                        <w:spacing w:after="240" w:line="288" w:lineRule="auto"/>
                                        <w:ind w:right="360"/>
                                        <w:rPr>
                                          <w:color w:val="FFFFFF" w:themeColor="background1"/>
                                          <w:sz w:val="28"/>
                                          <w:szCs w:val="28"/>
                                        </w:rPr>
                                      </w:pPr>
                                    </w:p>
                                  </w:tc>
                                </w:tr>
                              </w:tbl>
                              <w:p w14:paraId="2BEA2E03" w14:textId="77777777" w:rsidR="00E530BB" w:rsidRDefault="00E530B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34065B62" id="_x0000_t202" coordsize="21600,21600" o:spt="202" path="m,l,21600r21600,l21600,xe">
                    <v:stroke joinstyle="miter"/>
                    <v:path gradientshapeok="t" o:connecttype="rect"/>
                  </v:shapetype>
                  <v:shape id="Text Box 2" o:spid="_x0000_s1026" type="#_x0000_t202" alt="Cover page content layout" style="position:absolute;margin-left:27.9pt;margin-top:559.4pt;width:553.9pt;height:79.3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E530BB" w14:paraId="6B0C9E9F" w14:textId="77777777">
                            <w:trPr>
                              <w:trHeight w:val="2376"/>
                            </w:trPr>
                            <w:tc>
                              <w:tcPr>
                                <w:tcW w:w="370" w:type="pct"/>
                                <w:shd w:val="clear" w:color="auto" w:fill="156082" w:themeFill="accent1"/>
                              </w:tcPr>
                              <w:p w14:paraId="1E88E71F" w14:textId="77777777" w:rsidR="00E530BB" w:rsidRDefault="00E530BB"/>
                            </w:tc>
                            <w:sdt>
                              <w:sdtPr>
                                <w:rPr>
                                  <w:rFonts w:ascii="Arial Black" w:hAnsi="Arial Black"/>
                                  <w:color w:val="FFFFFF" w:themeColor="background1"/>
                                  <w:sz w:val="72"/>
                                  <w:szCs w:val="72"/>
                                </w:rPr>
                                <w:alias w:val="Title"/>
                                <w:tag w:val=""/>
                                <w:id w:val="739824258"/>
                                <w:placeholder>
                                  <w:docPart w:val="C47C7A08DD0044AC95F7BB5689BF759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175460" w14:textId="23F282BD" w:rsidR="00E530BB" w:rsidRPr="00E530BB" w:rsidRDefault="00E530BB" w:rsidP="00E530BB">
                                    <w:pPr>
                                      <w:pStyle w:val="NoSpacing"/>
                                      <w:spacing w:before="240" w:line="216" w:lineRule="auto"/>
                                      <w:ind w:left="360" w:right="360"/>
                                      <w:contextualSpacing/>
                                      <w:jc w:val="center"/>
                                      <w:rPr>
                                        <w:rFonts w:ascii="Arial Black" w:hAnsi="Arial Black"/>
                                        <w:color w:val="FFFFFF" w:themeColor="background1"/>
                                        <w:sz w:val="72"/>
                                        <w:szCs w:val="72"/>
                                      </w:rPr>
                                    </w:pPr>
                                    <w:r w:rsidRPr="00E530BB">
                                      <w:rPr>
                                        <w:rFonts w:ascii="Arial Black" w:hAnsi="Arial Black"/>
                                        <w:color w:val="FFFFFF" w:themeColor="background1"/>
                                        <w:sz w:val="72"/>
                                        <w:szCs w:val="72"/>
                                      </w:rPr>
                                      <w:t>GreenGlow Energy</w:t>
                                    </w:r>
                                  </w:p>
                                </w:tc>
                              </w:sdtContent>
                            </w:sdt>
                          </w:tr>
                          <w:tr w:rsidR="00E530BB" w14:paraId="72314AC9" w14:textId="77777777">
                            <w:trPr>
                              <w:trHeight w:hRule="exact" w:val="648"/>
                            </w:trPr>
                            <w:tc>
                              <w:tcPr>
                                <w:tcW w:w="370" w:type="pct"/>
                                <w:shd w:val="clear" w:color="auto" w:fill="156082" w:themeFill="accent1"/>
                              </w:tcPr>
                              <w:p w14:paraId="5E2E18FE" w14:textId="77777777" w:rsidR="00E530BB" w:rsidRDefault="00E530BB"/>
                            </w:tc>
                            <w:tc>
                              <w:tcPr>
                                <w:tcW w:w="4630" w:type="pct"/>
                                <w:shd w:val="clear" w:color="auto" w:fill="404040" w:themeFill="text1" w:themeFillTint="BF"/>
                                <w:vAlign w:val="bottom"/>
                              </w:tcPr>
                              <w:p w14:paraId="2981C362" w14:textId="77777777" w:rsidR="00E530BB" w:rsidRDefault="00E530BB">
                                <w:pPr>
                                  <w:ind w:left="360" w:right="360"/>
                                  <w:rPr>
                                    <w:color w:val="FFFFFF" w:themeColor="background1"/>
                                    <w:sz w:val="28"/>
                                    <w:szCs w:val="28"/>
                                  </w:rPr>
                                </w:pPr>
                              </w:p>
                            </w:tc>
                          </w:tr>
                          <w:tr w:rsidR="00E530BB" w14:paraId="5D8E01DC" w14:textId="77777777">
                            <w:tc>
                              <w:tcPr>
                                <w:tcW w:w="370" w:type="pct"/>
                                <w:shd w:val="clear" w:color="auto" w:fill="156082" w:themeFill="accent1"/>
                              </w:tcPr>
                              <w:p w14:paraId="680EE618" w14:textId="77777777" w:rsidR="00E530BB" w:rsidRDefault="00E530BB"/>
                            </w:tc>
                            <w:tc>
                              <w:tcPr>
                                <w:tcW w:w="4630" w:type="pct"/>
                                <w:shd w:val="clear" w:color="auto" w:fill="404040" w:themeFill="text1" w:themeFillTint="BF"/>
                                <w:vAlign w:val="bottom"/>
                              </w:tcPr>
                              <w:p w14:paraId="09C4CA35" w14:textId="4F4FBB94" w:rsidR="00E530BB" w:rsidRDefault="00E530BB" w:rsidP="00E530BB">
                                <w:pPr>
                                  <w:pStyle w:val="NoSpacing"/>
                                  <w:spacing w:after="240" w:line="288" w:lineRule="auto"/>
                                  <w:ind w:right="360"/>
                                  <w:rPr>
                                    <w:color w:val="FFFFFF" w:themeColor="background1"/>
                                    <w:sz w:val="28"/>
                                    <w:szCs w:val="28"/>
                                  </w:rPr>
                                </w:pPr>
                              </w:p>
                            </w:tc>
                          </w:tr>
                        </w:tbl>
                        <w:p w14:paraId="2BEA2E03" w14:textId="77777777" w:rsidR="00E530BB" w:rsidRDefault="00E530BB"/>
                      </w:txbxContent>
                    </v:textbox>
                    <w10:wrap anchorx="page" anchory="page"/>
                  </v:shape>
                </w:pict>
              </mc:Fallback>
            </mc:AlternateContent>
          </w:r>
          <w:r>
            <w:rPr>
              <w:rFonts w:ascii="Arial Black" w:hAnsi="Arial Black" w:cs="Arial"/>
            </w:rPr>
            <w:br w:type="page"/>
          </w:r>
        </w:p>
      </w:sdtContent>
    </w:sdt>
    <w:p w14:paraId="04F8C1D7" w14:textId="4EAFF269" w:rsidR="00963E79" w:rsidRDefault="00963E79" w:rsidP="00963E79">
      <w:pPr>
        <w:spacing w:line="480" w:lineRule="auto"/>
        <w:rPr>
          <w:rFonts w:ascii="Arial" w:hAnsi="Arial" w:cs="Arial"/>
        </w:rPr>
      </w:pPr>
      <w:r w:rsidRPr="00963E79">
        <w:rPr>
          <w:rFonts w:ascii="Arial Black" w:hAnsi="Arial Black" w:cs="Arial"/>
        </w:rPr>
        <w:lastRenderedPageBreak/>
        <w:t>Executive Summary</w:t>
      </w:r>
    </w:p>
    <w:p w14:paraId="2E0C03EE" w14:textId="77777777" w:rsidR="00963E79" w:rsidRDefault="00963E79" w:rsidP="00963E79">
      <w:pPr>
        <w:spacing w:line="480" w:lineRule="auto"/>
        <w:rPr>
          <w:rFonts w:ascii="Arial" w:hAnsi="Arial" w:cs="Arial"/>
        </w:rPr>
      </w:pPr>
      <w:r w:rsidRPr="00963E79">
        <w:rPr>
          <w:rFonts w:ascii="Arial" w:hAnsi="Arial" w:cs="Arial"/>
        </w:rPr>
        <w:t xml:space="preserve">With a focus on solar and wind energy, GreenGlow Energy is a sustainable company founded to satisfy the growing demand for renewable energy sources worldwide. Its goal is to combine economic viability, innovation, and environmental responsibility to create a long-lasting effect on a local and global level. GreenGlow Energy is leading the charge to move away from fossil fuels and towards clean, efficient power sources by offering renewable energy systems to both residential and commercial customers. The company's business strategy is in line with the growing public interest in sustainability, supportive legislative regulations, and changing market expectations (Franceschelli, Santoro &amp; Candelo, 2018). GreenGlow makes research investments, cultivates alliances with important industry players, and uses economies of scale to provide reasonably priced installations </w:t>
      </w:r>
      <w:r w:rsidRPr="00963E79">
        <w:rPr>
          <w:rFonts w:ascii="Arial" w:hAnsi="Arial" w:cs="Arial"/>
        </w:rPr>
        <w:t>to</w:t>
      </w:r>
      <w:r w:rsidRPr="00963E79">
        <w:rPr>
          <w:rFonts w:ascii="Arial" w:hAnsi="Arial" w:cs="Arial"/>
        </w:rPr>
        <w:t xml:space="preserve"> preserve its competitive edge. The business integrates government incentives into its operational strategy because they significantly improve the economic viability of these solutions.</w:t>
      </w:r>
    </w:p>
    <w:p w14:paraId="14F30A2A" w14:textId="77777777" w:rsidR="00E530BB" w:rsidRDefault="00963E79" w:rsidP="00963E79">
      <w:pPr>
        <w:spacing w:line="480" w:lineRule="auto"/>
        <w:rPr>
          <w:rFonts w:ascii="Arial" w:hAnsi="Arial" w:cs="Arial"/>
        </w:rPr>
      </w:pPr>
      <w:r w:rsidRPr="00963E79">
        <w:rPr>
          <w:rFonts w:ascii="Arial" w:hAnsi="Arial" w:cs="Arial"/>
        </w:rPr>
        <w:t>Another goal of GreenGlow Energy is to spark social change. Understanding that educational outreach plays a role in raising public awareness and demand for renewable energy, the company works to demonstrate the viability and affordability of solar panels, wind turbines, and battery storage systems. GreenGlow shows the viability of renewable energy in a variety of settings by providing customers with an integrated suite of services, from evaluating site conditions to maintaining installations. Making clean power a popular choice as opposed to a specialised one</w:t>
      </w:r>
      <w:r w:rsidR="00E530BB">
        <w:rPr>
          <w:rFonts w:ascii="Arial" w:hAnsi="Arial" w:cs="Arial"/>
        </w:rPr>
        <w:t>.</w:t>
      </w:r>
    </w:p>
    <w:p w14:paraId="71717097" w14:textId="419BE6D3" w:rsidR="00963E79" w:rsidRDefault="00963E79" w:rsidP="00963E79">
      <w:pPr>
        <w:spacing w:line="480" w:lineRule="auto"/>
        <w:rPr>
          <w:rFonts w:ascii="Arial" w:hAnsi="Arial" w:cs="Arial"/>
        </w:rPr>
      </w:pPr>
      <w:r w:rsidRPr="00963E79">
        <w:rPr>
          <w:rFonts w:ascii="Arial" w:hAnsi="Arial" w:cs="Arial"/>
        </w:rPr>
        <w:br/>
      </w:r>
      <w:r w:rsidRPr="00963E79">
        <w:rPr>
          <w:rFonts w:ascii="Arial" w:hAnsi="Arial" w:cs="Arial"/>
        </w:rPr>
        <w:br/>
      </w:r>
    </w:p>
    <w:p w14:paraId="7CF82241" w14:textId="77777777" w:rsidR="00963E79" w:rsidRDefault="00963E79" w:rsidP="00963E79">
      <w:pPr>
        <w:spacing w:line="480" w:lineRule="auto"/>
        <w:rPr>
          <w:rFonts w:ascii="Arial Black" w:hAnsi="Arial Black" w:cs="Arial"/>
        </w:rPr>
      </w:pPr>
      <w:r w:rsidRPr="00963E79">
        <w:rPr>
          <w:rFonts w:ascii="Arial Black" w:hAnsi="Arial Black" w:cs="Arial"/>
        </w:rPr>
        <w:lastRenderedPageBreak/>
        <w:t>Objectives and Goals</w:t>
      </w:r>
    </w:p>
    <w:p w14:paraId="08978B68" w14:textId="77777777" w:rsidR="00963E79" w:rsidRDefault="00963E79" w:rsidP="00963E79">
      <w:pPr>
        <w:spacing w:line="480" w:lineRule="auto"/>
        <w:rPr>
          <w:rFonts w:ascii="Arial" w:hAnsi="Arial" w:cs="Arial"/>
        </w:rPr>
      </w:pPr>
      <w:r w:rsidRPr="00963E79">
        <w:rPr>
          <w:rFonts w:ascii="Arial" w:hAnsi="Arial" w:cs="Arial"/>
        </w:rPr>
        <w:t xml:space="preserve">The main goal of GreenGlow Energy is to provide reasonably priced, easily accessible renewable energy solutions that drastically cut carbon emissions. Within five years, the company plans to expand operations across several regions </w:t>
      </w:r>
      <w:r w:rsidRPr="00963E79">
        <w:rPr>
          <w:rFonts w:ascii="Arial" w:hAnsi="Arial" w:cs="Arial"/>
        </w:rPr>
        <w:t>to</w:t>
      </w:r>
      <w:r w:rsidRPr="00963E79">
        <w:rPr>
          <w:rFonts w:ascii="Arial" w:hAnsi="Arial" w:cs="Arial"/>
        </w:rPr>
        <w:t xml:space="preserve"> achieve this goal. Educating communities about the importance of sustainability and demonstrating how common energy choices can help slow down climate change is another goal. The company aims to uphold high standards by providing maintenance services and performance monitoring, which guarantees steady energy output and client satisfaction (</w:t>
      </w:r>
      <w:proofErr w:type="spellStart"/>
      <w:r w:rsidRPr="00963E79">
        <w:rPr>
          <w:rFonts w:ascii="Arial" w:hAnsi="Arial" w:cs="Arial"/>
        </w:rPr>
        <w:t>Bocken</w:t>
      </w:r>
      <w:proofErr w:type="spellEnd"/>
      <w:r w:rsidRPr="00963E79">
        <w:rPr>
          <w:rFonts w:ascii="Arial" w:hAnsi="Arial" w:cs="Arial"/>
        </w:rPr>
        <w:t xml:space="preserve"> &amp; Allwood, 2012).</w:t>
      </w:r>
    </w:p>
    <w:p w14:paraId="746A3EBB" w14:textId="288112E0" w:rsidR="00963E79" w:rsidRDefault="00963E79" w:rsidP="00963E79">
      <w:pPr>
        <w:spacing w:line="480" w:lineRule="auto"/>
        <w:rPr>
          <w:rFonts w:ascii="Arial" w:hAnsi="Arial" w:cs="Arial"/>
        </w:rPr>
      </w:pPr>
      <w:r w:rsidRPr="00963E79">
        <w:rPr>
          <w:rFonts w:ascii="Arial" w:hAnsi="Arial" w:cs="Arial"/>
        </w:rPr>
        <w:t>To</w:t>
      </w:r>
      <w:r w:rsidRPr="00963E79">
        <w:rPr>
          <w:rFonts w:ascii="Arial" w:hAnsi="Arial" w:cs="Arial"/>
        </w:rPr>
        <w:t xml:space="preserve"> advance greener energy policies, GreenGlow also collaborates with private sector entities, environmental charities, and government organisations. The company's long-term goal is to reach new markets by forming partnerships with developers who understand the benefits of incorporating renewable energy into new construction projects. A balanced emphasis on social responsibility, environmental stewardship, and financial viability are all part of this complex strategy.</w:t>
      </w:r>
    </w:p>
    <w:p w14:paraId="1DDD33AD" w14:textId="77777777" w:rsidR="00963E79" w:rsidRPr="00963E79" w:rsidRDefault="00963E79" w:rsidP="00963E79">
      <w:pPr>
        <w:spacing w:line="480" w:lineRule="auto"/>
        <w:rPr>
          <w:rFonts w:ascii="Arial Black" w:hAnsi="Arial Black" w:cs="Arial"/>
        </w:rPr>
      </w:pPr>
      <w:r w:rsidRPr="00963E79">
        <w:rPr>
          <w:rFonts w:ascii="Arial Black" w:hAnsi="Arial Black" w:cs="Arial"/>
        </w:rPr>
        <w:t>Strategy towards Sustainability</w:t>
      </w:r>
    </w:p>
    <w:p w14:paraId="1B9B4DF4" w14:textId="77777777" w:rsidR="00963E79" w:rsidRDefault="00963E79" w:rsidP="00963E79">
      <w:pPr>
        <w:spacing w:line="480" w:lineRule="auto"/>
        <w:rPr>
          <w:rFonts w:ascii="Arial" w:hAnsi="Arial" w:cs="Arial"/>
        </w:rPr>
      </w:pPr>
      <w:r w:rsidRPr="00963E79">
        <w:rPr>
          <w:rFonts w:ascii="Arial" w:hAnsi="Arial" w:cs="Arial"/>
        </w:rPr>
        <w:t>GreenGlow Energy’s sustainability framework is built on three interconnected pillars: environmental, social, and economic. The environmental pillar highlights a distinct commitment to reducing fossil fuel dependence. By installing solar panels and wind turbines, clients can harness clean energy that minimizes greenhouse gas emissions. The company also carefully measures its own carbon footprint, optimizing shipping and operational operations to further cut emissions.</w:t>
      </w:r>
    </w:p>
    <w:p w14:paraId="78791AD3" w14:textId="77777777" w:rsidR="00963E79" w:rsidRDefault="00963E79" w:rsidP="00963E79">
      <w:pPr>
        <w:spacing w:line="480" w:lineRule="auto"/>
        <w:rPr>
          <w:rFonts w:ascii="Arial" w:hAnsi="Arial" w:cs="Arial"/>
        </w:rPr>
      </w:pPr>
      <w:r w:rsidRPr="00963E79">
        <w:rPr>
          <w:rFonts w:ascii="Arial" w:hAnsi="Arial" w:cs="Arial"/>
        </w:rPr>
        <w:lastRenderedPageBreak/>
        <w:t>On the social front, GreenGlow supports partnership with local communities and tries to educate people about the advantages of renewables, including potential energy savings and lower environmental impact. Comprehensive training programs for personnel stimulate the development of specific skills, supporting the local workforce. Education initiatives, both online and in-person, help dispel misconceptions regarding renewables, thereby promoting greater acceptance (Armstrong et al., 2014). Over time, these activities develop a broader cultural shift, as community members perceive renewable energy as a viable, cost-effective path forward.</w:t>
      </w:r>
    </w:p>
    <w:p w14:paraId="4EE8D536" w14:textId="63DC9DA7" w:rsidR="00963E79" w:rsidRDefault="00963E79" w:rsidP="00963E79">
      <w:pPr>
        <w:spacing w:line="480" w:lineRule="auto"/>
        <w:rPr>
          <w:rFonts w:ascii="Arial" w:hAnsi="Arial" w:cs="Arial"/>
        </w:rPr>
      </w:pPr>
      <w:r w:rsidRPr="00963E79">
        <w:rPr>
          <w:rFonts w:ascii="Arial" w:hAnsi="Arial" w:cs="Arial"/>
        </w:rPr>
        <w:t xml:space="preserve">Economically, the company’s sustainable approach attempts to balance growth and affordability. By utilising government subsidies, tax credits, and socially responsible investments, GreenGlow minimises capital expenses and passes savings on to clients (Berry &amp; </w:t>
      </w:r>
      <w:proofErr w:type="spellStart"/>
      <w:r w:rsidRPr="00963E79">
        <w:rPr>
          <w:rFonts w:ascii="Arial" w:hAnsi="Arial" w:cs="Arial"/>
        </w:rPr>
        <w:t>Junkus</w:t>
      </w:r>
      <w:proofErr w:type="spellEnd"/>
      <w:r w:rsidRPr="00963E79">
        <w:rPr>
          <w:rFonts w:ascii="Arial" w:hAnsi="Arial" w:cs="Arial"/>
        </w:rPr>
        <w:t>, 2013). Diversified revenue models</w:t>
      </w:r>
      <w:r w:rsidR="00E530BB">
        <w:rPr>
          <w:rFonts w:ascii="Arial" w:hAnsi="Arial" w:cs="Arial"/>
        </w:rPr>
        <w:t>-</w:t>
      </w:r>
      <w:r w:rsidRPr="00963E79">
        <w:rPr>
          <w:rFonts w:ascii="Arial" w:hAnsi="Arial" w:cs="Arial"/>
        </w:rPr>
        <w:t>ranging from one-time installations to subscription maintenance services</w:t>
      </w:r>
      <w:r w:rsidR="00E530BB">
        <w:rPr>
          <w:rFonts w:ascii="Arial" w:hAnsi="Arial" w:cs="Arial"/>
        </w:rPr>
        <w:t>-</w:t>
      </w:r>
      <w:r w:rsidRPr="00963E79">
        <w:rPr>
          <w:rFonts w:ascii="Arial" w:hAnsi="Arial" w:cs="Arial"/>
        </w:rPr>
        <w:t>stabilize cash flow and enable for reinvestment in research and development. This business model not only stimulates expansion but also creates financial resilience, ensuring that sustainability stays key to the enterprise’s long-term plan.</w:t>
      </w:r>
    </w:p>
    <w:p w14:paraId="4797AA61" w14:textId="77777777" w:rsidR="00963E79" w:rsidRDefault="00963E79" w:rsidP="00963E79">
      <w:pPr>
        <w:spacing w:line="480" w:lineRule="auto"/>
        <w:rPr>
          <w:rFonts w:ascii="Arial" w:hAnsi="Arial" w:cs="Arial"/>
        </w:rPr>
      </w:pPr>
      <w:r w:rsidRPr="00963E79">
        <w:rPr>
          <w:rFonts w:ascii="Arial Black" w:hAnsi="Arial Black" w:cs="Arial"/>
        </w:rPr>
        <w:t>Resources Needed</w:t>
      </w:r>
      <w:r w:rsidRPr="00963E79">
        <w:rPr>
          <w:rFonts w:ascii="Arial Black" w:hAnsi="Arial Black" w:cs="Arial"/>
        </w:rPr>
        <w:br/>
      </w:r>
      <w:r w:rsidRPr="00963E79">
        <w:rPr>
          <w:rFonts w:ascii="Arial" w:hAnsi="Arial" w:cs="Arial"/>
        </w:rPr>
        <w:t xml:space="preserve">To achieve its strategic goals, GreenGlow Energy needs a variety of financial, human, and physical resources. Battery storage systems, wind turbines, and solar panels are the primary physical resources. Because reliability and efficiency are vital, the company gets products from respected suppliers, conducting frequent quality audits to guarantee performance. The engineering teams, sales and marketing departments, customer service representatives, and compliance specialists who </w:t>
      </w:r>
      <w:r w:rsidRPr="00963E79">
        <w:rPr>
          <w:rFonts w:ascii="Arial" w:hAnsi="Arial" w:cs="Arial"/>
        </w:rPr>
        <w:lastRenderedPageBreak/>
        <w:t>work in administrative offices make sure that installations follow all applicable laws and safety procedures.</w:t>
      </w:r>
    </w:p>
    <w:p w14:paraId="58D3B96F" w14:textId="77777777" w:rsidR="00963E79" w:rsidRDefault="00963E79" w:rsidP="00963E79">
      <w:pPr>
        <w:spacing w:line="480" w:lineRule="auto"/>
        <w:rPr>
          <w:rFonts w:ascii="Arial" w:hAnsi="Arial" w:cs="Arial"/>
        </w:rPr>
      </w:pPr>
      <w:r w:rsidRPr="00963E79">
        <w:rPr>
          <w:rFonts w:ascii="Arial" w:hAnsi="Arial" w:cs="Arial"/>
        </w:rPr>
        <w:t>Human capital is equally important. The technical parts of installations are led by engineers with knowledge in battery management systems, turbine mechanics, and photovoltaic systems. Project managers supervise every stage of setup, arrange site inspections, and obtain required licenses. Technical support staff handle maintenance and troubleshooting, while sales representatives inform prospective clients about the advantages of moving to renewable energy. The smooth provision of services is ensured by the interaction of these roles.</w:t>
      </w:r>
    </w:p>
    <w:p w14:paraId="2616E36E" w14:textId="20265615" w:rsidR="00963E79" w:rsidRDefault="00963E79" w:rsidP="00963E79">
      <w:pPr>
        <w:spacing w:line="480" w:lineRule="auto"/>
        <w:rPr>
          <w:rFonts w:ascii="Arial" w:hAnsi="Arial" w:cs="Arial"/>
        </w:rPr>
      </w:pPr>
      <w:r w:rsidRPr="00963E79">
        <w:rPr>
          <w:rFonts w:ascii="Arial" w:hAnsi="Arial" w:cs="Arial"/>
        </w:rPr>
        <w:t xml:space="preserve">The first </w:t>
      </w:r>
      <w:r w:rsidR="00E530BB">
        <w:rPr>
          <w:rFonts w:ascii="Arial" w:hAnsi="Arial" w:cs="Arial"/>
        </w:rPr>
        <w:t>£</w:t>
      </w:r>
      <w:r w:rsidRPr="00963E79">
        <w:rPr>
          <w:rFonts w:ascii="Arial" w:hAnsi="Arial" w:cs="Arial"/>
        </w:rPr>
        <w:t xml:space="preserve">2 million in capital is needed, along with a combination of government grants, venture capital, and equity funding. Socially conscious investors support GreenGlow's mission and credibility because they value both profits and a positive environmental impact (Berry &amp; </w:t>
      </w:r>
      <w:proofErr w:type="spellStart"/>
      <w:r w:rsidRPr="00963E79">
        <w:rPr>
          <w:rFonts w:ascii="Arial" w:hAnsi="Arial" w:cs="Arial"/>
        </w:rPr>
        <w:t>Junkus</w:t>
      </w:r>
      <w:proofErr w:type="spellEnd"/>
      <w:r w:rsidRPr="00963E79">
        <w:rPr>
          <w:rFonts w:ascii="Arial" w:hAnsi="Arial" w:cs="Arial"/>
        </w:rPr>
        <w:t>, 2013). These monies pay towards marketing costs, salaries, hardware purchases, and next-generation technology research.</w:t>
      </w:r>
    </w:p>
    <w:p w14:paraId="3345AAB1" w14:textId="77777777" w:rsidR="00963E79" w:rsidRPr="00963E79" w:rsidRDefault="00963E79" w:rsidP="00963E79">
      <w:pPr>
        <w:spacing w:line="480" w:lineRule="auto"/>
        <w:rPr>
          <w:rFonts w:ascii="Arial Black" w:hAnsi="Arial Black" w:cs="Arial"/>
        </w:rPr>
      </w:pPr>
      <w:r w:rsidRPr="00963E79">
        <w:rPr>
          <w:rFonts w:ascii="Arial Black" w:hAnsi="Arial Black" w:cs="Arial"/>
        </w:rPr>
        <w:t>Strategy for Marketing</w:t>
      </w:r>
    </w:p>
    <w:p w14:paraId="1BB937FA" w14:textId="77777777" w:rsidR="00963E79" w:rsidRDefault="00963E79" w:rsidP="00963E79">
      <w:pPr>
        <w:spacing w:line="480" w:lineRule="auto"/>
        <w:rPr>
          <w:rFonts w:ascii="Arial" w:hAnsi="Arial" w:cs="Arial"/>
        </w:rPr>
      </w:pPr>
      <w:r w:rsidRPr="00963E79">
        <w:rPr>
          <w:rFonts w:ascii="Arial" w:hAnsi="Arial" w:cs="Arial"/>
        </w:rPr>
        <w:t>GreenGlow Energy's marketing strategy combines government-driven projects, corporate partnerships, community activities, and digital participation. The business informs larger audiences about the viability and long-term advantages of solar and wind energy through social media campaigns. With the use of search engine optimisation and targeted advertising, a strong online presence also aids in lead generation. Potential clients can investigate the basics of installation, cost reductions, and financing choices through webinars and online courses.</w:t>
      </w:r>
    </w:p>
    <w:p w14:paraId="37532192" w14:textId="77777777" w:rsidR="00963E79" w:rsidRDefault="00963E79" w:rsidP="00963E79">
      <w:pPr>
        <w:spacing w:line="480" w:lineRule="auto"/>
        <w:rPr>
          <w:rFonts w:ascii="Arial" w:hAnsi="Arial" w:cs="Arial"/>
        </w:rPr>
      </w:pPr>
      <w:r w:rsidRPr="00963E79">
        <w:rPr>
          <w:rFonts w:ascii="Arial" w:hAnsi="Arial" w:cs="Arial"/>
        </w:rPr>
        <w:t xml:space="preserve">Workshops held in the community are essential to GreenGlow's marketing strategy. Through neighbourhood visits and interactive demonstrations, the company helps </w:t>
      </w:r>
      <w:r w:rsidRPr="00963E79">
        <w:rPr>
          <w:rFonts w:ascii="Arial" w:hAnsi="Arial" w:cs="Arial"/>
        </w:rPr>
        <w:lastRenderedPageBreak/>
        <w:t>participants who might otherwise be sceptical to see renewable energy in action. Working together with neighbourhood NGOs increases awareness and helps the business reach a variety of community segments. GreenGlow's collaborations with real estate developers, on the other hand, establish the company as an energy consultant for new construction, incorporating wind and solar solutions into building designs with ease (</w:t>
      </w:r>
      <w:proofErr w:type="spellStart"/>
      <w:r w:rsidRPr="00963E79">
        <w:rPr>
          <w:rFonts w:ascii="Arial" w:hAnsi="Arial" w:cs="Arial"/>
        </w:rPr>
        <w:t>Bocken</w:t>
      </w:r>
      <w:proofErr w:type="spellEnd"/>
      <w:r w:rsidRPr="00963E79">
        <w:rPr>
          <w:rFonts w:ascii="Arial" w:hAnsi="Arial" w:cs="Arial"/>
        </w:rPr>
        <w:t xml:space="preserve"> et al., 2014). In addition to increasing the company's exposure, this alignment guarantees a consistent flow of customers.</w:t>
      </w:r>
    </w:p>
    <w:p w14:paraId="73BF3369" w14:textId="77777777" w:rsidR="00963E79" w:rsidRPr="00963E79" w:rsidRDefault="00963E79" w:rsidP="00963E79">
      <w:pPr>
        <w:spacing w:line="480" w:lineRule="auto"/>
        <w:rPr>
          <w:rFonts w:ascii="Arial Black" w:hAnsi="Arial Black" w:cs="Arial"/>
        </w:rPr>
      </w:pPr>
      <w:r w:rsidRPr="00963E79">
        <w:rPr>
          <w:rFonts w:ascii="Arial Black" w:hAnsi="Arial Black" w:cs="Arial"/>
        </w:rPr>
        <w:t>Analysis of PESTLE</w:t>
      </w:r>
    </w:p>
    <w:p w14:paraId="526EBCDE" w14:textId="77777777" w:rsidR="00963E79" w:rsidRDefault="00963E79" w:rsidP="00963E79">
      <w:pPr>
        <w:spacing w:line="480" w:lineRule="auto"/>
        <w:rPr>
          <w:rFonts w:ascii="Arial" w:hAnsi="Arial" w:cs="Arial"/>
        </w:rPr>
      </w:pPr>
      <w:r w:rsidRPr="00963E79">
        <w:rPr>
          <w:rFonts w:ascii="Arial" w:hAnsi="Arial" w:cs="Arial"/>
        </w:rPr>
        <w:t>A dynamic environment influenced by political, economic, social, technological, legal, and environmental variables surrounds GreenGlow Energy's operations. Politically, a lot of governments support renewable energy by offering tax breaks or refunds. These frameworks act as growth accelerators, increasing the financial appeal of installations for both commercial and residential clients. But because policy changes might lead to uncertainty, GreenGlow makes an investment in keeping an eye on legislative developments.</w:t>
      </w:r>
    </w:p>
    <w:p w14:paraId="74691394" w14:textId="77777777" w:rsidR="00963E79" w:rsidRDefault="00963E79" w:rsidP="00963E79">
      <w:pPr>
        <w:spacing w:line="480" w:lineRule="auto"/>
        <w:rPr>
          <w:rFonts w:ascii="Arial" w:hAnsi="Arial" w:cs="Arial"/>
        </w:rPr>
      </w:pPr>
      <w:r w:rsidRPr="00963E79">
        <w:rPr>
          <w:rFonts w:ascii="Arial" w:hAnsi="Arial" w:cs="Arial"/>
        </w:rPr>
        <w:t>Consumer spending power and the price of fossil fuels can have an economic impact on how appealing renewable energy sources are. Renewable energy sources might become more affordable when the price of traditional fuels changes, encouraging broader use. The rise in socially conscious investing is a related trend that reflects a wider understanding that long-term financial gain can result from alignment with sustainability principles (Cortez, Silva &amp; Areal, 2012).</w:t>
      </w:r>
    </w:p>
    <w:p w14:paraId="27C5181F" w14:textId="77777777" w:rsidR="00963E79" w:rsidRDefault="00963E79" w:rsidP="00963E79">
      <w:pPr>
        <w:spacing w:line="480" w:lineRule="auto"/>
        <w:rPr>
          <w:rFonts w:ascii="Arial" w:hAnsi="Arial" w:cs="Arial"/>
        </w:rPr>
      </w:pPr>
      <w:r w:rsidRPr="00963E79">
        <w:rPr>
          <w:rFonts w:ascii="Arial" w:hAnsi="Arial" w:cs="Arial"/>
        </w:rPr>
        <w:t xml:space="preserve">On the social level, increased ecological awareness boosts demand for green solutions. More individuals see that sustainable energy use not only helps to planetary well-being but may also lower family or business expenses. </w:t>
      </w:r>
      <w:r w:rsidRPr="00963E79">
        <w:rPr>
          <w:rFonts w:ascii="Arial" w:hAnsi="Arial" w:cs="Arial"/>
        </w:rPr>
        <w:lastRenderedPageBreak/>
        <w:t>Technologically, the sector has evolved substantially, cutting down prices and enhancing efficiency. Greater panel efficiency and increased battery storage extend the usability of solar electricity into late hours, making it more enticing to customers. Legally, compliance varies from building rules to safety standards, and it is crucial for GreenGlow to be up to date to minimise delays. Lastly, the enterprise's motivational foundation is environmental concerns. Reducing emissions to combat climate change is a business opportunity as well as a moral obligation.</w:t>
      </w:r>
    </w:p>
    <w:p w14:paraId="4DD69A0F" w14:textId="77777777" w:rsidR="00963E79" w:rsidRDefault="00963E79" w:rsidP="00963E79">
      <w:pPr>
        <w:spacing w:line="480" w:lineRule="auto"/>
        <w:rPr>
          <w:rFonts w:ascii="Arial Black" w:hAnsi="Arial Black" w:cs="Arial"/>
        </w:rPr>
      </w:pPr>
      <w:r w:rsidRPr="00963E79">
        <w:rPr>
          <w:rFonts w:ascii="Arial Black" w:hAnsi="Arial Black" w:cs="Arial"/>
        </w:rPr>
        <w:t>SWOT analysis</w:t>
      </w:r>
    </w:p>
    <w:p w14:paraId="023451DB" w14:textId="77777777" w:rsidR="00963E79" w:rsidRDefault="00963E79" w:rsidP="00963E79">
      <w:pPr>
        <w:spacing w:line="480" w:lineRule="auto"/>
        <w:rPr>
          <w:rFonts w:ascii="Arial" w:hAnsi="Arial" w:cs="Arial"/>
        </w:rPr>
      </w:pPr>
      <w:r w:rsidRPr="00963E79">
        <w:rPr>
          <w:rFonts w:ascii="Arial" w:hAnsi="Arial" w:cs="Arial"/>
        </w:rPr>
        <w:t>A SWOT analysis clarifies the variables affecting GreenGlow's course. The company's specialised knowledge, effective installations, and sustainability-focused business style are among its strengths. GreenGlow diversifies risk and accommodates various geographic situations by combining solar and wind solutions into a single portfolio. However, disadvantages stem from competition with existing utility companies, which have more resources to invest in sustainable energy. Large-scale expansion also necessitates significant upfront investments in personnel and hardware.</w:t>
      </w:r>
    </w:p>
    <w:p w14:paraId="4883A2D9" w14:textId="77777777" w:rsidR="00963E79" w:rsidRDefault="00963E79" w:rsidP="00963E79">
      <w:pPr>
        <w:spacing w:line="480" w:lineRule="auto"/>
        <w:rPr>
          <w:rFonts w:ascii="Arial" w:hAnsi="Arial" w:cs="Arial"/>
        </w:rPr>
      </w:pPr>
      <w:r w:rsidRPr="00963E79">
        <w:rPr>
          <w:rFonts w:ascii="Arial" w:hAnsi="Arial" w:cs="Arial"/>
        </w:rPr>
        <w:t xml:space="preserve">There are lots of opportunities in this new market. GreenGlow can expand its service offerings and set up long-term maintenance contracts as companies and homeowners look to cut pollution. Collaborations with municipalities and real estate developers offer opportunities for increased exposure and income. Such expansion is supported by the company's partnerships with socially conscious investors, which match capital investment with long-term objectives. Threats still exist, though, such as changes in governmental regulations or a scarcity of essential parts </w:t>
      </w:r>
      <w:r w:rsidRPr="00963E79">
        <w:rPr>
          <w:rFonts w:ascii="Arial" w:hAnsi="Arial" w:cs="Arial"/>
        </w:rPr>
        <w:t>because of</w:t>
      </w:r>
      <w:r w:rsidRPr="00963E79">
        <w:rPr>
          <w:rFonts w:ascii="Arial" w:hAnsi="Arial" w:cs="Arial"/>
        </w:rPr>
        <w:t xml:space="preserve"> worldwide supply chain interruptions. Diversified supplier connections, constant </w:t>
      </w:r>
      <w:r w:rsidRPr="00963E79">
        <w:rPr>
          <w:rFonts w:ascii="Arial" w:hAnsi="Arial" w:cs="Arial"/>
        </w:rPr>
        <w:lastRenderedPageBreak/>
        <w:t>technical innovation, and proactive interaction with legislators are all necessary to mitigate these challenges (Bos-Brouwers, 2010).</w:t>
      </w:r>
    </w:p>
    <w:p w14:paraId="46D66C4E" w14:textId="21F4E11B" w:rsidR="00963E79" w:rsidRPr="00963E79" w:rsidRDefault="00963E79" w:rsidP="00963E79">
      <w:pPr>
        <w:spacing w:line="480" w:lineRule="auto"/>
        <w:rPr>
          <w:rFonts w:ascii="Arial" w:hAnsi="Arial" w:cs="Arial"/>
        </w:rPr>
      </w:pPr>
      <w:r w:rsidRPr="00963E79">
        <w:rPr>
          <w:rFonts w:ascii="Arial Black" w:hAnsi="Arial Black" w:cs="Arial"/>
        </w:rPr>
        <w:t>Projected Financial Cash Flow</w:t>
      </w:r>
    </w:p>
    <w:tbl>
      <w:tblPr>
        <w:tblStyle w:val="TableGrid"/>
        <w:tblW w:w="0" w:type="auto"/>
        <w:tblLook w:val="04A0" w:firstRow="1" w:lastRow="0" w:firstColumn="1" w:lastColumn="0" w:noHBand="0" w:noVBand="1"/>
      </w:tblPr>
      <w:tblGrid>
        <w:gridCol w:w="2254"/>
        <w:gridCol w:w="2254"/>
        <w:gridCol w:w="2254"/>
        <w:gridCol w:w="2254"/>
      </w:tblGrid>
      <w:tr w:rsidR="00963E79" w14:paraId="3BDA5479" w14:textId="77777777" w:rsidTr="001F5465">
        <w:tc>
          <w:tcPr>
            <w:tcW w:w="2254" w:type="dxa"/>
            <w:shd w:val="clear" w:color="auto" w:fill="D1D1D1" w:themeFill="background2" w:themeFillShade="E6"/>
          </w:tcPr>
          <w:p w14:paraId="642DFF58" w14:textId="7F31E57E" w:rsidR="00963E79" w:rsidRPr="001F5465" w:rsidRDefault="00963E79" w:rsidP="00963E79">
            <w:pPr>
              <w:spacing w:line="480" w:lineRule="auto"/>
              <w:rPr>
                <w:rFonts w:ascii="Arial Black" w:hAnsi="Arial Black" w:cs="Arial"/>
              </w:rPr>
            </w:pPr>
            <w:r w:rsidRPr="001F5465">
              <w:rPr>
                <w:rFonts w:ascii="Arial Black" w:hAnsi="Arial Black" w:cs="Arial"/>
              </w:rPr>
              <w:t xml:space="preserve">Year </w:t>
            </w:r>
          </w:p>
        </w:tc>
        <w:tc>
          <w:tcPr>
            <w:tcW w:w="2254" w:type="dxa"/>
            <w:shd w:val="clear" w:color="auto" w:fill="D1D1D1" w:themeFill="background2" w:themeFillShade="E6"/>
          </w:tcPr>
          <w:p w14:paraId="3DCAE945" w14:textId="77777777" w:rsidR="001F5465" w:rsidRDefault="001F5465" w:rsidP="001F5465">
            <w:pPr>
              <w:spacing w:line="480" w:lineRule="auto"/>
              <w:jc w:val="center"/>
              <w:rPr>
                <w:rFonts w:ascii="Arial Black" w:hAnsi="Arial Black" w:cs="Arial"/>
              </w:rPr>
            </w:pPr>
            <w:r w:rsidRPr="001F5465">
              <w:rPr>
                <w:rFonts w:ascii="Arial Black" w:hAnsi="Arial Black" w:cs="Arial"/>
              </w:rPr>
              <w:t xml:space="preserve">Expected Income        </w:t>
            </w:r>
          </w:p>
          <w:p w14:paraId="53A9B307" w14:textId="69D22463" w:rsidR="00963E79" w:rsidRPr="001F5465" w:rsidRDefault="001F5465" w:rsidP="001F5465">
            <w:pPr>
              <w:spacing w:line="480" w:lineRule="auto"/>
              <w:jc w:val="center"/>
              <w:rPr>
                <w:rFonts w:ascii="Arial Black" w:hAnsi="Arial Black" w:cs="Arial"/>
              </w:rPr>
            </w:pPr>
            <w:r w:rsidRPr="001F5465">
              <w:rPr>
                <w:rFonts w:ascii="Arial Black" w:hAnsi="Arial Black" w:cs="Arial"/>
              </w:rPr>
              <w:t xml:space="preserve"> £</w:t>
            </w:r>
          </w:p>
        </w:tc>
        <w:tc>
          <w:tcPr>
            <w:tcW w:w="2254" w:type="dxa"/>
            <w:shd w:val="clear" w:color="auto" w:fill="D1D1D1" w:themeFill="background2" w:themeFillShade="E6"/>
          </w:tcPr>
          <w:p w14:paraId="56B5BB49" w14:textId="4CD57A62" w:rsidR="001F5465" w:rsidRPr="001F5465" w:rsidRDefault="001F5465" w:rsidP="001F5465">
            <w:pPr>
              <w:spacing w:line="480" w:lineRule="auto"/>
              <w:jc w:val="center"/>
              <w:rPr>
                <w:rFonts w:ascii="Arial Black" w:hAnsi="Arial Black" w:cs="Arial"/>
              </w:rPr>
            </w:pPr>
            <w:r w:rsidRPr="001F5465">
              <w:rPr>
                <w:rFonts w:ascii="Arial Black" w:hAnsi="Arial Black" w:cs="Arial"/>
              </w:rPr>
              <w:t>Projected Costs</w:t>
            </w:r>
          </w:p>
          <w:p w14:paraId="3045E823" w14:textId="34C4E8DB" w:rsidR="00963E79" w:rsidRPr="001F5465" w:rsidRDefault="001F5465" w:rsidP="001F5465">
            <w:pPr>
              <w:spacing w:line="480" w:lineRule="auto"/>
              <w:jc w:val="center"/>
              <w:rPr>
                <w:rFonts w:ascii="Arial Black" w:hAnsi="Arial Black" w:cs="Arial"/>
              </w:rPr>
            </w:pPr>
            <w:r w:rsidRPr="001F5465">
              <w:rPr>
                <w:rFonts w:ascii="Arial Black" w:hAnsi="Arial Black" w:cs="Arial"/>
              </w:rPr>
              <w:t>£</w:t>
            </w:r>
          </w:p>
        </w:tc>
        <w:tc>
          <w:tcPr>
            <w:tcW w:w="2254" w:type="dxa"/>
            <w:shd w:val="clear" w:color="auto" w:fill="D1D1D1" w:themeFill="background2" w:themeFillShade="E6"/>
          </w:tcPr>
          <w:p w14:paraId="11F3B0E2" w14:textId="0125D894" w:rsidR="001F5465" w:rsidRPr="001F5465" w:rsidRDefault="001F5465" w:rsidP="001F5465">
            <w:pPr>
              <w:spacing w:line="480" w:lineRule="auto"/>
              <w:jc w:val="center"/>
              <w:rPr>
                <w:rFonts w:ascii="Arial Black" w:hAnsi="Arial Black" w:cs="Arial"/>
              </w:rPr>
            </w:pPr>
            <w:r w:rsidRPr="001F5465">
              <w:rPr>
                <w:rFonts w:ascii="Arial Black" w:hAnsi="Arial Black" w:cs="Arial"/>
              </w:rPr>
              <w:t>Net Cash Flow</w:t>
            </w:r>
          </w:p>
          <w:p w14:paraId="04E76355" w14:textId="23F25007" w:rsidR="00963E79" w:rsidRPr="001F5465" w:rsidRDefault="001F5465" w:rsidP="001F5465">
            <w:pPr>
              <w:spacing w:line="480" w:lineRule="auto"/>
              <w:jc w:val="center"/>
              <w:rPr>
                <w:rFonts w:ascii="Arial Black" w:hAnsi="Arial Black" w:cs="Arial"/>
              </w:rPr>
            </w:pPr>
            <w:r w:rsidRPr="001F5465">
              <w:rPr>
                <w:rFonts w:ascii="Arial Black" w:hAnsi="Arial Black" w:cs="Arial"/>
              </w:rPr>
              <w:t>£</w:t>
            </w:r>
          </w:p>
        </w:tc>
      </w:tr>
      <w:tr w:rsidR="00963E79" w14:paraId="40A49BD4" w14:textId="77777777" w:rsidTr="00963E79">
        <w:tc>
          <w:tcPr>
            <w:tcW w:w="2254" w:type="dxa"/>
          </w:tcPr>
          <w:p w14:paraId="41E78052" w14:textId="7CFE0D56" w:rsidR="00963E79" w:rsidRDefault="00963E79" w:rsidP="00963E79">
            <w:pPr>
              <w:spacing w:line="480" w:lineRule="auto"/>
              <w:rPr>
                <w:rFonts w:ascii="Arial" w:hAnsi="Arial" w:cs="Arial"/>
              </w:rPr>
            </w:pPr>
            <w:r>
              <w:rPr>
                <w:rFonts w:ascii="Arial" w:hAnsi="Arial" w:cs="Arial"/>
              </w:rPr>
              <w:t>2024</w:t>
            </w:r>
          </w:p>
        </w:tc>
        <w:tc>
          <w:tcPr>
            <w:tcW w:w="2254" w:type="dxa"/>
          </w:tcPr>
          <w:p w14:paraId="6932A5E0" w14:textId="0BC32A57" w:rsidR="00963E79" w:rsidRDefault="00963E79" w:rsidP="00963E79">
            <w:pPr>
              <w:spacing w:line="480" w:lineRule="auto"/>
              <w:rPr>
                <w:rFonts w:ascii="Arial" w:hAnsi="Arial" w:cs="Arial"/>
              </w:rPr>
            </w:pPr>
            <w:r>
              <w:rPr>
                <w:rFonts w:ascii="Arial" w:hAnsi="Arial" w:cs="Arial"/>
              </w:rPr>
              <w:t>1.200.000</w:t>
            </w:r>
          </w:p>
        </w:tc>
        <w:tc>
          <w:tcPr>
            <w:tcW w:w="2254" w:type="dxa"/>
          </w:tcPr>
          <w:p w14:paraId="57126547" w14:textId="23BDFBA7" w:rsidR="00963E79" w:rsidRDefault="00963E79" w:rsidP="00963E79">
            <w:pPr>
              <w:spacing w:line="480" w:lineRule="auto"/>
              <w:rPr>
                <w:rFonts w:ascii="Arial" w:hAnsi="Arial" w:cs="Arial"/>
              </w:rPr>
            </w:pPr>
            <w:r>
              <w:rPr>
                <w:rFonts w:ascii="Arial" w:hAnsi="Arial" w:cs="Arial"/>
              </w:rPr>
              <w:t>700.000</w:t>
            </w:r>
          </w:p>
        </w:tc>
        <w:tc>
          <w:tcPr>
            <w:tcW w:w="2254" w:type="dxa"/>
          </w:tcPr>
          <w:p w14:paraId="77C44C00" w14:textId="2DA396A9" w:rsidR="00963E79" w:rsidRDefault="00963E79" w:rsidP="00963E79">
            <w:pPr>
              <w:spacing w:line="480" w:lineRule="auto"/>
              <w:rPr>
                <w:rFonts w:ascii="Arial" w:hAnsi="Arial" w:cs="Arial"/>
              </w:rPr>
            </w:pPr>
            <w:r>
              <w:rPr>
                <w:rFonts w:ascii="Arial" w:hAnsi="Arial" w:cs="Arial"/>
              </w:rPr>
              <w:t>500.000</w:t>
            </w:r>
          </w:p>
        </w:tc>
      </w:tr>
      <w:tr w:rsidR="00963E79" w14:paraId="1B11215B" w14:textId="77777777" w:rsidTr="00963E79">
        <w:tc>
          <w:tcPr>
            <w:tcW w:w="2254" w:type="dxa"/>
          </w:tcPr>
          <w:p w14:paraId="05FAE95D" w14:textId="0BD06B3D" w:rsidR="00963E79" w:rsidRDefault="00963E79" w:rsidP="00963E79">
            <w:pPr>
              <w:spacing w:line="480" w:lineRule="auto"/>
              <w:rPr>
                <w:rFonts w:ascii="Arial" w:hAnsi="Arial" w:cs="Arial"/>
              </w:rPr>
            </w:pPr>
            <w:r>
              <w:rPr>
                <w:rFonts w:ascii="Arial" w:hAnsi="Arial" w:cs="Arial"/>
              </w:rPr>
              <w:t>2025</w:t>
            </w:r>
          </w:p>
        </w:tc>
        <w:tc>
          <w:tcPr>
            <w:tcW w:w="2254" w:type="dxa"/>
          </w:tcPr>
          <w:p w14:paraId="05D743FE" w14:textId="671273B4" w:rsidR="00963E79" w:rsidRDefault="00963E79" w:rsidP="00963E79">
            <w:pPr>
              <w:spacing w:line="480" w:lineRule="auto"/>
              <w:rPr>
                <w:rFonts w:ascii="Arial" w:hAnsi="Arial" w:cs="Arial"/>
              </w:rPr>
            </w:pPr>
            <w:r>
              <w:rPr>
                <w:rFonts w:ascii="Arial" w:hAnsi="Arial" w:cs="Arial"/>
              </w:rPr>
              <w:t>2.000.000</w:t>
            </w:r>
          </w:p>
        </w:tc>
        <w:tc>
          <w:tcPr>
            <w:tcW w:w="2254" w:type="dxa"/>
          </w:tcPr>
          <w:p w14:paraId="2E582B62" w14:textId="798F7B01" w:rsidR="00963E79" w:rsidRDefault="00963E79" w:rsidP="00963E79">
            <w:pPr>
              <w:spacing w:line="480" w:lineRule="auto"/>
              <w:rPr>
                <w:rFonts w:ascii="Arial" w:hAnsi="Arial" w:cs="Arial"/>
              </w:rPr>
            </w:pPr>
            <w:r>
              <w:rPr>
                <w:rFonts w:ascii="Arial" w:hAnsi="Arial" w:cs="Arial"/>
              </w:rPr>
              <w:t>1.000.000</w:t>
            </w:r>
          </w:p>
        </w:tc>
        <w:tc>
          <w:tcPr>
            <w:tcW w:w="2254" w:type="dxa"/>
          </w:tcPr>
          <w:p w14:paraId="07852CB7" w14:textId="5396A8A5" w:rsidR="00963E79" w:rsidRDefault="00963E79" w:rsidP="00963E79">
            <w:pPr>
              <w:spacing w:line="480" w:lineRule="auto"/>
              <w:rPr>
                <w:rFonts w:ascii="Arial" w:hAnsi="Arial" w:cs="Arial"/>
              </w:rPr>
            </w:pPr>
            <w:r>
              <w:rPr>
                <w:rFonts w:ascii="Arial" w:hAnsi="Arial" w:cs="Arial"/>
              </w:rPr>
              <w:t>1.300.000</w:t>
            </w:r>
          </w:p>
        </w:tc>
      </w:tr>
      <w:tr w:rsidR="00963E79" w14:paraId="7D49FDF9" w14:textId="77777777" w:rsidTr="00963E79">
        <w:tc>
          <w:tcPr>
            <w:tcW w:w="2254" w:type="dxa"/>
          </w:tcPr>
          <w:p w14:paraId="7B394E5C" w14:textId="45558E1C" w:rsidR="00963E79" w:rsidRDefault="00963E79" w:rsidP="00963E79">
            <w:pPr>
              <w:spacing w:line="480" w:lineRule="auto"/>
              <w:rPr>
                <w:rFonts w:ascii="Arial" w:hAnsi="Arial" w:cs="Arial"/>
              </w:rPr>
            </w:pPr>
            <w:r>
              <w:rPr>
                <w:rFonts w:ascii="Arial" w:hAnsi="Arial" w:cs="Arial"/>
              </w:rPr>
              <w:t>2026</w:t>
            </w:r>
          </w:p>
        </w:tc>
        <w:tc>
          <w:tcPr>
            <w:tcW w:w="2254" w:type="dxa"/>
          </w:tcPr>
          <w:p w14:paraId="6080295D" w14:textId="7E9D1D66" w:rsidR="00963E79" w:rsidRDefault="00963E79" w:rsidP="00963E79">
            <w:pPr>
              <w:spacing w:line="480" w:lineRule="auto"/>
              <w:rPr>
                <w:rFonts w:ascii="Arial" w:hAnsi="Arial" w:cs="Arial"/>
              </w:rPr>
            </w:pPr>
            <w:r>
              <w:rPr>
                <w:rFonts w:ascii="Arial" w:hAnsi="Arial" w:cs="Arial"/>
              </w:rPr>
              <w:t>3.500.000</w:t>
            </w:r>
          </w:p>
        </w:tc>
        <w:tc>
          <w:tcPr>
            <w:tcW w:w="2254" w:type="dxa"/>
          </w:tcPr>
          <w:p w14:paraId="2FBFBE10" w14:textId="68EF3EB4" w:rsidR="00963E79" w:rsidRDefault="00963E79" w:rsidP="00963E79">
            <w:pPr>
              <w:spacing w:line="480" w:lineRule="auto"/>
              <w:rPr>
                <w:rFonts w:ascii="Arial" w:hAnsi="Arial" w:cs="Arial"/>
              </w:rPr>
            </w:pPr>
            <w:r>
              <w:rPr>
                <w:rFonts w:ascii="Arial" w:hAnsi="Arial" w:cs="Arial"/>
              </w:rPr>
              <w:t>1.800.000</w:t>
            </w:r>
          </w:p>
        </w:tc>
        <w:tc>
          <w:tcPr>
            <w:tcW w:w="2254" w:type="dxa"/>
          </w:tcPr>
          <w:p w14:paraId="69EB2727" w14:textId="2C2239EA" w:rsidR="00963E79" w:rsidRDefault="00963E79" w:rsidP="00963E79">
            <w:pPr>
              <w:spacing w:line="480" w:lineRule="auto"/>
              <w:rPr>
                <w:rFonts w:ascii="Arial" w:hAnsi="Arial" w:cs="Arial"/>
              </w:rPr>
            </w:pPr>
            <w:r>
              <w:rPr>
                <w:rFonts w:ascii="Arial" w:hAnsi="Arial" w:cs="Arial"/>
              </w:rPr>
              <w:t>1.700.000</w:t>
            </w:r>
          </w:p>
        </w:tc>
      </w:tr>
      <w:tr w:rsidR="00963E79" w14:paraId="48C2A718" w14:textId="77777777" w:rsidTr="00963E79">
        <w:tc>
          <w:tcPr>
            <w:tcW w:w="2254" w:type="dxa"/>
          </w:tcPr>
          <w:p w14:paraId="1AA12E7F" w14:textId="0D053E82" w:rsidR="00963E79" w:rsidRDefault="00963E79" w:rsidP="00963E79">
            <w:pPr>
              <w:spacing w:line="480" w:lineRule="auto"/>
              <w:rPr>
                <w:rFonts w:ascii="Arial" w:hAnsi="Arial" w:cs="Arial"/>
              </w:rPr>
            </w:pPr>
            <w:r>
              <w:rPr>
                <w:rFonts w:ascii="Arial" w:hAnsi="Arial" w:cs="Arial"/>
              </w:rPr>
              <w:t>2027</w:t>
            </w:r>
          </w:p>
        </w:tc>
        <w:tc>
          <w:tcPr>
            <w:tcW w:w="2254" w:type="dxa"/>
          </w:tcPr>
          <w:p w14:paraId="34818D7D" w14:textId="6B8C3F96" w:rsidR="00963E79" w:rsidRDefault="00963E79" w:rsidP="00963E79">
            <w:pPr>
              <w:spacing w:line="480" w:lineRule="auto"/>
              <w:rPr>
                <w:rFonts w:ascii="Arial" w:hAnsi="Arial" w:cs="Arial"/>
              </w:rPr>
            </w:pPr>
            <w:r>
              <w:rPr>
                <w:rFonts w:ascii="Arial" w:hAnsi="Arial" w:cs="Arial"/>
              </w:rPr>
              <w:t>5.000.000</w:t>
            </w:r>
          </w:p>
        </w:tc>
        <w:tc>
          <w:tcPr>
            <w:tcW w:w="2254" w:type="dxa"/>
          </w:tcPr>
          <w:p w14:paraId="691DB598" w14:textId="1764B3CB" w:rsidR="00963E79" w:rsidRDefault="00963E79" w:rsidP="00963E79">
            <w:pPr>
              <w:spacing w:line="480" w:lineRule="auto"/>
              <w:rPr>
                <w:rFonts w:ascii="Arial" w:hAnsi="Arial" w:cs="Arial"/>
              </w:rPr>
            </w:pPr>
            <w:r>
              <w:rPr>
                <w:rFonts w:ascii="Arial" w:hAnsi="Arial" w:cs="Arial"/>
              </w:rPr>
              <w:t>2.500.000</w:t>
            </w:r>
          </w:p>
        </w:tc>
        <w:tc>
          <w:tcPr>
            <w:tcW w:w="2254" w:type="dxa"/>
          </w:tcPr>
          <w:p w14:paraId="33CC8979" w14:textId="3DD1873D" w:rsidR="00963E79" w:rsidRDefault="001F5465" w:rsidP="00963E79">
            <w:pPr>
              <w:spacing w:line="480" w:lineRule="auto"/>
              <w:rPr>
                <w:rFonts w:ascii="Arial" w:hAnsi="Arial" w:cs="Arial"/>
              </w:rPr>
            </w:pPr>
            <w:r>
              <w:rPr>
                <w:rFonts w:ascii="Arial" w:hAnsi="Arial" w:cs="Arial"/>
              </w:rPr>
              <w:t>2.500.000</w:t>
            </w:r>
          </w:p>
        </w:tc>
      </w:tr>
      <w:tr w:rsidR="00963E79" w14:paraId="716F70E2" w14:textId="77777777" w:rsidTr="00963E79">
        <w:tc>
          <w:tcPr>
            <w:tcW w:w="2254" w:type="dxa"/>
          </w:tcPr>
          <w:p w14:paraId="6E913023" w14:textId="708C7B68" w:rsidR="00963E79" w:rsidRDefault="00963E79" w:rsidP="00963E79">
            <w:pPr>
              <w:spacing w:line="480" w:lineRule="auto"/>
              <w:rPr>
                <w:rFonts w:ascii="Arial" w:hAnsi="Arial" w:cs="Arial"/>
              </w:rPr>
            </w:pPr>
            <w:r>
              <w:rPr>
                <w:rFonts w:ascii="Arial" w:hAnsi="Arial" w:cs="Arial"/>
              </w:rPr>
              <w:t>2028</w:t>
            </w:r>
          </w:p>
        </w:tc>
        <w:tc>
          <w:tcPr>
            <w:tcW w:w="2254" w:type="dxa"/>
          </w:tcPr>
          <w:p w14:paraId="52F0A88C" w14:textId="5A9450A0" w:rsidR="00963E79" w:rsidRDefault="00963E79" w:rsidP="00963E79">
            <w:pPr>
              <w:spacing w:line="480" w:lineRule="auto"/>
              <w:rPr>
                <w:rFonts w:ascii="Arial" w:hAnsi="Arial" w:cs="Arial"/>
              </w:rPr>
            </w:pPr>
            <w:r>
              <w:rPr>
                <w:rFonts w:ascii="Arial" w:hAnsi="Arial" w:cs="Arial"/>
              </w:rPr>
              <w:t>7.500.000</w:t>
            </w:r>
          </w:p>
        </w:tc>
        <w:tc>
          <w:tcPr>
            <w:tcW w:w="2254" w:type="dxa"/>
          </w:tcPr>
          <w:p w14:paraId="757EEA2F" w14:textId="3C049E6F" w:rsidR="00963E79" w:rsidRDefault="00963E79" w:rsidP="00963E79">
            <w:pPr>
              <w:spacing w:line="480" w:lineRule="auto"/>
              <w:rPr>
                <w:rFonts w:ascii="Arial" w:hAnsi="Arial" w:cs="Arial"/>
              </w:rPr>
            </w:pPr>
            <w:r>
              <w:rPr>
                <w:rFonts w:ascii="Arial" w:hAnsi="Arial" w:cs="Arial"/>
              </w:rPr>
              <w:t>3.500.000</w:t>
            </w:r>
          </w:p>
        </w:tc>
        <w:tc>
          <w:tcPr>
            <w:tcW w:w="2254" w:type="dxa"/>
          </w:tcPr>
          <w:p w14:paraId="20EAF96C" w14:textId="0F850DE6" w:rsidR="00963E79" w:rsidRDefault="001F5465" w:rsidP="00963E79">
            <w:pPr>
              <w:spacing w:line="480" w:lineRule="auto"/>
              <w:rPr>
                <w:rFonts w:ascii="Arial" w:hAnsi="Arial" w:cs="Arial"/>
              </w:rPr>
            </w:pPr>
            <w:r>
              <w:rPr>
                <w:rFonts w:ascii="Arial" w:hAnsi="Arial" w:cs="Arial"/>
              </w:rPr>
              <w:t>5.000.000</w:t>
            </w:r>
          </w:p>
        </w:tc>
      </w:tr>
    </w:tbl>
    <w:p w14:paraId="7F1CB950" w14:textId="77777777" w:rsidR="001F5465" w:rsidRDefault="001F5465" w:rsidP="00963E79">
      <w:pPr>
        <w:spacing w:line="480" w:lineRule="auto"/>
        <w:rPr>
          <w:rFonts w:ascii="Arial" w:hAnsi="Arial" w:cs="Arial"/>
        </w:rPr>
      </w:pPr>
    </w:p>
    <w:p w14:paraId="101C53CC" w14:textId="77777777" w:rsidR="001F5465" w:rsidRDefault="00963E79" w:rsidP="00963E79">
      <w:pPr>
        <w:spacing w:line="480" w:lineRule="auto"/>
        <w:rPr>
          <w:rFonts w:ascii="Arial" w:hAnsi="Arial" w:cs="Arial"/>
        </w:rPr>
      </w:pPr>
      <w:r w:rsidRPr="00963E79">
        <w:rPr>
          <w:rFonts w:ascii="Arial" w:hAnsi="Arial" w:cs="Arial"/>
        </w:rPr>
        <w:t xml:space="preserve">These forecasts show how GreenGlow Energy's finances are expected to develop. The early stages of customer acquisition and brand development are reflected in the comparatively low earnings in 2024. Increased consumer interest and wider partnerships increase income by 2025, while costs increase in line with that growth. The rise in net cash flow that year lays the framework for future investments in infrastructure and personnel. The company leverages economies of scale to manage costs, and income is expected to increase by 2026 </w:t>
      </w:r>
      <w:r w:rsidR="001F5465" w:rsidRPr="00963E79">
        <w:rPr>
          <w:rFonts w:ascii="Arial" w:hAnsi="Arial" w:cs="Arial"/>
        </w:rPr>
        <w:t>because of</w:t>
      </w:r>
      <w:r w:rsidRPr="00963E79">
        <w:rPr>
          <w:rFonts w:ascii="Arial" w:hAnsi="Arial" w:cs="Arial"/>
        </w:rPr>
        <w:t xml:space="preserve"> the increased adoption of renewables, strategic marketing, and government incentives. As installations and subscription-based services expand, the following years demonstrate greater gains, resulting in sizable net cash flows that bolster GreenGlow's ability to conduct research, innovate, and expand globally.</w:t>
      </w:r>
    </w:p>
    <w:p w14:paraId="050EBD72" w14:textId="77777777" w:rsidR="001F5465" w:rsidRPr="001F5465" w:rsidRDefault="00963E79" w:rsidP="00963E79">
      <w:pPr>
        <w:spacing w:line="480" w:lineRule="auto"/>
        <w:rPr>
          <w:rFonts w:ascii="Arial Black" w:hAnsi="Arial Black" w:cs="Arial"/>
        </w:rPr>
      </w:pPr>
      <w:r w:rsidRPr="00963E79">
        <w:rPr>
          <w:rFonts w:ascii="Arial Black" w:hAnsi="Arial Black" w:cs="Arial"/>
        </w:rPr>
        <w:lastRenderedPageBreak/>
        <w:t>Contingency Plan</w:t>
      </w:r>
    </w:p>
    <w:p w14:paraId="0ECBFDBB" w14:textId="77777777" w:rsidR="001F5465" w:rsidRDefault="00963E79" w:rsidP="00963E79">
      <w:pPr>
        <w:spacing w:line="480" w:lineRule="auto"/>
        <w:rPr>
          <w:rFonts w:ascii="Arial" w:hAnsi="Arial" w:cs="Arial"/>
        </w:rPr>
      </w:pPr>
      <w:r w:rsidRPr="00963E79">
        <w:rPr>
          <w:rFonts w:ascii="Arial" w:hAnsi="Arial" w:cs="Arial"/>
        </w:rPr>
        <w:t xml:space="preserve">GreenGlow Energy has prepared a backup plan in recognition of the unpredictable character of energy markets </w:t>
      </w:r>
      <w:r w:rsidR="001F5465" w:rsidRPr="00963E79">
        <w:rPr>
          <w:rFonts w:ascii="Arial" w:hAnsi="Arial" w:cs="Arial"/>
        </w:rPr>
        <w:t>to</w:t>
      </w:r>
      <w:r w:rsidRPr="00963E79">
        <w:rPr>
          <w:rFonts w:ascii="Arial" w:hAnsi="Arial" w:cs="Arial"/>
        </w:rPr>
        <w:t xml:space="preserve"> maintain operational stability and protect profitability. Diversification in technology is a crucial component. The business keeps an eye on fresh prospects in small-scale hydropower and other renewable energy sources, even if solar and wind are still its major products. This larger portfolio helps maintain income </w:t>
      </w:r>
      <w:r w:rsidR="001F5465" w:rsidRPr="00963E79">
        <w:rPr>
          <w:rFonts w:ascii="Arial" w:hAnsi="Arial" w:cs="Arial"/>
        </w:rPr>
        <w:t>if</w:t>
      </w:r>
      <w:r w:rsidRPr="00963E79">
        <w:rPr>
          <w:rFonts w:ascii="Arial" w:hAnsi="Arial" w:cs="Arial"/>
        </w:rPr>
        <w:t xml:space="preserve"> customer preferences or government incentives change. Building ties with several suppliers for essential components is another aspect of risk management. The organisation can change course to keep its installation timeline intact even if one supplier encounters production or logistics issues.</w:t>
      </w:r>
    </w:p>
    <w:p w14:paraId="1C521ECF" w14:textId="77777777" w:rsidR="001F5465" w:rsidRDefault="00963E79" w:rsidP="00963E79">
      <w:pPr>
        <w:spacing w:line="480" w:lineRule="auto"/>
        <w:rPr>
          <w:rFonts w:ascii="Arial" w:hAnsi="Arial" w:cs="Arial"/>
        </w:rPr>
      </w:pPr>
      <w:r w:rsidRPr="00963E79">
        <w:rPr>
          <w:rFonts w:ascii="Arial" w:hAnsi="Arial" w:cs="Arial"/>
        </w:rPr>
        <w:t>Setting aside a portion of yearly revenues for emergency reserves helps to strengthen financial resilience. By reducing the negative effects of abrupt legislative changes or economic downturns, these resources enable GreenGlow to continue funding initiatives and keeping important employees. The company participates in forums and associations that influence the direction of renewable energy and periodically evaluates laws. GreenGlow stays ahead of regulatory changes through industry advocacy, enabling proactive adaptation. The corporation can redirect its outreach to highlight the medium- and long-term savings of installing solar and wind systems if subsidies decrease, which will maintain market demand. This adaptability to changing circumstances highlights the company's dedication to reliable, accountable operations.</w:t>
      </w:r>
      <w:r w:rsidRPr="00963E79">
        <w:rPr>
          <w:rFonts w:ascii="Arial" w:hAnsi="Arial" w:cs="Arial"/>
        </w:rPr>
        <w:br/>
      </w:r>
      <w:r w:rsidRPr="00963E79">
        <w:rPr>
          <w:rFonts w:ascii="Arial" w:hAnsi="Arial" w:cs="Arial"/>
        </w:rPr>
        <w:br/>
      </w:r>
    </w:p>
    <w:p w14:paraId="4BF3ED0A" w14:textId="77777777" w:rsidR="001F5465" w:rsidRDefault="001F5465" w:rsidP="00963E79">
      <w:pPr>
        <w:spacing w:line="480" w:lineRule="auto"/>
        <w:rPr>
          <w:rFonts w:ascii="Arial" w:hAnsi="Arial" w:cs="Arial"/>
        </w:rPr>
      </w:pPr>
    </w:p>
    <w:p w14:paraId="5DCE6F6B" w14:textId="5CEEB072" w:rsidR="001F5465" w:rsidRPr="001F5465" w:rsidRDefault="001F5465" w:rsidP="00963E79">
      <w:pPr>
        <w:spacing w:line="480" w:lineRule="auto"/>
        <w:rPr>
          <w:rFonts w:ascii="Arial Black" w:hAnsi="Arial Black" w:cs="Arial"/>
        </w:rPr>
      </w:pPr>
      <w:r w:rsidRPr="001F5465">
        <w:rPr>
          <w:rFonts w:ascii="Arial Black" w:hAnsi="Arial Black" w:cs="Arial"/>
        </w:rPr>
        <w:lastRenderedPageBreak/>
        <w:t>C</w:t>
      </w:r>
      <w:r w:rsidR="00963E79" w:rsidRPr="00963E79">
        <w:rPr>
          <w:rFonts w:ascii="Arial Black" w:hAnsi="Arial Black" w:cs="Arial"/>
        </w:rPr>
        <w:t>onclusion</w:t>
      </w:r>
    </w:p>
    <w:p w14:paraId="6024368E" w14:textId="77777777" w:rsidR="001F5465" w:rsidRDefault="00963E79" w:rsidP="00963E79">
      <w:pPr>
        <w:spacing w:line="480" w:lineRule="auto"/>
        <w:rPr>
          <w:rFonts w:ascii="Arial" w:hAnsi="Arial" w:cs="Arial"/>
        </w:rPr>
      </w:pPr>
      <w:r w:rsidRPr="00963E79">
        <w:rPr>
          <w:rFonts w:ascii="Arial" w:hAnsi="Arial" w:cs="Arial"/>
        </w:rPr>
        <w:t>GreenGlow Energy has the potential to grow into a major force in the field of renewable energy. The company responds to the pressing need to shift away from fossil fuels and towards cleaner, more sustainable power sources by focussing its operations on solar and wind technology (Ehrenfeld, 2008). GreenGlow exemplifies how commercial success may coexist with significant ecological advantages through a carefully crafted company strategy that combines innovation, affordability, and environmental conscience. A solid basis for future growth is provided by its emphasis on in-depth research, regular stakeholder involvement, and organised growth initiatives.</w:t>
      </w:r>
    </w:p>
    <w:p w14:paraId="127A127E" w14:textId="77777777" w:rsidR="001F5465" w:rsidRDefault="00963E79" w:rsidP="00963E79">
      <w:pPr>
        <w:spacing w:line="480" w:lineRule="auto"/>
        <w:rPr>
          <w:rFonts w:ascii="Arial" w:hAnsi="Arial" w:cs="Arial"/>
        </w:rPr>
      </w:pPr>
      <w:r w:rsidRPr="00963E79">
        <w:rPr>
          <w:rFonts w:ascii="Arial" w:hAnsi="Arial" w:cs="Arial"/>
        </w:rPr>
        <w:t xml:space="preserve">The need of combining ethical objectives with financial viability is also demonstrated by the company's entire strategy. GreenGlow makes sure that its projects continue to be profitable and available to a diverse clientele by utilising government incentives and socially conscious investments. At the same time, community education initiatives highlight the social component of the company's goal while increasing awareness of the advantages of renewable energy. More communities are adopting solar and wind solutions </w:t>
      </w:r>
      <w:r w:rsidR="001F5465" w:rsidRPr="00963E79">
        <w:rPr>
          <w:rFonts w:ascii="Arial" w:hAnsi="Arial" w:cs="Arial"/>
        </w:rPr>
        <w:t>because of</w:t>
      </w:r>
      <w:r w:rsidRPr="00963E79">
        <w:rPr>
          <w:rFonts w:ascii="Arial" w:hAnsi="Arial" w:cs="Arial"/>
        </w:rPr>
        <w:t xml:space="preserve"> the effort to develop local expertise and provide training opportunities, which also increases the workforce and builds public trust. The social, environmental, and economic aspects of GreenGlow's strategy are so intricately linked.</w:t>
      </w:r>
    </w:p>
    <w:p w14:paraId="69CD4DA3" w14:textId="77777777" w:rsidR="001F5465" w:rsidRDefault="00963E79" w:rsidP="00963E79">
      <w:pPr>
        <w:spacing w:line="480" w:lineRule="auto"/>
        <w:rPr>
          <w:rFonts w:ascii="Arial" w:hAnsi="Arial" w:cs="Arial"/>
        </w:rPr>
      </w:pPr>
      <w:r w:rsidRPr="00963E79">
        <w:rPr>
          <w:rFonts w:ascii="Arial" w:hAnsi="Arial" w:cs="Arial"/>
        </w:rPr>
        <w:t xml:space="preserve">Looking ahead, the company's technical diversification, emergency preparation, and dedication to tracking legislation changes highlight its resilience in a field that is dynamic and subject to quick change. According to the financial estimates, a growing clientele and improved operational efficiency will drive consistent revenue growth. </w:t>
      </w:r>
      <w:r w:rsidRPr="00963E79">
        <w:rPr>
          <w:rFonts w:ascii="Arial" w:hAnsi="Arial" w:cs="Arial"/>
        </w:rPr>
        <w:lastRenderedPageBreak/>
        <w:t>GreenGlow is positioned to react to both known and unforeseen developments by establishing strategic alliances, consistently improving its technology, and staying flexible in response to market conditions. Its path highlights a more significant change in the global energy scene, where ethical businesses may prosper by balancing resource stewardship with revenue.</w:t>
      </w:r>
    </w:p>
    <w:p w14:paraId="7FC97B05" w14:textId="2DFCC609" w:rsidR="00963E79" w:rsidRDefault="00963E79" w:rsidP="00963E79">
      <w:pPr>
        <w:spacing w:line="480" w:lineRule="auto"/>
        <w:rPr>
          <w:rFonts w:ascii="Arial" w:hAnsi="Arial" w:cs="Arial"/>
        </w:rPr>
      </w:pPr>
      <w:r w:rsidRPr="00963E79">
        <w:rPr>
          <w:rFonts w:ascii="Arial" w:hAnsi="Arial" w:cs="Arial"/>
        </w:rPr>
        <w:t xml:space="preserve">Concurrently, the objective to revolutionise the manner in which </w:t>
      </w:r>
      <w:proofErr w:type="gramStart"/>
      <w:r w:rsidRPr="00963E79">
        <w:rPr>
          <w:rFonts w:ascii="Arial" w:hAnsi="Arial" w:cs="Arial"/>
        </w:rPr>
        <w:t>individuals</w:t>
      </w:r>
      <w:proofErr w:type="gramEnd"/>
      <w:r w:rsidRPr="00963E79">
        <w:rPr>
          <w:rFonts w:ascii="Arial" w:hAnsi="Arial" w:cs="Arial"/>
        </w:rPr>
        <w:t xml:space="preserve"> access and utilise energy transcends ordinary installations. GreenGlow hopes to bring about a long-term cultural change in which renewable energy is accepted as a standard option that strikes a balance between cost effectiveness and environmental responsibility. Through the active engagement of communities, governments, and investors, the company is creating a network of support that goes beyond the boundaries of traditional business. It serves as an illustration of how careful planning, tenacious funding, and grassroots lobbying can come together to establish renewable energy as a constant in contemporary life. Sustainable practices are gaining power, and GreenGlow Energy's model</w:t>
      </w:r>
      <w:r w:rsidR="001F5465">
        <w:rPr>
          <w:rFonts w:ascii="Arial" w:hAnsi="Arial" w:cs="Arial"/>
        </w:rPr>
        <w:t xml:space="preserve">, </w:t>
      </w:r>
      <w:r w:rsidRPr="00963E79">
        <w:rPr>
          <w:rFonts w:ascii="Arial" w:hAnsi="Arial" w:cs="Arial"/>
        </w:rPr>
        <w:t>which is based on workable answers and well-defined goals</w:t>
      </w:r>
      <w:r w:rsidR="001F5465">
        <w:rPr>
          <w:rFonts w:ascii="Arial" w:hAnsi="Arial" w:cs="Arial"/>
        </w:rPr>
        <w:t>-</w:t>
      </w:r>
      <w:r w:rsidRPr="00963E79">
        <w:rPr>
          <w:rFonts w:ascii="Arial" w:hAnsi="Arial" w:cs="Arial"/>
        </w:rPr>
        <w:t>indicates that energy can have a future that is both commercially viable and environmentally responsible. When implemented diligently and adaptably, such a vision demonstrates the strong synergy between real environmental care and commercial success, reaffirming that a cleaner planet should not come at the expense of profit. Additionally, it provides a road map for like-minded businesses looking to close the gap between sustainability and economic success, assisting in the development of an energy environment that prioritises creativity, accessibility, and shared accountability.</w:t>
      </w:r>
    </w:p>
    <w:p w14:paraId="1824CF35" w14:textId="77777777" w:rsidR="001F5465" w:rsidRDefault="001F5465" w:rsidP="00963E79">
      <w:pPr>
        <w:spacing w:line="480" w:lineRule="auto"/>
        <w:rPr>
          <w:rFonts w:ascii="Arial" w:hAnsi="Arial" w:cs="Arial"/>
        </w:rPr>
      </w:pPr>
    </w:p>
    <w:p w14:paraId="192C3F65" w14:textId="7C2505E2" w:rsidR="001F5465" w:rsidRPr="00E530BB" w:rsidRDefault="001F5465" w:rsidP="00963E79">
      <w:pPr>
        <w:spacing w:line="480" w:lineRule="auto"/>
        <w:rPr>
          <w:rFonts w:ascii="Arial Black" w:hAnsi="Arial Black" w:cs="Arial"/>
        </w:rPr>
      </w:pPr>
      <w:r w:rsidRPr="00E530BB">
        <w:rPr>
          <w:rFonts w:ascii="Arial Black" w:hAnsi="Arial Black" w:cs="Arial"/>
        </w:rPr>
        <w:lastRenderedPageBreak/>
        <w:t xml:space="preserve">References </w:t>
      </w:r>
    </w:p>
    <w:p w14:paraId="29E0FEC8" w14:textId="77777777" w:rsidR="001F5465" w:rsidRPr="001F5465" w:rsidRDefault="001F5465" w:rsidP="001F5465">
      <w:pPr>
        <w:spacing w:line="480" w:lineRule="auto"/>
        <w:rPr>
          <w:rFonts w:ascii="Arial" w:hAnsi="Arial" w:cs="Arial"/>
        </w:rPr>
      </w:pPr>
      <w:r w:rsidRPr="001F5465">
        <w:rPr>
          <w:rFonts w:ascii="Arial" w:hAnsi="Arial" w:cs="Arial"/>
        </w:rPr>
        <w:t xml:space="preserve">Armstrong, C. M., Niinimäki, K., Kujala, S., Karell, E., &amp; Lang, C. (2014). Sustainable product-service systems for clothing: exploring consumer perceptions of consumption alternatives in Finland. </w:t>
      </w:r>
      <w:r w:rsidRPr="001F5465">
        <w:rPr>
          <w:rFonts w:ascii="Arial" w:hAnsi="Arial" w:cs="Arial"/>
          <w:i/>
          <w:iCs/>
        </w:rPr>
        <w:t>Journal of Cleaner Production, 97</w:t>
      </w:r>
      <w:r w:rsidRPr="001F5465">
        <w:rPr>
          <w:rFonts w:ascii="Arial" w:hAnsi="Arial" w:cs="Arial"/>
        </w:rPr>
        <w:t>, 30–39.</w:t>
      </w:r>
    </w:p>
    <w:p w14:paraId="52B740F0" w14:textId="77777777" w:rsidR="001F5465" w:rsidRPr="001F5465" w:rsidRDefault="001F5465" w:rsidP="001F5465">
      <w:pPr>
        <w:spacing w:line="480" w:lineRule="auto"/>
        <w:rPr>
          <w:rFonts w:ascii="Arial" w:hAnsi="Arial" w:cs="Arial"/>
        </w:rPr>
      </w:pPr>
      <w:r w:rsidRPr="001F5465">
        <w:rPr>
          <w:rFonts w:ascii="Arial" w:hAnsi="Arial" w:cs="Arial"/>
        </w:rPr>
        <w:t xml:space="preserve">Berry, T., &amp; </w:t>
      </w:r>
      <w:proofErr w:type="spellStart"/>
      <w:r w:rsidRPr="001F5465">
        <w:rPr>
          <w:rFonts w:ascii="Arial" w:hAnsi="Arial" w:cs="Arial"/>
        </w:rPr>
        <w:t>Junkus</w:t>
      </w:r>
      <w:proofErr w:type="spellEnd"/>
      <w:r w:rsidRPr="001F5465">
        <w:rPr>
          <w:rFonts w:ascii="Arial" w:hAnsi="Arial" w:cs="Arial"/>
        </w:rPr>
        <w:t xml:space="preserve">, J. (2013). Socially responsible investing: an investor perspective. </w:t>
      </w:r>
      <w:r w:rsidRPr="001F5465">
        <w:rPr>
          <w:rFonts w:ascii="Arial" w:hAnsi="Arial" w:cs="Arial"/>
          <w:i/>
          <w:iCs/>
        </w:rPr>
        <w:t>Journal of Business Ethics, 112</w:t>
      </w:r>
      <w:r w:rsidRPr="001F5465">
        <w:rPr>
          <w:rFonts w:ascii="Arial" w:hAnsi="Arial" w:cs="Arial"/>
        </w:rPr>
        <w:t>(4), 707–720.</w:t>
      </w:r>
    </w:p>
    <w:p w14:paraId="1CABF936" w14:textId="76119C4D" w:rsidR="001F5465" w:rsidRPr="001F5465" w:rsidRDefault="001F5465" w:rsidP="001F5465">
      <w:pPr>
        <w:spacing w:line="480" w:lineRule="auto"/>
        <w:rPr>
          <w:rFonts w:ascii="Arial" w:hAnsi="Arial" w:cs="Arial"/>
        </w:rPr>
      </w:pPr>
      <w:proofErr w:type="spellStart"/>
      <w:r w:rsidRPr="001F5465">
        <w:rPr>
          <w:rFonts w:ascii="Arial" w:hAnsi="Arial" w:cs="Arial"/>
        </w:rPr>
        <w:t>Bocken</w:t>
      </w:r>
      <w:proofErr w:type="spellEnd"/>
      <w:r w:rsidRPr="001F5465">
        <w:rPr>
          <w:rFonts w:ascii="Arial" w:hAnsi="Arial" w:cs="Arial"/>
        </w:rPr>
        <w:t xml:space="preserve">, N., &amp; Allwood, J. (2012). Strategies to reduce the carbon footprint of consumer goods by influencing stakeholders. </w:t>
      </w:r>
      <w:r w:rsidRPr="001F5465">
        <w:rPr>
          <w:rFonts w:ascii="Arial" w:hAnsi="Arial" w:cs="Arial"/>
          <w:i/>
          <w:iCs/>
        </w:rPr>
        <w:t>Journal of Cleaner Production, 35,</w:t>
      </w:r>
      <w:r w:rsidRPr="001F5465">
        <w:rPr>
          <w:rFonts w:ascii="Arial" w:hAnsi="Arial" w:cs="Arial"/>
        </w:rPr>
        <w:t xml:space="preserve"> 118–129</w:t>
      </w:r>
    </w:p>
    <w:p w14:paraId="0C845287" w14:textId="77777777" w:rsidR="001F5465" w:rsidRPr="001F5465" w:rsidRDefault="001F5465" w:rsidP="001F5465">
      <w:pPr>
        <w:spacing w:line="480" w:lineRule="auto"/>
        <w:rPr>
          <w:rFonts w:ascii="Arial" w:hAnsi="Arial" w:cs="Arial"/>
        </w:rPr>
      </w:pPr>
      <w:proofErr w:type="spellStart"/>
      <w:r w:rsidRPr="001F5465">
        <w:rPr>
          <w:rFonts w:ascii="Arial" w:hAnsi="Arial" w:cs="Arial"/>
        </w:rPr>
        <w:t>Bocken</w:t>
      </w:r>
      <w:proofErr w:type="spellEnd"/>
      <w:r w:rsidRPr="001F5465">
        <w:rPr>
          <w:rFonts w:ascii="Arial" w:hAnsi="Arial" w:cs="Arial"/>
        </w:rPr>
        <w:t xml:space="preserve">, N., Short, S., Rana, P., &amp; Evans, S. (2014). A literature and practice review to develop sustainable business model archetypes. </w:t>
      </w:r>
      <w:r w:rsidRPr="001F5465">
        <w:rPr>
          <w:rFonts w:ascii="Arial" w:hAnsi="Arial" w:cs="Arial"/>
          <w:i/>
          <w:iCs/>
        </w:rPr>
        <w:t>Journal of Cleaner Production, 65</w:t>
      </w:r>
      <w:r w:rsidRPr="001F5465">
        <w:rPr>
          <w:rFonts w:ascii="Arial" w:hAnsi="Arial" w:cs="Arial"/>
        </w:rPr>
        <w:t>, 42–56.</w:t>
      </w:r>
    </w:p>
    <w:p w14:paraId="0E8E58D3" w14:textId="77777777" w:rsidR="001F5465" w:rsidRPr="001F5465" w:rsidRDefault="001F5465" w:rsidP="001F5465">
      <w:pPr>
        <w:spacing w:line="480" w:lineRule="auto"/>
        <w:rPr>
          <w:rFonts w:ascii="Arial" w:hAnsi="Arial" w:cs="Arial"/>
        </w:rPr>
      </w:pPr>
      <w:r w:rsidRPr="001F5465">
        <w:rPr>
          <w:rFonts w:ascii="Arial" w:hAnsi="Arial" w:cs="Arial"/>
        </w:rPr>
        <w:t xml:space="preserve">Bos-Brouwers, H. (2010). Corporate sustainability and innovation in SMEs: evidence of themes and activities in practice. </w:t>
      </w:r>
      <w:r w:rsidRPr="001F5465">
        <w:rPr>
          <w:rFonts w:ascii="Arial" w:hAnsi="Arial" w:cs="Arial"/>
          <w:i/>
          <w:iCs/>
        </w:rPr>
        <w:t>Business Strategy and the Environment, 19</w:t>
      </w:r>
      <w:r w:rsidRPr="001F5465">
        <w:rPr>
          <w:rFonts w:ascii="Arial" w:hAnsi="Arial" w:cs="Arial"/>
        </w:rPr>
        <w:t>(7), 417–435.</w:t>
      </w:r>
    </w:p>
    <w:p w14:paraId="3BA53F11" w14:textId="77777777" w:rsidR="001F5465" w:rsidRPr="001F5465" w:rsidRDefault="001F5465" w:rsidP="001F5465">
      <w:pPr>
        <w:spacing w:line="480" w:lineRule="auto"/>
        <w:rPr>
          <w:rFonts w:ascii="Arial" w:hAnsi="Arial" w:cs="Arial"/>
        </w:rPr>
      </w:pPr>
      <w:r w:rsidRPr="001F5465">
        <w:rPr>
          <w:rFonts w:ascii="Arial" w:hAnsi="Arial" w:cs="Arial"/>
        </w:rPr>
        <w:t xml:space="preserve">Cortez, M. C., Silva, F., &amp; Areal, N. (2012). Socially responsible investing in the global market: the performance of US and European funds. </w:t>
      </w:r>
      <w:r w:rsidRPr="001F5465">
        <w:rPr>
          <w:rFonts w:ascii="Arial" w:hAnsi="Arial" w:cs="Arial"/>
          <w:i/>
          <w:iCs/>
        </w:rPr>
        <w:t>International Journal of Finance &amp; Economics, 17</w:t>
      </w:r>
      <w:r w:rsidRPr="001F5465">
        <w:rPr>
          <w:rFonts w:ascii="Arial" w:hAnsi="Arial" w:cs="Arial"/>
        </w:rPr>
        <w:t>(3), 254–271.</w:t>
      </w:r>
    </w:p>
    <w:p w14:paraId="0B397097" w14:textId="77777777" w:rsidR="001F5465" w:rsidRPr="001F5465" w:rsidRDefault="001F5465" w:rsidP="001F5465">
      <w:pPr>
        <w:spacing w:line="480" w:lineRule="auto"/>
        <w:rPr>
          <w:rFonts w:ascii="Arial" w:hAnsi="Arial" w:cs="Arial"/>
        </w:rPr>
      </w:pPr>
      <w:r w:rsidRPr="001F5465">
        <w:rPr>
          <w:rFonts w:ascii="Arial" w:hAnsi="Arial" w:cs="Arial"/>
        </w:rPr>
        <w:t xml:space="preserve">Ehrenfeld, J. (2008). </w:t>
      </w:r>
      <w:r w:rsidRPr="001F5465">
        <w:rPr>
          <w:rFonts w:ascii="Arial" w:hAnsi="Arial" w:cs="Arial"/>
          <w:i/>
          <w:iCs/>
        </w:rPr>
        <w:t>Sustainability by design: a subversive strategy for transforming our consumer culture</w:t>
      </w:r>
      <w:r w:rsidRPr="001F5465">
        <w:rPr>
          <w:rFonts w:ascii="Arial" w:hAnsi="Arial" w:cs="Arial"/>
        </w:rPr>
        <w:t>. Yale University Press.</w:t>
      </w:r>
    </w:p>
    <w:p w14:paraId="7CE825C8" w14:textId="46937FBE" w:rsidR="001F5465" w:rsidRDefault="001F5465" w:rsidP="001F5465">
      <w:pPr>
        <w:spacing w:line="480" w:lineRule="auto"/>
        <w:rPr>
          <w:rFonts w:ascii="Arial" w:hAnsi="Arial" w:cs="Arial"/>
        </w:rPr>
      </w:pPr>
      <w:r w:rsidRPr="001F5465">
        <w:rPr>
          <w:rFonts w:ascii="Arial" w:hAnsi="Arial" w:cs="Arial"/>
        </w:rPr>
        <w:t xml:space="preserve">Franceschelli, M. V., Santoro, G., &amp; Candelo, E. (2018). Business model innovation for sustainability: a food start-up case study. </w:t>
      </w:r>
      <w:r w:rsidRPr="001F5465">
        <w:rPr>
          <w:rFonts w:ascii="Arial" w:hAnsi="Arial" w:cs="Arial"/>
          <w:i/>
          <w:iCs/>
        </w:rPr>
        <w:t>British Food Journal, 120</w:t>
      </w:r>
      <w:r w:rsidRPr="001F5465">
        <w:rPr>
          <w:rFonts w:ascii="Arial" w:hAnsi="Arial" w:cs="Arial"/>
        </w:rPr>
        <w:t xml:space="preserve">(10), 2483–2494. </w:t>
      </w:r>
      <w:hyperlink r:id="rId6" w:history="1">
        <w:r w:rsidRPr="00F648E9">
          <w:rPr>
            <w:rStyle w:val="Hyperlink"/>
            <w:rFonts w:ascii="Arial" w:hAnsi="Arial" w:cs="Arial"/>
          </w:rPr>
          <w:t>https://doi.org/10.1108/BFJ-01-2018-0049</w:t>
        </w:r>
      </w:hyperlink>
    </w:p>
    <w:p w14:paraId="6E12A687" w14:textId="1710E1C9" w:rsidR="00E530BB" w:rsidRDefault="00E530BB" w:rsidP="001F5465">
      <w:pPr>
        <w:spacing w:line="480" w:lineRule="auto"/>
        <w:rPr>
          <w:rFonts w:ascii="Arial" w:hAnsi="Arial" w:cs="Arial"/>
        </w:rPr>
      </w:pPr>
      <w:hyperlink r:id="rId7" w:history="1">
        <w:r w:rsidRPr="00F648E9">
          <w:rPr>
            <w:rStyle w:val="Hyperlink"/>
            <w:rFonts w:ascii="Arial" w:hAnsi="Arial" w:cs="Arial"/>
          </w:rPr>
          <w:t>https://www.british-business-bank.co.uk/business-guidance/guidance-articles/sustainability/green-energy</w:t>
        </w:r>
      </w:hyperlink>
    </w:p>
    <w:p w14:paraId="6E0BD34C" w14:textId="7BAD9D12" w:rsidR="00E530BB" w:rsidRDefault="00E530BB" w:rsidP="001F5465">
      <w:pPr>
        <w:spacing w:line="480" w:lineRule="auto"/>
        <w:rPr>
          <w:rFonts w:ascii="Arial" w:hAnsi="Arial" w:cs="Arial"/>
        </w:rPr>
      </w:pPr>
      <w:hyperlink r:id="rId8" w:history="1">
        <w:r w:rsidRPr="00F648E9">
          <w:rPr>
            <w:rStyle w:val="Hyperlink"/>
            <w:rFonts w:ascii="Arial" w:hAnsi="Arial" w:cs="Arial"/>
          </w:rPr>
          <w:t>https://www.yuenergy.co.uk/understanding-renewable-energy/</w:t>
        </w:r>
      </w:hyperlink>
    </w:p>
    <w:p w14:paraId="1AA74BAF" w14:textId="095751E0" w:rsidR="00E530BB" w:rsidRDefault="00E530BB" w:rsidP="001F5465">
      <w:pPr>
        <w:spacing w:line="480" w:lineRule="auto"/>
        <w:rPr>
          <w:rFonts w:ascii="Arial" w:hAnsi="Arial" w:cs="Arial"/>
        </w:rPr>
      </w:pPr>
      <w:hyperlink r:id="rId9" w:history="1">
        <w:r w:rsidRPr="00F648E9">
          <w:rPr>
            <w:rStyle w:val="Hyperlink"/>
            <w:rFonts w:ascii="Arial" w:hAnsi="Arial" w:cs="Arial"/>
          </w:rPr>
          <w:t>https://www.sseenergysolutions.co.uk/news-and-insights/why-your-small-business-should-choose-renewable</w:t>
        </w:r>
      </w:hyperlink>
    </w:p>
    <w:p w14:paraId="0AA8EE1F" w14:textId="37AA94F0" w:rsidR="00E530BB" w:rsidRDefault="00E530BB" w:rsidP="001F5465">
      <w:pPr>
        <w:spacing w:line="480" w:lineRule="auto"/>
        <w:rPr>
          <w:rFonts w:ascii="Arial" w:hAnsi="Arial" w:cs="Arial"/>
        </w:rPr>
      </w:pPr>
      <w:hyperlink r:id="rId10" w:history="1">
        <w:r w:rsidRPr="00F648E9">
          <w:rPr>
            <w:rStyle w:val="Hyperlink"/>
            <w:rFonts w:ascii="Arial" w:hAnsi="Arial" w:cs="Arial"/>
          </w:rPr>
          <w:t>https://groundworksbs.org.uk/renewable-energy-5-benefits/</w:t>
        </w:r>
      </w:hyperlink>
    </w:p>
    <w:p w14:paraId="1776B081" w14:textId="6E3B58B8" w:rsidR="005C3D88" w:rsidRDefault="005C3D88" w:rsidP="001F5465">
      <w:pPr>
        <w:spacing w:line="480" w:lineRule="auto"/>
        <w:rPr>
          <w:rFonts w:ascii="Arial" w:hAnsi="Arial" w:cs="Arial"/>
        </w:rPr>
      </w:pPr>
      <w:hyperlink r:id="rId11" w:history="1">
        <w:r w:rsidRPr="00F648E9">
          <w:rPr>
            <w:rStyle w:val="Hyperlink"/>
            <w:rFonts w:ascii="Arial" w:hAnsi="Arial" w:cs="Arial"/>
          </w:rPr>
          <w:t>https://www.mckinsey.com/~/media/mckinsey/business%20functions/mckinsey%20digital/our%20insights/the%20top%20trends%20in%20tech%202022/mckinsey-tech-trends-outlook-2022-full-report.pdf</w:t>
        </w:r>
      </w:hyperlink>
    </w:p>
    <w:p w14:paraId="2EF3BDDD" w14:textId="59734E66" w:rsidR="005C3D88" w:rsidRDefault="005C3D88" w:rsidP="001F5465">
      <w:pPr>
        <w:spacing w:line="480" w:lineRule="auto"/>
        <w:rPr>
          <w:rFonts w:ascii="Arial" w:hAnsi="Arial" w:cs="Arial"/>
        </w:rPr>
      </w:pPr>
      <w:hyperlink r:id="rId12" w:history="1">
        <w:r w:rsidRPr="00F648E9">
          <w:rPr>
            <w:rStyle w:val="Hyperlink"/>
            <w:rFonts w:ascii="Arial" w:hAnsi="Arial" w:cs="Arial"/>
          </w:rPr>
          <w:t>https://www.irena.org/-/media/Files/IRENA/Agency/Publication/2019/Nov/IRENA_Future_of_Solar_PV_2019.pdf</w:t>
        </w:r>
      </w:hyperlink>
    </w:p>
    <w:p w14:paraId="1E4801DC" w14:textId="77777777" w:rsidR="005C3D88" w:rsidRDefault="005C3D88" w:rsidP="001F5465">
      <w:pPr>
        <w:spacing w:line="480" w:lineRule="auto"/>
        <w:rPr>
          <w:rFonts w:ascii="Arial" w:hAnsi="Arial" w:cs="Arial"/>
        </w:rPr>
      </w:pPr>
    </w:p>
    <w:p w14:paraId="4FE92592" w14:textId="77777777" w:rsidR="005C3D88" w:rsidRDefault="005C3D88" w:rsidP="001F5465">
      <w:pPr>
        <w:spacing w:line="480" w:lineRule="auto"/>
        <w:rPr>
          <w:rFonts w:ascii="Arial" w:hAnsi="Arial" w:cs="Arial"/>
        </w:rPr>
      </w:pPr>
    </w:p>
    <w:p w14:paraId="32BC5147" w14:textId="77777777" w:rsidR="00E530BB" w:rsidRDefault="00E530BB" w:rsidP="001F5465">
      <w:pPr>
        <w:spacing w:line="480" w:lineRule="auto"/>
        <w:rPr>
          <w:rFonts w:ascii="Arial" w:hAnsi="Arial" w:cs="Arial"/>
        </w:rPr>
      </w:pPr>
    </w:p>
    <w:p w14:paraId="2F53CFDA" w14:textId="77777777" w:rsidR="001F5465" w:rsidRPr="001F5465" w:rsidRDefault="001F5465" w:rsidP="001F5465">
      <w:pPr>
        <w:spacing w:line="480" w:lineRule="auto"/>
        <w:rPr>
          <w:rFonts w:ascii="Arial" w:hAnsi="Arial" w:cs="Arial"/>
        </w:rPr>
      </w:pPr>
    </w:p>
    <w:p w14:paraId="70FE5D58" w14:textId="77777777" w:rsidR="001F5465" w:rsidRPr="001F5465" w:rsidRDefault="001F5465" w:rsidP="001F5465">
      <w:pPr>
        <w:spacing w:line="480" w:lineRule="auto"/>
        <w:rPr>
          <w:rFonts w:ascii="Arial" w:hAnsi="Arial" w:cs="Arial"/>
        </w:rPr>
      </w:pPr>
    </w:p>
    <w:p w14:paraId="217A2A94" w14:textId="77777777" w:rsidR="001F5465" w:rsidRPr="001F5465" w:rsidRDefault="001F5465" w:rsidP="001F5465">
      <w:pPr>
        <w:spacing w:line="480" w:lineRule="auto"/>
        <w:rPr>
          <w:rFonts w:ascii="Arial" w:hAnsi="Arial" w:cs="Arial"/>
        </w:rPr>
      </w:pPr>
    </w:p>
    <w:p w14:paraId="7784C449" w14:textId="77777777" w:rsidR="001F5465" w:rsidRPr="00963E79" w:rsidRDefault="001F5465" w:rsidP="00963E79">
      <w:pPr>
        <w:spacing w:line="480" w:lineRule="auto"/>
        <w:rPr>
          <w:rFonts w:ascii="Arial" w:hAnsi="Arial" w:cs="Arial"/>
        </w:rPr>
      </w:pPr>
    </w:p>
    <w:p w14:paraId="77AFF936" w14:textId="77777777" w:rsidR="00963E79" w:rsidRPr="00963E79" w:rsidRDefault="00963E79" w:rsidP="00963E79">
      <w:pPr>
        <w:spacing w:line="480" w:lineRule="auto"/>
        <w:rPr>
          <w:rFonts w:ascii="Arial" w:hAnsi="Arial" w:cs="Arial"/>
        </w:rPr>
      </w:pPr>
    </w:p>
    <w:sectPr w:rsidR="00963E79" w:rsidRPr="00963E79" w:rsidSect="00E530B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B2461" w14:textId="77777777" w:rsidR="00F36FD8" w:rsidRDefault="00F36FD8" w:rsidP="00963E79">
      <w:pPr>
        <w:spacing w:after="0" w:line="240" w:lineRule="auto"/>
      </w:pPr>
      <w:r>
        <w:separator/>
      </w:r>
    </w:p>
  </w:endnote>
  <w:endnote w:type="continuationSeparator" w:id="0">
    <w:p w14:paraId="1420D0E9" w14:textId="77777777" w:rsidR="00F36FD8" w:rsidRDefault="00F36FD8" w:rsidP="00963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2109766269"/>
      <w:docPartObj>
        <w:docPartGallery w:val="Page Numbers (Bottom of Page)"/>
        <w:docPartUnique/>
      </w:docPartObj>
    </w:sdtPr>
    <w:sdtEndPr>
      <w:rPr>
        <w:noProof/>
      </w:rPr>
    </w:sdtEndPr>
    <w:sdtContent>
      <w:p w14:paraId="27B4FA20" w14:textId="5926C1A9" w:rsidR="00963E79" w:rsidRDefault="00963E7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5C1D2034" w14:textId="77777777" w:rsidR="00963E79" w:rsidRDefault="00963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290D9" w14:textId="77777777" w:rsidR="00F36FD8" w:rsidRDefault="00F36FD8" w:rsidP="00963E79">
      <w:pPr>
        <w:spacing w:after="0" w:line="240" w:lineRule="auto"/>
      </w:pPr>
      <w:r>
        <w:separator/>
      </w:r>
    </w:p>
  </w:footnote>
  <w:footnote w:type="continuationSeparator" w:id="0">
    <w:p w14:paraId="11DFAC18" w14:textId="77777777" w:rsidR="00F36FD8" w:rsidRDefault="00F36FD8" w:rsidP="00963E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79"/>
    <w:rsid w:val="001F5465"/>
    <w:rsid w:val="001F733A"/>
    <w:rsid w:val="005C3D88"/>
    <w:rsid w:val="008357AF"/>
    <w:rsid w:val="00963E79"/>
    <w:rsid w:val="00E530BB"/>
    <w:rsid w:val="00F36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79A47"/>
  <w15:chartTrackingRefBased/>
  <w15:docId w15:val="{570E9165-AA16-45F3-B59C-4EE07DD71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E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E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E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E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E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E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E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E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E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E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E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E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E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E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E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E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E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E79"/>
    <w:rPr>
      <w:rFonts w:eastAsiaTheme="majorEastAsia" w:cstheme="majorBidi"/>
      <w:color w:val="272727" w:themeColor="text1" w:themeTint="D8"/>
    </w:rPr>
  </w:style>
  <w:style w:type="paragraph" w:styleId="Title">
    <w:name w:val="Title"/>
    <w:basedOn w:val="Normal"/>
    <w:next w:val="Normal"/>
    <w:link w:val="TitleChar"/>
    <w:uiPriority w:val="10"/>
    <w:qFormat/>
    <w:rsid w:val="00963E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E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E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E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E79"/>
    <w:pPr>
      <w:spacing w:before="160"/>
      <w:jc w:val="center"/>
    </w:pPr>
    <w:rPr>
      <w:i/>
      <w:iCs/>
      <w:color w:val="404040" w:themeColor="text1" w:themeTint="BF"/>
    </w:rPr>
  </w:style>
  <w:style w:type="character" w:customStyle="1" w:styleId="QuoteChar">
    <w:name w:val="Quote Char"/>
    <w:basedOn w:val="DefaultParagraphFont"/>
    <w:link w:val="Quote"/>
    <w:uiPriority w:val="29"/>
    <w:rsid w:val="00963E79"/>
    <w:rPr>
      <w:i/>
      <w:iCs/>
      <w:color w:val="404040" w:themeColor="text1" w:themeTint="BF"/>
    </w:rPr>
  </w:style>
  <w:style w:type="paragraph" w:styleId="ListParagraph">
    <w:name w:val="List Paragraph"/>
    <w:basedOn w:val="Normal"/>
    <w:uiPriority w:val="34"/>
    <w:qFormat/>
    <w:rsid w:val="00963E79"/>
    <w:pPr>
      <w:ind w:left="720"/>
      <w:contextualSpacing/>
    </w:pPr>
  </w:style>
  <w:style w:type="character" w:styleId="IntenseEmphasis">
    <w:name w:val="Intense Emphasis"/>
    <w:basedOn w:val="DefaultParagraphFont"/>
    <w:uiPriority w:val="21"/>
    <w:qFormat/>
    <w:rsid w:val="00963E79"/>
    <w:rPr>
      <w:i/>
      <w:iCs/>
      <w:color w:val="0F4761" w:themeColor="accent1" w:themeShade="BF"/>
    </w:rPr>
  </w:style>
  <w:style w:type="paragraph" w:styleId="IntenseQuote">
    <w:name w:val="Intense Quote"/>
    <w:basedOn w:val="Normal"/>
    <w:next w:val="Normal"/>
    <w:link w:val="IntenseQuoteChar"/>
    <w:uiPriority w:val="30"/>
    <w:qFormat/>
    <w:rsid w:val="00963E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E79"/>
    <w:rPr>
      <w:i/>
      <w:iCs/>
      <w:color w:val="0F4761" w:themeColor="accent1" w:themeShade="BF"/>
    </w:rPr>
  </w:style>
  <w:style w:type="character" w:styleId="IntenseReference">
    <w:name w:val="Intense Reference"/>
    <w:basedOn w:val="DefaultParagraphFont"/>
    <w:uiPriority w:val="32"/>
    <w:qFormat/>
    <w:rsid w:val="00963E79"/>
    <w:rPr>
      <w:b/>
      <w:bCs/>
      <w:smallCaps/>
      <w:color w:val="0F4761" w:themeColor="accent1" w:themeShade="BF"/>
      <w:spacing w:val="5"/>
    </w:rPr>
  </w:style>
  <w:style w:type="paragraph" w:styleId="Header">
    <w:name w:val="header"/>
    <w:basedOn w:val="Normal"/>
    <w:link w:val="HeaderChar"/>
    <w:uiPriority w:val="99"/>
    <w:unhideWhenUsed/>
    <w:rsid w:val="00963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E79"/>
  </w:style>
  <w:style w:type="paragraph" w:styleId="Footer">
    <w:name w:val="footer"/>
    <w:basedOn w:val="Normal"/>
    <w:link w:val="FooterChar"/>
    <w:uiPriority w:val="99"/>
    <w:unhideWhenUsed/>
    <w:rsid w:val="00963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E79"/>
  </w:style>
  <w:style w:type="table" w:styleId="TableGrid">
    <w:name w:val="Table Grid"/>
    <w:basedOn w:val="TableNormal"/>
    <w:uiPriority w:val="39"/>
    <w:rsid w:val="00963E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5465"/>
    <w:rPr>
      <w:color w:val="467886" w:themeColor="hyperlink"/>
      <w:u w:val="single"/>
    </w:rPr>
  </w:style>
  <w:style w:type="character" w:styleId="UnresolvedMention">
    <w:name w:val="Unresolved Mention"/>
    <w:basedOn w:val="DefaultParagraphFont"/>
    <w:uiPriority w:val="99"/>
    <w:semiHidden/>
    <w:unhideWhenUsed/>
    <w:rsid w:val="001F5465"/>
    <w:rPr>
      <w:color w:val="605E5C"/>
      <w:shd w:val="clear" w:color="auto" w:fill="E1DFDD"/>
    </w:rPr>
  </w:style>
  <w:style w:type="paragraph" w:styleId="NoSpacing">
    <w:name w:val="No Spacing"/>
    <w:uiPriority w:val="1"/>
    <w:qFormat/>
    <w:rsid w:val="00E530BB"/>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970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uenergy.co.uk/understanding-renewable-energy/"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ritish-business-bank.co.uk/business-guidance/guidance-articles/sustainability/green-energy" TargetMode="External"/><Relationship Id="rId12" Type="http://schemas.openxmlformats.org/officeDocument/2006/relationships/hyperlink" Target="https://www.irena.org/-/media/Files/IRENA/Agency/Publication/2019/Nov/IRENA_Future_of_Solar_PV_2019.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08/BFJ-01-2018-0049" TargetMode="External"/><Relationship Id="rId11" Type="http://schemas.openxmlformats.org/officeDocument/2006/relationships/hyperlink" Target="https://www.mckinsey.com/~/media/mckinsey/business%20functions/mckinsey%20digital/our%20insights/the%20top%20trends%20in%20tech%202022/mckinsey-tech-trends-outlook-2022-full-report.pdf"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groundworksbs.org.uk/renewable-energy-5-benefits/" TargetMode="External"/><Relationship Id="rId4" Type="http://schemas.openxmlformats.org/officeDocument/2006/relationships/footnotes" Target="footnotes.xml"/><Relationship Id="rId9" Type="http://schemas.openxmlformats.org/officeDocument/2006/relationships/hyperlink" Target="https://www.sseenergysolutions.co.uk/news-and-insights/why-your-small-business-should-choose-renewable"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7C7A08DD0044AC95F7BB5689BF7598"/>
        <w:category>
          <w:name w:val="General"/>
          <w:gallery w:val="placeholder"/>
        </w:category>
        <w:types>
          <w:type w:val="bbPlcHdr"/>
        </w:types>
        <w:behaviors>
          <w:behavior w:val="content"/>
        </w:behaviors>
        <w:guid w:val="{DA7BF090-0A95-487D-920C-0B65F3B79CFE}"/>
      </w:docPartPr>
      <w:docPartBody>
        <w:p w:rsidR="00000000" w:rsidRDefault="006E68AD" w:rsidP="006E68AD">
          <w:pPr>
            <w:pStyle w:val="C47C7A08DD0044AC95F7BB5689BF7598"/>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8AD"/>
    <w:rsid w:val="006E68AD"/>
    <w:rsid w:val="008357AF"/>
    <w:rsid w:val="00DC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7C7A08DD0044AC95F7BB5689BF7598">
    <w:name w:val="C47C7A08DD0044AC95F7BB5689BF7598"/>
    <w:rsid w:val="006E68AD"/>
  </w:style>
  <w:style w:type="paragraph" w:customStyle="1" w:styleId="8E02EC16C35F45B4AD84424C43DE3DF6">
    <w:name w:val="8E02EC16C35F45B4AD84424C43DE3DF6"/>
    <w:rsid w:val="006E68AD"/>
  </w:style>
  <w:style w:type="paragraph" w:customStyle="1" w:styleId="EBF31C11B73F42378C899F9E55AB7297">
    <w:name w:val="EBF31C11B73F42378C899F9E55AB7297"/>
    <w:rsid w:val="006E68AD"/>
  </w:style>
  <w:style w:type="paragraph" w:customStyle="1" w:styleId="FAC4DC2241D742CAAB872ACE25255364">
    <w:name w:val="FAC4DC2241D742CAAB872ACE25255364"/>
    <w:rsid w:val="006E68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13</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GreenGlow Energy</vt:lpstr>
    </vt:vector>
  </TitlesOfParts>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GreenGlow Energy</dc:title>
  <dc:subject/>
  <dc:creator>Mirabela Voican (1907947)</dc:creator>
  <cp:keywords/>
  <dc:description/>
  <cp:lastModifiedBy>Mirabela Voican (1907947)</cp:lastModifiedBy>
  <cp:revision>2</cp:revision>
  <dcterms:created xsi:type="dcterms:W3CDTF">2025-03-11T22:23:00Z</dcterms:created>
  <dcterms:modified xsi:type="dcterms:W3CDTF">2025-03-11T23:20:00Z</dcterms:modified>
</cp:coreProperties>
</file>