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59B7A" w14:textId="3EF3DAFB" w:rsidR="00EC6595" w:rsidRPr="0095623F" w:rsidRDefault="00C13DFC" w:rsidP="00C13DFC">
      <w:pPr>
        <w:jc w:val="center"/>
        <w:rPr>
          <w:rFonts w:ascii="Arial" w:hAnsi="Arial" w:cs="Arial"/>
          <w:b/>
          <w:bCs/>
          <w:u w:val="single"/>
        </w:rPr>
      </w:pPr>
      <w:r w:rsidRPr="0095623F">
        <w:rPr>
          <w:rFonts w:ascii="Arial" w:hAnsi="Arial" w:cs="Arial"/>
          <w:b/>
          <w:bCs/>
          <w:u w:val="single"/>
        </w:rPr>
        <w:t>6010</w:t>
      </w:r>
    </w:p>
    <w:p w14:paraId="48C69CF8" w14:textId="5E44AA17" w:rsidR="00EC6595" w:rsidRPr="0095623F" w:rsidRDefault="00EC6595">
      <w:pPr>
        <w:rPr>
          <w:rFonts w:ascii="Arial" w:hAnsi="Arial" w:cs="Arial"/>
          <w:b/>
          <w:bCs/>
          <w:u w:val="single"/>
        </w:rPr>
      </w:pPr>
      <w:r w:rsidRPr="0095623F">
        <w:rPr>
          <w:rFonts w:ascii="Arial" w:hAnsi="Arial" w:cs="Arial"/>
          <w:b/>
          <w:bCs/>
          <w:u w:val="single"/>
        </w:rPr>
        <w:t>Part 1</w:t>
      </w:r>
    </w:p>
    <w:p w14:paraId="04716E8B" w14:textId="77777777" w:rsidR="00364F7B" w:rsidRPr="0095623F" w:rsidRDefault="00364F7B">
      <w:pPr>
        <w:rPr>
          <w:rFonts w:ascii="Arial" w:hAnsi="Arial" w:cs="Arial"/>
          <w:b/>
          <w:bCs/>
          <w:u w:val="single"/>
        </w:rPr>
      </w:pPr>
    </w:p>
    <w:p w14:paraId="69745862" w14:textId="2F1433A1" w:rsidR="00AA028D" w:rsidRPr="0095623F" w:rsidRDefault="00AA028D">
      <w:pPr>
        <w:rPr>
          <w:rFonts w:ascii="Arial" w:hAnsi="Arial" w:cs="Arial"/>
        </w:rPr>
      </w:pPr>
      <w:r w:rsidRPr="0095623F">
        <w:rPr>
          <w:rFonts w:ascii="Arial" w:hAnsi="Arial" w:cs="Arial"/>
        </w:rPr>
        <w:t>This paper will focus on the educational curric</w:t>
      </w:r>
      <w:r w:rsidR="002F20F7" w:rsidRPr="0095623F">
        <w:rPr>
          <w:rFonts w:ascii="Arial" w:hAnsi="Arial" w:cs="Arial"/>
        </w:rPr>
        <w:t>ulum</w:t>
      </w:r>
      <w:r w:rsidRPr="0095623F">
        <w:rPr>
          <w:rFonts w:ascii="Arial" w:hAnsi="Arial" w:cs="Arial"/>
        </w:rPr>
        <w:t xml:space="preserve"> of Wales and Finland and conduct a comparative assessment of their aims and effects on different aspects of learning.</w:t>
      </w:r>
    </w:p>
    <w:p w14:paraId="185E9B6B" w14:textId="77777777" w:rsidR="00791E26" w:rsidRPr="0095623F" w:rsidRDefault="00791E26">
      <w:pPr>
        <w:rPr>
          <w:rFonts w:ascii="Arial" w:hAnsi="Arial" w:cs="Arial"/>
        </w:rPr>
      </w:pPr>
    </w:p>
    <w:p w14:paraId="59963694" w14:textId="025223FF" w:rsidR="00791E26" w:rsidRPr="0095623F" w:rsidRDefault="00791E26">
      <w:pPr>
        <w:rPr>
          <w:rFonts w:ascii="Arial" w:hAnsi="Arial" w:cs="Arial"/>
          <w:b/>
          <w:bCs/>
          <w:u w:val="single"/>
        </w:rPr>
      </w:pPr>
      <w:r w:rsidRPr="0095623F">
        <w:rPr>
          <w:rFonts w:ascii="Arial" w:hAnsi="Arial" w:cs="Arial"/>
          <w:b/>
          <w:bCs/>
          <w:u w:val="single"/>
        </w:rPr>
        <w:t>Wales</w:t>
      </w:r>
    </w:p>
    <w:p w14:paraId="0790A57F" w14:textId="2046B4DE" w:rsidR="00EC6595" w:rsidRPr="0095623F" w:rsidRDefault="004945E2">
      <w:pPr>
        <w:rPr>
          <w:rFonts w:ascii="Arial" w:hAnsi="Arial" w:cs="Arial"/>
        </w:rPr>
      </w:pPr>
      <w:r w:rsidRPr="0095623F">
        <w:rPr>
          <w:rFonts w:ascii="Arial" w:hAnsi="Arial" w:cs="Arial"/>
        </w:rPr>
        <w:t>In</w:t>
      </w:r>
      <w:r w:rsidR="00EC6595" w:rsidRPr="0095623F">
        <w:rPr>
          <w:rFonts w:ascii="Arial" w:hAnsi="Arial" w:cs="Arial"/>
        </w:rPr>
        <w:t xml:space="preserve"> 2022</w:t>
      </w:r>
      <w:r w:rsidRPr="0095623F">
        <w:rPr>
          <w:rFonts w:ascii="Arial" w:hAnsi="Arial" w:cs="Arial"/>
        </w:rPr>
        <w:t>, the Curriculum for Wales (</w:t>
      </w:r>
      <w:proofErr w:type="spellStart"/>
      <w:r w:rsidRPr="0095623F">
        <w:rPr>
          <w:rFonts w:ascii="Arial" w:hAnsi="Arial" w:cs="Arial"/>
        </w:rPr>
        <w:t>CfW</w:t>
      </w:r>
      <w:proofErr w:type="spellEnd"/>
      <w:r w:rsidRPr="0095623F">
        <w:rPr>
          <w:rFonts w:ascii="Arial" w:hAnsi="Arial" w:cs="Arial"/>
        </w:rPr>
        <w:t>)</w:t>
      </w:r>
      <w:r w:rsidR="00EC6595" w:rsidRPr="0095623F">
        <w:rPr>
          <w:rFonts w:ascii="Arial" w:hAnsi="Arial" w:cs="Arial"/>
        </w:rPr>
        <w:t xml:space="preserve"> was </w:t>
      </w:r>
      <w:proofErr w:type="gramStart"/>
      <w:r w:rsidR="00EC6595" w:rsidRPr="0095623F">
        <w:rPr>
          <w:rFonts w:ascii="Arial" w:hAnsi="Arial" w:cs="Arial"/>
        </w:rPr>
        <w:t>introduces</w:t>
      </w:r>
      <w:proofErr w:type="gramEnd"/>
      <w:r w:rsidR="00EC6595" w:rsidRPr="0095623F">
        <w:rPr>
          <w:rFonts w:ascii="Arial" w:hAnsi="Arial" w:cs="Arial"/>
        </w:rPr>
        <w:t xml:space="preserve"> and</w:t>
      </w:r>
      <w:r w:rsidRPr="0095623F">
        <w:rPr>
          <w:rFonts w:ascii="Arial" w:hAnsi="Arial" w:cs="Arial"/>
        </w:rPr>
        <w:t xml:space="preserve"> serves as an extensive national educational framework for learners aged 3 to 16.</w:t>
      </w:r>
      <w:r w:rsidR="00A23E7C" w:rsidRPr="0095623F">
        <w:rPr>
          <w:rFonts w:ascii="Arial" w:hAnsi="Arial" w:cs="Arial"/>
        </w:rPr>
        <w:t xml:space="preserve"> </w:t>
      </w:r>
      <w:proofErr w:type="spellStart"/>
      <w:r w:rsidR="00A23E7C" w:rsidRPr="0095623F">
        <w:rPr>
          <w:rFonts w:ascii="Arial" w:hAnsi="Arial" w:cs="Arial"/>
        </w:rPr>
        <w:t>Cwlwm</w:t>
      </w:r>
      <w:proofErr w:type="spellEnd"/>
      <w:r w:rsidR="00A23E7C" w:rsidRPr="0095623F">
        <w:rPr>
          <w:rFonts w:ascii="Arial" w:hAnsi="Arial" w:cs="Arial"/>
        </w:rPr>
        <w:t xml:space="preserve"> (2016) highlights the curriculum for Wales is a continuum of learning for children from 3 to 16 years of age. There are no ‘phases’ or ‘stages’, with all children learning along the same continuum.</w:t>
      </w:r>
      <w:r w:rsidRPr="0095623F">
        <w:rPr>
          <w:rFonts w:ascii="Arial" w:hAnsi="Arial" w:cs="Arial"/>
        </w:rPr>
        <w:t xml:space="preserve"> This framework is being implemented in a phased manner, with full integration anticipated by the 2026-2027 academic year. The previous model based on key stages and phases has been transformed into a continuous learning framework comprising six individual Areas of Learning and Experience (</w:t>
      </w:r>
      <w:proofErr w:type="spellStart"/>
      <w:r w:rsidRPr="0095623F">
        <w:rPr>
          <w:rFonts w:ascii="Arial" w:hAnsi="Arial" w:cs="Arial"/>
        </w:rPr>
        <w:t>AoLEs</w:t>
      </w:r>
      <w:proofErr w:type="spellEnd"/>
      <w:r w:rsidRPr="0095623F">
        <w:rPr>
          <w:rFonts w:ascii="Arial" w:hAnsi="Arial" w:cs="Arial"/>
        </w:rPr>
        <w:t xml:space="preserve">). These </w:t>
      </w:r>
      <w:proofErr w:type="spellStart"/>
      <w:r w:rsidRPr="0095623F">
        <w:rPr>
          <w:rFonts w:ascii="Arial" w:hAnsi="Arial" w:cs="Arial"/>
        </w:rPr>
        <w:t>AoLEs</w:t>
      </w:r>
      <w:proofErr w:type="spellEnd"/>
      <w:r w:rsidRPr="0095623F">
        <w:rPr>
          <w:rFonts w:ascii="Arial" w:hAnsi="Arial" w:cs="Arial"/>
        </w:rPr>
        <w:t xml:space="preserve"> encompass: Expressive Arts; Health and Well-being; Humanities; Languages, Literacy and Communication; Mathematics and Numeracy; and Science and Technology. This curriculum is designed with four primary objectives in mind:</w:t>
      </w:r>
    </w:p>
    <w:p w14:paraId="180675F3" w14:textId="77777777" w:rsidR="00591CC9" w:rsidRPr="0095623F" w:rsidRDefault="00EC6595" w:rsidP="00EC6595">
      <w:pPr>
        <w:pStyle w:val="ListParagraph"/>
        <w:numPr>
          <w:ilvl w:val="0"/>
          <w:numId w:val="2"/>
        </w:numPr>
        <w:rPr>
          <w:rFonts w:ascii="Arial" w:hAnsi="Arial" w:cs="Arial"/>
        </w:rPr>
      </w:pPr>
      <w:r w:rsidRPr="0095623F">
        <w:rPr>
          <w:rFonts w:ascii="Arial" w:hAnsi="Arial" w:cs="Arial"/>
        </w:rPr>
        <w:t>Ambitious, Capable Learners.</w:t>
      </w:r>
    </w:p>
    <w:p w14:paraId="705F1C92" w14:textId="77777777" w:rsidR="00591CC9" w:rsidRPr="0095623F" w:rsidRDefault="00EC6595" w:rsidP="00EC6595">
      <w:pPr>
        <w:pStyle w:val="ListParagraph"/>
        <w:numPr>
          <w:ilvl w:val="0"/>
          <w:numId w:val="2"/>
        </w:numPr>
        <w:rPr>
          <w:rFonts w:ascii="Arial" w:hAnsi="Arial" w:cs="Arial"/>
        </w:rPr>
      </w:pPr>
      <w:r w:rsidRPr="0095623F">
        <w:rPr>
          <w:rFonts w:ascii="Arial" w:hAnsi="Arial" w:cs="Arial"/>
        </w:rPr>
        <w:t>Enterprising, Creative Contributors</w:t>
      </w:r>
    </w:p>
    <w:p w14:paraId="689980B1" w14:textId="77777777" w:rsidR="00591CC9" w:rsidRPr="0095623F" w:rsidRDefault="00EC6595" w:rsidP="00EC6595">
      <w:pPr>
        <w:pStyle w:val="ListParagraph"/>
        <w:numPr>
          <w:ilvl w:val="0"/>
          <w:numId w:val="2"/>
        </w:numPr>
        <w:rPr>
          <w:rFonts w:ascii="Arial" w:hAnsi="Arial" w:cs="Arial"/>
        </w:rPr>
      </w:pPr>
      <w:r w:rsidRPr="0095623F">
        <w:rPr>
          <w:rFonts w:ascii="Arial" w:hAnsi="Arial" w:cs="Arial"/>
        </w:rPr>
        <w:t>Ethical, Informed Citizens</w:t>
      </w:r>
    </w:p>
    <w:p w14:paraId="7B96DEF5" w14:textId="412FFA13" w:rsidR="00EC6595" w:rsidRPr="0095623F" w:rsidRDefault="00EC6595" w:rsidP="00EC6595">
      <w:pPr>
        <w:pStyle w:val="ListParagraph"/>
        <w:numPr>
          <w:ilvl w:val="0"/>
          <w:numId w:val="2"/>
        </w:numPr>
        <w:rPr>
          <w:rFonts w:ascii="Arial" w:hAnsi="Arial" w:cs="Arial"/>
        </w:rPr>
      </w:pPr>
      <w:r w:rsidRPr="0095623F">
        <w:rPr>
          <w:rFonts w:ascii="Arial" w:hAnsi="Arial" w:cs="Arial"/>
        </w:rPr>
        <w:t>Healthy, Confident</w:t>
      </w:r>
      <w:r w:rsidR="004945E2" w:rsidRPr="0095623F">
        <w:rPr>
          <w:rFonts w:ascii="Arial" w:hAnsi="Arial" w:cs="Arial"/>
        </w:rPr>
        <w:t>.</w:t>
      </w:r>
    </w:p>
    <w:p w14:paraId="27AA3B6D" w14:textId="04DCE94D" w:rsidR="004945E2" w:rsidRPr="0095623F" w:rsidRDefault="004945E2" w:rsidP="00EC6595">
      <w:pPr>
        <w:rPr>
          <w:rFonts w:ascii="Arial" w:hAnsi="Arial" w:cs="Arial"/>
        </w:rPr>
      </w:pPr>
      <w:r w:rsidRPr="0095623F">
        <w:rPr>
          <w:rFonts w:ascii="Arial" w:hAnsi="Arial" w:cs="Arial"/>
        </w:rPr>
        <w:t>Furthermore, it mandates that educational institutions integrate cross-curricular responsibilities pertaining to literacy, numeracy, and digital competence.</w:t>
      </w:r>
      <w:r w:rsidR="00A23E7C" w:rsidRPr="0095623F">
        <w:rPr>
          <w:rFonts w:ascii="Arial" w:hAnsi="Arial" w:cs="Arial"/>
        </w:rPr>
        <w:t xml:space="preserve"> Sinnema, C., Nieveen, N. and Priestley, M. (2020)</w:t>
      </w:r>
      <w:r w:rsidR="004C7D6D" w:rsidRPr="0095623F">
        <w:rPr>
          <w:rFonts w:ascii="Arial" w:hAnsi="Arial" w:cs="Arial"/>
        </w:rPr>
        <w:t>b</w:t>
      </w:r>
      <w:r w:rsidR="00A23E7C" w:rsidRPr="0095623F">
        <w:rPr>
          <w:rFonts w:ascii="Arial" w:hAnsi="Arial" w:cs="Arial"/>
        </w:rPr>
        <w:t xml:space="preserve"> state that</w:t>
      </w:r>
      <w:r w:rsidR="00AA028D" w:rsidRPr="0095623F">
        <w:rPr>
          <w:rFonts w:ascii="Arial" w:hAnsi="Arial" w:cs="Arial"/>
        </w:rPr>
        <w:t xml:space="preserve"> </w:t>
      </w:r>
      <w:r w:rsidR="00A23E7C" w:rsidRPr="0095623F">
        <w:rPr>
          <w:rFonts w:ascii="Arial" w:hAnsi="Arial" w:cs="Arial"/>
        </w:rPr>
        <w:t>t</w:t>
      </w:r>
      <w:r w:rsidR="00AA028D" w:rsidRPr="0095623F">
        <w:rPr>
          <w:rFonts w:ascii="Arial" w:hAnsi="Arial" w:cs="Arial"/>
        </w:rPr>
        <w:t xml:space="preserve">ogether with its focus on four key purposes, it affords substantially more flexibility and autonomy to teachers and schools, positions learners as central to curriculum decision making, promotes active forms of pedagogy and twenty-first-century skills and reduces specification of curriculum content. </w:t>
      </w:r>
      <w:r w:rsidRPr="0095623F">
        <w:rPr>
          <w:rFonts w:ascii="Arial" w:hAnsi="Arial" w:cs="Arial"/>
        </w:rPr>
        <w:t xml:space="preserve"> It allows educational institutions considerable freedom in creating and organizing their curricula, while also offering statutory guidance, expectations for progression, and "What Matters" statements that outline key concepts and developmental paths</w:t>
      </w:r>
      <w:proofErr w:type="gramStart"/>
      <w:r w:rsidRPr="0095623F">
        <w:rPr>
          <w:rFonts w:ascii="Arial" w:hAnsi="Arial" w:cs="Arial"/>
        </w:rPr>
        <w:t>. .</w:t>
      </w:r>
      <w:proofErr w:type="gramEnd"/>
      <w:r w:rsidRPr="0095623F">
        <w:rPr>
          <w:rFonts w:ascii="Arial" w:hAnsi="Arial" w:cs="Arial"/>
        </w:rPr>
        <w:t xml:space="preserve"> The Curriculum and Assessment (Wales) Act 2021 identifies that the Curriculum for Wales sets out the common understanding of what matters in learning and the progression steps which describe expected learner development.</w:t>
      </w:r>
      <w:r w:rsidR="00AA028D" w:rsidRPr="0095623F">
        <w:rPr>
          <w:rFonts w:ascii="Arial" w:hAnsi="Arial" w:cs="Arial"/>
        </w:rPr>
        <w:t xml:space="preserve"> </w:t>
      </w:r>
    </w:p>
    <w:p w14:paraId="519A5F01" w14:textId="54F0EBCC" w:rsidR="004945E2" w:rsidRPr="0095623F" w:rsidRDefault="004945E2">
      <w:pPr>
        <w:rPr>
          <w:rFonts w:ascii="Arial" w:hAnsi="Arial" w:cs="Arial"/>
        </w:rPr>
      </w:pPr>
      <w:r w:rsidRPr="0095623F">
        <w:rPr>
          <w:rFonts w:ascii="Arial" w:hAnsi="Arial" w:cs="Arial"/>
        </w:rPr>
        <w:t xml:space="preserve">This curriculum introduces a dynamic framework intended to foster student participation, integrating features that promote Welsh culture and languages. </w:t>
      </w:r>
      <w:r w:rsidRPr="0095623F">
        <w:rPr>
          <w:rFonts w:ascii="Arial" w:hAnsi="Arial" w:cs="Arial"/>
        </w:rPr>
        <w:lastRenderedPageBreak/>
        <w:t>However, it has resulted in a heavier workload for teachers and heightened difficulties in recruiting staff in the education field.</w:t>
      </w:r>
    </w:p>
    <w:p w14:paraId="45D2755C" w14:textId="77777777" w:rsidR="009E481C" w:rsidRPr="0095623F" w:rsidRDefault="009E481C" w:rsidP="009E481C">
      <w:pPr>
        <w:rPr>
          <w:rFonts w:ascii="Arial" w:hAnsi="Arial" w:cs="Arial"/>
        </w:rPr>
      </w:pPr>
      <w:r w:rsidRPr="0095623F">
        <w:rPr>
          <w:rFonts w:ascii="Arial" w:hAnsi="Arial" w:cs="Arial"/>
        </w:rPr>
        <w:t>The purpose of this initiative is to maintain adherence to regulations and supply support for student development. The strengths of this approach include the promotion of professional autonomy, the potential for more profound and contextually relevant learning, and a well-structured foundation for reform. On the other hand, the potential risks include inconsistent implementation, difficulties with assessment and comparison, and heightened expectations for teacher capabilities during a complicated gradual rollout. Glover, A. et al. (2026</w:t>
      </w:r>
      <w:proofErr w:type="gramStart"/>
      <w:r w:rsidRPr="0095623F">
        <w:rPr>
          <w:rFonts w:ascii="Arial" w:hAnsi="Arial" w:cs="Arial"/>
        </w:rPr>
        <w:t>)  identifies</w:t>
      </w:r>
      <w:proofErr w:type="gramEnd"/>
      <w:r w:rsidRPr="0095623F">
        <w:rPr>
          <w:rFonts w:ascii="Arial" w:hAnsi="Arial" w:cs="Arial"/>
        </w:rPr>
        <w:t xml:space="preserve"> in the study that barriers included a lack of knowledge and confidence in a minority of aspects of the curriculum, including curriculum design, uncertainty about progression, assessment and future accountability, </w:t>
      </w:r>
      <w:proofErr w:type="gramStart"/>
      <w:r w:rsidRPr="0095623F">
        <w:rPr>
          <w:rFonts w:ascii="Arial" w:hAnsi="Arial" w:cs="Arial"/>
        </w:rPr>
        <w:t>as yet</w:t>
      </w:r>
      <w:proofErr w:type="gramEnd"/>
      <w:r w:rsidRPr="0095623F">
        <w:rPr>
          <w:rFonts w:ascii="Arial" w:hAnsi="Arial" w:cs="Arial"/>
        </w:rPr>
        <w:t xml:space="preserve"> unmet support needs, and insufficient time.</w:t>
      </w:r>
    </w:p>
    <w:p w14:paraId="7220F009" w14:textId="77777777" w:rsidR="00791E26" w:rsidRPr="0095623F" w:rsidRDefault="00791E26" w:rsidP="009E481C">
      <w:pPr>
        <w:rPr>
          <w:rFonts w:ascii="Arial" w:hAnsi="Arial" w:cs="Arial"/>
        </w:rPr>
      </w:pPr>
    </w:p>
    <w:p w14:paraId="7E98557E" w14:textId="75201217" w:rsidR="009E481C" w:rsidRPr="0095623F" w:rsidRDefault="00791E26">
      <w:pPr>
        <w:rPr>
          <w:rFonts w:ascii="Arial" w:hAnsi="Arial" w:cs="Arial"/>
          <w:b/>
          <w:bCs/>
          <w:u w:val="single"/>
        </w:rPr>
      </w:pPr>
      <w:r w:rsidRPr="0095623F">
        <w:rPr>
          <w:rFonts w:ascii="Arial" w:hAnsi="Arial" w:cs="Arial"/>
          <w:b/>
          <w:bCs/>
          <w:u w:val="single"/>
        </w:rPr>
        <w:t>Finland</w:t>
      </w:r>
    </w:p>
    <w:p w14:paraId="332767E9" w14:textId="09CA1DCE" w:rsidR="002C6534" w:rsidRPr="0095623F" w:rsidRDefault="00591CC9">
      <w:pPr>
        <w:rPr>
          <w:rFonts w:ascii="Arial" w:hAnsi="Arial" w:cs="Arial"/>
        </w:rPr>
      </w:pPr>
      <w:r w:rsidRPr="0095623F">
        <w:rPr>
          <w:rFonts w:ascii="Arial" w:hAnsi="Arial" w:cs="Arial"/>
        </w:rPr>
        <w:t>Finland has attracted considerable focus in the education sector thanks to its consistently excellent performance metrics, dedication to equity, and unique policy structures.</w:t>
      </w:r>
      <w:r w:rsidR="00597F13" w:rsidRPr="0095623F">
        <w:rPr>
          <w:rFonts w:ascii="Arial" w:hAnsi="Arial" w:cs="Arial"/>
        </w:rPr>
        <w:t xml:space="preserve"> </w:t>
      </w:r>
      <w:proofErr w:type="spellStart"/>
      <w:r w:rsidR="002F20F7" w:rsidRPr="0095623F">
        <w:rPr>
          <w:rFonts w:ascii="Arial" w:hAnsi="Arial" w:cs="Arial"/>
        </w:rPr>
        <w:t>Humanium</w:t>
      </w:r>
      <w:proofErr w:type="spellEnd"/>
      <w:r w:rsidR="002F20F7" w:rsidRPr="0095623F">
        <w:rPr>
          <w:rFonts w:ascii="Arial" w:hAnsi="Arial" w:cs="Arial"/>
        </w:rPr>
        <w:t xml:space="preserve"> (no date) identifies Finland’s educational approach, characterized by progressive reforms, offers a compelling model for other countries. With its delayed introduction of compulsory education and a strong focus on learning rather than standardized testing. </w:t>
      </w:r>
      <w:r w:rsidR="00597F13" w:rsidRPr="0095623F">
        <w:rPr>
          <w:rFonts w:ascii="Arial" w:hAnsi="Arial" w:cs="Arial"/>
        </w:rPr>
        <w:t xml:space="preserve"> In agreement with </w:t>
      </w:r>
      <w:proofErr w:type="spellStart"/>
      <w:r w:rsidR="00597F13" w:rsidRPr="0095623F">
        <w:rPr>
          <w:rFonts w:ascii="Arial" w:hAnsi="Arial" w:cs="Arial"/>
        </w:rPr>
        <w:t>Humanium</w:t>
      </w:r>
      <w:proofErr w:type="spellEnd"/>
      <w:r w:rsidR="00597F13" w:rsidRPr="0095623F">
        <w:rPr>
          <w:rFonts w:ascii="Arial" w:hAnsi="Arial" w:cs="Arial"/>
        </w:rPr>
        <w:t xml:space="preserve">, Strategic </w:t>
      </w:r>
      <w:proofErr w:type="gramStart"/>
      <w:r w:rsidR="00597F13" w:rsidRPr="0095623F">
        <w:rPr>
          <w:rFonts w:ascii="Arial" w:hAnsi="Arial" w:cs="Arial"/>
        </w:rPr>
        <w:t>Intelligence(</w:t>
      </w:r>
      <w:proofErr w:type="gramEnd"/>
      <w:r w:rsidR="00597F13" w:rsidRPr="0095623F">
        <w:rPr>
          <w:rFonts w:ascii="Arial" w:hAnsi="Arial" w:cs="Arial"/>
        </w:rPr>
        <w:t xml:space="preserve">2026) highlights it is the curriculum that provides coherence across the system, guides teachers in their professional autonomy, and ensures that every child receives a high-quality education. </w:t>
      </w:r>
      <w:r w:rsidRPr="0095623F">
        <w:rPr>
          <w:rFonts w:ascii="Arial" w:hAnsi="Arial" w:cs="Arial"/>
        </w:rPr>
        <w:t xml:space="preserve">In Finland, the age range for attending school is set between </w:t>
      </w:r>
      <w:r w:rsidR="002C6534" w:rsidRPr="0095623F">
        <w:rPr>
          <w:rFonts w:ascii="Arial" w:hAnsi="Arial" w:cs="Arial"/>
        </w:rPr>
        <w:t>6</w:t>
      </w:r>
      <w:r w:rsidRPr="0095623F">
        <w:rPr>
          <w:rFonts w:ascii="Arial" w:hAnsi="Arial" w:cs="Arial"/>
        </w:rPr>
        <w:t xml:space="preserve"> and 1</w:t>
      </w:r>
      <w:r w:rsidR="002C6534" w:rsidRPr="0095623F">
        <w:rPr>
          <w:rFonts w:ascii="Arial" w:hAnsi="Arial" w:cs="Arial"/>
        </w:rPr>
        <w:t>8</w:t>
      </w:r>
      <w:r w:rsidRPr="0095623F">
        <w:rPr>
          <w:rFonts w:ascii="Arial" w:hAnsi="Arial" w:cs="Arial"/>
        </w:rPr>
        <w:t xml:space="preserve"> years old.</w:t>
      </w:r>
      <w:r w:rsidR="002F20F7" w:rsidRPr="0095623F">
        <w:rPr>
          <w:rFonts w:ascii="Arial" w:hAnsi="Arial" w:cs="Arial"/>
        </w:rPr>
        <w:t xml:space="preserve"> Children begin their formal education at an older age, focusing more on creating enriching learning experiences instead of predominantly</w:t>
      </w:r>
      <w:r w:rsidR="00597F13" w:rsidRPr="0095623F">
        <w:rPr>
          <w:rFonts w:ascii="Arial" w:hAnsi="Arial" w:cs="Arial"/>
        </w:rPr>
        <w:t xml:space="preserve"> </w:t>
      </w:r>
      <w:r w:rsidR="002F20F7" w:rsidRPr="0095623F">
        <w:rPr>
          <w:rFonts w:ascii="Arial" w:hAnsi="Arial" w:cs="Arial"/>
        </w:rPr>
        <w:t>depending on standardized tests to measure knowledge</w:t>
      </w:r>
      <w:r w:rsidR="002C6534" w:rsidRPr="0095623F">
        <w:rPr>
          <w:rFonts w:ascii="Arial" w:hAnsi="Arial" w:cs="Arial"/>
        </w:rPr>
        <w:t xml:space="preserve"> Finnish National Agency for Education (2026) identifies that in Finland compulsory education applies to all 6–18-year-olds. It includes pre-primary, primary, lower secondary and upper secondary education.</w:t>
      </w:r>
      <w:r w:rsidR="002F20F7" w:rsidRPr="0095623F">
        <w:rPr>
          <w:rFonts w:ascii="Arial" w:hAnsi="Arial" w:cs="Arial"/>
        </w:rPr>
        <w:t xml:space="preserve"> </w:t>
      </w:r>
      <w:r w:rsidRPr="0095623F">
        <w:rPr>
          <w:rFonts w:ascii="Arial" w:hAnsi="Arial" w:cs="Arial"/>
        </w:rPr>
        <w:t xml:space="preserve"> A detailed framework for basic education, called </w:t>
      </w:r>
      <w:proofErr w:type="spellStart"/>
      <w:r w:rsidRPr="0095623F">
        <w:rPr>
          <w:rFonts w:ascii="Arial" w:hAnsi="Arial" w:cs="Arial"/>
        </w:rPr>
        <w:t>perusopetus</w:t>
      </w:r>
      <w:proofErr w:type="spellEnd"/>
      <w:r w:rsidRPr="0095623F">
        <w:rPr>
          <w:rFonts w:ascii="Arial" w:hAnsi="Arial" w:cs="Arial"/>
        </w:rPr>
        <w:t>, oversees this educational stage.</w:t>
      </w:r>
      <w:r w:rsidR="002F20F7" w:rsidRPr="0095623F">
        <w:rPr>
          <w:rFonts w:ascii="Arial" w:hAnsi="Arial" w:cs="Arial"/>
        </w:rPr>
        <w:t xml:space="preserve"> </w:t>
      </w:r>
    </w:p>
    <w:p w14:paraId="343A4B25" w14:textId="5FC18B73" w:rsidR="009E481C" w:rsidRPr="00A81A7A" w:rsidRDefault="00591CC9">
      <w:pPr>
        <w:rPr>
          <w:rFonts w:ascii="Arial" w:hAnsi="Arial" w:cs="Arial"/>
        </w:rPr>
      </w:pPr>
      <w:r w:rsidRPr="0095623F">
        <w:rPr>
          <w:rFonts w:ascii="Arial" w:hAnsi="Arial" w:cs="Arial"/>
        </w:rPr>
        <w:t xml:space="preserve"> The framework highlights the importance of educator professionalism, supports fair access to educational resources, encourages the use of low-stress assessment methods, and promotes the creation of broad learning goals instead of focusing solely on test preparation techniques.</w:t>
      </w:r>
      <w:r w:rsidR="00B66AFD" w:rsidRPr="0095623F">
        <w:rPr>
          <w:rFonts w:ascii="Arial" w:hAnsi="Arial" w:cs="Arial"/>
        </w:rPr>
        <w:t xml:space="preserve"> The national curriculum of Finland specifies objectives, core content, and local duties, while offering significant flexibility to municipalities and educational institutions in its execution. The National Core Curriculum for Basic Education identifies a variety of transversal competencies, including cognitive skills like critical thinking and metacognitive strategies, in addition to cultural competence, multiliteracy, ICT competence, civic engagement, and self-efficacy, among others. Instead of providing detailed lesson plans</w:t>
      </w:r>
      <w:r w:rsidR="00791E26" w:rsidRPr="0095623F">
        <w:rPr>
          <w:rFonts w:ascii="Arial" w:hAnsi="Arial" w:cs="Arial"/>
        </w:rPr>
        <w:t xml:space="preserve">. Lavonen, J. </w:t>
      </w:r>
      <w:r w:rsidR="00791E26" w:rsidRPr="0095623F">
        <w:rPr>
          <w:rFonts w:ascii="Arial" w:hAnsi="Arial" w:cs="Arial"/>
        </w:rPr>
        <w:lastRenderedPageBreak/>
        <w:t xml:space="preserve">(2020) highlights that </w:t>
      </w:r>
      <w:proofErr w:type="gramStart"/>
      <w:r w:rsidR="00791E26" w:rsidRPr="0095623F">
        <w:rPr>
          <w:rFonts w:ascii="Arial" w:hAnsi="Arial" w:cs="Arial"/>
        </w:rPr>
        <w:t>Finland’s  development</w:t>
      </w:r>
      <w:proofErr w:type="gramEnd"/>
      <w:r w:rsidR="00791E26" w:rsidRPr="0095623F">
        <w:rPr>
          <w:rFonts w:ascii="Arial" w:hAnsi="Arial" w:cs="Arial"/>
        </w:rPr>
        <w:t xml:space="preserve"> of national and local level curricula and a teacher education development program – have resulted in progress towards implementing twenty-first century competences in schools and for teacher education.</w:t>
      </w:r>
      <w:r w:rsidR="00B66AFD" w:rsidRPr="0095623F">
        <w:rPr>
          <w:rFonts w:ascii="Arial" w:hAnsi="Arial" w:cs="Arial"/>
        </w:rPr>
        <w:t xml:space="preserve"> It highlights the importance of developing wide-ranging content domains. Cities and</w:t>
      </w:r>
      <w:r w:rsidR="00B66AFD" w:rsidRPr="00A81A7A">
        <w:rPr>
          <w:rFonts w:ascii="Arial" w:hAnsi="Arial" w:cs="Arial"/>
        </w:rPr>
        <w:t xml:space="preserve"> schools design customized educational programs that modify national objectives to fit their environments. In this setup, teachers possess substantial discretion regarding their instructional strategies and the assessment of their students' performance</w:t>
      </w:r>
      <w:r w:rsidR="002C6534" w:rsidRPr="00A81A7A">
        <w:rPr>
          <w:rFonts w:ascii="Arial" w:hAnsi="Arial" w:cs="Arial"/>
        </w:rPr>
        <w:t>.</w:t>
      </w:r>
    </w:p>
    <w:p w14:paraId="0F865E4C" w14:textId="1358A787" w:rsidR="009A1F21" w:rsidRPr="00A81A7A" w:rsidRDefault="00D960EB">
      <w:pPr>
        <w:rPr>
          <w:rFonts w:ascii="Arial" w:hAnsi="Arial" w:cs="Arial"/>
          <w:b/>
          <w:bCs/>
          <w:u w:val="single"/>
        </w:rPr>
      </w:pPr>
      <w:r w:rsidRPr="00A81A7A">
        <w:rPr>
          <w:rFonts w:ascii="Arial" w:hAnsi="Arial" w:cs="Arial"/>
          <w:b/>
          <w:bCs/>
          <w:u w:val="single"/>
        </w:rPr>
        <w:t>Comparison</w:t>
      </w:r>
    </w:p>
    <w:p w14:paraId="4C04A447" w14:textId="77777777" w:rsidR="00F62F74" w:rsidRPr="00A81A7A" w:rsidRDefault="00F62F74" w:rsidP="00F62F74">
      <w:pPr>
        <w:rPr>
          <w:rFonts w:ascii="Arial" w:hAnsi="Arial" w:cs="Arial"/>
        </w:rPr>
      </w:pPr>
      <w:r w:rsidRPr="00A81A7A">
        <w:rPr>
          <w:rFonts w:ascii="Arial" w:hAnsi="Arial" w:cs="Arial"/>
        </w:rPr>
        <w:t>A major part of Finland’s strategy for excellent education is its student-</w:t>
      </w:r>
      <w:proofErr w:type="spellStart"/>
      <w:r w:rsidRPr="00A81A7A">
        <w:rPr>
          <w:rFonts w:ascii="Arial" w:hAnsi="Arial" w:cs="Arial"/>
        </w:rPr>
        <w:t>centered</w:t>
      </w:r>
      <w:proofErr w:type="spellEnd"/>
      <w:r w:rsidRPr="00A81A7A">
        <w:rPr>
          <w:rFonts w:ascii="Arial" w:hAnsi="Arial" w:cs="Arial"/>
        </w:rPr>
        <w:t xml:space="preserve"> education philosophy, focusing on equity, creativity and comprehensive development of all students. They emphasize flexibility in learning so that students can go at their own pace while still accessing an abundance of quality learning opportunities. Through its curriculum, Finland seeks to provide students with broad and inclusive education, incorporating various subjects within a learning framework that encourages interdependence and connection (</w:t>
      </w:r>
      <w:proofErr w:type="spellStart"/>
      <w:r w:rsidRPr="00A81A7A">
        <w:rPr>
          <w:rFonts w:ascii="Arial" w:hAnsi="Arial" w:cs="Arial"/>
        </w:rPr>
        <w:t>Halinén</w:t>
      </w:r>
      <w:proofErr w:type="spellEnd"/>
      <w:r w:rsidRPr="00A81A7A">
        <w:rPr>
          <w:rFonts w:ascii="Arial" w:hAnsi="Arial" w:cs="Arial"/>
        </w:rPr>
        <w:t>, 2018; Sahlberg, 2021; Khawaja et al., 2025). As already highlighted, this curriculum framework encourages integration of learning through arts education and physical education, providing students with experiences of learning and expressing self through music and other forms of movement (Khawaja, 2018).</w:t>
      </w:r>
    </w:p>
    <w:p w14:paraId="573D8CFB" w14:textId="76D5A24D" w:rsidR="00D960EB" w:rsidRPr="00A81A7A" w:rsidRDefault="00F62F74">
      <w:pPr>
        <w:rPr>
          <w:rFonts w:ascii="Arial" w:hAnsi="Arial" w:cs="Arial"/>
        </w:rPr>
      </w:pPr>
      <w:r w:rsidRPr="00A81A7A">
        <w:rPr>
          <w:rFonts w:ascii="Arial" w:hAnsi="Arial" w:cs="Arial"/>
        </w:rPr>
        <w:t xml:space="preserve">The Welsh approach, on the other hand is to ensure that a reformed curriculum is inclusive and promotes specific educational goals, and to create a framework for Successful Futures in education (Sinnema, </w:t>
      </w:r>
      <w:proofErr w:type="spellStart"/>
      <w:r w:rsidRPr="00A81A7A">
        <w:rPr>
          <w:rFonts w:ascii="Arial" w:hAnsi="Arial" w:cs="Arial"/>
        </w:rPr>
        <w:t>Nieveen</w:t>
      </w:r>
      <w:proofErr w:type="spellEnd"/>
      <w:r w:rsidRPr="00A81A7A">
        <w:rPr>
          <w:rFonts w:ascii="Arial" w:hAnsi="Arial" w:cs="Arial"/>
        </w:rPr>
        <w:t xml:space="preserve">, &amp; Priestley, </w:t>
      </w:r>
      <w:proofErr w:type="gramStart"/>
      <w:r w:rsidRPr="00A81A7A">
        <w:rPr>
          <w:rFonts w:ascii="Arial" w:hAnsi="Arial" w:cs="Arial"/>
        </w:rPr>
        <w:t>2020)</w:t>
      </w:r>
      <w:r w:rsidR="00A81A7A" w:rsidRPr="00A81A7A">
        <w:rPr>
          <w:rFonts w:ascii="Arial" w:hAnsi="Arial" w:cs="Arial"/>
        </w:rPr>
        <w:t>a</w:t>
      </w:r>
      <w:r w:rsidRPr="00A81A7A">
        <w:rPr>
          <w:rFonts w:ascii="Arial" w:hAnsi="Arial" w:cs="Arial"/>
        </w:rPr>
        <w:t>.</w:t>
      </w:r>
      <w:proofErr w:type="gramEnd"/>
      <w:r w:rsidRPr="00A81A7A">
        <w:rPr>
          <w:rFonts w:ascii="Arial" w:hAnsi="Arial" w:cs="Arial"/>
        </w:rPr>
        <w:t xml:space="preserve"> The newly reformed Welsh curriculum is based around six ‘Areas of Learning and Experience’ (</w:t>
      </w:r>
      <w:proofErr w:type="spellStart"/>
      <w:r w:rsidRPr="00A81A7A">
        <w:rPr>
          <w:rFonts w:ascii="Arial" w:hAnsi="Arial" w:cs="Arial"/>
        </w:rPr>
        <w:t>AoLEs</w:t>
      </w:r>
      <w:proofErr w:type="spellEnd"/>
      <w:r w:rsidRPr="00A81A7A">
        <w:rPr>
          <w:rFonts w:ascii="Arial" w:hAnsi="Arial" w:cs="Arial"/>
        </w:rPr>
        <w:t xml:space="preserve">), which include: expressiveness in the arts, health and well-being, humanities, mathematics and numerical skills, science and international opportunities. The areas of learning aim to develop in students a range of knowledge and skills to ensure that they are equipped to participate in the demands of 21st century life (Evans, 2020). However, there are also some fears regarding a potential ‘compartmentalization’ of learning, where students gain knowledge and skills within each </w:t>
      </w:r>
      <w:proofErr w:type="spellStart"/>
      <w:r w:rsidRPr="00A81A7A">
        <w:rPr>
          <w:rFonts w:ascii="Arial" w:hAnsi="Arial" w:cs="Arial"/>
        </w:rPr>
        <w:t>AoLE</w:t>
      </w:r>
      <w:proofErr w:type="spellEnd"/>
      <w:r w:rsidRPr="00A81A7A">
        <w:rPr>
          <w:rFonts w:ascii="Arial" w:hAnsi="Arial" w:cs="Arial"/>
        </w:rPr>
        <w:t xml:space="preserve"> in isolation, and that these are not synthesized across subjects (</w:t>
      </w:r>
      <w:proofErr w:type="spellStart"/>
      <w:r w:rsidRPr="00A81A7A">
        <w:rPr>
          <w:rFonts w:ascii="Arial" w:hAnsi="Arial" w:cs="Arial"/>
        </w:rPr>
        <w:t>Jerrim</w:t>
      </w:r>
      <w:proofErr w:type="spellEnd"/>
      <w:r w:rsidRPr="00A81A7A">
        <w:rPr>
          <w:rFonts w:ascii="Arial" w:hAnsi="Arial" w:cs="Arial"/>
        </w:rPr>
        <w:t>, Greany, &amp; Perera, 2018).</w:t>
      </w:r>
    </w:p>
    <w:p w14:paraId="33EAA164" w14:textId="542E673C" w:rsidR="002C6534" w:rsidRPr="00A81A7A" w:rsidRDefault="00763F11">
      <w:pPr>
        <w:rPr>
          <w:rFonts w:ascii="Arial" w:hAnsi="Arial" w:cs="Arial"/>
        </w:rPr>
      </w:pPr>
      <w:r w:rsidRPr="00A81A7A">
        <w:rPr>
          <w:rFonts w:ascii="Arial" w:hAnsi="Arial" w:cs="Arial"/>
        </w:rPr>
        <w:t>The curriculum also reflects differing philosophies regarding the role of outdoor and movement education. Research supports the notion that outdoor and movement activities have a positive effect on physical, emotional and cognitive development (</w:t>
      </w:r>
      <w:proofErr w:type="spellStart"/>
      <w:r w:rsidRPr="00A81A7A">
        <w:rPr>
          <w:rFonts w:ascii="Arial" w:hAnsi="Arial" w:cs="Arial"/>
        </w:rPr>
        <w:t>Tortella</w:t>
      </w:r>
      <w:proofErr w:type="spellEnd"/>
      <w:r w:rsidRPr="00A81A7A">
        <w:rPr>
          <w:rFonts w:ascii="Arial" w:hAnsi="Arial" w:cs="Arial"/>
        </w:rPr>
        <w:t xml:space="preserve"> et al, 2021). In Finland, there is a philosophy that supports the integration of outdoor and movement activities within all learning areas, to support student engagement and promote student well-being. In contrast, the physical education component within the Welsh new curriculum has yet to be fully embedded across all areas of learning and will require significant work to ensure that students are able to engage in a range of physical activities throughout their school life (Evans, 2020).</w:t>
      </w:r>
    </w:p>
    <w:p w14:paraId="0488C003" w14:textId="1A08F6D1" w:rsidR="009A1F21" w:rsidRPr="00A81A7A" w:rsidRDefault="00D960EB" w:rsidP="009A1F21">
      <w:pPr>
        <w:rPr>
          <w:rFonts w:ascii="Arial" w:hAnsi="Arial" w:cs="Arial"/>
          <w:b/>
          <w:bCs/>
          <w:u w:val="single"/>
        </w:rPr>
      </w:pPr>
      <w:r w:rsidRPr="00A81A7A">
        <w:rPr>
          <w:rFonts w:ascii="Arial" w:hAnsi="Arial" w:cs="Arial"/>
          <w:b/>
          <w:bCs/>
          <w:u w:val="single"/>
        </w:rPr>
        <w:lastRenderedPageBreak/>
        <w:t>Conclusion</w:t>
      </w:r>
    </w:p>
    <w:p w14:paraId="4B68FED0" w14:textId="0D3AD32A" w:rsidR="009A1F21" w:rsidRPr="00A81A7A" w:rsidRDefault="009A1F21" w:rsidP="009A1F21">
      <w:pPr>
        <w:rPr>
          <w:rFonts w:ascii="Arial" w:hAnsi="Arial" w:cs="Arial"/>
        </w:rPr>
      </w:pPr>
      <w:r w:rsidRPr="00A81A7A">
        <w:rPr>
          <w:rFonts w:ascii="Arial" w:hAnsi="Arial" w:cs="Arial"/>
        </w:rPr>
        <w:t xml:space="preserve">The new curriculum in Wales and the new curriculum in Finland are both significant developments in educational reform and present interesting comparisons in educational philosophy. In particular, the contrasting approaches to achieving creative, equitable and healthy education through the methods of less formal and more integrated learning or a more structured approach to achieve the same outcomes, highlight strengths and weaknesses of both approaches. Further, both systems and their approaches to the integration of arts and physical education through music and movement, and of outdoor and movement education through example, highlight ways in which new approaches to education can be developed and influenced </w:t>
      </w:r>
      <w:proofErr w:type="gramStart"/>
      <w:r w:rsidRPr="00A81A7A">
        <w:rPr>
          <w:rFonts w:ascii="Arial" w:hAnsi="Arial" w:cs="Arial"/>
        </w:rPr>
        <w:t>in order to</w:t>
      </w:r>
      <w:proofErr w:type="gramEnd"/>
      <w:r w:rsidRPr="00A81A7A">
        <w:rPr>
          <w:rFonts w:ascii="Arial" w:hAnsi="Arial" w:cs="Arial"/>
        </w:rPr>
        <w:t xml:space="preserve"> improve student outcomes in a range of contexts.</w:t>
      </w:r>
    </w:p>
    <w:p w14:paraId="105D48FD" w14:textId="77777777" w:rsidR="00597F13" w:rsidRPr="00A81A7A" w:rsidRDefault="00597F13" w:rsidP="00A23E7C">
      <w:pPr>
        <w:rPr>
          <w:rFonts w:ascii="Arial" w:hAnsi="Arial" w:cs="Arial"/>
        </w:rPr>
      </w:pPr>
    </w:p>
    <w:p w14:paraId="6914070C" w14:textId="77777777" w:rsidR="00A81A7A" w:rsidRDefault="00A81A7A" w:rsidP="00A81A7A">
      <w:pPr>
        <w:rPr>
          <w:rFonts w:ascii="Arial" w:hAnsi="Arial" w:cs="Arial"/>
        </w:rPr>
      </w:pPr>
    </w:p>
    <w:p w14:paraId="65D8587D" w14:textId="77777777" w:rsidR="00A81A7A" w:rsidRDefault="00A81A7A" w:rsidP="00A81A7A">
      <w:pPr>
        <w:rPr>
          <w:rFonts w:ascii="Arial" w:hAnsi="Arial" w:cs="Arial"/>
        </w:rPr>
      </w:pPr>
    </w:p>
    <w:p w14:paraId="01231827" w14:textId="77777777" w:rsidR="00A81A7A" w:rsidRDefault="00A81A7A" w:rsidP="00A81A7A">
      <w:pPr>
        <w:rPr>
          <w:rFonts w:ascii="Arial" w:hAnsi="Arial" w:cs="Arial"/>
        </w:rPr>
      </w:pPr>
    </w:p>
    <w:p w14:paraId="68762F58" w14:textId="77777777" w:rsidR="00A81A7A" w:rsidRDefault="00A81A7A" w:rsidP="00A81A7A">
      <w:pPr>
        <w:rPr>
          <w:rFonts w:ascii="Arial" w:hAnsi="Arial" w:cs="Arial"/>
        </w:rPr>
      </w:pPr>
    </w:p>
    <w:p w14:paraId="6C413B6D" w14:textId="77777777" w:rsidR="00364F7B" w:rsidRDefault="00364F7B" w:rsidP="00A81A7A">
      <w:pPr>
        <w:rPr>
          <w:rFonts w:ascii="Arial" w:hAnsi="Arial" w:cs="Arial"/>
        </w:rPr>
      </w:pPr>
    </w:p>
    <w:p w14:paraId="7C1DDF74" w14:textId="77777777" w:rsidR="00364F7B" w:rsidRDefault="00364F7B" w:rsidP="00A81A7A">
      <w:pPr>
        <w:rPr>
          <w:rFonts w:ascii="Arial" w:hAnsi="Arial" w:cs="Arial"/>
        </w:rPr>
      </w:pPr>
    </w:p>
    <w:p w14:paraId="5B9B3DB5" w14:textId="77777777" w:rsidR="00364F7B" w:rsidRDefault="00364F7B" w:rsidP="00A81A7A">
      <w:pPr>
        <w:rPr>
          <w:rFonts w:ascii="Arial" w:hAnsi="Arial" w:cs="Arial"/>
        </w:rPr>
      </w:pPr>
    </w:p>
    <w:p w14:paraId="7861DB26" w14:textId="77777777" w:rsidR="00364F7B" w:rsidRDefault="00364F7B" w:rsidP="00A81A7A">
      <w:pPr>
        <w:rPr>
          <w:rFonts w:ascii="Arial" w:hAnsi="Arial" w:cs="Arial"/>
        </w:rPr>
      </w:pPr>
    </w:p>
    <w:p w14:paraId="5E018FE8" w14:textId="77777777" w:rsidR="00364F7B" w:rsidRDefault="00364F7B" w:rsidP="00A81A7A">
      <w:pPr>
        <w:rPr>
          <w:rFonts w:ascii="Arial" w:hAnsi="Arial" w:cs="Arial"/>
        </w:rPr>
      </w:pPr>
    </w:p>
    <w:p w14:paraId="346FFA7E" w14:textId="77777777" w:rsidR="00364F7B" w:rsidRDefault="00364F7B" w:rsidP="00A81A7A">
      <w:pPr>
        <w:rPr>
          <w:rFonts w:ascii="Arial" w:hAnsi="Arial" w:cs="Arial"/>
        </w:rPr>
      </w:pPr>
    </w:p>
    <w:p w14:paraId="09C507E2" w14:textId="77777777" w:rsidR="00364F7B" w:rsidRDefault="00364F7B" w:rsidP="00A81A7A">
      <w:pPr>
        <w:rPr>
          <w:rFonts w:ascii="Arial" w:hAnsi="Arial" w:cs="Arial"/>
        </w:rPr>
      </w:pPr>
    </w:p>
    <w:p w14:paraId="3E6E7714" w14:textId="77777777" w:rsidR="00364F7B" w:rsidRDefault="00364F7B" w:rsidP="00A81A7A">
      <w:pPr>
        <w:rPr>
          <w:rFonts w:ascii="Arial" w:hAnsi="Arial" w:cs="Arial"/>
        </w:rPr>
      </w:pPr>
    </w:p>
    <w:p w14:paraId="23A5383E" w14:textId="77777777" w:rsidR="00364F7B" w:rsidRDefault="00364F7B" w:rsidP="00A81A7A">
      <w:pPr>
        <w:rPr>
          <w:rFonts w:ascii="Arial" w:hAnsi="Arial" w:cs="Arial"/>
        </w:rPr>
      </w:pPr>
    </w:p>
    <w:p w14:paraId="79F39470" w14:textId="77777777" w:rsidR="00364F7B" w:rsidRDefault="00364F7B" w:rsidP="00A81A7A">
      <w:pPr>
        <w:rPr>
          <w:rFonts w:ascii="Arial" w:hAnsi="Arial" w:cs="Arial"/>
        </w:rPr>
      </w:pPr>
    </w:p>
    <w:p w14:paraId="5FFD668A" w14:textId="77777777" w:rsidR="00364F7B" w:rsidRDefault="00364F7B" w:rsidP="00A81A7A">
      <w:pPr>
        <w:rPr>
          <w:rFonts w:ascii="Arial" w:hAnsi="Arial" w:cs="Arial"/>
        </w:rPr>
      </w:pPr>
    </w:p>
    <w:p w14:paraId="011CB00D" w14:textId="77777777" w:rsidR="00364F7B" w:rsidRDefault="00364F7B" w:rsidP="00A81A7A">
      <w:pPr>
        <w:rPr>
          <w:rFonts w:ascii="Arial" w:hAnsi="Arial" w:cs="Arial"/>
        </w:rPr>
      </w:pPr>
    </w:p>
    <w:p w14:paraId="76F4718E" w14:textId="77777777" w:rsidR="00364F7B" w:rsidRDefault="00364F7B" w:rsidP="00A81A7A">
      <w:pPr>
        <w:rPr>
          <w:rFonts w:ascii="Arial" w:hAnsi="Arial" w:cs="Arial"/>
        </w:rPr>
      </w:pPr>
    </w:p>
    <w:p w14:paraId="379FB0DB" w14:textId="77777777" w:rsidR="00364F7B" w:rsidRDefault="00364F7B" w:rsidP="00A81A7A">
      <w:pPr>
        <w:rPr>
          <w:rFonts w:ascii="Arial" w:hAnsi="Arial" w:cs="Arial"/>
        </w:rPr>
      </w:pPr>
    </w:p>
    <w:p w14:paraId="24A57B60" w14:textId="77777777" w:rsidR="00364F7B" w:rsidRDefault="00364F7B" w:rsidP="00A81A7A">
      <w:pPr>
        <w:rPr>
          <w:rFonts w:ascii="Arial" w:hAnsi="Arial" w:cs="Arial"/>
        </w:rPr>
      </w:pPr>
    </w:p>
    <w:p w14:paraId="3050BB1A" w14:textId="77777777" w:rsidR="00364F7B" w:rsidRDefault="00364F7B" w:rsidP="00A81A7A">
      <w:pPr>
        <w:rPr>
          <w:rFonts w:ascii="Arial" w:hAnsi="Arial" w:cs="Arial"/>
        </w:rPr>
      </w:pPr>
    </w:p>
    <w:p w14:paraId="589B1B0C" w14:textId="77777777" w:rsidR="00364F7B" w:rsidRPr="00A81A7A" w:rsidRDefault="00364F7B" w:rsidP="00A81A7A">
      <w:pPr>
        <w:rPr>
          <w:rFonts w:ascii="Arial" w:hAnsi="Arial" w:cs="Arial"/>
        </w:rPr>
      </w:pPr>
    </w:p>
    <w:p w14:paraId="405F41E8" w14:textId="77777777" w:rsidR="00A81A7A" w:rsidRPr="00A81A7A" w:rsidRDefault="00A81A7A" w:rsidP="00A81A7A">
      <w:pPr>
        <w:rPr>
          <w:rFonts w:ascii="Arial" w:hAnsi="Arial" w:cs="Arial"/>
          <w:b/>
          <w:bCs/>
          <w:u w:val="single"/>
        </w:rPr>
      </w:pPr>
      <w:r w:rsidRPr="00A81A7A">
        <w:rPr>
          <w:rFonts w:ascii="Arial" w:hAnsi="Arial" w:cs="Arial"/>
          <w:b/>
          <w:bCs/>
          <w:u w:val="single"/>
        </w:rPr>
        <w:t>Reference List</w:t>
      </w:r>
    </w:p>
    <w:p w14:paraId="2170465D" w14:textId="77777777" w:rsidR="00A81A7A" w:rsidRPr="00A81A7A" w:rsidRDefault="00A81A7A" w:rsidP="00A81A7A">
      <w:pPr>
        <w:rPr>
          <w:rFonts w:ascii="Arial" w:hAnsi="Arial" w:cs="Arial"/>
        </w:rPr>
      </w:pPr>
      <w:proofErr w:type="spellStart"/>
      <w:r w:rsidRPr="00A81A7A">
        <w:rPr>
          <w:rFonts w:ascii="Arial" w:hAnsi="Arial" w:cs="Arial"/>
        </w:rPr>
        <w:t>Cwlwm</w:t>
      </w:r>
      <w:proofErr w:type="spellEnd"/>
      <w:r w:rsidRPr="00A81A7A">
        <w:rPr>
          <w:rFonts w:ascii="Arial" w:hAnsi="Arial" w:cs="Arial"/>
        </w:rPr>
        <w:t xml:space="preserve"> (2016) Curriculum for Wales. Available at: </w:t>
      </w:r>
      <w:proofErr w:type="gramStart"/>
      <w:r w:rsidRPr="00A81A7A">
        <w:rPr>
          <w:rFonts w:ascii="Arial" w:hAnsi="Arial" w:cs="Arial"/>
        </w:rPr>
        <w:t>https://cwlwm.org.uk/Curriculum-Wales  (</w:t>
      </w:r>
      <w:proofErr w:type="gramEnd"/>
      <w:r w:rsidRPr="00A81A7A">
        <w:rPr>
          <w:rFonts w:ascii="Arial" w:hAnsi="Arial" w:cs="Arial"/>
        </w:rPr>
        <w:t>Accessed 14th June 2026)</w:t>
      </w:r>
    </w:p>
    <w:p w14:paraId="6B481288" w14:textId="77777777" w:rsidR="00A81A7A" w:rsidRPr="00A81A7A" w:rsidRDefault="00A81A7A" w:rsidP="00A81A7A">
      <w:pPr>
        <w:rPr>
          <w:rFonts w:ascii="Arial" w:hAnsi="Arial" w:cs="Arial"/>
        </w:rPr>
      </w:pPr>
      <w:r w:rsidRPr="00A81A7A">
        <w:rPr>
          <w:rFonts w:ascii="Arial" w:hAnsi="Arial" w:cs="Arial"/>
        </w:rPr>
        <w:t xml:space="preserve">Finnish National Agency for Education (2026) Finnish education system. Available at: https://www.oph.fi/en/education-system (Accessed 20th June 2026) </w:t>
      </w:r>
    </w:p>
    <w:p w14:paraId="46FBE6D0" w14:textId="77777777" w:rsidR="00A81A7A" w:rsidRPr="00A81A7A" w:rsidRDefault="00A81A7A" w:rsidP="00A81A7A">
      <w:pPr>
        <w:rPr>
          <w:rFonts w:ascii="Arial" w:hAnsi="Arial" w:cs="Arial"/>
        </w:rPr>
      </w:pPr>
      <w:r w:rsidRPr="00A81A7A">
        <w:rPr>
          <w:rFonts w:ascii="Arial" w:hAnsi="Arial" w:cs="Arial"/>
        </w:rPr>
        <w:t>Glover, A. et al. (2026) 'Butterflies of curriculum realisation: Investigating early implementation of the Curriculum for Wales,' The Curriculum Journal [Preprint]. https://doi.org/10.1002/curj.70030.</w:t>
      </w:r>
    </w:p>
    <w:p w14:paraId="48D299B2" w14:textId="77777777" w:rsidR="00A81A7A" w:rsidRPr="00A81A7A" w:rsidRDefault="00A81A7A" w:rsidP="00A81A7A">
      <w:pPr>
        <w:rPr>
          <w:rFonts w:ascii="Arial" w:hAnsi="Arial" w:cs="Arial"/>
        </w:rPr>
      </w:pPr>
      <w:r w:rsidRPr="00A81A7A">
        <w:rPr>
          <w:rFonts w:ascii="Arial" w:hAnsi="Arial" w:cs="Arial"/>
        </w:rPr>
        <w:t xml:space="preserve">Halinen, I., 2018. The new educational curriculum in Finland. Improving the quality of childhood in Europe, 7, pp.75-89. </w:t>
      </w:r>
      <w:hyperlink r:id="rId7" w:history="1">
        <w:r w:rsidRPr="00A81A7A">
          <w:rPr>
            <w:rStyle w:val="Hyperlink"/>
            <w:rFonts w:ascii="Arial" w:hAnsi="Arial" w:cs="Arial"/>
          </w:rPr>
          <w:t>https://www.academia.edu/download/75713210/QOC_20V7_20CH06_20DEF_20WEB.pdf</w:t>
        </w:r>
      </w:hyperlink>
      <w:r w:rsidRPr="00A81A7A">
        <w:rPr>
          <w:rFonts w:ascii="Arial" w:hAnsi="Arial" w:cs="Arial"/>
        </w:rPr>
        <w:t xml:space="preserve"> (Accessed 20th June 2026)</w:t>
      </w:r>
    </w:p>
    <w:p w14:paraId="525F1D3A" w14:textId="77777777" w:rsidR="00A81A7A" w:rsidRPr="00A81A7A" w:rsidRDefault="00A81A7A" w:rsidP="00A81A7A">
      <w:pPr>
        <w:rPr>
          <w:rFonts w:ascii="Arial" w:hAnsi="Arial" w:cs="Arial"/>
        </w:rPr>
      </w:pPr>
      <w:proofErr w:type="spellStart"/>
      <w:r w:rsidRPr="00A81A7A">
        <w:rPr>
          <w:rFonts w:ascii="Arial" w:hAnsi="Arial" w:cs="Arial"/>
        </w:rPr>
        <w:t>Humanuim</w:t>
      </w:r>
      <w:proofErr w:type="spellEnd"/>
      <w:r w:rsidRPr="00A81A7A">
        <w:rPr>
          <w:rFonts w:ascii="Arial" w:hAnsi="Arial" w:cs="Arial"/>
        </w:rPr>
        <w:t xml:space="preserve"> (no date) Finland’s children-centric school system: a global model for success. Available at: https://www.humanium.org/en/finlands-children-centric-school-system-a-global-model-for-success/ (Accessed 10th June 2026)</w:t>
      </w:r>
    </w:p>
    <w:p w14:paraId="25F11290" w14:textId="77777777" w:rsidR="00A81A7A" w:rsidRPr="00A81A7A" w:rsidRDefault="00A81A7A" w:rsidP="00A81A7A">
      <w:pPr>
        <w:rPr>
          <w:rFonts w:ascii="Arial" w:hAnsi="Arial" w:cs="Arial"/>
        </w:rPr>
      </w:pPr>
      <w:proofErr w:type="spellStart"/>
      <w:r w:rsidRPr="00A81A7A">
        <w:rPr>
          <w:rFonts w:ascii="Arial" w:hAnsi="Arial" w:cs="Arial"/>
        </w:rPr>
        <w:t>Jerrim</w:t>
      </w:r>
      <w:proofErr w:type="spellEnd"/>
      <w:r w:rsidRPr="00A81A7A">
        <w:rPr>
          <w:rFonts w:ascii="Arial" w:hAnsi="Arial" w:cs="Arial"/>
        </w:rPr>
        <w:t xml:space="preserve">, J., Greany, T. and Perera, N., 2018. Educational disadvantage: How does England </w:t>
      </w:r>
      <w:proofErr w:type="gramStart"/>
      <w:r w:rsidRPr="00A81A7A">
        <w:rPr>
          <w:rFonts w:ascii="Arial" w:hAnsi="Arial" w:cs="Arial"/>
        </w:rPr>
        <w:t>compare?.</w:t>
      </w:r>
      <w:proofErr w:type="gramEnd"/>
      <w:r w:rsidRPr="00A81A7A">
        <w:rPr>
          <w:rFonts w:ascii="Arial" w:hAnsi="Arial" w:cs="Arial"/>
        </w:rPr>
        <w:t xml:space="preserve"> </w:t>
      </w:r>
      <w:hyperlink r:id="rId8" w:history="1">
        <w:r w:rsidRPr="00A81A7A">
          <w:rPr>
            <w:rStyle w:val="Hyperlink"/>
            <w:rFonts w:ascii="Arial" w:hAnsi="Arial" w:cs="Arial"/>
          </w:rPr>
          <w:t>https://discovery.ucl.ac.uk/id/eprint/10053504/</w:t>
        </w:r>
      </w:hyperlink>
      <w:r w:rsidRPr="00A81A7A">
        <w:rPr>
          <w:rFonts w:ascii="Arial" w:hAnsi="Arial" w:cs="Arial"/>
        </w:rPr>
        <w:t xml:space="preserve"> (Accessed 20</w:t>
      </w:r>
      <w:r w:rsidRPr="00A81A7A">
        <w:rPr>
          <w:rFonts w:ascii="Arial" w:hAnsi="Arial" w:cs="Arial"/>
          <w:vertAlign w:val="superscript"/>
        </w:rPr>
        <w:t>th</w:t>
      </w:r>
      <w:r w:rsidRPr="00A81A7A">
        <w:rPr>
          <w:rFonts w:ascii="Arial" w:hAnsi="Arial" w:cs="Arial"/>
        </w:rPr>
        <w:t xml:space="preserve"> June 2026)</w:t>
      </w:r>
    </w:p>
    <w:p w14:paraId="2C61E5A5" w14:textId="77777777" w:rsidR="00A81A7A" w:rsidRPr="00A81A7A" w:rsidRDefault="00A81A7A" w:rsidP="00A81A7A">
      <w:pPr>
        <w:rPr>
          <w:rFonts w:ascii="Arial" w:hAnsi="Arial" w:cs="Arial"/>
        </w:rPr>
      </w:pPr>
      <w:r w:rsidRPr="00A81A7A">
        <w:rPr>
          <w:rFonts w:ascii="Arial" w:hAnsi="Arial" w:cs="Arial"/>
        </w:rPr>
        <w:t xml:space="preserve">Lavonen, J. (2020). Curriculum and Teacher Education Reforms in Finland That Support the Development of Competences for the Twenty-First </w:t>
      </w:r>
      <w:proofErr w:type="gramStart"/>
      <w:r w:rsidRPr="00A81A7A">
        <w:rPr>
          <w:rFonts w:ascii="Arial" w:hAnsi="Arial" w:cs="Arial"/>
        </w:rPr>
        <w:t>Century..</w:t>
      </w:r>
      <w:proofErr w:type="gramEnd"/>
      <w:r w:rsidRPr="00A81A7A">
        <w:rPr>
          <w:rFonts w:ascii="Arial" w:hAnsi="Arial" w:cs="Arial"/>
        </w:rPr>
        <w:t xml:space="preserve"> https://doi.org/10.1007/978-3-030-41882-3_3 </w:t>
      </w:r>
    </w:p>
    <w:p w14:paraId="42B3C1C9" w14:textId="77777777" w:rsidR="00A81A7A" w:rsidRPr="00A81A7A" w:rsidRDefault="00A81A7A" w:rsidP="00A81A7A">
      <w:pPr>
        <w:rPr>
          <w:rFonts w:ascii="Arial" w:hAnsi="Arial" w:cs="Arial"/>
        </w:rPr>
      </w:pPr>
      <w:r w:rsidRPr="00A81A7A">
        <w:rPr>
          <w:rFonts w:ascii="Arial" w:hAnsi="Arial" w:cs="Arial"/>
        </w:rPr>
        <w:t>Sinnema, C., Nieveen, N. and Priestley, M. (</w:t>
      </w:r>
      <w:proofErr w:type="gramStart"/>
      <w:r w:rsidRPr="00A81A7A">
        <w:rPr>
          <w:rFonts w:ascii="Arial" w:hAnsi="Arial" w:cs="Arial"/>
        </w:rPr>
        <w:t>2020)a</w:t>
      </w:r>
      <w:proofErr w:type="gramEnd"/>
      <w:r w:rsidRPr="00A81A7A">
        <w:rPr>
          <w:rFonts w:ascii="Arial" w:hAnsi="Arial" w:cs="Arial"/>
        </w:rPr>
        <w:t xml:space="preserve"> 'Successful futures, successful curriculum: What can Wales learn from international curriculum </w:t>
      </w:r>
      <w:proofErr w:type="gramStart"/>
      <w:r w:rsidRPr="00A81A7A">
        <w:rPr>
          <w:rFonts w:ascii="Arial" w:hAnsi="Arial" w:cs="Arial"/>
        </w:rPr>
        <w:t>reforms?,</w:t>
      </w:r>
      <w:proofErr w:type="gramEnd"/>
      <w:r w:rsidRPr="00A81A7A">
        <w:rPr>
          <w:rFonts w:ascii="Arial" w:hAnsi="Arial" w:cs="Arial"/>
        </w:rPr>
        <w:t xml:space="preserve">' The Curriculum Journal, 31(2), pp. 181–201. </w:t>
      </w:r>
      <w:hyperlink r:id="rId9" w:history="1">
        <w:r w:rsidRPr="00A81A7A">
          <w:rPr>
            <w:rStyle w:val="Hyperlink"/>
            <w:rFonts w:ascii="Arial" w:hAnsi="Arial" w:cs="Arial"/>
          </w:rPr>
          <w:t>https://doi.org/10.1002/curj.17</w:t>
        </w:r>
      </w:hyperlink>
      <w:r w:rsidRPr="00A81A7A">
        <w:rPr>
          <w:rFonts w:ascii="Arial" w:hAnsi="Arial" w:cs="Arial"/>
        </w:rPr>
        <w:t>. (Accessed 20</w:t>
      </w:r>
      <w:r w:rsidRPr="00A81A7A">
        <w:rPr>
          <w:rFonts w:ascii="Arial" w:hAnsi="Arial" w:cs="Arial"/>
          <w:vertAlign w:val="superscript"/>
        </w:rPr>
        <w:t>th</w:t>
      </w:r>
      <w:r w:rsidRPr="00A81A7A">
        <w:rPr>
          <w:rFonts w:ascii="Arial" w:hAnsi="Arial" w:cs="Arial"/>
        </w:rPr>
        <w:t xml:space="preserve"> June 2026)</w:t>
      </w:r>
    </w:p>
    <w:p w14:paraId="051E0381" w14:textId="77777777" w:rsidR="00A81A7A" w:rsidRPr="00A81A7A" w:rsidRDefault="00A81A7A" w:rsidP="00A81A7A">
      <w:pPr>
        <w:rPr>
          <w:rFonts w:ascii="Arial" w:hAnsi="Arial" w:cs="Arial"/>
        </w:rPr>
      </w:pPr>
      <w:r w:rsidRPr="00A81A7A">
        <w:rPr>
          <w:rFonts w:ascii="Arial" w:hAnsi="Arial" w:cs="Arial"/>
        </w:rPr>
        <w:t xml:space="preserve">Sinnema, C., Nieveen, N. and Priestley, M., 2020b. Successful futures, successful curriculum: What can Wales learn from international curriculum </w:t>
      </w:r>
      <w:proofErr w:type="gramStart"/>
      <w:r w:rsidRPr="00A81A7A">
        <w:rPr>
          <w:rFonts w:ascii="Arial" w:hAnsi="Arial" w:cs="Arial"/>
        </w:rPr>
        <w:t>reforms?.</w:t>
      </w:r>
      <w:proofErr w:type="gramEnd"/>
      <w:r w:rsidRPr="00A81A7A">
        <w:rPr>
          <w:rFonts w:ascii="Arial" w:hAnsi="Arial" w:cs="Arial"/>
        </w:rPr>
        <w:t xml:space="preserve"> The Curriculum Journal, 31(2), pp.181-201. </w:t>
      </w:r>
      <w:hyperlink r:id="rId10" w:history="1">
        <w:r w:rsidRPr="00A81A7A">
          <w:rPr>
            <w:rStyle w:val="Hyperlink"/>
            <w:rFonts w:ascii="Arial" w:hAnsi="Arial" w:cs="Arial"/>
          </w:rPr>
          <w:t>https://bera-journals.onlinelibrary.wiley.com/doi/abs/10.1002/curj.17</w:t>
        </w:r>
      </w:hyperlink>
      <w:r w:rsidRPr="00A81A7A">
        <w:rPr>
          <w:rFonts w:ascii="Arial" w:hAnsi="Arial" w:cs="Arial"/>
        </w:rPr>
        <w:t xml:space="preserve"> (Accessed 12th June 2026)</w:t>
      </w:r>
    </w:p>
    <w:p w14:paraId="6B792A47" w14:textId="77777777" w:rsidR="00A81A7A" w:rsidRPr="00A81A7A" w:rsidRDefault="00A81A7A" w:rsidP="00A81A7A">
      <w:pPr>
        <w:rPr>
          <w:rFonts w:ascii="Arial" w:hAnsi="Arial" w:cs="Arial"/>
        </w:rPr>
      </w:pPr>
      <w:r w:rsidRPr="00A81A7A">
        <w:rPr>
          <w:rFonts w:ascii="Arial" w:hAnsi="Arial" w:cs="Arial"/>
        </w:rPr>
        <w:t>Strategic Intelligence (2026) Finnish Education: The Curriculum Principles. Available at: https://articles.intelligencestrategy.org/p/finnish-education-the-curriculum (Accessed 15th June 2026)</w:t>
      </w:r>
    </w:p>
    <w:p w14:paraId="2257CB66" w14:textId="77777777" w:rsidR="00A81A7A" w:rsidRPr="00A81A7A" w:rsidRDefault="00A81A7A" w:rsidP="00A81A7A">
      <w:pPr>
        <w:rPr>
          <w:rFonts w:ascii="Arial" w:hAnsi="Arial" w:cs="Arial"/>
        </w:rPr>
      </w:pPr>
      <w:proofErr w:type="spellStart"/>
      <w:r w:rsidRPr="00A81A7A">
        <w:rPr>
          <w:rFonts w:ascii="Arial" w:hAnsi="Arial" w:cs="Arial"/>
        </w:rPr>
        <w:t>Tortella</w:t>
      </w:r>
      <w:proofErr w:type="spellEnd"/>
      <w:r w:rsidRPr="00A81A7A">
        <w:rPr>
          <w:rFonts w:ascii="Arial" w:hAnsi="Arial" w:cs="Arial"/>
        </w:rPr>
        <w:t xml:space="preserve">, P., Ceciliani, A., Fumagalli, G., Jidovtseff, B., Wainwright, N., </w:t>
      </w:r>
      <w:proofErr w:type="spellStart"/>
      <w:r w:rsidRPr="00A81A7A">
        <w:rPr>
          <w:rFonts w:ascii="Arial" w:hAnsi="Arial" w:cs="Arial"/>
        </w:rPr>
        <w:t>Fjortoft</w:t>
      </w:r>
      <w:proofErr w:type="spellEnd"/>
      <w:r w:rsidRPr="00A81A7A">
        <w:rPr>
          <w:rFonts w:ascii="Arial" w:hAnsi="Arial" w:cs="Arial"/>
        </w:rPr>
        <w:t xml:space="preserve">, I., Sigmundsson, H., Haga, M., </w:t>
      </w:r>
      <w:proofErr w:type="spellStart"/>
      <w:r w:rsidRPr="00A81A7A">
        <w:rPr>
          <w:rFonts w:ascii="Arial" w:hAnsi="Arial" w:cs="Arial"/>
        </w:rPr>
        <w:t>Sgrò</w:t>
      </w:r>
      <w:proofErr w:type="spellEnd"/>
      <w:r w:rsidRPr="00A81A7A">
        <w:rPr>
          <w:rFonts w:ascii="Arial" w:hAnsi="Arial" w:cs="Arial"/>
        </w:rPr>
        <w:t xml:space="preserve">, F., Lipoma, M. and </w:t>
      </w:r>
      <w:proofErr w:type="spellStart"/>
      <w:r w:rsidRPr="00A81A7A">
        <w:rPr>
          <w:rFonts w:ascii="Arial" w:hAnsi="Arial" w:cs="Arial"/>
        </w:rPr>
        <w:t>Sääkslahti</w:t>
      </w:r>
      <w:proofErr w:type="spellEnd"/>
      <w:r w:rsidRPr="00A81A7A">
        <w:rPr>
          <w:rFonts w:ascii="Arial" w:hAnsi="Arial" w:cs="Arial"/>
        </w:rPr>
        <w:t xml:space="preserve">, A., 2021. Children’s outdoor movement education: position statement. Journal of Physical </w:t>
      </w:r>
      <w:r w:rsidRPr="00A81A7A">
        <w:rPr>
          <w:rFonts w:ascii="Arial" w:hAnsi="Arial" w:cs="Arial"/>
        </w:rPr>
        <w:lastRenderedPageBreak/>
        <w:t xml:space="preserve">Education and Sport, (Supplement 1). </w:t>
      </w:r>
      <w:hyperlink r:id="rId11" w:history="1">
        <w:r w:rsidRPr="00A81A7A">
          <w:rPr>
            <w:rStyle w:val="Hyperlink"/>
            <w:rFonts w:ascii="Arial" w:hAnsi="Arial" w:cs="Arial"/>
          </w:rPr>
          <w:t>https://jyx.jyu.fi/jyx/Record/jyx_123456789_74570</w:t>
        </w:r>
      </w:hyperlink>
      <w:r w:rsidRPr="00A81A7A">
        <w:rPr>
          <w:rFonts w:ascii="Arial" w:hAnsi="Arial" w:cs="Arial"/>
        </w:rPr>
        <w:t xml:space="preserve"> (Accessed 14th June 2026)</w:t>
      </w:r>
    </w:p>
    <w:p w14:paraId="1D22C739" w14:textId="77777777" w:rsidR="00A81A7A" w:rsidRPr="00A81A7A" w:rsidRDefault="00A81A7A" w:rsidP="00A81A7A">
      <w:pPr>
        <w:rPr>
          <w:rFonts w:ascii="Arial" w:hAnsi="Arial" w:cs="Arial"/>
        </w:rPr>
      </w:pPr>
      <w:r w:rsidRPr="00A81A7A">
        <w:rPr>
          <w:rFonts w:ascii="Arial" w:hAnsi="Arial" w:cs="Arial"/>
        </w:rPr>
        <w:t>Welsh Government (2022) Curriculum for Wales: framework. Available at: https://www.gov.wales/curriculum-wales-framework</w:t>
      </w:r>
      <w:proofErr w:type="gramStart"/>
      <w:r w:rsidRPr="00A81A7A">
        <w:rPr>
          <w:rFonts w:ascii="Arial" w:hAnsi="Arial" w:cs="Arial"/>
        </w:rPr>
        <w:t xml:space="preserve">   (</w:t>
      </w:r>
      <w:proofErr w:type="gramEnd"/>
      <w:r w:rsidRPr="00A81A7A">
        <w:rPr>
          <w:rFonts w:ascii="Arial" w:hAnsi="Arial" w:cs="Arial"/>
        </w:rPr>
        <w:t>Accessed: 13th June 2026).</w:t>
      </w:r>
    </w:p>
    <w:p w14:paraId="29924F70" w14:textId="77777777" w:rsidR="00E96AAB" w:rsidRPr="00A81A7A" w:rsidRDefault="00E96AAB" w:rsidP="00E96AAB">
      <w:pPr>
        <w:rPr>
          <w:rFonts w:ascii="Arial" w:hAnsi="Arial" w:cs="Arial"/>
        </w:rPr>
      </w:pPr>
    </w:p>
    <w:p w14:paraId="6690410C" w14:textId="77777777" w:rsidR="00791E26" w:rsidRPr="00A81A7A" w:rsidRDefault="00791E26" w:rsidP="00A23E7C">
      <w:pPr>
        <w:rPr>
          <w:rFonts w:ascii="Arial" w:hAnsi="Arial" w:cs="Arial"/>
        </w:rPr>
      </w:pPr>
    </w:p>
    <w:sectPr w:rsidR="00791E26" w:rsidRPr="00A81A7A">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86DBC" w14:textId="77777777" w:rsidR="00AF49AF" w:rsidRDefault="00AF49AF" w:rsidP="00364F7B">
      <w:pPr>
        <w:spacing w:after="0" w:line="240" w:lineRule="auto"/>
      </w:pPr>
      <w:r>
        <w:separator/>
      </w:r>
    </w:p>
  </w:endnote>
  <w:endnote w:type="continuationSeparator" w:id="0">
    <w:p w14:paraId="2F1CF9DB" w14:textId="77777777" w:rsidR="00AF49AF" w:rsidRDefault="00AF49AF" w:rsidP="00364F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8C4F6" w14:textId="77777777" w:rsidR="00AF49AF" w:rsidRDefault="00AF49AF" w:rsidP="00364F7B">
      <w:pPr>
        <w:spacing w:after="0" w:line="240" w:lineRule="auto"/>
      </w:pPr>
      <w:r>
        <w:separator/>
      </w:r>
    </w:p>
  </w:footnote>
  <w:footnote w:type="continuationSeparator" w:id="0">
    <w:p w14:paraId="495E2805" w14:textId="77777777" w:rsidR="00AF49AF" w:rsidRDefault="00AF49AF" w:rsidP="00364F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9F996B" w14:textId="6FBEA3BB" w:rsidR="00C13DFC" w:rsidRPr="00C13DFC" w:rsidRDefault="00C13DFC">
    <w:pPr>
      <w:pStyle w:val="Header"/>
      <w:rPr>
        <w:rFonts w:ascii="Arial" w:hAnsi="Arial" w:cs="Arial"/>
        <w:sz w:val="20"/>
        <w:szCs w:val="20"/>
      </w:rPr>
    </w:pPr>
    <w:r w:rsidRPr="00C13DFC">
      <w:rPr>
        <w:rFonts w:ascii="Arial" w:hAnsi="Arial" w:cs="Arial"/>
        <w:sz w:val="20"/>
        <w:szCs w:val="20"/>
      </w:rPr>
      <w:t>2314176</w:t>
    </w:r>
  </w:p>
  <w:p w14:paraId="2167B029" w14:textId="5E3E0055" w:rsidR="00364F7B" w:rsidRPr="00C13DFC" w:rsidRDefault="00364F7B">
    <w:pPr>
      <w:pStyle w:val="Header"/>
      <w:rPr>
        <w:rFonts w:ascii="Arial" w:hAnsi="Arial" w:cs="Arial"/>
        <w:sz w:val="20"/>
        <w:szCs w:val="20"/>
      </w:rPr>
    </w:pPr>
    <w:r w:rsidRPr="00C13DFC">
      <w:rPr>
        <w:rFonts w:ascii="Arial" w:hAnsi="Arial" w:cs="Arial"/>
        <w:sz w:val="20"/>
        <w:szCs w:val="20"/>
      </w:rPr>
      <w:t>EC</w:t>
    </w:r>
    <w:r w:rsidR="00C13DFC" w:rsidRPr="00C13DFC">
      <w:rPr>
        <w:rFonts w:ascii="Arial" w:hAnsi="Arial" w:cs="Arial"/>
        <w:sz w:val="20"/>
        <w:szCs w:val="20"/>
      </w:rPr>
      <w:t>EY6010</w:t>
    </w:r>
  </w:p>
  <w:p w14:paraId="2358EDB6" w14:textId="3BCCFBE1" w:rsidR="00C13DFC" w:rsidRPr="00C13DFC" w:rsidRDefault="00C13DFC">
    <w:pPr>
      <w:pStyle w:val="Header"/>
      <w:rPr>
        <w:rFonts w:ascii="Arial" w:hAnsi="Arial" w:cs="Arial"/>
        <w:sz w:val="20"/>
        <w:szCs w:val="20"/>
      </w:rPr>
    </w:pPr>
    <w:r w:rsidRPr="00C13DFC">
      <w:rPr>
        <w:rFonts w:ascii="Arial" w:hAnsi="Arial" w:cs="Arial"/>
        <w:sz w:val="20"/>
        <w:szCs w:val="20"/>
      </w:rPr>
      <w:t>Word - 1285</w:t>
    </w:r>
  </w:p>
  <w:p w14:paraId="55C413F2" w14:textId="77777777" w:rsidR="00C13DFC" w:rsidRDefault="00C13D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BC11EE"/>
    <w:multiLevelType w:val="hybridMultilevel"/>
    <w:tmpl w:val="F5706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6D4AC3"/>
    <w:multiLevelType w:val="hybridMultilevel"/>
    <w:tmpl w:val="D396B2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547570">
    <w:abstractNumId w:val="0"/>
  </w:num>
  <w:num w:numId="2" w16cid:durableId="540943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5E2"/>
    <w:rsid w:val="000F5994"/>
    <w:rsid w:val="00107EEF"/>
    <w:rsid w:val="00226755"/>
    <w:rsid w:val="0024321C"/>
    <w:rsid w:val="002C6534"/>
    <w:rsid w:val="002F20F7"/>
    <w:rsid w:val="00363DB9"/>
    <w:rsid w:val="00364F7B"/>
    <w:rsid w:val="004945E2"/>
    <w:rsid w:val="004C7D6D"/>
    <w:rsid w:val="00591CC9"/>
    <w:rsid w:val="00597F13"/>
    <w:rsid w:val="00763F11"/>
    <w:rsid w:val="00791E26"/>
    <w:rsid w:val="008B21B6"/>
    <w:rsid w:val="0095623F"/>
    <w:rsid w:val="009A1F21"/>
    <w:rsid w:val="009E481C"/>
    <w:rsid w:val="00A23E7C"/>
    <w:rsid w:val="00A61EC1"/>
    <w:rsid w:val="00A63416"/>
    <w:rsid w:val="00A81A7A"/>
    <w:rsid w:val="00AA028D"/>
    <w:rsid w:val="00AF49AF"/>
    <w:rsid w:val="00B66AFD"/>
    <w:rsid w:val="00C13DFC"/>
    <w:rsid w:val="00CF6E58"/>
    <w:rsid w:val="00D960EB"/>
    <w:rsid w:val="00E73CC4"/>
    <w:rsid w:val="00E96AAB"/>
    <w:rsid w:val="00EC6595"/>
    <w:rsid w:val="00F62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B004F"/>
  <w15:chartTrackingRefBased/>
  <w15:docId w15:val="{5F354F62-AA02-4A62-B107-C39EB1EBC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5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45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45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5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45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45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5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5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5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5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45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45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5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45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45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5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5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5E2"/>
    <w:rPr>
      <w:rFonts w:eastAsiaTheme="majorEastAsia" w:cstheme="majorBidi"/>
      <w:color w:val="272727" w:themeColor="text1" w:themeTint="D8"/>
    </w:rPr>
  </w:style>
  <w:style w:type="paragraph" w:styleId="Title">
    <w:name w:val="Title"/>
    <w:basedOn w:val="Normal"/>
    <w:next w:val="Normal"/>
    <w:link w:val="TitleChar"/>
    <w:uiPriority w:val="10"/>
    <w:qFormat/>
    <w:rsid w:val="004945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5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5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5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5E2"/>
    <w:pPr>
      <w:spacing w:before="160"/>
      <w:jc w:val="center"/>
    </w:pPr>
    <w:rPr>
      <w:i/>
      <w:iCs/>
      <w:color w:val="404040" w:themeColor="text1" w:themeTint="BF"/>
    </w:rPr>
  </w:style>
  <w:style w:type="character" w:customStyle="1" w:styleId="QuoteChar">
    <w:name w:val="Quote Char"/>
    <w:basedOn w:val="DefaultParagraphFont"/>
    <w:link w:val="Quote"/>
    <w:uiPriority w:val="29"/>
    <w:rsid w:val="004945E2"/>
    <w:rPr>
      <w:i/>
      <w:iCs/>
      <w:color w:val="404040" w:themeColor="text1" w:themeTint="BF"/>
    </w:rPr>
  </w:style>
  <w:style w:type="paragraph" w:styleId="ListParagraph">
    <w:name w:val="List Paragraph"/>
    <w:basedOn w:val="Normal"/>
    <w:uiPriority w:val="34"/>
    <w:qFormat/>
    <w:rsid w:val="004945E2"/>
    <w:pPr>
      <w:ind w:left="720"/>
      <w:contextualSpacing/>
    </w:pPr>
  </w:style>
  <w:style w:type="character" w:styleId="IntenseEmphasis">
    <w:name w:val="Intense Emphasis"/>
    <w:basedOn w:val="DefaultParagraphFont"/>
    <w:uiPriority w:val="21"/>
    <w:qFormat/>
    <w:rsid w:val="004945E2"/>
    <w:rPr>
      <w:i/>
      <w:iCs/>
      <w:color w:val="0F4761" w:themeColor="accent1" w:themeShade="BF"/>
    </w:rPr>
  </w:style>
  <w:style w:type="paragraph" w:styleId="IntenseQuote">
    <w:name w:val="Intense Quote"/>
    <w:basedOn w:val="Normal"/>
    <w:next w:val="Normal"/>
    <w:link w:val="IntenseQuoteChar"/>
    <w:uiPriority w:val="30"/>
    <w:qFormat/>
    <w:rsid w:val="004945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5E2"/>
    <w:rPr>
      <w:i/>
      <w:iCs/>
      <w:color w:val="0F4761" w:themeColor="accent1" w:themeShade="BF"/>
    </w:rPr>
  </w:style>
  <w:style w:type="character" w:styleId="IntenseReference">
    <w:name w:val="Intense Reference"/>
    <w:basedOn w:val="DefaultParagraphFont"/>
    <w:uiPriority w:val="32"/>
    <w:qFormat/>
    <w:rsid w:val="004945E2"/>
    <w:rPr>
      <w:b/>
      <w:bCs/>
      <w:smallCaps/>
      <w:color w:val="0F4761" w:themeColor="accent1" w:themeShade="BF"/>
      <w:spacing w:val="5"/>
    </w:rPr>
  </w:style>
  <w:style w:type="character" w:styleId="Hyperlink">
    <w:name w:val="Hyperlink"/>
    <w:basedOn w:val="DefaultParagraphFont"/>
    <w:uiPriority w:val="99"/>
    <w:unhideWhenUsed/>
    <w:rsid w:val="00A23E7C"/>
    <w:rPr>
      <w:color w:val="467886" w:themeColor="hyperlink"/>
      <w:u w:val="single"/>
    </w:rPr>
  </w:style>
  <w:style w:type="character" w:styleId="UnresolvedMention">
    <w:name w:val="Unresolved Mention"/>
    <w:basedOn w:val="DefaultParagraphFont"/>
    <w:uiPriority w:val="99"/>
    <w:semiHidden/>
    <w:unhideWhenUsed/>
    <w:rsid w:val="00A23E7C"/>
    <w:rPr>
      <w:color w:val="605E5C"/>
      <w:shd w:val="clear" w:color="auto" w:fill="E1DFDD"/>
    </w:rPr>
  </w:style>
  <w:style w:type="paragraph" w:styleId="Header">
    <w:name w:val="header"/>
    <w:basedOn w:val="Normal"/>
    <w:link w:val="HeaderChar"/>
    <w:uiPriority w:val="99"/>
    <w:unhideWhenUsed/>
    <w:rsid w:val="00364F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4F7B"/>
  </w:style>
  <w:style w:type="paragraph" w:styleId="Footer">
    <w:name w:val="footer"/>
    <w:basedOn w:val="Normal"/>
    <w:link w:val="FooterChar"/>
    <w:uiPriority w:val="99"/>
    <w:unhideWhenUsed/>
    <w:rsid w:val="00364F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4F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scovery.ucl.ac.uk/id/eprint/1005350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demia.edu/download/75713210/QOC_20V7_20CH06_20DEF_20WEB.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yx.jyu.fi/jyx/Record/jyx_123456789_74570" TargetMode="External"/><Relationship Id="rId5" Type="http://schemas.openxmlformats.org/officeDocument/2006/relationships/footnotes" Target="footnotes.xml"/><Relationship Id="rId10" Type="http://schemas.openxmlformats.org/officeDocument/2006/relationships/hyperlink" Target="https://bera-journals.onlinelibrary.wiley.com/doi/abs/10.1002/curj.17" TargetMode="External"/><Relationship Id="rId4" Type="http://schemas.openxmlformats.org/officeDocument/2006/relationships/webSettings" Target="webSettings.xml"/><Relationship Id="rId9" Type="http://schemas.openxmlformats.org/officeDocument/2006/relationships/hyperlink" Target="https://doi.org/10.1002/curj.1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TotalTime>
  <Pages>6</Pages>
  <Words>1818</Words>
  <Characters>10366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18</cp:revision>
  <dcterms:created xsi:type="dcterms:W3CDTF">2026-06-20T17:54:00Z</dcterms:created>
  <dcterms:modified xsi:type="dcterms:W3CDTF">2026-06-21T20:32:00Z</dcterms:modified>
</cp:coreProperties>
</file>