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8FC44" w14:textId="5C451AC2" w:rsidR="104DC3A9" w:rsidRDefault="482B741D" w:rsidP="02DB14DE">
      <w:pPr>
        <w:spacing w:line="360" w:lineRule="auto"/>
        <w:rPr>
          <w:rFonts w:ascii="Calibri" w:eastAsia="Calibri" w:hAnsi="Calibri" w:cs="Calibri"/>
          <w:b/>
          <w:bCs/>
          <w:sz w:val="24"/>
          <w:szCs w:val="24"/>
        </w:rPr>
      </w:pPr>
      <w:r w:rsidRPr="25019EBB">
        <w:rPr>
          <w:rFonts w:ascii="Calibri" w:eastAsia="Calibri" w:hAnsi="Calibri" w:cs="Calibri"/>
          <w:b/>
          <w:bCs/>
          <w:sz w:val="24"/>
          <w:szCs w:val="24"/>
        </w:rPr>
        <w:t>Hand hygiene report</w:t>
      </w:r>
      <w:r w:rsidR="202E2D98" w:rsidRPr="25019EBB">
        <w:rPr>
          <w:rFonts w:ascii="Calibri" w:eastAsia="Calibri" w:hAnsi="Calibri" w:cs="Calibri"/>
          <w:b/>
          <w:bCs/>
          <w:sz w:val="24"/>
          <w:szCs w:val="24"/>
        </w:rPr>
        <w:t xml:space="preserve">                                                                                                                                                      </w:t>
      </w:r>
    </w:p>
    <w:p w14:paraId="47A9DC2B" w14:textId="14C0B034" w:rsidR="104DC3A9" w:rsidRDefault="104DC3A9" w:rsidP="02DB14DE">
      <w:pPr>
        <w:spacing w:line="360" w:lineRule="auto"/>
        <w:rPr>
          <w:rFonts w:ascii="Calibri" w:eastAsia="Calibri" w:hAnsi="Calibri" w:cs="Calibri"/>
          <w:sz w:val="24"/>
          <w:szCs w:val="24"/>
        </w:rPr>
      </w:pPr>
    </w:p>
    <w:p w14:paraId="3952B698" w14:textId="6819EA3C" w:rsidR="104DC3A9" w:rsidRDefault="104DC3A9" w:rsidP="02DB14DE">
      <w:pPr>
        <w:spacing w:line="360" w:lineRule="auto"/>
        <w:rPr>
          <w:rFonts w:ascii="Calibri" w:eastAsia="Calibri" w:hAnsi="Calibri" w:cs="Calibri"/>
          <w:sz w:val="24"/>
          <w:szCs w:val="24"/>
        </w:rPr>
      </w:pPr>
    </w:p>
    <w:p w14:paraId="0C8030B7" w14:textId="71D23848" w:rsidR="104DC3A9" w:rsidRDefault="104DC3A9" w:rsidP="02DB14DE">
      <w:pPr>
        <w:spacing w:line="360" w:lineRule="auto"/>
        <w:rPr>
          <w:rFonts w:ascii="Calibri" w:eastAsia="Calibri" w:hAnsi="Calibri" w:cs="Calibri"/>
          <w:sz w:val="24"/>
          <w:szCs w:val="24"/>
        </w:rPr>
      </w:pPr>
    </w:p>
    <w:p w14:paraId="7D7F9D19" w14:textId="32C2970C" w:rsidR="104DC3A9" w:rsidRDefault="104DC3A9" w:rsidP="02DB14DE">
      <w:pPr>
        <w:spacing w:line="360" w:lineRule="auto"/>
        <w:rPr>
          <w:rFonts w:ascii="Calibri" w:eastAsia="Calibri" w:hAnsi="Calibri" w:cs="Calibri"/>
          <w:sz w:val="24"/>
          <w:szCs w:val="24"/>
        </w:rPr>
      </w:pPr>
    </w:p>
    <w:p w14:paraId="623C65AD" w14:textId="0C75C4C8" w:rsidR="104DC3A9" w:rsidRDefault="104DC3A9" w:rsidP="02DB14DE">
      <w:pPr>
        <w:spacing w:line="360" w:lineRule="auto"/>
        <w:rPr>
          <w:rFonts w:ascii="Calibri" w:eastAsia="Calibri" w:hAnsi="Calibri" w:cs="Calibri"/>
          <w:sz w:val="24"/>
          <w:szCs w:val="24"/>
        </w:rPr>
      </w:pPr>
    </w:p>
    <w:p w14:paraId="408EDD06" w14:textId="4B2E7E78" w:rsidR="104DC3A9" w:rsidRDefault="104DC3A9" w:rsidP="02DB14DE">
      <w:pPr>
        <w:spacing w:line="360" w:lineRule="auto"/>
        <w:rPr>
          <w:rFonts w:ascii="Calibri" w:eastAsia="Calibri" w:hAnsi="Calibri" w:cs="Calibri"/>
          <w:sz w:val="24"/>
          <w:szCs w:val="24"/>
        </w:rPr>
      </w:pPr>
    </w:p>
    <w:p w14:paraId="7675F710" w14:textId="466B4C8F" w:rsidR="104DC3A9" w:rsidRDefault="104DC3A9" w:rsidP="02DB14DE">
      <w:pPr>
        <w:spacing w:line="360" w:lineRule="auto"/>
        <w:rPr>
          <w:rFonts w:ascii="Calibri" w:eastAsia="Calibri" w:hAnsi="Calibri" w:cs="Calibri"/>
          <w:sz w:val="24"/>
          <w:szCs w:val="24"/>
        </w:rPr>
      </w:pPr>
    </w:p>
    <w:p w14:paraId="03846C16" w14:textId="7CB0A2EA" w:rsidR="104DC3A9" w:rsidRDefault="104DC3A9" w:rsidP="02DB14DE">
      <w:pPr>
        <w:spacing w:line="360" w:lineRule="auto"/>
        <w:rPr>
          <w:rFonts w:ascii="Calibri" w:eastAsia="Calibri" w:hAnsi="Calibri" w:cs="Calibri"/>
          <w:sz w:val="24"/>
          <w:szCs w:val="24"/>
        </w:rPr>
      </w:pPr>
    </w:p>
    <w:p w14:paraId="7AD221C3" w14:textId="7C3C8B02" w:rsidR="000A4537" w:rsidRDefault="00000000" w:rsidP="02DB14DE">
      <w:pPr>
        <w:spacing w:line="360" w:lineRule="auto"/>
        <w:rPr>
          <w:sz w:val="24"/>
          <w:szCs w:val="24"/>
        </w:rPr>
      </w:pPr>
      <w:r>
        <w:br/>
      </w:r>
    </w:p>
    <w:p w14:paraId="3F9DCE90" w14:textId="3D440BB4" w:rsidR="000A4537" w:rsidRDefault="000A4537" w:rsidP="02DB14DE">
      <w:pPr>
        <w:spacing w:line="360" w:lineRule="auto"/>
        <w:rPr>
          <w:rFonts w:ascii="Calibri" w:eastAsia="Calibri" w:hAnsi="Calibri" w:cs="Calibri"/>
          <w:sz w:val="24"/>
          <w:szCs w:val="24"/>
        </w:rPr>
      </w:pPr>
    </w:p>
    <w:p w14:paraId="66D07A83" w14:textId="308A1F0B" w:rsidR="000A4537" w:rsidRDefault="000A4537" w:rsidP="02DB14DE">
      <w:pPr>
        <w:spacing w:line="360" w:lineRule="auto"/>
        <w:rPr>
          <w:rFonts w:ascii="Calibri" w:eastAsia="Calibri" w:hAnsi="Calibri" w:cs="Calibri"/>
          <w:sz w:val="24"/>
          <w:szCs w:val="24"/>
        </w:rPr>
      </w:pPr>
    </w:p>
    <w:p w14:paraId="1678ED01" w14:textId="1AE99A35" w:rsidR="000A4537" w:rsidRDefault="000A4537" w:rsidP="02DB14DE">
      <w:pPr>
        <w:spacing w:line="360" w:lineRule="auto"/>
        <w:rPr>
          <w:rFonts w:ascii="Calibri" w:eastAsia="Calibri" w:hAnsi="Calibri" w:cs="Calibri"/>
          <w:sz w:val="24"/>
          <w:szCs w:val="24"/>
        </w:rPr>
      </w:pPr>
    </w:p>
    <w:p w14:paraId="131A965A" w14:textId="58D4B9C0" w:rsidR="000A4537" w:rsidRDefault="000A4537" w:rsidP="02DB14DE">
      <w:pPr>
        <w:spacing w:line="360" w:lineRule="auto"/>
        <w:rPr>
          <w:rFonts w:ascii="Calibri" w:eastAsia="Calibri" w:hAnsi="Calibri" w:cs="Calibri"/>
          <w:sz w:val="24"/>
          <w:szCs w:val="24"/>
        </w:rPr>
      </w:pPr>
    </w:p>
    <w:p w14:paraId="1467460C" w14:textId="0F88581B" w:rsidR="000A4537" w:rsidRDefault="000A4537" w:rsidP="02DB14DE">
      <w:pPr>
        <w:spacing w:line="360" w:lineRule="auto"/>
        <w:rPr>
          <w:rFonts w:ascii="Calibri" w:eastAsia="Calibri" w:hAnsi="Calibri" w:cs="Calibri"/>
          <w:sz w:val="24"/>
          <w:szCs w:val="24"/>
        </w:rPr>
      </w:pPr>
    </w:p>
    <w:p w14:paraId="03F312B7" w14:textId="1528459A" w:rsidR="000A4537" w:rsidRDefault="000A4537" w:rsidP="02DB14DE">
      <w:pPr>
        <w:spacing w:line="360" w:lineRule="auto"/>
        <w:rPr>
          <w:rFonts w:ascii="Calibri" w:eastAsia="Calibri" w:hAnsi="Calibri" w:cs="Calibri"/>
          <w:sz w:val="24"/>
          <w:szCs w:val="24"/>
        </w:rPr>
      </w:pPr>
    </w:p>
    <w:p w14:paraId="6FA78ED3" w14:textId="41C6F5B7" w:rsidR="000A4537" w:rsidRDefault="000A4537" w:rsidP="02DB14DE">
      <w:pPr>
        <w:spacing w:line="360" w:lineRule="auto"/>
        <w:rPr>
          <w:rFonts w:ascii="Calibri" w:eastAsia="Calibri" w:hAnsi="Calibri" w:cs="Calibri"/>
          <w:sz w:val="24"/>
          <w:szCs w:val="24"/>
        </w:rPr>
      </w:pPr>
    </w:p>
    <w:p w14:paraId="5ABA9A2D" w14:textId="447EB352" w:rsidR="000A4537" w:rsidRDefault="000A4537" w:rsidP="02DB14DE">
      <w:pPr>
        <w:spacing w:line="360" w:lineRule="auto"/>
        <w:rPr>
          <w:rFonts w:ascii="Calibri" w:eastAsia="Calibri" w:hAnsi="Calibri" w:cs="Calibri"/>
          <w:sz w:val="24"/>
          <w:szCs w:val="24"/>
        </w:rPr>
      </w:pPr>
    </w:p>
    <w:p w14:paraId="595C5C67" w14:textId="1107D81A" w:rsidR="000A4537" w:rsidRDefault="000A4537" w:rsidP="02DB14DE">
      <w:pPr>
        <w:spacing w:line="360" w:lineRule="auto"/>
        <w:rPr>
          <w:rFonts w:ascii="Calibri" w:eastAsia="Calibri" w:hAnsi="Calibri" w:cs="Calibri"/>
          <w:sz w:val="24"/>
          <w:szCs w:val="24"/>
        </w:rPr>
      </w:pPr>
    </w:p>
    <w:p w14:paraId="5C86910E" w14:textId="1D7FCE9A" w:rsidR="000A4537" w:rsidRDefault="000A4537" w:rsidP="02DB14DE">
      <w:pPr>
        <w:spacing w:line="360" w:lineRule="auto"/>
        <w:rPr>
          <w:rFonts w:ascii="Calibri" w:eastAsia="Calibri" w:hAnsi="Calibri" w:cs="Calibri"/>
          <w:sz w:val="24"/>
          <w:szCs w:val="24"/>
        </w:rPr>
      </w:pPr>
    </w:p>
    <w:p w14:paraId="2A2EC52F" w14:textId="065C25D2" w:rsidR="000A4537" w:rsidRDefault="000A4537" w:rsidP="02DB14DE">
      <w:pPr>
        <w:spacing w:line="360" w:lineRule="auto"/>
        <w:rPr>
          <w:rFonts w:ascii="Calibri" w:eastAsia="Calibri" w:hAnsi="Calibri" w:cs="Calibri"/>
          <w:sz w:val="24"/>
          <w:szCs w:val="24"/>
        </w:rPr>
      </w:pPr>
    </w:p>
    <w:p w14:paraId="1B45B6A3" w14:textId="55F6D7BB" w:rsidR="000A4537" w:rsidRDefault="000A4537" w:rsidP="02DB14DE">
      <w:pPr>
        <w:spacing w:line="360" w:lineRule="auto"/>
        <w:rPr>
          <w:rFonts w:ascii="Calibri" w:eastAsia="Calibri" w:hAnsi="Calibri" w:cs="Calibri"/>
          <w:sz w:val="24"/>
          <w:szCs w:val="24"/>
        </w:rPr>
      </w:pPr>
    </w:p>
    <w:p w14:paraId="622D104A" w14:textId="0002FC76" w:rsidR="000A4537" w:rsidRDefault="000A4537" w:rsidP="02DB14DE">
      <w:pPr>
        <w:spacing w:line="360" w:lineRule="auto"/>
        <w:rPr>
          <w:rFonts w:ascii="Calibri" w:eastAsia="Calibri" w:hAnsi="Calibri" w:cs="Calibri"/>
          <w:sz w:val="24"/>
          <w:szCs w:val="24"/>
        </w:rPr>
      </w:pPr>
    </w:p>
    <w:p w14:paraId="76018591" w14:textId="774F8F20" w:rsidR="4A066ED3" w:rsidRDefault="4A066ED3" w:rsidP="25019EBB">
      <w:pPr>
        <w:spacing w:before="240" w:after="240" w:line="360" w:lineRule="auto"/>
        <w:rPr>
          <w:rFonts w:ascii="Calibri" w:eastAsia="Calibri" w:hAnsi="Calibri" w:cs="Calibri"/>
          <w:sz w:val="24"/>
          <w:szCs w:val="24"/>
        </w:rPr>
      </w:pPr>
    </w:p>
    <w:p w14:paraId="54AF628D" w14:textId="040B4B84" w:rsidR="000A4537" w:rsidRDefault="328078D9"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Table of contents</w:t>
      </w:r>
      <w:r w:rsidR="706B2CD8" w:rsidRPr="02DB14DE">
        <w:rPr>
          <w:rFonts w:ascii="Calibri" w:eastAsia="Calibri" w:hAnsi="Calibri" w:cs="Calibri"/>
          <w:sz w:val="24"/>
          <w:szCs w:val="24"/>
        </w:rPr>
        <w:t xml:space="preserve">                         Page</w:t>
      </w:r>
    </w:p>
    <w:p w14:paraId="7D6D1C99" w14:textId="2434AFB8" w:rsidR="000A4537" w:rsidRDefault="000A4537" w:rsidP="02DB14DE">
      <w:pPr>
        <w:spacing w:before="240" w:after="240" w:line="360" w:lineRule="auto"/>
        <w:rPr>
          <w:rFonts w:ascii="Calibri" w:eastAsia="Calibri" w:hAnsi="Calibri" w:cs="Calibri"/>
          <w:sz w:val="24"/>
          <w:szCs w:val="24"/>
        </w:rPr>
      </w:pPr>
    </w:p>
    <w:p w14:paraId="3321835B" w14:textId="0BA332E0" w:rsidR="000A4537" w:rsidRDefault="213F426A" w:rsidP="02DB14DE">
      <w:pPr>
        <w:spacing w:before="240" w:after="240" w:line="360" w:lineRule="auto"/>
        <w:rPr>
          <w:rFonts w:ascii="Calibri" w:eastAsia="Calibri" w:hAnsi="Calibri" w:cs="Calibri"/>
          <w:sz w:val="24"/>
          <w:szCs w:val="24"/>
        </w:rPr>
      </w:pPr>
      <w:r w:rsidRPr="25019EBB">
        <w:rPr>
          <w:rFonts w:ascii="Calibri" w:eastAsia="Calibri" w:hAnsi="Calibri" w:cs="Calibri"/>
          <w:sz w:val="24"/>
          <w:szCs w:val="24"/>
        </w:rPr>
        <w:t xml:space="preserve">                                                                                                                                                                    </w:t>
      </w:r>
      <w:r w:rsidR="328078D9" w:rsidRPr="25019EBB">
        <w:rPr>
          <w:rFonts w:ascii="Calibri" w:eastAsia="Calibri" w:hAnsi="Calibri" w:cs="Calibri"/>
          <w:sz w:val="24"/>
          <w:szCs w:val="24"/>
        </w:rPr>
        <w:t>Contents page</w:t>
      </w:r>
      <w:r w:rsidR="414459A0" w:rsidRPr="25019EBB">
        <w:rPr>
          <w:rFonts w:ascii="Calibri" w:eastAsia="Calibri" w:hAnsi="Calibri" w:cs="Calibri"/>
          <w:sz w:val="24"/>
          <w:szCs w:val="24"/>
        </w:rPr>
        <w:t xml:space="preserve">                       </w:t>
      </w:r>
      <w:r w:rsidR="4FBD9F71" w:rsidRPr="25019EBB">
        <w:rPr>
          <w:rFonts w:ascii="Calibri" w:eastAsia="Calibri" w:hAnsi="Calibri" w:cs="Calibri"/>
          <w:sz w:val="24"/>
          <w:szCs w:val="24"/>
        </w:rPr>
        <w:t xml:space="preserve">        </w:t>
      </w:r>
      <w:r w:rsidR="05C2BA66" w:rsidRPr="25019EBB">
        <w:rPr>
          <w:rFonts w:ascii="Calibri" w:eastAsia="Calibri" w:hAnsi="Calibri" w:cs="Calibri"/>
          <w:sz w:val="24"/>
          <w:szCs w:val="24"/>
        </w:rPr>
        <w:t>2</w:t>
      </w:r>
      <w:r w:rsidR="414459A0" w:rsidRPr="25019EBB">
        <w:rPr>
          <w:rFonts w:ascii="Calibri" w:eastAsia="Calibri" w:hAnsi="Calibri" w:cs="Calibri"/>
          <w:sz w:val="24"/>
          <w:szCs w:val="24"/>
        </w:rPr>
        <w:t xml:space="preserve">                                       </w:t>
      </w:r>
    </w:p>
    <w:p w14:paraId="3C971081" w14:textId="38B4BE04" w:rsidR="000A4537" w:rsidRDefault="328078D9"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Executive Summary</w:t>
      </w:r>
      <w:r w:rsidR="03C73A98" w:rsidRPr="02DB14DE">
        <w:rPr>
          <w:rFonts w:ascii="Calibri" w:eastAsia="Calibri" w:hAnsi="Calibri" w:cs="Calibri"/>
          <w:sz w:val="24"/>
          <w:szCs w:val="24"/>
        </w:rPr>
        <w:t xml:space="preserve">                     3</w:t>
      </w:r>
    </w:p>
    <w:p w14:paraId="56CDA7DA" w14:textId="0B245DF7" w:rsidR="000A4537" w:rsidRDefault="328078D9"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Introduction</w:t>
      </w:r>
      <w:r w:rsidR="5AE3B406" w:rsidRPr="02DB14DE">
        <w:rPr>
          <w:rFonts w:ascii="Calibri" w:eastAsia="Calibri" w:hAnsi="Calibri" w:cs="Calibri"/>
          <w:sz w:val="24"/>
          <w:szCs w:val="24"/>
        </w:rPr>
        <w:t xml:space="preserve">                                  4</w:t>
      </w:r>
    </w:p>
    <w:p w14:paraId="50BEC976" w14:textId="067FBB99" w:rsidR="000A4537" w:rsidRDefault="328078D9"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Main body</w:t>
      </w:r>
      <w:r w:rsidR="7618EAA3" w:rsidRPr="02DB14DE">
        <w:rPr>
          <w:rFonts w:ascii="Calibri" w:eastAsia="Calibri" w:hAnsi="Calibri" w:cs="Calibri"/>
          <w:sz w:val="24"/>
          <w:szCs w:val="24"/>
        </w:rPr>
        <w:t xml:space="preserve">                                     5</w:t>
      </w:r>
      <w:r w:rsidR="6DB4F73B" w:rsidRPr="02DB14DE">
        <w:rPr>
          <w:rFonts w:ascii="Calibri" w:eastAsia="Calibri" w:hAnsi="Calibri" w:cs="Calibri"/>
          <w:sz w:val="24"/>
          <w:szCs w:val="24"/>
        </w:rPr>
        <w:t>-7</w:t>
      </w:r>
    </w:p>
    <w:p w14:paraId="40029195" w14:textId="3CFA3D44" w:rsidR="000A4537" w:rsidRDefault="328078D9"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Conclusion</w:t>
      </w:r>
      <w:r w:rsidR="0DC7EC82" w:rsidRPr="02DB14DE">
        <w:rPr>
          <w:rFonts w:ascii="Calibri" w:eastAsia="Calibri" w:hAnsi="Calibri" w:cs="Calibri"/>
          <w:sz w:val="24"/>
          <w:szCs w:val="24"/>
        </w:rPr>
        <w:t xml:space="preserve">                                     8</w:t>
      </w:r>
    </w:p>
    <w:p w14:paraId="0D8F6B91" w14:textId="72F9ACF8" w:rsidR="000A4537" w:rsidRDefault="0DC7EC82"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Recommendations                       9</w:t>
      </w:r>
    </w:p>
    <w:p w14:paraId="000C37D3" w14:textId="14AA0681" w:rsidR="000A4537" w:rsidRDefault="0DC7EC82"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t>References                                   10</w:t>
      </w:r>
      <w:r w:rsidR="1E3A203D" w:rsidRPr="02DB14DE">
        <w:rPr>
          <w:rFonts w:ascii="Calibri" w:eastAsia="Calibri" w:hAnsi="Calibri" w:cs="Calibri"/>
          <w:sz w:val="24"/>
          <w:szCs w:val="24"/>
        </w:rPr>
        <w:t>-12</w:t>
      </w:r>
    </w:p>
    <w:p w14:paraId="10F41A39" w14:textId="565A8592" w:rsidR="000A4537" w:rsidRDefault="000A4537" w:rsidP="02DB14DE">
      <w:pPr>
        <w:spacing w:before="240" w:after="240" w:line="360" w:lineRule="auto"/>
        <w:rPr>
          <w:rFonts w:ascii="Calibri" w:eastAsia="Calibri" w:hAnsi="Calibri" w:cs="Calibri"/>
          <w:sz w:val="24"/>
          <w:szCs w:val="24"/>
        </w:rPr>
      </w:pPr>
    </w:p>
    <w:p w14:paraId="2A2FE490" w14:textId="63CF02FB" w:rsidR="000A4537" w:rsidRDefault="000A4537" w:rsidP="02DB14DE">
      <w:pPr>
        <w:spacing w:before="240" w:after="240" w:line="360" w:lineRule="auto"/>
        <w:rPr>
          <w:rFonts w:ascii="Calibri" w:eastAsia="Calibri" w:hAnsi="Calibri" w:cs="Calibri"/>
          <w:sz w:val="24"/>
          <w:szCs w:val="24"/>
        </w:rPr>
      </w:pPr>
    </w:p>
    <w:p w14:paraId="41EAEFCD" w14:textId="20AF2177" w:rsidR="000A4537" w:rsidRDefault="000A4537" w:rsidP="02DB14DE">
      <w:pPr>
        <w:spacing w:before="240" w:after="240" w:line="360" w:lineRule="auto"/>
        <w:rPr>
          <w:rFonts w:ascii="Calibri" w:eastAsia="Calibri" w:hAnsi="Calibri" w:cs="Calibri"/>
          <w:sz w:val="24"/>
          <w:szCs w:val="24"/>
        </w:rPr>
      </w:pPr>
    </w:p>
    <w:p w14:paraId="347EEE9B" w14:textId="498A34D6" w:rsidR="000A4537" w:rsidRDefault="000A4537" w:rsidP="02DB14DE">
      <w:pPr>
        <w:spacing w:before="240" w:after="240" w:line="360" w:lineRule="auto"/>
        <w:rPr>
          <w:rFonts w:ascii="Calibri" w:eastAsia="Calibri" w:hAnsi="Calibri" w:cs="Calibri"/>
          <w:sz w:val="24"/>
          <w:szCs w:val="24"/>
        </w:rPr>
      </w:pPr>
    </w:p>
    <w:p w14:paraId="1BE44EA6" w14:textId="2DE13302" w:rsidR="000A4537" w:rsidRDefault="000A4537" w:rsidP="02DB14DE">
      <w:pPr>
        <w:spacing w:before="240" w:after="240" w:line="360" w:lineRule="auto"/>
        <w:rPr>
          <w:rFonts w:ascii="Calibri" w:eastAsia="Calibri" w:hAnsi="Calibri" w:cs="Calibri"/>
          <w:sz w:val="24"/>
          <w:szCs w:val="24"/>
        </w:rPr>
      </w:pPr>
    </w:p>
    <w:p w14:paraId="35FD1CC2" w14:textId="77777777" w:rsidR="00FB395E" w:rsidRDefault="00FB395E" w:rsidP="02DB14DE">
      <w:pPr>
        <w:spacing w:before="240" w:after="240" w:line="360" w:lineRule="auto"/>
        <w:rPr>
          <w:rFonts w:ascii="Calibri" w:eastAsia="Calibri" w:hAnsi="Calibri" w:cs="Calibri"/>
          <w:sz w:val="24"/>
          <w:szCs w:val="24"/>
        </w:rPr>
      </w:pPr>
    </w:p>
    <w:p w14:paraId="547E32BB" w14:textId="77777777" w:rsidR="00FB395E" w:rsidRDefault="00FB395E" w:rsidP="02DB14DE">
      <w:pPr>
        <w:spacing w:before="240" w:after="240" w:line="360" w:lineRule="auto"/>
        <w:rPr>
          <w:rFonts w:ascii="Calibri" w:eastAsia="Calibri" w:hAnsi="Calibri" w:cs="Calibri"/>
          <w:sz w:val="24"/>
          <w:szCs w:val="24"/>
        </w:rPr>
      </w:pPr>
    </w:p>
    <w:p w14:paraId="5B89D22D" w14:textId="77777777" w:rsidR="00FB395E" w:rsidRDefault="00FB395E" w:rsidP="02DB14DE">
      <w:pPr>
        <w:spacing w:before="240" w:after="240" w:line="360" w:lineRule="auto"/>
        <w:rPr>
          <w:rFonts w:ascii="Calibri" w:eastAsia="Calibri" w:hAnsi="Calibri" w:cs="Calibri"/>
          <w:sz w:val="24"/>
          <w:szCs w:val="24"/>
        </w:rPr>
      </w:pPr>
    </w:p>
    <w:p w14:paraId="28FEE638" w14:textId="77777777" w:rsidR="00FB395E" w:rsidRDefault="00FB395E" w:rsidP="02DB14DE">
      <w:pPr>
        <w:spacing w:before="240" w:after="240" w:line="360" w:lineRule="auto"/>
        <w:rPr>
          <w:rFonts w:ascii="Calibri" w:eastAsia="Calibri" w:hAnsi="Calibri" w:cs="Calibri"/>
          <w:sz w:val="24"/>
          <w:szCs w:val="24"/>
        </w:rPr>
      </w:pPr>
    </w:p>
    <w:p w14:paraId="12CA9A6E" w14:textId="77777777" w:rsidR="00FB395E" w:rsidRDefault="00FB395E" w:rsidP="02DB14DE">
      <w:pPr>
        <w:spacing w:before="240" w:after="240" w:line="360" w:lineRule="auto"/>
        <w:rPr>
          <w:rFonts w:ascii="Calibri" w:eastAsia="Calibri" w:hAnsi="Calibri" w:cs="Calibri"/>
          <w:sz w:val="24"/>
          <w:szCs w:val="24"/>
        </w:rPr>
      </w:pPr>
    </w:p>
    <w:p w14:paraId="6A8419EF" w14:textId="429107B2" w:rsidR="000A4537" w:rsidRDefault="1CD67A08" w:rsidP="02DB14DE">
      <w:pPr>
        <w:spacing w:line="360" w:lineRule="auto"/>
        <w:rPr>
          <w:rFonts w:ascii="Calibri" w:eastAsia="Calibri" w:hAnsi="Calibri" w:cs="Calibri"/>
          <w:sz w:val="24"/>
          <w:szCs w:val="24"/>
        </w:rPr>
      </w:pPr>
      <w:r w:rsidRPr="02DB14DE">
        <w:rPr>
          <w:rFonts w:ascii="Calibri" w:eastAsia="Calibri" w:hAnsi="Calibri" w:cs="Calibri"/>
          <w:sz w:val="24"/>
          <w:szCs w:val="24"/>
        </w:rPr>
        <w:lastRenderedPageBreak/>
        <w:t>This report will examine the benefits of evidence-based practice in the health and social sector, with a particular emphasis on the importance of hand hygiene with an emphasis on how the outbreak of how the Covid 19 pandemic has impacted on the greater need of more research in hand hygiene. Evidence-based practice has become increasingly important in the health and social sector, as it is the best way to ensure the safety of patients and staff. Hand hygiene is one of the most important evidence-based practices, which has been highlighted in the wake of the Covid 19 pandemic. Research into hand hygiene is essential to ensure the safety of all. Using epidemiological research, this report will demonstrate how evidence-based practice has progressed over recent years as well as how governments and organizations have contributed to the development of this practice. A key component of the study will be identifying how this practice improves the health and well-being of care recipients and employees.</w:t>
      </w:r>
    </w:p>
    <w:p w14:paraId="00637EA5" w14:textId="0CEB55A6" w:rsidR="000A4537" w:rsidRDefault="000A4537" w:rsidP="02DB14DE">
      <w:pPr>
        <w:spacing w:line="360" w:lineRule="auto"/>
        <w:rPr>
          <w:rFonts w:ascii="Calibri" w:eastAsia="Calibri" w:hAnsi="Calibri" w:cs="Calibri"/>
          <w:sz w:val="24"/>
          <w:szCs w:val="24"/>
        </w:rPr>
      </w:pPr>
    </w:p>
    <w:p w14:paraId="2EEAE097" w14:textId="56476F2C" w:rsidR="000A4537" w:rsidRDefault="000A4537" w:rsidP="02DB14DE">
      <w:pPr>
        <w:spacing w:line="360" w:lineRule="auto"/>
        <w:rPr>
          <w:rFonts w:ascii="Calibri" w:eastAsia="Calibri" w:hAnsi="Calibri" w:cs="Calibri"/>
          <w:sz w:val="24"/>
          <w:szCs w:val="24"/>
        </w:rPr>
      </w:pPr>
    </w:p>
    <w:p w14:paraId="11D3F0B3" w14:textId="71B1CD7D" w:rsidR="000A4537" w:rsidRDefault="000A4537" w:rsidP="02DB14DE">
      <w:pPr>
        <w:spacing w:line="360" w:lineRule="auto"/>
        <w:rPr>
          <w:rFonts w:ascii="Calibri" w:eastAsia="Calibri" w:hAnsi="Calibri" w:cs="Calibri"/>
          <w:sz w:val="24"/>
          <w:szCs w:val="24"/>
        </w:rPr>
      </w:pPr>
    </w:p>
    <w:p w14:paraId="1DF342A8" w14:textId="31B6768A" w:rsidR="000A4537" w:rsidRDefault="000A4537" w:rsidP="02DB14DE">
      <w:pPr>
        <w:spacing w:line="360" w:lineRule="auto"/>
        <w:rPr>
          <w:rFonts w:ascii="Calibri" w:eastAsia="Calibri" w:hAnsi="Calibri" w:cs="Calibri"/>
          <w:sz w:val="24"/>
          <w:szCs w:val="24"/>
        </w:rPr>
      </w:pPr>
    </w:p>
    <w:p w14:paraId="4EB401B7" w14:textId="42D6B637" w:rsidR="000A4537" w:rsidRDefault="000A4537" w:rsidP="02DB14DE">
      <w:pPr>
        <w:spacing w:line="360" w:lineRule="auto"/>
        <w:rPr>
          <w:rFonts w:ascii="Calibri" w:eastAsia="Calibri" w:hAnsi="Calibri" w:cs="Calibri"/>
          <w:sz w:val="24"/>
          <w:szCs w:val="24"/>
        </w:rPr>
      </w:pPr>
    </w:p>
    <w:p w14:paraId="5F40E8EC" w14:textId="2215584D" w:rsidR="000A4537" w:rsidRDefault="000A4537" w:rsidP="02DB14DE">
      <w:pPr>
        <w:spacing w:line="360" w:lineRule="auto"/>
        <w:rPr>
          <w:rFonts w:ascii="Calibri" w:eastAsia="Calibri" w:hAnsi="Calibri" w:cs="Calibri"/>
          <w:sz w:val="24"/>
          <w:szCs w:val="24"/>
        </w:rPr>
      </w:pPr>
    </w:p>
    <w:p w14:paraId="7919AE61" w14:textId="0EB2E88E" w:rsidR="000A4537" w:rsidRDefault="000A4537" w:rsidP="02DB14DE">
      <w:pPr>
        <w:spacing w:line="360" w:lineRule="auto"/>
        <w:rPr>
          <w:rFonts w:ascii="Calibri" w:eastAsia="Calibri" w:hAnsi="Calibri" w:cs="Calibri"/>
          <w:sz w:val="24"/>
          <w:szCs w:val="24"/>
        </w:rPr>
      </w:pPr>
    </w:p>
    <w:p w14:paraId="48123019" w14:textId="259C6625" w:rsidR="000A4537" w:rsidRDefault="000A4537" w:rsidP="02DB14DE">
      <w:pPr>
        <w:spacing w:line="360" w:lineRule="auto"/>
        <w:rPr>
          <w:rFonts w:ascii="Calibri" w:eastAsia="Calibri" w:hAnsi="Calibri" w:cs="Calibri"/>
          <w:sz w:val="24"/>
          <w:szCs w:val="24"/>
        </w:rPr>
      </w:pPr>
    </w:p>
    <w:p w14:paraId="7ADFFED0" w14:textId="319F9A74" w:rsidR="000A4537" w:rsidRDefault="000A4537" w:rsidP="02DB14DE">
      <w:pPr>
        <w:spacing w:line="360" w:lineRule="auto"/>
        <w:rPr>
          <w:rFonts w:ascii="Calibri" w:eastAsia="Calibri" w:hAnsi="Calibri" w:cs="Calibri"/>
          <w:sz w:val="24"/>
          <w:szCs w:val="24"/>
        </w:rPr>
      </w:pPr>
    </w:p>
    <w:p w14:paraId="464EE1DF" w14:textId="190B8B3B" w:rsidR="000A4537" w:rsidRDefault="000A4537" w:rsidP="02DB14DE">
      <w:pPr>
        <w:spacing w:line="360" w:lineRule="auto"/>
        <w:rPr>
          <w:rFonts w:ascii="Calibri" w:eastAsia="Calibri" w:hAnsi="Calibri" w:cs="Calibri"/>
          <w:sz w:val="24"/>
          <w:szCs w:val="24"/>
        </w:rPr>
      </w:pPr>
    </w:p>
    <w:p w14:paraId="52BD2160" w14:textId="352E9736" w:rsidR="000A4537" w:rsidRDefault="000A4537" w:rsidP="02DB14DE">
      <w:pPr>
        <w:spacing w:line="360" w:lineRule="auto"/>
        <w:rPr>
          <w:rFonts w:ascii="Calibri" w:eastAsia="Calibri" w:hAnsi="Calibri" w:cs="Calibri"/>
          <w:sz w:val="24"/>
          <w:szCs w:val="24"/>
        </w:rPr>
      </w:pPr>
    </w:p>
    <w:p w14:paraId="441DD58D" w14:textId="13AC8D13" w:rsidR="000A4537" w:rsidRDefault="000A4537" w:rsidP="02DB14DE">
      <w:pPr>
        <w:spacing w:line="360" w:lineRule="auto"/>
        <w:rPr>
          <w:rFonts w:ascii="Calibri" w:eastAsia="Calibri" w:hAnsi="Calibri" w:cs="Calibri"/>
          <w:sz w:val="24"/>
          <w:szCs w:val="24"/>
        </w:rPr>
      </w:pPr>
    </w:p>
    <w:p w14:paraId="54987D28" w14:textId="5BAC9D08" w:rsidR="000A4537" w:rsidRDefault="000A4537" w:rsidP="02DB14DE">
      <w:pPr>
        <w:spacing w:line="360" w:lineRule="auto"/>
        <w:rPr>
          <w:rFonts w:ascii="Calibri" w:eastAsia="Calibri" w:hAnsi="Calibri" w:cs="Calibri"/>
          <w:sz w:val="24"/>
          <w:szCs w:val="24"/>
        </w:rPr>
      </w:pPr>
    </w:p>
    <w:p w14:paraId="22012703" w14:textId="06ACDDE3" w:rsidR="21D0B71D" w:rsidRDefault="21D0B71D" w:rsidP="25019EBB">
      <w:pPr>
        <w:spacing w:line="360" w:lineRule="auto"/>
        <w:rPr>
          <w:rFonts w:ascii="Calibri" w:eastAsia="Calibri" w:hAnsi="Calibri" w:cs="Calibri"/>
          <w:sz w:val="24"/>
          <w:szCs w:val="24"/>
        </w:rPr>
      </w:pPr>
    </w:p>
    <w:p w14:paraId="6200C50C" w14:textId="262E709A" w:rsidR="000A4537" w:rsidRDefault="36EC103E" w:rsidP="02DB14DE">
      <w:pPr>
        <w:spacing w:line="360" w:lineRule="auto"/>
        <w:rPr>
          <w:rFonts w:ascii="Calibri" w:eastAsia="Calibri" w:hAnsi="Calibri" w:cs="Calibri"/>
          <w:sz w:val="24"/>
          <w:szCs w:val="24"/>
        </w:rPr>
      </w:pPr>
      <w:r w:rsidRPr="02DB14DE">
        <w:rPr>
          <w:rFonts w:ascii="Calibri" w:eastAsia="Calibri" w:hAnsi="Calibri" w:cs="Calibri"/>
          <w:sz w:val="24"/>
          <w:szCs w:val="24"/>
        </w:rPr>
        <w:lastRenderedPageBreak/>
        <w:t>The purpose of this report is to examine how hand hygiene has improved in the workplace by using evidence-based practices</w:t>
      </w:r>
      <w:r w:rsidR="1448B782" w:rsidRPr="02DB14DE">
        <w:rPr>
          <w:rFonts w:ascii="Calibri" w:eastAsia="Calibri" w:hAnsi="Calibri" w:cs="Calibri"/>
          <w:sz w:val="24"/>
          <w:szCs w:val="24"/>
        </w:rPr>
        <w:t>, paying attention to how the covid 19 pandemic has attributed to these practices</w:t>
      </w:r>
      <w:r w:rsidRPr="02DB14DE">
        <w:rPr>
          <w:rFonts w:ascii="Calibri" w:eastAsia="Calibri" w:hAnsi="Calibri" w:cs="Calibri"/>
          <w:sz w:val="24"/>
          <w:szCs w:val="24"/>
        </w:rPr>
        <w:t>. Evidence-based practice (EBP) has impacted nursing practice, education, and research.</w:t>
      </w:r>
      <w:r w:rsidR="3F1ED09A" w:rsidRPr="02DB14DE">
        <w:rPr>
          <w:rFonts w:ascii="Calibri" w:eastAsia="Calibri" w:hAnsi="Calibri" w:cs="Calibri"/>
          <w:sz w:val="24"/>
          <w:szCs w:val="24"/>
        </w:rPr>
        <w:t xml:space="preserve"> EBP has been widely adopted across the nursing profession, helping to ensure the highest level of safety and efficiency in the workplace, particularly in the wake of the coronavirus pandemic.</w:t>
      </w:r>
      <w:r w:rsidRPr="02DB14DE">
        <w:rPr>
          <w:rFonts w:ascii="Calibri" w:eastAsia="Calibri" w:hAnsi="Calibri" w:cs="Calibri"/>
          <w:sz w:val="24"/>
          <w:szCs w:val="24"/>
        </w:rPr>
        <w:t xml:space="preserve"> Quality improvement and healthcare transformation should be based on evidence-based practices to make care effective, safe, and efficient (Stevens, 2013). This paper is particularly concerned with hand hygiene. </w:t>
      </w:r>
      <w:proofErr w:type="gramStart"/>
      <w:r w:rsidRPr="02DB14DE">
        <w:rPr>
          <w:rFonts w:ascii="Calibri" w:eastAsia="Calibri" w:hAnsi="Calibri" w:cs="Calibri"/>
          <w:sz w:val="24"/>
          <w:szCs w:val="24"/>
        </w:rPr>
        <w:t xml:space="preserve">Using thorough </w:t>
      </w:r>
      <w:r w:rsidR="64A4A18D" w:rsidRPr="02DB14DE">
        <w:rPr>
          <w:rFonts w:ascii="Calibri" w:eastAsia="Calibri" w:hAnsi="Calibri" w:cs="Calibri"/>
          <w:sz w:val="24"/>
          <w:szCs w:val="24"/>
        </w:rPr>
        <w:t>research,</w:t>
      </w:r>
      <w:r w:rsidRPr="02DB14DE">
        <w:rPr>
          <w:rFonts w:ascii="Calibri" w:eastAsia="Calibri" w:hAnsi="Calibri" w:cs="Calibri"/>
          <w:sz w:val="24"/>
          <w:szCs w:val="24"/>
        </w:rPr>
        <w:t xml:space="preserve"> it</w:t>
      </w:r>
      <w:proofErr w:type="gramEnd"/>
      <w:r w:rsidRPr="02DB14DE">
        <w:rPr>
          <w:rFonts w:ascii="Calibri" w:eastAsia="Calibri" w:hAnsi="Calibri" w:cs="Calibri"/>
          <w:sz w:val="24"/>
          <w:szCs w:val="24"/>
        </w:rPr>
        <w:t xml:space="preserve"> has shown that the most effective way to reduce the transmission of pathogens and prevent infections, including COVID-19, is to wash your hands frequently (NHS, 2020). In the healthcare setting, poor hand hygiene has been found to be one of the major sources of germ transmission. Research has been carried out by the Society for Healthcare Epidemiology of America (SHEA) that only 7% of healthcare workers thoroughly clean their hands, and ongoing training on proper handwashing and sanitizer use is recommended (SHEA, 2023). There will be a discussion of this in the latter document concerning the improvement of hand hygiene in the workplace based on evidence-based practice, particularly in the healthcare setting, relevant in the United Kingdom (UK) and worldwide.</w:t>
      </w:r>
    </w:p>
    <w:p w14:paraId="1EB7C2E3" w14:textId="7EDB1969" w:rsidR="000A4537" w:rsidRDefault="000A4537" w:rsidP="02DB14DE">
      <w:pPr>
        <w:spacing w:line="360" w:lineRule="auto"/>
        <w:rPr>
          <w:rFonts w:ascii="Calibri" w:eastAsia="Calibri" w:hAnsi="Calibri" w:cs="Calibri"/>
          <w:sz w:val="24"/>
          <w:szCs w:val="24"/>
        </w:rPr>
      </w:pPr>
    </w:p>
    <w:p w14:paraId="5D89D7E5" w14:textId="0F371D5E" w:rsidR="000A4537" w:rsidRDefault="000A4537" w:rsidP="02DB14DE">
      <w:pPr>
        <w:spacing w:line="360" w:lineRule="auto"/>
        <w:rPr>
          <w:rFonts w:ascii="Calibri" w:eastAsia="Calibri" w:hAnsi="Calibri" w:cs="Calibri"/>
          <w:sz w:val="24"/>
          <w:szCs w:val="24"/>
        </w:rPr>
      </w:pPr>
    </w:p>
    <w:p w14:paraId="413C2BE7" w14:textId="56A50664" w:rsidR="000A4537" w:rsidRDefault="000A4537" w:rsidP="02DB14DE">
      <w:pPr>
        <w:spacing w:line="360" w:lineRule="auto"/>
        <w:rPr>
          <w:rFonts w:ascii="Calibri" w:eastAsia="Calibri" w:hAnsi="Calibri" w:cs="Calibri"/>
          <w:sz w:val="24"/>
          <w:szCs w:val="24"/>
        </w:rPr>
      </w:pPr>
    </w:p>
    <w:p w14:paraId="52CACA17" w14:textId="44E4306C" w:rsidR="000A4537" w:rsidRDefault="000A4537" w:rsidP="02DB14DE">
      <w:pPr>
        <w:spacing w:line="360" w:lineRule="auto"/>
        <w:rPr>
          <w:rFonts w:ascii="Calibri" w:eastAsia="Calibri" w:hAnsi="Calibri" w:cs="Calibri"/>
          <w:sz w:val="24"/>
          <w:szCs w:val="24"/>
        </w:rPr>
      </w:pPr>
    </w:p>
    <w:p w14:paraId="52B40828" w14:textId="49F1DA76" w:rsidR="000A4537" w:rsidRDefault="000A4537" w:rsidP="02DB14DE">
      <w:pPr>
        <w:spacing w:line="360" w:lineRule="auto"/>
        <w:rPr>
          <w:rFonts w:ascii="Calibri" w:eastAsia="Calibri" w:hAnsi="Calibri" w:cs="Calibri"/>
          <w:sz w:val="24"/>
          <w:szCs w:val="24"/>
        </w:rPr>
      </w:pPr>
    </w:p>
    <w:p w14:paraId="0D9D4F08" w14:textId="6D117FF1" w:rsidR="000A4537" w:rsidRDefault="000A4537" w:rsidP="02DB14DE">
      <w:pPr>
        <w:spacing w:line="360" w:lineRule="auto"/>
        <w:rPr>
          <w:rFonts w:ascii="Calibri" w:eastAsia="Calibri" w:hAnsi="Calibri" w:cs="Calibri"/>
          <w:sz w:val="24"/>
          <w:szCs w:val="24"/>
        </w:rPr>
      </w:pPr>
    </w:p>
    <w:p w14:paraId="3C004886" w14:textId="604D79F0" w:rsidR="000A4537" w:rsidRDefault="000A4537" w:rsidP="02DB14DE">
      <w:pPr>
        <w:spacing w:line="360" w:lineRule="auto"/>
        <w:rPr>
          <w:rFonts w:ascii="Calibri" w:eastAsia="Calibri" w:hAnsi="Calibri" w:cs="Calibri"/>
          <w:sz w:val="24"/>
          <w:szCs w:val="24"/>
        </w:rPr>
      </w:pPr>
    </w:p>
    <w:p w14:paraId="1E90DE5C" w14:textId="6E3D89C0" w:rsidR="02DB14DE" w:rsidRDefault="02DB14DE" w:rsidP="02DB14DE">
      <w:pPr>
        <w:spacing w:line="360" w:lineRule="auto"/>
        <w:rPr>
          <w:rFonts w:ascii="Calibri" w:eastAsia="Calibri" w:hAnsi="Calibri" w:cs="Calibri"/>
          <w:sz w:val="24"/>
          <w:szCs w:val="24"/>
        </w:rPr>
      </w:pPr>
    </w:p>
    <w:p w14:paraId="60E243DA" w14:textId="5A89BCAC" w:rsidR="02DB14DE" w:rsidRDefault="02DB14DE" w:rsidP="02DB14DE">
      <w:pPr>
        <w:spacing w:line="360" w:lineRule="auto"/>
        <w:rPr>
          <w:rFonts w:ascii="Calibri" w:eastAsia="Calibri" w:hAnsi="Calibri" w:cs="Calibri"/>
          <w:sz w:val="24"/>
          <w:szCs w:val="24"/>
        </w:rPr>
      </w:pPr>
    </w:p>
    <w:p w14:paraId="31066A73" w14:textId="30CA5951" w:rsidR="25019EBB" w:rsidRDefault="25019EBB" w:rsidP="25019EBB">
      <w:pPr>
        <w:spacing w:line="360" w:lineRule="auto"/>
        <w:rPr>
          <w:rFonts w:ascii="Calibri" w:eastAsia="Calibri" w:hAnsi="Calibri" w:cs="Calibri"/>
          <w:sz w:val="24"/>
          <w:szCs w:val="24"/>
        </w:rPr>
      </w:pPr>
    </w:p>
    <w:p w14:paraId="52DAE37C" w14:textId="2936263C" w:rsidR="11C82006" w:rsidRDefault="11C82006" w:rsidP="25019EBB">
      <w:pPr>
        <w:spacing w:line="360" w:lineRule="auto"/>
        <w:rPr>
          <w:rFonts w:ascii="Calibri" w:eastAsia="Calibri" w:hAnsi="Calibri" w:cs="Calibri"/>
          <w:sz w:val="24"/>
          <w:szCs w:val="24"/>
        </w:rPr>
      </w:pPr>
    </w:p>
    <w:p w14:paraId="758A426C" w14:textId="4A234715" w:rsidR="10BB0AAF" w:rsidRDefault="10BB0AAF" w:rsidP="02DB14DE">
      <w:pPr>
        <w:spacing w:line="360" w:lineRule="auto"/>
        <w:rPr>
          <w:rFonts w:ascii="Calibri" w:eastAsia="Calibri" w:hAnsi="Calibri" w:cs="Calibri"/>
          <w:sz w:val="24"/>
          <w:szCs w:val="24"/>
        </w:rPr>
      </w:pPr>
      <w:r w:rsidRPr="02DB14DE">
        <w:rPr>
          <w:rFonts w:ascii="Calibri" w:eastAsia="Calibri" w:hAnsi="Calibri" w:cs="Calibri"/>
          <w:sz w:val="24"/>
          <w:szCs w:val="24"/>
        </w:rPr>
        <w:lastRenderedPageBreak/>
        <w:t>There is no common definition of evidence-based practice, although the term has become ubiquitous (Spencer et al., 2012).</w:t>
      </w:r>
      <w:r w:rsidR="36EC103E" w:rsidRPr="02DB14DE">
        <w:rPr>
          <w:rFonts w:ascii="Calibri" w:eastAsia="Calibri" w:hAnsi="Calibri" w:cs="Calibri"/>
          <w:sz w:val="24"/>
          <w:szCs w:val="24"/>
        </w:rPr>
        <w:t xml:space="preserve"> </w:t>
      </w:r>
      <w:r w:rsidR="33812107" w:rsidRPr="02DB14DE">
        <w:rPr>
          <w:rFonts w:ascii="Calibri" w:eastAsia="Calibri" w:hAnsi="Calibri" w:cs="Calibri"/>
          <w:sz w:val="24"/>
          <w:szCs w:val="24"/>
        </w:rPr>
        <w:t>E</w:t>
      </w:r>
      <w:r w:rsidR="36EC103E" w:rsidRPr="02DB14DE">
        <w:rPr>
          <w:rFonts w:ascii="Calibri" w:eastAsia="Calibri" w:hAnsi="Calibri" w:cs="Calibri"/>
          <w:sz w:val="24"/>
          <w:szCs w:val="24"/>
        </w:rPr>
        <w:t xml:space="preserve">vidence-based practice has evolved within the medical community since Florence Nightingale in the 1800s, it continues to advance in the nursing field as well (Mackey &amp; </w:t>
      </w:r>
      <w:proofErr w:type="spellStart"/>
      <w:r w:rsidR="36EC103E" w:rsidRPr="02DB14DE">
        <w:rPr>
          <w:rFonts w:ascii="Calibri" w:eastAsia="Calibri" w:hAnsi="Calibri" w:cs="Calibri"/>
          <w:sz w:val="24"/>
          <w:szCs w:val="24"/>
        </w:rPr>
        <w:t>Bassendowski</w:t>
      </w:r>
      <w:proofErr w:type="spellEnd"/>
      <w:r w:rsidR="36EC103E" w:rsidRPr="02DB14DE">
        <w:rPr>
          <w:rFonts w:ascii="Calibri" w:eastAsia="Calibri" w:hAnsi="Calibri" w:cs="Calibri"/>
          <w:sz w:val="24"/>
          <w:szCs w:val="24"/>
        </w:rPr>
        <w:t>, 2017).</w:t>
      </w:r>
      <w:r w:rsidR="210B70AE" w:rsidRPr="02DB14DE">
        <w:rPr>
          <w:rFonts w:ascii="Calibri" w:eastAsia="Calibri" w:hAnsi="Calibri" w:cs="Calibri"/>
          <w:sz w:val="24"/>
          <w:szCs w:val="24"/>
        </w:rPr>
        <w:t xml:space="preserve"> </w:t>
      </w:r>
      <w:r w:rsidR="492B417E" w:rsidRPr="02DB14DE">
        <w:rPr>
          <w:rFonts w:ascii="Calibri" w:eastAsia="Calibri" w:hAnsi="Calibri" w:cs="Calibri"/>
          <w:sz w:val="24"/>
          <w:szCs w:val="24"/>
        </w:rPr>
        <w:t xml:space="preserve">GOV.UK (2013) further emphasizes that </w:t>
      </w:r>
      <w:proofErr w:type="gramStart"/>
      <w:r w:rsidR="492B417E" w:rsidRPr="02DB14DE">
        <w:rPr>
          <w:rFonts w:ascii="Calibri" w:eastAsia="Calibri" w:hAnsi="Calibri" w:cs="Calibri"/>
          <w:sz w:val="24"/>
          <w:szCs w:val="24"/>
        </w:rPr>
        <w:t>as a result of</w:t>
      </w:r>
      <w:proofErr w:type="gramEnd"/>
      <w:r w:rsidR="492B417E" w:rsidRPr="02DB14DE">
        <w:rPr>
          <w:rFonts w:ascii="Calibri" w:eastAsia="Calibri" w:hAnsi="Calibri" w:cs="Calibri"/>
          <w:sz w:val="24"/>
          <w:szCs w:val="24"/>
        </w:rPr>
        <w:t xml:space="preserve"> evidence-based practice, </w:t>
      </w:r>
      <w:r w:rsidR="3BA48F34" w:rsidRPr="02DB14DE">
        <w:rPr>
          <w:rFonts w:ascii="Calibri" w:eastAsia="Calibri" w:hAnsi="Calibri" w:cs="Calibri"/>
          <w:sz w:val="24"/>
          <w:szCs w:val="24"/>
        </w:rPr>
        <w:t>exacting standards</w:t>
      </w:r>
      <w:r w:rsidR="492B417E" w:rsidRPr="02DB14DE">
        <w:rPr>
          <w:rFonts w:ascii="Calibri" w:eastAsia="Calibri" w:hAnsi="Calibri" w:cs="Calibri"/>
          <w:sz w:val="24"/>
          <w:szCs w:val="24"/>
        </w:rPr>
        <w:t xml:space="preserve"> can be maintained, care is provided based on the best evidence, and the best outcomes can be achieved.</w:t>
      </w:r>
      <w:r w:rsidR="42A0FC32" w:rsidRPr="02DB14DE">
        <w:rPr>
          <w:rFonts w:ascii="Calibri" w:eastAsia="Calibri" w:hAnsi="Calibri" w:cs="Calibri"/>
          <w:sz w:val="24"/>
          <w:szCs w:val="24"/>
        </w:rPr>
        <w:t xml:space="preserve"> Nursing is undeniably influenced by evidence-based practice, especially as new research and theories relating to patient care are developed. Nursing EBP helps nurses pinpoint patient care strategies and has become a major component of high-quality care for patients</w:t>
      </w:r>
      <w:r w:rsidR="31689816" w:rsidRPr="02DB14DE">
        <w:rPr>
          <w:rFonts w:ascii="Calibri" w:eastAsia="Calibri" w:hAnsi="Calibri" w:cs="Calibri"/>
          <w:sz w:val="24"/>
          <w:szCs w:val="24"/>
        </w:rPr>
        <w:t xml:space="preserve"> (</w:t>
      </w:r>
      <w:proofErr w:type="spellStart"/>
      <w:r w:rsidR="31689816" w:rsidRPr="02DB14DE">
        <w:rPr>
          <w:rFonts w:ascii="Calibri" w:eastAsia="Calibri" w:hAnsi="Calibri" w:cs="Calibri"/>
          <w:sz w:val="24"/>
          <w:szCs w:val="24"/>
        </w:rPr>
        <w:t>Fabuion</w:t>
      </w:r>
      <w:proofErr w:type="spellEnd"/>
      <w:r w:rsidR="31689816" w:rsidRPr="02DB14DE">
        <w:rPr>
          <w:rFonts w:ascii="Calibri" w:eastAsia="Calibri" w:hAnsi="Calibri" w:cs="Calibri"/>
          <w:sz w:val="24"/>
          <w:szCs w:val="24"/>
        </w:rPr>
        <w:t>, 2023).</w:t>
      </w:r>
      <w:r w:rsidR="36EC103E" w:rsidRPr="02DB14DE">
        <w:rPr>
          <w:rFonts w:ascii="Calibri" w:eastAsia="Calibri" w:hAnsi="Calibri" w:cs="Calibri"/>
          <w:sz w:val="24"/>
          <w:szCs w:val="24"/>
        </w:rPr>
        <w:t xml:space="preserve"> Health care decisions are guided by evidence-based practice (EBP), which combines current best evidence with clinical expertise and patient values (Hughes, 2008). </w:t>
      </w:r>
      <w:r w:rsidR="6D626451" w:rsidRPr="02DB14DE">
        <w:rPr>
          <w:rFonts w:ascii="Calibri" w:eastAsia="Calibri" w:hAnsi="Calibri" w:cs="Calibri"/>
          <w:sz w:val="24"/>
          <w:szCs w:val="24"/>
        </w:rPr>
        <w:t xml:space="preserve"> </w:t>
      </w:r>
      <w:r w:rsidR="36EC103E" w:rsidRPr="02DB14DE">
        <w:rPr>
          <w:rFonts w:ascii="Calibri" w:eastAsia="Calibri" w:hAnsi="Calibri" w:cs="Calibri"/>
          <w:sz w:val="24"/>
          <w:szCs w:val="24"/>
        </w:rPr>
        <w:t>To define evidence</w:t>
      </w:r>
      <w:r w:rsidR="5B7AB148" w:rsidRPr="02DB14DE">
        <w:rPr>
          <w:rFonts w:ascii="Calibri" w:eastAsia="Calibri" w:hAnsi="Calibri" w:cs="Calibri"/>
          <w:sz w:val="24"/>
          <w:szCs w:val="24"/>
        </w:rPr>
        <w:t xml:space="preserve"> </w:t>
      </w:r>
      <w:r w:rsidR="428ECB16" w:rsidRPr="02DB14DE">
        <w:rPr>
          <w:rFonts w:ascii="Calibri" w:eastAsia="Calibri" w:hAnsi="Calibri" w:cs="Calibri"/>
          <w:sz w:val="24"/>
          <w:szCs w:val="24"/>
        </w:rPr>
        <w:t>practice</w:t>
      </w:r>
      <w:r w:rsidR="3CE6C467" w:rsidRPr="02DB14DE">
        <w:rPr>
          <w:rFonts w:ascii="Calibri" w:eastAsia="Calibri" w:hAnsi="Calibri" w:cs="Calibri"/>
          <w:sz w:val="24"/>
          <w:szCs w:val="24"/>
        </w:rPr>
        <w:t>,</w:t>
      </w:r>
      <w:r w:rsidR="428ECB16" w:rsidRPr="02DB14DE">
        <w:rPr>
          <w:rFonts w:ascii="Calibri" w:eastAsia="Calibri" w:hAnsi="Calibri" w:cs="Calibri"/>
          <w:sz w:val="24"/>
          <w:szCs w:val="24"/>
        </w:rPr>
        <w:t xml:space="preserve"> </w:t>
      </w:r>
      <w:r w:rsidR="5A97F1CA" w:rsidRPr="02DB14DE">
        <w:rPr>
          <w:rFonts w:ascii="Calibri" w:eastAsia="Calibri" w:hAnsi="Calibri" w:cs="Calibri"/>
          <w:sz w:val="24"/>
          <w:szCs w:val="24"/>
        </w:rPr>
        <w:t>r</w:t>
      </w:r>
      <w:r w:rsidR="3400260F" w:rsidRPr="02DB14DE">
        <w:rPr>
          <w:rFonts w:ascii="Calibri" w:eastAsia="Calibri" w:hAnsi="Calibri" w:cs="Calibri"/>
          <w:sz w:val="24"/>
          <w:szCs w:val="24"/>
        </w:rPr>
        <w:t>esearch in evidence-based practice is the most effective way of evaluating the effectiveness of interventions</w:t>
      </w:r>
      <w:r w:rsidR="5AE6B213" w:rsidRPr="02DB14DE">
        <w:rPr>
          <w:rFonts w:ascii="Calibri" w:eastAsia="Calibri" w:hAnsi="Calibri" w:cs="Calibri"/>
          <w:sz w:val="24"/>
          <w:szCs w:val="24"/>
        </w:rPr>
        <w:t xml:space="preserve"> (Biesta, 2007). </w:t>
      </w:r>
      <w:r w:rsidR="4B15030E" w:rsidRPr="02DB14DE">
        <w:rPr>
          <w:rFonts w:ascii="Calibri" w:eastAsia="Calibri" w:hAnsi="Calibri" w:cs="Calibri"/>
          <w:sz w:val="24"/>
          <w:szCs w:val="24"/>
        </w:rPr>
        <w:t xml:space="preserve">Making clinical decisions based on evidence that is relevant and valid is called evidence-based practice (EBP). EBP is defined as integrating clinical expertise and patient values with the best available evidence </w:t>
      </w:r>
      <w:r w:rsidR="05412400" w:rsidRPr="02DB14DE">
        <w:rPr>
          <w:rFonts w:ascii="Calibri" w:eastAsia="Calibri" w:hAnsi="Calibri" w:cs="Calibri"/>
          <w:sz w:val="24"/>
          <w:szCs w:val="24"/>
        </w:rPr>
        <w:t xml:space="preserve">(Ilic, 2009). The </w:t>
      </w:r>
      <w:r w:rsidR="5E59604A" w:rsidRPr="02DB14DE">
        <w:rPr>
          <w:rFonts w:ascii="Calibri" w:eastAsia="Calibri" w:hAnsi="Calibri" w:cs="Calibri"/>
          <w:sz w:val="24"/>
          <w:szCs w:val="24"/>
        </w:rPr>
        <w:t xml:space="preserve">following section will examine </w:t>
      </w:r>
      <w:r w:rsidR="3DABD2E3" w:rsidRPr="02DB14DE">
        <w:rPr>
          <w:rFonts w:ascii="Calibri" w:eastAsia="Calibri" w:hAnsi="Calibri" w:cs="Calibri"/>
          <w:sz w:val="24"/>
          <w:szCs w:val="24"/>
        </w:rPr>
        <w:t xml:space="preserve">hand hygiene in the workplace. Discussing how </w:t>
      </w:r>
      <w:r w:rsidR="348F06E2" w:rsidRPr="02DB14DE">
        <w:rPr>
          <w:rFonts w:ascii="Calibri" w:eastAsia="Calibri" w:hAnsi="Calibri" w:cs="Calibri"/>
          <w:sz w:val="24"/>
          <w:szCs w:val="24"/>
        </w:rPr>
        <w:t>evidence-based</w:t>
      </w:r>
      <w:r w:rsidR="3DABD2E3" w:rsidRPr="02DB14DE">
        <w:rPr>
          <w:rFonts w:ascii="Calibri" w:eastAsia="Calibri" w:hAnsi="Calibri" w:cs="Calibri"/>
          <w:sz w:val="24"/>
          <w:szCs w:val="24"/>
        </w:rPr>
        <w:t xml:space="preserve"> practice has influenced its </w:t>
      </w:r>
      <w:r w:rsidR="7C50B814" w:rsidRPr="02DB14DE">
        <w:rPr>
          <w:rFonts w:ascii="Calibri" w:eastAsia="Calibri" w:hAnsi="Calibri" w:cs="Calibri"/>
          <w:sz w:val="24"/>
          <w:szCs w:val="24"/>
        </w:rPr>
        <w:t xml:space="preserve">importance in </w:t>
      </w:r>
      <w:proofErr w:type="gramStart"/>
      <w:r w:rsidR="7C50B814" w:rsidRPr="02DB14DE">
        <w:rPr>
          <w:rFonts w:ascii="Calibri" w:eastAsia="Calibri" w:hAnsi="Calibri" w:cs="Calibri"/>
          <w:sz w:val="24"/>
          <w:szCs w:val="24"/>
        </w:rPr>
        <w:t xml:space="preserve">nursing </w:t>
      </w:r>
      <w:r w:rsidR="49A3D7BA" w:rsidRPr="02DB14DE">
        <w:rPr>
          <w:rFonts w:ascii="Calibri" w:eastAsia="Calibri" w:hAnsi="Calibri" w:cs="Calibri"/>
          <w:sz w:val="24"/>
          <w:szCs w:val="24"/>
        </w:rPr>
        <w:t>in particular</w:t>
      </w:r>
      <w:proofErr w:type="gramEnd"/>
      <w:r w:rsidR="49A3D7BA" w:rsidRPr="02DB14DE">
        <w:rPr>
          <w:rFonts w:ascii="Calibri" w:eastAsia="Calibri" w:hAnsi="Calibri" w:cs="Calibri"/>
          <w:sz w:val="24"/>
          <w:szCs w:val="24"/>
        </w:rPr>
        <w:t>.</w:t>
      </w:r>
      <w:r w:rsidR="67D20EEB" w:rsidRPr="02DB14DE">
        <w:rPr>
          <w:rFonts w:ascii="Calibri" w:eastAsia="Calibri" w:hAnsi="Calibri" w:cs="Calibri"/>
          <w:sz w:val="24"/>
          <w:szCs w:val="24"/>
        </w:rPr>
        <w:t xml:space="preserve"> </w:t>
      </w:r>
      <w:proofErr w:type="gramStart"/>
      <w:r w:rsidR="1F967791" w:rsidRPr="02DB14DE">
        <w:rPr>
          <w:rFonts w:ascii="Calibri" w:eastAsia="Calibri" w:hAnsi="Calibri" w:cs="Calibri"/>
          <w:sz w:val="24"/>
          <w:szCs w:val="24"/>
        </w:rPr>
        <w:t>A number of</w:t>
      </w:r>
      <w:proofErr w:type="gramEnd"/>
      <w:r w:rsidR="1F967791" w:rsidRPr="02DB14DE">
        <w:rPr>
          <w:rFonts w:ascii="Calibri" w:eastAsia="Calibri" w:hAnsi="Calibri" w:cs="Calibri"/>
          <w:sz w:val="24"/>
          <w:szCs w:val="24"/>
        </w:rPr>
        <w:t xml:space="preserve"> evidence-based practice interventions have become standard nursing practices across the country. Currently, hand hygiene is an evidence-based (research-based) nursing practice intervention (Bartleby </w:t>
      </w:r>
      <w:r w:rsidR="03664067" w:rsidRPr="02DB14DE">
        <w:rPr>
          <w:rFonts w:ascii="Calibri" w:eastAsia="Calibri" w:hAnsi="Calibri" w:cs="Calibri"/>
          <w:sz w:val="24"/>
          <w:szCs w:val="24"/>
        </w:rPr>
        <w:t>Research,</w:t>
      </w:r>
      <w:r w:rsidR="1F967791" w:rsidRPr="02DB14DE">
        <w:rPr>
          <w:rFonts w:ascii="Calibri" w:eastAsia="Calibri" w:hAnsi="Calibri" w:cs="Calibri"/>
          <w:sz w:val="24"/>
          <w:szCs w:val="24"/>
        </w:rPr>
        <w:t xml:space="preserve"> 2023). </w:t>
      </w:r>
      <w:r w:rsidR="3C3311FC" w:rsidRPr="02DB14DE">
        <w:rPr>
          <w:rFonts w:ascii="Calibri" w:eastAsia="Calibri" w:hAnsi="Calibri" w:cs="Calibri"/>
          <w:sz w:val="24"/>
          <w:szCs w:val="24"/>
        </w:rPr>
        <w:t>A high impact is believed to be attributed to hand decontamination on patient outcomes. Despite a significant improvement in hand hygiene over the past few years, the standard principle of infection control continues to be misunderstood, and good practice is far from universal (National Institute for Health and care Excellence (NICE), 2014)</w:t>
      </w:r>
      <w:r w:rsidR="6F6E569E" w:rsidRPr="02DB14DE">
        <w:rPr>
          <w:rFonts w:ascii="Calibri" w:eastAsia="Calibri" w:hAnsi="Calibri" w:cs="Calibri"/>
          <w:sz w:val="24"/>
          <w:szCs w:val="24"/>
        </w:rPr>
        <w:t xml:space="preserve">. The National Health Service (NHS) (2023) emphasizes the importance of regular and frequent handwashing as a means of preventing infections among health workers and members of the public. </w:t>
      </w:r>
      <w:r w:rsidR="11BCEEF1" w:rsidRPr="02DB14DE">
        <w:rPr>
          <w:rFonts w:ascii="Calibri" w:eastAsia="Calibri" w:hAnsi="Calibri" w:cs="Calibri"/>
          <w:sz w:val="24"/>
          <w:szCs w:val="24"/>
        </w:rPr>
        <w:t xml:space="preserve">The use of hand hygiene remains an important and effective method of reducing healthcare-associated infections. The early recognition of the effectiveness of handwashing was demonstrated by Florence Nightingale, who wrote in 1860 that nurses should wash their hands frequently throughout the day (Hillier, 2020). </w:t>
      </w:r>
      <w:r w:rsidR="7336041A" w:rsidRPr="02DB14DE">
        <w:rPr>
          <w:rFonts w:ascii="Calibri" w:eastAsia="Calibri" w:hAnsi="Calibri" w:cs="Calibri"/>
          <w:sz w:val="24"/>
          <w:szCs w:val="24"/>
        </w:rPr>
        <w:t xml:space="preserve">The World Health Organisation (WHO) (2009) also emphasizes the need for hand hygiene as the most effective method for preventing health care-associated infections and preventing the spread of harmful germs. </w:t>
      </w:r>
      <w:r w:rsidR="2B6C9DFE" w:rsidRPr="02DB14DE">
        <w:rPr>
          <w:rFonts w:ascii="Calibri" w:eastAsia="Calibri" w:hAnsi="Calibri" w:cs="Calibri"/>
          <w:sz w:val="24"/>
          <w:szCs w:val="24"/>
        </w:rPr>
        <w:t xml:space="preserve">Evidence-based practice suggests that proper </w:t>
      </w:r>
      <w:r w:rsidR="2B6C9DFE" w:rsidRPr="02DB14DE">
        <w:rPr>
          <w:rFonts w:ascii="Calibri" w:eastAsia="Calibri" w:hAnsi="Calibri" w:cs="Calibri"/>
          <w:sz w:val="24"/>
          <w:szCs w:val="24"/>
        </w:rPr>
        <w:lastRenderedPageBreak/>
        <w:t>hand hygiene is the most effective way to reduce the transmission of germs and infectious diseases.</w:t>
      </w:r>
      <w:r w:rsidR="15A5EE00" w:rsidRPr="02DB14DE">
        <w:rPr>
          <w:rFonts w:ascii="Calibri" w:eastAsia="Calibri" w:hAnsi="Calibri" w:cs="Calibri"/>
          <w:sz w:val="24"/>
          <w:szCs w:val="24"/>
        </w:rPr>
        <w:t xml:space="preserve"> There have been few studies looking at the training and adherence of health personnel to hygiene recommendations, despite the obvious implications for patient safety (</w:t>
      </w:r>
      <w:proofErr w:type="spellStart"/>
      <w:r w:rsidR="15A5EE00" w:rsidRPr="02DB14DE">
        <w:rPr>
          <w:rFonts w:ascii="Calibri" w:eastAsia="Calibri" w:hAnsi="Calibri" w:cs="Calibri"/>
          <w:sz w:val="24"/>
          <w:szCs w:val="24"/>
        </w:rPr>
        <w:t>Martos</w:t>
      </w:r>
      <w:proofErr w:type="spellEnd"/>
      <w:r w:rsidR="15A5EE00" w:rsidRPr="02DB14DE">
        <w:rPr>
          <w:rFonts w:ascii="Calibri" w:eastAsia="Calibri" w:hAnsi="Calibri" w:cs="Calibri"/>
          <w:sz w:val="24"/>
          <w:szCs w:val="24"/>
        </w:rPr>
        <w:t xml:space="preserve">-Cabrera et al., 2019). This suggests that there is an urgent need for healthcare organizations to assess the knowledge and practices of their personnel </w:t>
      </w:r>
      <w:bookmarkStart w:id="0" w:name="_Int_0b2SSwQZ"/>
      <w:proofErr w:type="gramStart"/>
      <w:r w:rsidR="420B2598" w:rsidRPr="02DB14DE">
        <w:rPr>
          <w:rFonts w:ascii="Calibri" w:eastAsia="Calibri" w:hAnsi="Calibri" w:cs="Calibri"/>
          <w:sz w:val="24"/>
          <w:szCs w:val="24"/>
        </w:rPr>
        <w:t>in regard to</w:t>
      </w:r>
      <w:bookmarkEnd w:id="0"/>
      <w:proofErr w:type="gramEnd"/>
      <w:r w:rsidR="15A5EE00" w:rsidRPr="02DB14DE">
        <w:rPr>
          <w:rFonts w:ascii="Calibri" w:eastAsia="Calibri" w:hAnsi="Calibri" w:cs="Calibri"/>
          <w:sz w:val="24"/>
          <w:szCs w:val="24"/>
        </w:rPr>
        <w:t xml:space="preserve"> proper hand hygiene. Rather than being viewed as a stand-alone element of professional practice, infection prevention and control should be viewed as a set of practices that reduce the chances of a patient or individual contracting an infection. There are principles that are relevant to clinical practice as well as broader aspects of health promotion that support general well-being (Royal College of Nursing</w:t>
      </w:r>
      <w:r w:rsidR="5F78D84B" w:rsidRPr="02DB14DE">
        <w:rPr>
          <w:rFonts w:ascii="Calibri" w:eastAsia="Calibri" w:hAnsi="Calibri" w:cs="Calibri"/>
          <w:sz w:val="24"/>
          <w:szCs w:val="24"/>
        </w:rPr>
        <w:t xml:space="preserve"> (RCN)</w:t>
      </w:r>
      <w:r w:rsidR="15A5EE00" w:rsidRPr="02DB14DE">
        <w:rPr>
          <w:rFonts w:ascii="Calibri" w:eastAsia="Calibri" w:hAnsi="Calibri" w:cs="Calibri"/>
          <w:sz w:val="24"/>
          <w:szCs w:val="24"/>
        </w:rPr>
        <w:t>, 2017).</w:t>
      </w:r>
      <w:r w:rsidR="057403BD" w:rsidRPr="02DB14DE">
        <w:rPr>
          <w:rFonts w:ascii="Calibri" w:eastAsia="Calibri" w:hAnsi="Calibri" w:cs="Calibri"/>
          <w:sz w:val="24"/>
          <w:szCs w:val="24"/>
        </w:rPr>
        <w:t xml:space="preserve"> Infection prevention and control should be based on current evidence and best practice </w:t>
      </w:r>
      <w:r w:rsidR="6C0A699E" w:rsidRPr="02DB14DE">
        <w:rPr>
          <w:rFonts w:ascii="Calibri" w:eastAsia="Calibri" w:hAnsi="Calibri" w:cs="Calibri"/>
          <w:sz w:val="24"/>
          <w:szCs w:val="24"/>
        </w:rPr>
        <w:t>guidelines and</w:t>
      </w:r>
      <w:r w:rsidR="057403BD" w:rsidRPr="02DB14DE">
        <w:rPr>
          <w:rFonts w:ascii="Calibri" w:eastAsia="Calibri" w:hAnsi="Calibri" w:cs="Calibri"/>
          <w:sz w:val="24"/>
          <w:szCs w:val="24"/>
        </w:rPr>
        <w:t xml:space="preserve"> should be informed by research and evaluation. It should be a process that is continually evaluated, </w:t>
      </w:r>
      <w:r w:rsidR="49E88337" w:rsidRPr="02DB14DE">
        <w:rPr>
          <w:rFonts w:ascii="Calibri" w:eastAsia="Calibri" w:hAnsi="Calibri" w:cs="Calibri"/>
          <w:sz w:val="24"/>
          <w:szCs w:val="24"/>
        </w:rPr>
        <w:t>adapted,</w:t>
      </w:r>
      <w:r w:rsidR="057403BD" w:rsidRPr="02DB14DE">
        <w:rPr>
          <w:rFonts w:ascii="Calibri" w:eastAsia="Calibri" w:hAnsi="Calibri" w:cs="Calibri"/>
          <w:sz w:val="24"/>
          <w:szCs w:val="24"/>
        </w:rPr>
        <w:t xml:space="preserve"> and improved to meet the changing needs of the population</w:t>
      </w:r>
      <w:r w:rsidR="20CDF626" w:rsidRPr="02DB14DE">
        <w:rPr>
          <w:rFonts w:ascii="Calibri" w:eastAsia="Calibri" w:hAnsi="Calibri" w:cs="Calibri"/>
          <w:sz w:val="24"/>
          <w:szCs w:val="24"/>
        </w:rPr>
        <w:t xml:space="preserve">. A study by </w:t>
      </w:r>
      <w:proofErr w:type="spellStart"/>
      <w:r w:rsidR="20CDF626" w:rsidRPr="02DB14DE">
        <w:rPr>
          <w:rFonts w:ascii="Calibri" w:eastAsia="Calibri" w:hAnsi="Calibri" w:cs="Calibri"/>
          <w:sz w:val="24"/>
          <w:szCs w:val="24"/>
        </w:rPr>
        <w:t>Mathar</w:t>
      </w:r>
      <w:proofErr w:type="spellEnd"/>
      <w:r w:rsidR="20CDF626" w:rsidRPr="02DB14DE">
        <w:rPr>
          <w:rFonts w:ascii="Calibri" w:eastAsia="Calibri" w:hAnsi="Calibri" w:cs="Calibri"/>
          <w:sz w:val="24"/>
          <w:szCs w:val="24"/>
        </w:rPr>
        <w:t xml:space="preserve"> (2011) suggests that hospitals should demonstrate a dynamic infection control team, an effective surveillance system, and staff to disseminate evidence-based knowledge in an easy-to-understand manner.</w:t>
      </w:r>
      <w:r w:rsidR="0E86E187" w:rsidRPr="02DB14DE">
        <w:rPr>
          <w:rFonts w:ascii="Calibri" w:eastAsia="Calibri" w:hAnsi="Calibri" w:cs="Calibri"/>
          <w:sz w:val="24"/>
          <w:szCs w:val="24"/>
        </w:rPr>
        <w:t xml:space="preserve"> Studies suggest that even though nurses are increasingly called upon to use evidence-based practices there are still doubts with some suggesting that they should develop and use their own nursing perspective to help guide their knowledge synthesis (Baumann, 2010)</w:t>
      </w:r>
      <w:r w:rsidR="7A6BC4B4" w:rsidRPr="02DB14DE">
        <w:rPr>
          <w:rFonts w:ascii="Calibri" w:eastAsia="Calibri" w:hAnsi="Calibri" w:cs="Calibri"/>
          <w:sz w:val="24"/>
          <w:szCs w:val="24"/>
        </w:rPr>
        <w:t xml:space="preserve">. </w:t>
      </w:r>
      <w:r w:rsidR="6538881B" w:rsidRPr="02DB14DE">
        <w:rPr>
          <w:rFonts w:ascii="Calibri" w:eastAsia="Calibri" w:hAnsi="Calibri" w:cs="Calibri"/>
          <w:sz w:val="24"/>
          <w:szCs w:val="24"/>
        </w:rPr>
        <w:t>As resources are diverted to managing COVID-19 outbreaks, collecting infection prevention data may be challenging for most health care facilities. Direct observations of hand hygiene compliance may also be compromised (Moore et al., 2020).</w:t>
      </w:r>
      <w:r w:rsidR="0A3917D9" w:rsidRPr="02DB14DE">
        <w:rPr>
          <w:rFonts w:ascii="Calibri" w:eastAsia="Calibri" w:hAnsi="Calibri" w:cs="Calibri"/>
          <w:sz w:val="24"/>
          <w:szCs w:val="24"/>
        </w:rPr>
        <w:t xml:space="preserve"> Carley et al. (2020) proposed that traditional models of practice change and knowledge translation were threatened by the rapid pace of the pandemic in 2020.</w:t>
      </w:r>
      <w:r w:rsidR="58180899" w:rsidRPr="02DB14DE">
        <w:rPr>
          <w:rFonts w:ascii="Calibri" w:eastAsia="Calibri" w:hAnsi="Calibri" w:cs="Calibri"/>
          <w:sz w:val="24"/>
          <w:szCs w:val="24"/>
        </w:rPr>
        <w:t xml:space="preserve"> However, governments can deploy handwashing stations and supplies in public settings rapidly during times of crisis </w:t>
      </w:r>
      <w:proofErr w:type="gramStart"/>
      <w:r w:rsidR="58180899" w:rsidRPr="02DB14DE">
        <w:rPr>
          <w:rFonts w:ascii="Calibri" w:eastAsia="Calibri" w:hAnsi="Calibri" w:cs="Calibri"/>
          <w:sz w:val="24"/>
          <w:szCs w:val="24"/>
        </w:rPr>
        <w:t>in order to</w:t>
      </w:r>
      <w:proofErr w:type="gramEnd"/>
      <w:r w:rsidR="58180899" w:rsidRPr="02DB14DE">
        <w:rPr>
          <w:rFonts w:ascii="Calibri" w:eastAsia="Calibri" w:hAnsi="Calibri" w:cs="Calibri"/>
          <w:sz w:val="24"/>
          <w:szCs w:val="24"/>
        </w:rPr>
        <w:t xml:space="preserve"> control disease spread (</w:t>
      </w:r>
      <w:proofErr w:type="spellStart"/>
      <w:r w:rsidR="58180899" w:rsidRPr="02DB14DE">
        <w:rPr>
          <w:rFonts w:ascii="Calibri" w:eastAsia="Calibri" w:hAnsi="Calibri" w:cs="Calibri"/>
          <w:sz w:val="24"/>
          <w:szCs w:val="24"/>
        </w:rPr>
        <w:t>Palomares</w:t>
      </w:r>
      <w:proofErr w:type="spellEnd"/>
      <w:r w:rsidR="58180899" w:rsidRPr="02DB14DE">
        <w:rPr>
          <w:rFonts w:ascii="Calibri" w:eastAsia="Calibri" w:hAnsi="Calibri" w:cs="Calibri"/>
          <w:sz w:val="24"/>
          <w:szCs w:val="24"/>
        </w:rPr>
        <w:t>, 2022).</w:t>
      </w:r>
      <w:r w:rsidR="6F7DA74D" w:rsidRPr="02DB14DE">
        <w:rPr>
          <w:rFonts w:ascii="Calibri" w:eastAsia="Calibri" w:hAnsi="Calibri" w:cs="Calibri"/>
          <w:sz w:val="24"/>
          <w:szCs w:val="24"/>
        </w:rPr>
        <w:t xml:space="preserve"> Moreover, education and information on handwashing has been focused both on people working within the health sector and on the </w:t>
      </w:r>
      <w:proofErr w:type="gramStart"/>
      <w:r w:rsidR="6F7DA74D" w:rsidRPr="02DB14DE">
        <w:rPr>
          <w:rFonts w:ascii="Calibri" w:eastAsia="Calibri" w:hAnsi="Calibri" w:cs="Calibri"/>
          <w:sz w:val="24"/>
          <w:szCs w:val="24"/>
        </w:rPr>
        <w:t>general public</w:t>
      </w:r>
      <w:proofErr w:type="gramEnd"/>
      <w:r w:rsidR="6F7DA74D" w:rsidRPr="02DB14DE">
        <w:rPr>
          <w:rFonts w:ascii="Calibri" w:eastAsia="Calibri" w:hAnsi="Calibri" w:cs="Calibri"/>
          <w:sz w:val="24"/>
          <w:szCs w:val="24"/>
        </w:rPr>
        <w:t>. Public health messages have proliferated about the importance of handwashing and how to do it correctly (</w:t>
      </w:r>
      <w:proofErr w:type="spellStart"/>
      <w:r w:rsidR="6F7DA74D" w:rsidRPr="02DB14DE">
        <w:rPr>
          <w:rFonts w:ascii="Calibri" w:eastAsia="Calibri" w:hAnsi="Calibri" w:cs="Calibri"/>
          <w:sz w:val="24"/>
          <w:szCs w:val="24"/>
        </w:rPr>
        <w:t>Alzyood</w:t>
      </w:r>
      <w:proofErr w:type="spellEnd"/>
      <w:r w:rsidR="6F7DA74D" w:rsidRPr="02DB14DE">
        <w:rPr>
          <w:rFonts w:ascii="Calibri" w:eastAsia="Calibri" w:hAnsi="Calibri" w:cs="Calibri"/>
          <w:sz w:val="24"/>
          <w:szCs w:val="24"/>
        </w:rPr>
        <w:t xml:space="preserve"> et al., 2020).</w:t>
      </w:r>
      <w:r w:rsidR="0505BEAA" w:rsidRPr="02DB14DE">
        <w:rPr>
          <w:rFonts w:ascii="Calibri" w:eastAsia="Calibri" w:hAnsi="Calibri" w:cs="Calibri"/>
          <w:sz w:val="24"/>
          <w:szCs w:val="24"/>
        </w:rPr>
        <w:t xml:space="preserve"> </w:t>
      </w:r>
      <w:r w:rsidR="0DFB5E38" w:rsidRPr="02DB14DE">
        <w:rPr>
          <w:rFonts w:ascii="Calibri" w:eastAsia="Calibri" w:hAnsi="Calibri" w:cs="Calibri"/>
          <w:sz w:val="24"/>
          <w:szCs w:val="24"/>
        </w:rPr>
        <w:t>T</w:t>
      </w:r>
      <w:r w:rsidR="683A470F" w:rsidRPr="02DB14DE">
        <w:rPr>
          <w:rFonts w:ascii="Calibri" w:eastAsia="Calibri" w:hAnsi="Calibri" w:cs="Calibri"/>
          <w:sz w:val="24"/>
          <w:szCs w:val="24"/>
        </w:rPr>
        <w:t>he evidence, however, indicates that handwashing among healthcare workers (HCW) was still an area for improvement many years before the epidemic (</w:t>
      </w:r>
      <w:proofErr w:type="spellStart"/>
      <w:r w:rsidR="683A470F" w:rsidRPr="02DB14DE">
        <w:rPr>
          <w:rFonts w:ascii="Calibri" w:eastAsia="Calibri" w:hAnsi="Calibri" w:cs="Calibri"/>
          <w:sz w:val="24"/>
          <w:szCs w:val="24"/>
        </w:rPr>
        <w:t>Centers</w:t>
      </w:r>
      <w:proofErr w:type="spellEnd"/>
      <w:r w:rsidR="683A470F" w:rsidRPr="02DB14DE">
        <w:rPr>
          <w:rFonts w:ascii="Calibri" w:eastAsia="Calibri" w:hAnsi="Calibri" w:cs="Calibri"/>
          <w:sz w:val="24"/>
          <w:szCs w:val="24"/>
        </w:rPr>
        <w:t xml:space="preserve"> for Disease Control and Prevention</w:t>
      </w:r>
      <w:r w:rsidR="5A2BD41B" w:rsidRPr="02DB14DE">
        <w:rPr>
          <w:rFonts w:ascii="Calibri" w:eastAsia="Calibri" w:hAnsi="Calibri" w:cs="Calibri"/>
          <w:sz w:val="24"/>
          <w:szCs w:val="24"/>
        </w:rPr>
        <w:t xml:space="preserve"> (CDC)</w:t>
      </w:r>
      <w:r w:rsidR="683A470F" w:rsidRPr="02DB14DE">
        <w:rPr>
          <w:rFonts w:ascii="Calibri" w:eastAsia="Calibri" w:hAnsi="Calibri" w:cs="Calibri"/>
          <w:sz w:val="24"/>
          <w:szCs w:val="24"/>
        </w:rPr>
        <w:t>, 2023).</w:t>
      </w:r>
      <w:r w:rsidR="6D4DD0D0" w:rsidRPr="02DB14DE">
        <w:rPr>
          <w:rFonts w:ascii="Calibri" w:eastAsia="Calibri" w:hAnsi="Calibri" w:cs="Calibri"/>
          <w:sz w:val="24"/>
          <w:szCs w:val="24"/>
        </w:rPr>
        <w:t xml:space="preserve"> </w:t>
      </w:r>
      <w:r w:rsidR="551409FC" w:rsidRPr="02DB14DE">
        <w:rPr>
          <w:rFonts w:ascii="Calibri" w:eastAsia="Calibri" w:hAnsi="Calibri" w:cs="Calibri"/>
          <w:sz w:val="24"/>
          <w:szCs w:val="24"/>
        </w:rPr>
        <w:t xml:space="preserve">For further improvement, NHS </w:t>
      </w:r>
      <w:r w:rsidR="0BD1E9CC" w:rsidRPr="02DB14DE">
        <w:rPr>
          <w:rFonts w:ascii="Calibri" w:eastAsia="Calibri" w:hAnsi="Calibri" w:cs="Calibri"/>
          <w:sz w:val="24"/>
          <w:szCs w:val="24"/>
        </w:rPr>
        <w:t>England</w:t>
      </w:r>
      <w:r w:rsidR="551409FC" w:rsidRPr="02DB14DE">
        <w:rPr>
          <w:rFonts w:ascii="Calibri" w:eastAsia="Calibri" w:hAnsi="Calibri" w:cs="Calibri"/>
          <w:sz w:val="24"/>
          <w:szCs w:val="24"/>
        </w:rPr>
        <w:t xml:space="preserve"> (2020) </w:t>
      </w:r>
      <w:r w:rsidR="4344516C" w:rsidRPr="02DB14DE">
        <w:rPr>
          <w:rFonts w:ascii="Calibri" w:eastAsia="Calibri" w:hAnsi="Calibri" w:cs="Calibri"/>
          <w:sz w:val="24"/>
          <w:szCs w:val="24"/>
        </w:rPr>
        <w:t>recommends</w:t>
      </w:r>
      <w:r w:rsidR="551409FC" w:rsidRPr="02DB14DE">
        <w:rPr>
          <w:rFonts w:ascii="Calibri" w:eastAsia="Calibri" w:hAnsi="Calibri" w:cs="Calibri"/>
          <w:sz w:val="24"/>
          <w:szCs w:val="24"/>
        </w:rPr>
        <w:t xml:space="preserve"> that This practice could be improved by carefully considering how and which evidence is communicated.</w:t>
      </w:r>
      <w:r w:rsidR="73C4E4FC" w:rsidRPr="02DB14DE">
        <w:rPr>
          <w:rFonts w:ascii="Calibri" w:eastAsia="Calibri" w:hAnsi="Calibri" w:cs="Calibri"/>
          <w:sz w:val="24"/>
          <w:szCs w:val="24"/>
        </w:rPr>
        <w:t xml:space="preserve"> </w:t>
      </w:r>
      <w:r w:rsidR="551409FC" w:rsidRPr="02DB14DE">
        <w:rPr>
          <w:rFonts w:ascii="Calibri" w:eastAsia="Calibri" w:hAnsi="Calibri" w:cs="Calibri"/>
          <w:sz w:val="24"/>
          <w:szCs w:val="24"/>
        </w:rPr>
        <w:lastRenderedPageBreak/>
        <w:t>Providing evidence-based services requires constant comparison of new evidence with existing policy and practice knowledge in the workplace, as well as discussion about the merits and effectiveness of changing practice.</w:t>
      </w:r>
      <w:r w:rsidR="38C871D9" w:rsidRPr="02DB14DE">
        <w:rPr>
          <w:rFonts w:ascii="Calibri" w:eastAsia="Calibri" w:hAnsi="Calibri" w:cs="Calibri"/>
          <w:sz w:val="24"/>
          <w:szCs w:val="24"/>
        </w:rPr>
        <w:t xml:space="preserve"> This would enable services to remain up-to-date and responsive to new evidence and patient needs. Staff should be enabled to keep up with the latest evidence and use it to inform their practice.</w:t>
      </w:r>
      <w:r w:rsidR="181FC0AE" w:rsidRPr="02DB14DE">
        <w:rPr>
          <w:rFonts w:ascii="Calibri" w:eastAsia="Calibri" w:hAnsi="Calibri" w:cs="Calibri"/>
          <w:sz w:val="24"/>
          <w:szCs w:val="24"/>
        </w:rPr>
        <w:t xml:space="preserve"> However, this would also require a lot of time and resources to keep up with the latest evidence and to constantly compare it to existing knowledge and practice. This might not be feasible for all services, especially those with already limited resources.</w:t>
      </w:r>
      <w:r w:rsidR="0E61DFC6" w:rsidRPr="02DB14DE">
        <w:rPr>
          <w:rFonts w:ascii="Calibri" w:eastAsia="Calibri" w:hAnsi="Calibri" w:cs="Calibri"/>
          <w:sz w:val="24"/>
          <w:szCs w:val="24"/>
        </w:rPr>
        <w:t xml:space="preserve"> Compared with other approaches to care, EBP-based decisions are superior. There is concern that positivistic health care approaches ignore people's preferences, internal resources, and understandings of health and wellbeing. Evidence may be in multiple forms, according to some (Nolan and Bradley, 2008). </w:t>
      </w:r>
      <w:r w:rsidR="0F1CB5D5" w:rsidRPr="02DB14DE">
        <w:rPr>
          <w:rFonts w:ascii="Calibri" w:eastAsia="Calibri" w:hAnsi="Calibri" w:cs="Calibri"/>
          <w:sz w:val="24"/>
          <w:szCs w:val="24"/>
        </w:rPr>
        <w:t>The next section of the report will conclude the findings in this study.</w:t>
      </w:r>
    </w:p>
    <w:p w14:paraId="2EFE14A7" w14:textId="3DA2505F" w:rsidR="02DB14DE" w:rsidRDefault="02DB14DE" w:rsidP="02DB14DE">
      <w:pPr>
        <w:spacing w:before="240" w:after="240"/>
        <w:rPr>
          <w:rFonts w:ascii="Calibri" w:eastAsia="Calibri" w:hAnsi="Calibri" w:cs="Calibri"/>
          <w:sz w:val="24"/>
          <w:szCs w:val="24"/>
        </w:rPr>
      </w:pPr>
    </w:p>
    <w:p w14:paraId="4C0088D3" w14:textId="109C22A4" w:rsidR="02DB14DE" w:rsidRDefault="02DB14DE" w:rsidP="02DB14DE">
      <w:pPr>
        <w:spacing w:before="240" w:after="240"/>
        <w:rPr>
          <w:rFonts w:ascii="Calibri" w:eastAsia="Calibri" w:hAnsi="Calibri" w:cs="Calibri"/>
          <w:sz w:val="24"/>
          <w:szCs w:val="24"/>
        </w:rPr>
      </w:pPr>
    </w:p>
    <w:p w14:paraId="1025DB7D" w14:textId="46A47E31" w:rsidR="02DB14DE" w:rsidRDefault="02DB14DE" w:rsidP="02DB14DE">
      <w:pPr>
        <w:spacing w:before="240" w:after="240"/>
        <w:rPr>
          <w:rFonts w:ascii="Calibri" w:eastAsia="Calibri" w:hAnsi="Calibri" w:cs="Calibri"/>
          <w:sz w:val="24"/>
          <w:szCs w:val="24"/>
        </w:rPr>
      </w:pPr>
    </w:p>
    <w:p w14:paraId="0D5B5CB1" w14:textId="7BBCE431" w:rsidR="02DB14DE" w:rsidRDefault="02DB14DE" w:rsidP="02DB14DE">
      <w:pPr>
        <w:spacing w:before="240" w:after="240"/>
        <w:rPr>
          <w:rFonts w:ascii="Calibri" w:eastAsia="Calibri" w:hAnsi="Calibri" w:cs="Calibri"/>
          <w:sz w:val="24"/>
          <w:szCs w:val="24"/>
        </w:rPr>
      </w:pPr>
    </w:p>
    <w:p w14:paraId="083E6F12" w14:textId="085EEB60" w:rsidR="02DB14DE" w:rsidRDefault="02DB14DE" w:rsidP="02DB14DE">
      <w:pPr>
        <w:spacing w:before="240" w:after="240" w:line="360" w:lineRule="auto"/>
        <w:rPr>
          <w:rFonts w:ascii="Calibri" w:eastAsia="Calibri" w:hAnsi="Calibri" w:cs="Calibri"/>
          <w:sz w:val="24"/>
          <w:szCs w:val="24"/>
        </w:rPr>
      </w:pPr>
    </w:p>
    <w:p w14:paraId="08669D6D" w14:textId="7129E6ED" w:rsidR="02DB14DE" w:rsidRDefault="02DB14DE" w:rsidP="02DB14DE">
      <w:pPr>
        <w:spacing w:before="240" w:after="240" w:line="360" w:lineRule="auto"/>
        <w:rPr>
          <w:rFonts w:ascii="Calibri" w:eastAsia="Calibri" w:hAnsi="Calibri" w:cs="Calibri"/>
          <w:sz w:val="24"/>
          <w:szCs w:val="24"/>
        </w:rPr>
      </w:pPr>
    </w:p>
    <w:p w14:paraId="718C304B" w14:textId="2A1D79F4" w:rsidR="02DB14DE" w:rsidRDefault="02DB14DE" w:rsidP="02DB14DE">
      <w:pPr>
        <w:spacing w:before="240" w:after="240"/>
        <w:rPr>
          <w:rFonts w:ascii="Calibri" w:eastAsia="Calibri" w:hAnsi="Calibri" w:cs="Calibri"/>
        </w:rPr>
      </w:pPr>
    </w:p>
    <w:p w14:paraId="3B1A23E6" w14:textId="248D999B" w:rsidR="02DB14DE" w:rsidRDefault="02DB14DE" w:rsidP="02DB14DE">
      <w:pPr>
        <w:spacing w:before="240" w:after="240"/>
        <w:rPr>
          <w:rFonts w:ascii="Calibri" w:eastAsia="Calibri" w:hAnsi="Calibri" w:cs="Calibri"/>
        </w:rPr>
      </w:pPr>
    </w:p>
    <w:p w14:paraId="2205CF63" w14:textId="7371546A" w:rsidR="02DB14DE" w:rsidRDefault="02DB14DE" w:rsidP="02DB14DE">
      <w:pPr>
        <w:spacing w:before="240" w:after="240"/>
        <w:rPr>
          <w:rFonts w:ascii="Calibri" w:eastAsia="Calibri" w:hAnsi="Calibri" w:cs="Calibri"/>
        </w:rPr>
      </w:pPr>
    </w:p>
    <w:p w14:paraId="26502319" w14:textId="40FC2643" w:rsidR="25019EBB" w:rsidRDefault="25019EBB" w:rsidP="25019EBB">
      <w:pPr>
        <w:spacing w:before="240" w:after="240" w:line="360" w:lineRule="auto"/>
        <w:rPr>
          <w:rFonts w:ascii="Calibri" w:eastAsia="Calibri" w:hAnsi="Calibri" w:cs="Calibri"/>
          <w:sz w:val="24"/>
          <w:szCs w:val="24"/>
        </w:rPr>
      </w:pPr>
    </w:p>
    <w:p w14:paraId="6E119581" w14:textId="5F2A247A" w:rsidR="0EBE005E" w:rsidRDefault="0EBE005E" w:rsidP="25019EBB">
      <w:pPr>
        <w:spacing w:before="240" w:after="240" w:line="360" w:lineRule="auto"/>
        <w:rPr>
          <w:rFonts w:ascii="Calibri" w:eastAsia="Calibri" w:hAnsi="Calibri" w:cs="Calibri"/>
          <w:sz w:val="24"/>
          <w:szCs w:val="24"/>
        </w:rPr>
      </w:pPr>
    </w:p>
    <w:p w14:paraId="46D4B08C" w14:textId="77777777" w:rsidR="00FB395E" w:rsidRDefault="00FB395E" w:rsidP="02DB14DE">
      <w:pPr>
        <w:spacing w:before="240" w:after="240" w:line="360" w:lineRule="auto"/>
        <w:rPr>
          <w:rFonts w:ascii="Calibri" w:eastAsia="Calibri" w:hAnsi="Calibri" w:cs="Calibri"/>
          <w:sz w:val="24"/>
          <w:szCs w:val="24"/>
        </w:rPr>
      </w:pPr>
    </w:p>
    <w:p w14:paraId="70984486" w14:textId="77777777" w:rsidR="00FB395E" w:rsidRDefault="00FB395E" w:rsidP="02DB14DE">
      <w:pPr>
        <w:spacing w:before="240" w:after="240" w:line="360" w:lineRule="auto"/>
        <w:rPr>
          <w:rFonts w:ascii="Calibri" w:eastAsia="Calibri" w:hAnsi="Calibri" w:cs="Calibri"/>
          <w:sz w:val="24"/>
          <w:szCs w:val="24"/>
        </w:rPr>
      </w:pPr>
    </w:p>
    <w:p w14:paraId="08E637B3" w14:textId="6885D063" w:rsidR="5BED2E88" w:rsidRDefault="5BED2E88" w:rsidP="02DB14DE">
      <w:pPr>
        <w:spacing w:before="240" w:after="240" w:line="360" w:lineRule="auto"/>
        <w:rPr>
          <w:rFonts w:ascii="Calibri" w:eastAsia="Calibri" w:hAnsi="Calibri" w:cs="Calibri"/>
          <w:sz w:val="24"/>
          <w:szCs w:val="24"/>
        </w:rPr>
      </w:pPr>
      <w:r w:rsidRPr="02DB14DE">
        <w:rPr>
          <w:rFonts w:ascii="Calibri" w:eastAsia="Calibri" w:hAnsi="Calibri" w:cs="Calibri"/>
          <w:sz w:val="24"/>
          <w:szCs w:val="24"/>
        </w:rPr>
        <w:lastRenderedPageBreak/>
        <w:t xml:space="preserve">The results of this study suggest that evidence-based practice should be implemented in all areas of healthcare. It is important for nurses to be aware of the evidence and use it to inform their practice </w:t>
      </w:r>
      <w:r w:rsidR="787E044F" w:rsidRPr="02DB14DE">
        <w:rPr>
          <w:rFonts w:ascii="Calibri" w:eastAsia="Calibri" w:hAnsi="Calibri" w:cs="Calibri"/>
          <w:sz w:val="24"/>
          <w:szCs w:val="24"/>
        </w:rPr>
        <w:t>to</w:t>
      </w:r>
      <w:r w:rsidRPr="02DB14DE">
        <w:rPr>
          <w:rFonts w:ascii="Calibri" w:eastAsia="Calibri" w:hAnsi="Calibri" w:cs="Calibri"/>
          <w:sz w:val="24"/>
          <w:szCs w:val="24"/>
        </w:rPr>
        <w:t xml:space="preserve"> provide the best possible care. Additionally, research in this area should be ongoing to ensure that evidence-based practice remains current and effective. Therefore, nurses must remain up to date on current research and apply the evidence when making patient care decisions to ensure the best outcomes. Considering the study's findings, COVID 19 has changed the way healthcare professionals wash their hands. This considers how government implications have changed hand hygiene guidelines. Nurses and other healthcare professionals must be more vigilant in following these guidelines to protect themselves and their patients. It has been concluded however that evidence-based practice has negatives, and it is not always the best way to go forward. A shift in thinking may be needed to allow for more innovative solutions. Practical experience and knowledge should be </w:t>
      </w:r>
      <w:r w:rsidR="6B10408F" w:rsidRPr="02DB14DE">
        <w:rPr>
          <w:rFonts w:ascii="Calibri" w:eastAsia="Calibri" w:hAnsi="Calibri" w:cs="Calibri"/>
          <w:sz w:val="24"/>
          <w:szCs w:val="24"/>
        </w:rPr>
        <w:t>considered</w:t>
      </w:r>
      <w:r w:rsidRPr="02DB14DE">
        <w:rPr>
          <w:rFonts w:ascii="Calibri" w:eastAsia="Calibri" w:hAnsi="Calibri" w:cs="Calibri"/>
          <w:sz w:val="24"/>
          <w:szCs w:val="24"/>
        </w:rPr>
        <w:t xml:space="preserve"> when making decisions.</w:t>
      </w:r>
      <w:r w:rsidR="3E77023B" w:rsidRPr="02DB14DE">
        <w:rPr>
          <w:rFonts w:ascii="Calibri" w:eastAsia="Calibri" w:hAnsi="Calibri" w:cs="Calibri"/>
          <w:sz w:val="24"/>
          <w:szCs w:val="24"/>
        </w:rPr>
        <w:t xml:space="preserve"> The following section will include recommendations taken from the findings of this report</w:t>
      </w:r>
      <w:r w:rsidR="6CCF4DBE" w:rsidRPr="02DB14DE">
        <w:rPr>
          <w:rFonts w:ascii="Calibri" w:eastAsia="Calibri" w:hAnsi="Calibri" w:cs="Calibri"/>
          <w:sz w:val="24"/>
          <w:szCs w:val="24"/>
        </w:rPr>
        <w:t xml:space="preserve">. </w:t>
      </w:r>
      <w:r w:rsidR="3E77023B" w:rsidRPr="02DB14DE">
        <w:rPr>
          <w:rFonts w:ascii="Calibri" w:eastAsia="Calibri" w:hAnsi="Calibri" w:cs="Calibri"/>
          <w:sz w:val="24"/>
          <w:szCs w:val="24"/>
        </w:rPr>
        <w:t xml:space="preserve"> </w:t>
      </w:r>
    </w:p>
    <w:p w14:paraId="7D3A0806" w14:textId="5B0281EA" w:rsidR="02DB14DE" w:rsidRDefault="02DB14DE" w:rsidP="02DB14DE"/>
    <w:p w14:paraId="4865771E" w14:textId="1C609D4B" w:rsidR="02DB14DE" w:rsidRDefault="02DB14DE" w:rsidP="02DB14DE"/>
    <w:p w14:paraId="60E0EB35" w14:textId="23D59F68" w:rsidR="02DB14DE" w:rsidRDefault="02DB14DE" w:rsidP="02DB14DE"/>
    <w:p w14:paraId="34C584B7" w14:textId="7AE3FE21" w:rsidR="02DB14DE" w:rsidRDefault="02DB14DE" w:rsidP="02DB14DE"/>
    <w:p w14:paraId="112D5230" w14:textId="6D121ECF" w:rsidR="02DB14DE" w:rsidRDefault="02DB14DE" w:rsidP="02DB14DE"/>
    <w:p w14:paraId="4D4DD31E" w14:textId="4DB0BD02" w:rsidR="02DB14DE" w:rsidRDefault="02DB14DE" w:rsidP="02DB14DE"/>
    <w:p w14:paraId="0539C1B0" w14:textId="2606153E" w:rsidR="02DB14DE" w:rsidRDefault="02DB14DE" w:rsidP="02DB14DE"/>
    <w:p w14:paraId="566F569D" w14:textId="2938F2D3" w:rsidR="02DB14DE" w:rsidRDefault="02DB14DE" w:rsidP="02DB14DE"/>
    <w:p w14:paraId="0B784558" w14:textId="74D040D3" w:rsidR="02DB14DE" w:rsidRDefault="02DB14DE" w:rsidP="02DB14DE"/>
    <w:p w14:paraId="31C63185" w14:textId="23F18457" w:rsidR="02DB14DE" w:rsidRDefault="02DB14DE" w:rsidP="02DB14DE"/>
    <w:p w14:paraId="0E2AE07C" w14:textId="22BD110B" w:rsidR="02DB14DE" w:rsidRDefault="02DB14DE" w:rsidP="02DB14DE"/>
    <w:p w14:paraId="16F175F4" w14:textId="1B795077" w:rsidR="02DB14DE" w:rsidRDefault="02DB14DE" w:rsidP="02DB14DE"/>
    <w:p w14:paraId="2EA37BBE" w14:textId="1A79045F" w:rsidR="02DB14DE" w:rsidRDefault="02DB14DE" w:rsidP="02DB14DE"/>
    <w:p w14:paraId="7E816EFD" w14:textId="13891DE6" w:rsidR="02DB14DE" w:rsidRDefault="02DB14DE" w:rsidP="02DB14DE"/>
    <w:p w14:paraId="6E268752" w14:textId="639FD94A" w:rsidR="02DB14DE" w:rsidRDefault="02DB14DE" w:rsidP="02DB14DE"/>
    <w:p w14:paraId="1C0F2D10" w14:textId="7F4FB371" w:rsidR="02DB14DE" w:rsidRDefault="02DB14DE" w:rsidP="02DB14DE"/>
    <w:p w14:paraId="487CBEA6" w14:textId="687FCACD" w:rsidR="02DB14DE" w:rsidRDefault="02DB14DE" w:rsidP="02DB14DE"/>
    <w:p w14:paraId="1015DF38" w14:textId="6A792C81" w:rsidR="4C21C057" w:rsidRDefault="4C21C057" w:rsidP="02DB14DE">
      <w:pPr>
        <w:spacing w:line="360" w:lineRule="auto"/>
        <w:rPr>
          <w:sz w:val="24"/>
          <w:szCs w:val="24"/>
        </w:rPr>
      </w:pPr>
      <w:r w:rsidRPr="02DB14DE">
        <w:rPr>
          <w:sz w:val="24"/>
          <w:szCs w:val="24"/>
        </w:rPr>
        <w:lastRenderedPageBreak/>
        <w:t xml:space="preserve">This section will therefore demonstrate </w:t>
      </w:r>
      <w:r w:rsidR="48E75898" w:rsidRPr="02DB14DE">
        <w:rPr>
          <w:sz w:val="24"/>
          <w:szCs w:val="24"/>
        </w:rPr>
        <w:t>recommendations</w:t>
      </w:r>
      <w:r w:rsidRPr="02DB14DE">
        <w:rPr>
          <w:sz w:val="24"/>
          <w:szCs w:val="24"/>
        </w:rPr>
        <w:t xml:space="preserve"> taken from the context </w:t>
      </w:r>
      <w:r w:rsidR="1CF20471" w:rsidRPr="02DB14DE">
        <w:rPr>
          <w:sz w:val="24"/>
          <w:szCs w:val="24"/>
        </w:rPr>
        <w:t>of the study</w:t>
      </w:r>
      <w:r w:rsidR="078A7C8D" w:rsidRPr="02DB14DE">
        <w:rPr>
          <w:sz w:val="24"/>
          <w:szCs w:val="24"/>
        </w:rPr>
        <w:t>. Firstly, in terms of education:</w:t>
      </w:r>
    </w:p>
    <w:p w14:paraId="2270CC4C" w14:textId="6C9D3145" w:rsidR="0024D6BF" w:rsidRDefault="0024D6BF" w:rsidP="02DB14DE">
      <w:pPr>
        <w:pStyle w:val="ListParagraph"/>
        <w:numPr>
          <w:ilvl w:val="0"/>
          <w:numId w:val="5"/>
        </w:numPr>
        <w:spacing w:line="360" w:lineRule="auto"/>
        <w:rPr>
          <w:sz w:val="24"/>
          <w:szCs w:val="24"/>
        </w:rPr>
      </w:pPr>
      <w:r w:rsidRPr="02DB14DE">
        <w:rPr>
          <w:sz w:val="24"/>
          <w:szCs w:val="24"/>
        </w:rPr>
        <w:t xml:space="preserve">Students of nursing and other medical professionals should be made aware of the importance of evidence-based practice. This could include learning how to access, interpret, and apply research to clinical situations. In addition to the most up-to-date hand hygiene techniques </w:t>
      </w:r>
      <w:r w:rsidR="788CF1A5" w:rsidRPr="02DB14DE">
        <w:rPr>
          <w:sz w:val="24"/>
          <w:szCs w:val="24"/>
        </w:rPr>
        <w:t>considering</w:t>
      </w:r>
      <w:r w:rsidRPr="02DB14DE">
        <w:rPr>
          <w:sz w:val="24"/>
          <w:szCs w:val="24"/>
        </w:rPr>
        <w:t xml:space="preserve"> the post-covid 19 </w:t>
      </w:r>
      <w:proofErr w:type="gramStart"/>
      <w:r w:rsidRPr="02DB14DE">
        <w:rPr>
          <w:sz w:val="24"/>
          <w:szCs w:val="24"/>
        </w:rPr>
        <w:t>pandemic</w:t>
      </w:r>
      <w:proofErr w:type="gramEnd"/>
    </w:p>
    <w:p w14:paraId="286D2244" w14:textId="5CD6A9EF" w:rsidR="0024D6BF" w:rsidRDefault="0024D6BF" w:rsidP="02DB14DE">
      <w:pPr>
        <w:spacing w:line="360" w:lineRule="auto"/>
        <w:rPr>
          <w:sz w:val="24"/>
          <w:szCs w:val="24"/>
        </w:rPr>
      </w:pPr>
      <w:r w:rsidRPr="02DB14DE">
        <w:rPr>
          <w:sz w:val="24"/>
          <w:szCs w:val="24"/>
        </w:rPr>
        <w:t>Secondly, in terms of work policy:</w:t>
      </w:r>
    </w:p>
    <w:p w14:paraId="2F7E4AD5" w14:textId="559BBAE5" w:rsidR="64120F08" w:rsidRDefault="64120F08" w:rsidP="02DB14DE">
      <w:pPr>
        <w:pStyle w:val="ListParagraph"/>
        <w:numPr>
          <w:ilvl w:val="0"/>
          <w:numId w:val="3"/>
        </w:numPr>
        <w:spacing w:line="360" w:lineRule="auto"/>
        <w:rPr>
          <w:sz w:val="24"/>
          <w:szCs w:val="24"/>
        </w:rPr>
      </w:pPr>
      <w:r w:rsidRPr="02DB14DE">
        <w:rPr>
          <w:sz w:val="24"/>
          <w:szCs w:val="24"/>
        </w:rPr>
        <w:t xml:space="preserve">Teams should meet regularly, employees should receive the most up-to-date hand hygiene policies, and employee participation in team meetings should be encouraged by managers. Employees are also encouraged to voice concerns about hand hygiene and infection control in the </w:t>
      </w:r>
      <w:proofErr w:type="gramStart"/>
      <w:r w:rsidRPr="02DB14DE">
        <w:rPr>
          <w:sz w:val="24"/>
          <w:szCs w:val="24"/>
        </w:rPr>
        <w:t>workplace</w:t>
      </w:r>
      <w:proofErr w:type="gramEnd"/>
    </w:p>
    <w:p w14:paraId="79D131CF" w14:textId="50B952E6" w:rsidR="64120F08" w:rsidRDefault="64120F08" w:rsidP="02DB14DE">
      <w:pPr>
        <w:spacing w:line="360" w:lineRule="auto"/>
        <w:rPr>
          <w:sz w:val="24"/>
          <w:szCs w:val="24"/>
        </w:rPr>
      </w:pPr>
      <w:r w:rsidRPr="02DB14DE">
        <w:rPr>
          <w:sz w:val="24"/>
          <w:szCs w:val="24"/>
        </w:rPr>
        <w:t>Thirdly, in terms of training:</w:t>
      </w:r>
    </w:p>
    <w:p w14:paraId="709208ED" w14:textId="6483A83B" w:rsidR="38F6C7D7" w:rsidRDefault="38F6C7D7" w:rsidP="02DB14DE">
      <w:pPr>
        <w:pStyle w:val="ListParagraph"/>
        <w:numPr>
          <w:ilvl w:val="0"/>
          <w:numId w:val="2"/>
        </w:numPr>
        <w:spacing w:line="360" w:lineRule="auto"/>
        <w:rPr>
          <w:sz w:val="24"/>
          <w:szCs w:val="24"/>
        </w:rPr>
      </w:pPr>
      <w:r w:rsidRPr="02DB14DE">
        <w:rPr>
          <w:sz w:val="24"/>
          <w:szCs w:val="24"/>
        </w:rPr>
        <w:t>Employees should be encouraged to attend all hand hygiene and safety training available. And participate in training that is evidence-based. Managers should provide frequent feedback and recognize employees for their efforts in following hand hygiene procedures.</w:t>
      </w:r>
    </w:p>
    <w:p w14:paraId="6DFC2864" w14:textId="62CF8A9A" w:rsidR="38F6C7D7" w:rsidRDefault="38F6C7D7" w:rsidP="02DB14DE">
      <w:pPr>
        <w:spacing w:line="360" w:lineRule="auto"/>
        <w:rPr>
          <w:sz w:val="24"/>
          <w:szCs w:val="24"/>
        </w:rPr>
      </w:pPr>
      <w:r w:rsidRPr="02DB14DE">
        <w:rPr>
          <w:sz w:val="24"/>
          <w:szCs w:val="24"/>
        </w:rPr>
        <w:t>Lastly, in terms of government implication:</w:t>
      </w:r>
    </w:p>
    <w:p w14:paraId="619C588D" w14:textId="67D701CB" w:rsidR="2413CDCE" w:rsidRDefault="2413CDCE" w:rsidP="02DB14DE">
      <w:pPr>
        <w:pStyle w:val="ListParagraph"/>
        <w:numPr>
          <w:ilvl w:val="0"/>
          <w:numId w:val="1"/>
        </w:numPr>
        <w:spacing w:line="360" w:lineRule="auto"/>
        <w:rPr>
          <w:sz w:val="24"/>
          <w:szCs w:val="24"/>
        </w:rPr>
      </w:pPr>
      <w:r w:rsidRPr="02DB14DE">
        <w:rPr>
          <w:sz w:val="24"/>
          <w:szCs w:val="24"/>
        </w:rPr>
        <w:t xml:space="preserve">Provide healthcare settings with greater access to supplies of hand hygiene products. To monitor hand hygiene practices compliance and adjust them as needed. Provide educational resources to healthcare workers to help raise awareness of the importance of hand hygiene. Reinforce the need to practice hand hygiene by setting up protocols for regular monitoring and evaluation. Increase research efforts to understand the effectiveness of hand hygiene </w:t>
      </w:r>
      <w:proofErr w:type="gramStart"/>
      <w:r w:rsidRPr="02DB14DE">
        <w:rPr>
          <w:sz w:val="24"/>
          <w:szCs w:val="24"/>
        </w:rPr>
        <w:t>practices</w:t>
      </w:r>
      <w:proofErr w:type="gramEnd"/>
    </w:p>
    <w:p w14:paraId="31D8C5F7" w14:textId="60BC8DCF" w:rsidR="02DB14DE" w:rsidRDefault="02DB14DE" w:rsidP="02DB14DE">
      <w:pPr>
        <w:spacing w:line="360" w:lineRule="auto"/>
      </w:pPr>
    </w:p>
    <w:p w14:paraId="1D6F6FEC" w14:textId="0521A1C1" w:rsidR="02DB14DE" w:rsidRDefault="02DB14DE" w:rsidP="02DB14DE">
      <w:pPr>
        <w:spacing w:line="360" w:lineRule="auto"/>
      </w:pPr>
    </w:p>
    <w:p w14:paraId="21F05379" w14:textId="0E1555D0" w:rsidR="02DB14DE" w:rsidRDefault="02DB14DE" w:rsidP="02DB14DE">
      <w:pPr>
        <w:spacing w:line="360" w:lineRule="auto"/>
      </w:pPr>
    </w:p>
    <w:p w14:paraId="4C3E5999" w14:textId="4E452C68" w:rsidR="02DB14DE" w:rsidRDefault="02DB14DE" w:rsidP="02DB14DE">
      <w:pPr>
        <w:spacing w:line="360" w:lineRule="auto"/>
      </w:pPr>
    </w:p>
    <w:p w14:paraId="5EF1C8E4" w14:textId="69A51606" w:rsidR="02DB14DE" w:rsidRDefault="02DB14DE" w:rsidP="02DB14DE">
      <w:pPr>
        <w:spacing w:line="360" w:lineRule="auto"/>
      </w:pPr>
    </w:p>
    <w:p w14:paraId="042B22C4" w14:textId="4AD3274E" w:rsidR="11DA35CC" w:rsidRDefault="11DA35CC" w:rsidP="02DB14DE">
      <w:pPr>
        <w:spacing w:line="360" w:lineRule="auto"/>
        <w:rPr>
          <w:sz w:val="24"/>
          <w:szCs w:val="24"/>
        </w:rPr>
      </w:pPr>
      <w:r w:rsidRPr="02DB14DE">
        <w:rPr>
          <w:sz w:val="24"/>
          <w:szCs w:val="24"/>
        </w:rPr>
        <w:t>References</w:t>
      </w:r>
    </w:p>
    <w:p w14:paraId="250665A3" w14:textId="1BFB4E75" w:rsidR="15BAF8C0" w:rsidRDefault="15BAF8C0" w:rsidP="02DB14DE">
      <w:pPr>
        <w:spacing w:line="360" w:lineRule="auto"/>
        <w:ind w:left="567" w:hanging="567"/>
        <w:rPr>
          <w:rFonts w:ascii="Calibri" w:eastAsia="Calibri" w:hAnsi="Calibri" w:cs="Calibri"/>
          <w:color w:val="000000" w:themeColor="text1"/>
          <w:sz w:val="24"/>
          <w:szCs w:val="24"/>
        </w:rPr>
      </w:pPr>
      <w:r w:rsidRPr="02DB14DE">
        <w:rPr>
          <w:rFonts w:ascii="Calibri" w:eastAsia="Calibri" w:hAnsi="Calibri" w:cs="Calibri"/>
          <w:color w:val="000000" w:themeColor="text1"/>
          <w:sz w:val="24"/>
          <w:szCs w:val="24"/>
        </w:rPr>
        <w:t xml:space="preserve">Hughes, R. (2008) </w:t>
      </w:r>
      <w:r w:rsidRPr="02DB14DE">
        <w:rPr>
          <w:rFonts w:ascii="Calibri" w:eastAsia="Calibri" w:hAnsi="Calibri" w:cs="Calibri"/>
          <w:i/>
          <w:iCs/>
          <w:color w:val="000000" w:themeColor="text1"/>
          <w:sz w:val="24"/>
          <w:szCs w:val="24"/>
        </w:rPr>
        <w:t>Patient safety and quality an evidence-based handbook for Nurses</w:t>
      </w:r>
      <w:r w:rsidRPr="02DB14DE">
        <w:rPr>
          <w:rFonts w:ascii="Calibri" w:eastAsia="Calibri" w:hAnsi="Calibri" w:cs="Calibri"/>
          <w:color w:val="000000" w:themeColor="text1"/>
          <w:sz w:val="24"/>
          <w:szCs w:val="24"/>
        </w:rPr>
        <w:t>. Rockville, MD: Agency for Healthcare Research and Quality.</w:t>
      </w:r>
    </w:p>
    <w:p w14:paraId="62468B5E" w14:textId="4C7BC473" w:rsidR="15BAF8C0" w:rsidRDefault="15BAF8C0" w:rsidP="02DB14DE">
      <w:pPr>
        <w:spacing w:before="240" w:after="240" w:line="360" w:lineRule="auto"/>
        <w:ind w:left="567" w:hanging="567"/>
        <w:rPr>
          <w:rFonts w:ascii="Calibri" w:eastAsia="Calibri" w:hAnsi="Calibri" w:cs="Calibri"/>
          <w:sz w:val="24"/>
          <w:szCs w:val="24"/>
        </w:rPr>
      </w:pPr>
      <w:r w:rsidRPr="02DB14DE">
        <w:rPr>
          <w:rFonts w:ascii="Calibri" w:eastAsia="Calibri" w:hAnsi="Calibri" w:cs="Calibri"/>
          <w:sz w:val="24"/>
          <w:szCs w:val="24"/>
        </w:rPr>
        <w:t xml:space="preserve">NOLAN, P. and BRADLEY, E. (2008) ‘Evidence-based practice: Implications and concerns’, </w:t>
      </w:r>
      <w:r w:rsidRPr="02DB14DE">
        <w:rPr>
          <w:rFonts w:ascii="Calibri" w:eastAsia="Calibri" w:hAnsi="Calibri" w:cs="Calibri"/>
          <w:i/>
          <w:iCs/>
          <w:sz w:val="24"/>
          <w:szCs w:val="24"/>
        </w:rPr>
        <w:t>Journal of Nursing Management</w:t>
      </w:r>
      <w:r w:rsidRPr="02DB14DE">
        <w:rPr>
          <w:rFonts w:ascii="Calibri" w:eastAsia="Calibri" w:hAnsi="Calibri" w:cs="Calibri"/>
          <w:sz w:val="24"/>
          <w:szCs w:val="24"/>
        </w:rPr>
        <w:t>, 16(4), pp. 388–393. doi:10.1111/j.1365-2834.2008.</w:t>
      </w:r>
      <w:proofErr w:type="gramStart"/>
      <w:r w:rsidRPr="02DB14DE">
        <w:rPr>
          <w:rFonts w:ascii="Calibri" w:eastAsia="Calibri" w:hAnsi="Calibri" w:cs="Calibri"/>
          <w:sz w:val="24"/>
          <w:szCs w:val="24"/>
        </w:rPr>
        <w:t>00857.x.</w:t>
      </w:r>
      <w:proofErr w:type="gramEnd"/>
    </w:p>
    <w:p w14:paraId="1F52AA9F" w14:textId="689FF681"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World Health Organisation (2009) </w:t>
      </w:r>
      <w:r w:rsidRPr="02DB14DE">
        <w:rPr>
          <w:rFonts w:ascii="Calibri" w:eastAsia="Calibri" w:hAnsi="Calibri" w:cs="Calibri"/>
          <w:i/>
          <w:iCs/>
          <w:color w:val="000000" w:themeColor="text1"/>
          <w:sz w:val="24"/>
          <w:szCs w:val="24"/>
        </w:rPr>
        <w:t xml:space="preserve">Hand hygiene: Why, how &amp; </w:t>
      </w:r>
      <w:proofErr w:type="gramStart"/>
      <w:r w:rsidRPr="02DB14DE">
        <w:rPr>
          <w:rFonts w:ascii="Calibri" w:eastAsia="Calibri" w:hAnsi="Calibri" w:cs="Calibri"/>
          <w:i/>
          <w:iCs/>
          <w:color w:val="000000" w:themeColor="text1"/>
          <w:sz w:val="24"/>
          <w:szCs w:val="24"/>
        </w:rPr>
        <w:t>when?</w:t>
      </w:r>
      <w:r w:rsidRPr="02DB14DE">
        <w:rPr>
          <w:rFonts w:ascii="Calibri" w:eastAsia="Calibri" w:hAnsi="Calibri" w:cs="Calibri"/>
          <w:color w:val="000000" w:themeColor="text1"/>
          <w:sz w:val="24"/>
          <w:szCs w:val="24"/>
        </w:rPr>
        <w:t>.</w:t>
      </w:r>
      <w:proofErr w:type="gramEnd"/>
      <w:r w:rsidRPr="02DB14DE">
        <w:rPr>
          <w:rFonts w:ascii="Calibri" w:eastAsia="Calibri" w:hAnsi="Calibri" w:cs="Calibri"/>
          <w:color w:val="000000" w:themeColor="text1"/>
          <w:sz w:val="24"/>
          <w:szCs w:val="24"/>
        </w:rPr>
        <w:t xml:space="preserve"> Available at: </w:t>
      </w:r>
      <w:hyperlink r:id="rId7">
        <w:r w:rsidRPr="02DB14DE">
          <w:rPr>
            <w:rStyle w:val="Hyperlink"/>
            <w:rFonts w:ascii="Calibri" w:eastAsia="Calibri" w:hAnsi="Calibri" w:cs="Calibri"/>
            <w:sz w:val="24"/>
            <w:szCs w:val="24"/>
          </w:rPr>
          <w:t>https://www.who.int/publications/m/item/hand-hygiene-why-how-when</w:t>
        </w:r>
      </w:hyperlink>
      <w:r w:rsidRPr="02DB14DE">
        <w:rPr>
          <w:rFonts w:ascii="Calibri" w:eastAsia="Calibri" w:hAnsi="Calibri" w:cs="Calibri"/>
          <w:color w:val="000000" w:themeColor="text1"/>
          <w:sz w:val="24"/>
          <w:szCs w:val="24"/>
        </w:rPr>
        <w:t xml:space="preserve"> (Accessed: 25 July 2023).</w:t>
      </w:r>
    </w:p>
    <w:p w14:paraId="69FE2CD1" w14:textId="6D98039B"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Ilic, D. (2009) ‘Assessing competency in </w:t>
      </w:r>
      <w:proofErr w:type="gramStart"/>
      <w:r w:rsidRPr="02DB14DE">
        <w:rPr>
          <w:rFonts w:ascii="Calibri" w:eastAsia="Calibri" w:hAnsi="Calibri" w:cs="Calibri"/>
          <w:color w:val="000000" w:themeColor="text1"/>
          <w:sz w:val="24"/>
          <w:szCs w:val="24"/>
        </w:rPr>
        <w:t>evidence based</w:t>
      </w:r>
      <w:proofErr w:type="gramEnd"/>
      <w:r w:rsidRPr="02DB14DE">
        <w:rPr>
          <w:rFonts w:ascii="Calibri" w:eastAsia="Calibri" w:hAnsi="Calibri" w:cs="Calibri"/>
          <w:color w:val="000000" w:themeColor="text1"/>
          <w:sz w:val="24"/>
          <w:szCs w:val="24"/>
        </w:rPr>
        <w:t xml:space="preserve"> practice: Strengths and limitations of current tools in practice’, </w:t>
      </w:r>
      <w:r w:rsidRPr="02DB14DE">
        <w:rPr>
          <w:rFonts w:ascii="Calibri" w:eastAsia="Calibri" w:hAnsi="Calibri" w:cs="Calibri"/>
          <w:i/>
          <w:iCs/>
          <w:color w:val="000000" w:themeColor="text1"/>
          <w:sz w:val="24"/>
          <w:szCs w:val="24"/>
        </w:rPr>
        <w:t>BMC Medical Education</w:t>
      </w:r>
      <w:r w:rsidRPr="02DB14DE">
        <w:rPr>
          <w:rFonts w:ascii="Calibri" w:eastAsia="Calibri" w:hAnsi="Calibri" w:cs="Calibri"/>
          <w:color w:val="000000" w:themeColor="text1"/>
          <w:sz w:val="24"/>
          <w:szCs w:val="24"/>
        </w:rPr>
        <w:t xml:space="preserve">, 9(1). doi:10.1186/1472-6920-9-53. </w:t>
      </w:r>
      <w:r w:rsidRPr="02DB14DE">
        <w:rPr>
          <w:rFonts w:ascii="Calibri" w:eastAsia="Calibri" w:hAnsi="Calibri" w:cs="Calibri"/>
          <w:sz w:val="24"/>
          <w:szCs w:val="24"/>
        </w:rPr>
        <w:t xml:space="preserve"> </w:t>
      </w:r>
    </w:p>
    <w:p w14:paraId="4F38ECB5" w14:textId="580974AA" w:rsidR="15BAF8C0" w:rsidRDefault="15BAF8C0" w:rsidP="02DB14DE">
      <w:pPr>
        <w:spacing w:before="240" w:after="240" w:line="360" w:lineRule="auto"/>
        <w:ind w:left="567" w:hanging="567"/>
        <w:rPr>
          <w:rFonts w:ascii="Calibri" w:eastAsia="Calibri" w:hAnsi="Calibri" w:cs="Calibri"/>
          <w:sz w:val="24"/>
          <w:szCs w:val="24"/>
        </w:rPr>
      </w:pPr>
      <w:r w:rsidRPr="02DB14DE">
        <w:rPr>
          <w:rFonts w:ascii="Calibri" w:eastAsia="Calibri" w:hAnsi="Calibri" w:cs="Calibri"/>
          <w:sz w:val="24"/>
          <w:szCs w:val="24"/>
        </w:rPr>
        <w:t xml:space="preserve">Baumann, S.L. (2010) ‘The limitations of evidenced-based practice’, </w:t>
      </w:r>
      <w:r w:rsidRPr="02DB14DE">
        <w:rPr>
          <w:rFonts w:ascii="Calibri" w:eastAsia="Calibri" w:hAnsi="Calibri" w:cs="Calibri"/>
          <w:i/>
          <w:iCs/>
          <w:sz w:val="24"/>
          <w:szCs w:val="24"/>
        </w:rPr>
        <w:t>Nursing Science Quarterly</w:t>
      </w:r>
      <w:r w:rsidRPr="02DB14DE">
        <w:rPr>
          <w:rFonts w:ascii="Calibri" w:eastAsia="Calibri" w:hAnsi="Calibri" w:cs="Calibri"/>
          <w:sz w:val="24"/>
          <w:szCs w:val="24"/>
        </w:rPr>
        <w:t>, 23(3), pp. 226–230. doi:10.1177/0894318410371833.</w:t>
      </w:r>
    </w:p>
    <w:p w14:paraId="0F309812" w14:textId="64F20401"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Mathur, P. (2011) ‘Hand hygiene: Back to the basics of infection control’, </w:t>
      </w:r>
      <w:r w:rsidRPr="02DB14DE">
        <w:rPr>
          <w:rFonts w:ascii="Calibri" w:eastAsia="Calibri" w:hAnsi="Calibri" w:cs="Calibri"/>
          <w:i/>
          <w:iCs/>
          <w:color w:val="000000" w:themeColor="text1"/>
          <w:sz w:val="24"/>
          <w:szCs w:val="24"/>
        </w:rPr>
        <w:t>The Indian Journal of Medical Research</w:t>
      </w:r>
      <w:r w:rsidRPr="02DB14DE">
        <w:rPr>
          <w:rFonts w:ascii="Calibri" w:eastAsia="Calibri" w:hAnsi="Calibri" w:cs="Calibri"/>
          <w:color w:val="000000" w:themeColor="text1"/>
          <w:sz w:val="24"/>
          <w:szCs w:val="24"/>
        </w:rPr>
        <w:t xml:space="preserve">, 134(5), p. 611. doi:10.4103/0971-5916.90985. </w:t>
      </w:r>
      <w:r w:rsidRPr="02DB14DE">
        <w:rPr>
          <w:rFonts w:ascii="Calibri" w:eastAsia="Calibri" w:hAnsi="Calibri" w:cs="Calibri"/>
          <w:sz w:val="24"/>
          <w:szCs w:val="24"/>
        </w:rPr>
        <w:t xml:space="preserve"> </w:t>
      </w:r>
    </w:p>
    <w:p w14:paraId="58A7BC44" w14:textId="148B6A9C"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Spencer, T.D., </w:t>
      </w:r>
      <w:proofErr w:type="spellStart"/>
      <w:r w:rsidRPr="02DB14DE">
        <w:rPr>
          <w:rFonts w:ascii="Calibri" w:eastAsia="Calibri" w:hAnsi="Calibri" w:cs="Calibri"/>
          <w:color w:val="000000" w:themeColor="text1"/>
          <w:sz w:val="24"/>
          <w:szCs w:val="24"/>
        </w:rPr>
        <w:t>Detrich</w:t>
      </w:r>
      <w:proofErr w:type="spellEnd"/>
      <w:r w:rsidRPr="02DB14DE">
        <w:rPr>
          <w:rFonts w:ascii="Calibri" w:eastAsia="Calibri" w:hAnsi="Calibri" w:cs="Calibri"/>
          <w:color w:val="000000" w:themeColor="text1"/>
          <w:sz w:val="24"/>
          <w:szCs w:val="24"/>
        </w:rPr>
        <w:t xml:space="preserve">, R. and Slocum, T.A. (2012) ‘Evidence-based practice: A framework for making effective decisions’, </w:t>
      </w:r>
      <w:r w:rsidRPr="02DB14DE">
        <w:rPr>
          <w:rFonts w:ascii="Calibri" w:eastAsia="Calibri" w:hAnsi="Calibri" w:cs="Calibri"/>
          <w:i/>
          <w:iCs/>
          <w:color w:val="000000" w:themeColor="text1"/>
          <w:sz w:val="24"/>
          <w:szCs w:val="24"/>
        </w:rPr>
        <w:t>Education and Treatment of Children</w:t>
      </w:r>
      <w:r w:rsidRPr="02DB14DE">
        <w:rPr>
          <w:rFonts w:ascii="Calibri" w:eastAsia="Calibri" w:hAnsi="Calibri" w:cs="Calibri"/>
          <w:color w:val="000000" w:themeColor="text1"/>
          <w:sz w:val="24"/>
          <w:szCs w:val="24"/>
        </w:rPr>
        <w:t xml:space="preserve">, 35(2), pp. 127–151. doi:10.1353/etc.2012.0013. </w:t>
      </w:r>
      <w:r w:rsidRPr="02DB14DE">
        <w:rPr>
          <w:rFonts w:ascii="Calibri" w:eastAsia="Calibri" w:hAnsi="Calibri" w:cs="Calibri"/>
          <w:sz w:val="24"/>
          <w:szCs w:val="24"/>
        </w:rPr>
        <w:t xml:space="preserve"> </w:t>
      </w:r>
    </w:p>
    <w:p w14:paraId="0191163E" w14:textId="3DC47170" w:rsidR="15BAF8C0" w:rsidRDefault="15BAF8C0" w:rsidP="02DB14DE">
      <w:pPr>
        <w:spacing w:line="360" w:lineRule="auto"/>
        <w:ind w:left="567" w:hanging="567"/>
        <w:rPr>
          <w:rFonts w:ascii="Calibri" w:eastAsia="Calibri" w:hAnsi="Calibri" w:cs="Calibri"/>
          <w:color w:val="000000" w:themeColor="text1"/>
          <w:sz w:val="24"/>
          <w:szCs w:val="24"/>
        </w:rPr>
      </w:pPr>
      <w:r w:rsidRPr="02DB14DE">
        <w:rPr>
          <w:rFonts w:ascii="Calibri" w:eastAsia="Calibri" w:hAnsi="Calibri" w:cs="Calibri"/>
          <w:color w:val="000000" w:themeColor="text1"/>
          <w:sz w:val="24"/>
          <w:szCs w:val="24"/>
        </w:rPr>
        <w:t xml:space="preserve">Stevens, K. (2013) “The impact of evidence-based practice in nursing and the Next Big Ideas,” </w:t>
      </w:r>
      <w:r w:rsidRPr="02DB14DE">
        <w:rPr>
          <w:rFonts w:ascii="Calibri" w:eastAsia="Calibri" w:hAnsi="Calibri" w:cs="Calibri"/>
          <w:i/>
          <w:iCs/>
          <w:color w:val="000000" w:themeColor="text1"/>
          <w:sz w:val="24"/>
          <w:szCs w:val="24"/>
        </w:rPr>
        <w:t>OJIN: The Online Journal of Issues in Nursing</w:t>
      </w:r>
      <w:r w:rsidRPr="02DB14DE">
        <w:rPr>
          <w:rFonts w:ascii="Calibri" w:eastAsia="Calibri" w:hAnsi="Calibri" w:cs="Calibri"/>
          <w:color w:val="000000" w:themeColor="text1"/>
          <w:sz w:val="24"/>
          <w:szCs w:val="24"/>
        </w:rPr>
        <w:t xml:space="preserve">, 18(2). Available at: </w:t>
      </w:r>
      <w:hyperlink r:id="rId8">
        <w:r w:rsidRPr="02DB14DE">
          <w:rPr>
            <w:rStyle w:val="Hyperlink"/>
            <w:rFonts w:ascii="Calibri" w:eastAsia="Calibri" w:hAnsi="Calibri" w:cs="Calibri"/>
            <w:sz w:val="24"/>
            <w:szCs w:val="24"/>
          </w:rPr>
          <w:t>https://doi.org/10.3912/ojin.vol18no02man04</w:t>
        </w:r>
      </w:hyperlink>
      <w:r w:rsidRPr="02DB14DE">
        <w:rPr>
          <w:rFonts w:ascii="Calibri" w:eastAsia="Calibri" w:hAnsi="Calibri" w:cs="Calibri"/>
          <w:color w:val="000000" w:themeColor="text1"/>
          <w:sz w:val="24"/>
          <w:szCs w:val="24"/>
        </w:rPr>
        <w:t>.</w:t>
      </w:r>
    </w:p>
    <w:p w14:paraId="33E0A42F" w14:textId="7861A7F6"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National Institute for Health and care Excellence (2014) </w:t>
      </w:r>
      <w:r w:rsidRPr="02DB14DE">
        <w:rPr>
          <w:rFonts w:ascii="Calibri" w:eastAsia="Calibri" w:hAnsi="Calibri" w:cs="Calibri"/>
          <w:i/>
          <w:iCs/>
          <w:color w:val="000000" w:themeColor="text1"/>
          <w:sz w:val="24"/>
          <w:szCs w:val="24"/>
        </w:rPr>
        <w:t>Quality statement 3: Hand decontamination: Infection prevention and control: Quality standards</w:t>
      </w:r>
      <w:r w:rsidRPr="02DB14DE">
        <w:rPr>
          <w:rFonts w:ascii="Calibri" w:eastAsia="Calibri" w:hAnsi="Calibri" w:cs="Calibri"/>
          <w:color w:val="000000" w:themeColor="text1"/>
          <w:sz w:val="24"/>
          <w:szCs w:val="24"/>
        </w:rPr>
        <w:t xml:space="preserve">. Available at: </w:t>
      </w:r>
      <w:hyperlink r:id="rId9">
        <w:r w:rsidRPr="02DB14DE">
          <w:rPr>
            <w:rStyle w:val="Hyperlink"/>
            <w:rFonts w:ascii="Calibri" w:eastAsia="Calibri" w:hAnsi="Calibri" w:cs="Calibri"/>
            <w:sz w:val="24"/>
            <w:szCs w:val="24"/>
          </w:rPr>
          <w:t>https://www.nice.org.uk/guidance/qs61/chapter/quality-statement-3-hand-decontamination</w:t>
        </w:r>
      </w:hyperlink>
      <w:r w:rsidRPr="02DB14DE">
        <w:rPr>
          <w:rFonts w:ascii="Calibri" w:eastAsia="Calibri" w:hAnsi="Calibri" w:cs="Calibri"/>
          <w:color w:val="000000" w:themeColor="text1"/>
          <w:sz w:val="24"/>
          <w:szCs w:val="24"/>
        </w:rPr>
        <w:t xml:space="preserve"> (Accessed: 25 July 2023). </w:t>
      </w:r>
      <w:r w:rsidRPr="02DB14DE">
        <w:rPr>
          <w:rFonts w:ascii="Calibri" w:eastAsia="Calibri" w:hAnsi="Calibri" w:cs="Calibri"/>
          <w:sz w:val="24"/>
          <w:szCs w:val="24"/>
        </w:rPr>
        <w:t xml:space="preserve"> </w:t>
      </w:r>
    </w:p>
    <w:p w14:paraId="69714391" w14:textId="76814B0B"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lastRenderedPageBreak/>
        <w:t xml:space="preserve">Royal College of Nursing (2017) </w:t>
      </w:r>
      <w:r w:rsidRPr="02DB14DE">
        <w:rPr>
          <w:rFonts w:ascii="Calibri" w:eastAsia="Calibri" w:hAnsi="Calibri" w:cs="Calibri"/>
          <w:i/>
          <w:iCs/>
          <w:color w:val="000000" w:themeColor="text1"/>
          <w:sz w:val="24"/>
          <w:szCs w:val="24"/>
        </w:rPr>
        <w:t>Essential practice for infection prevention and control</w:t>
      </w:r>
      <w:r w:rsidRPr="02DB14DE">
        <w:rPr>
          <w:rFonts w:ascii="Calibri" w:eastAsia="Calibri" w:hAnsi="Calibri" w:cs="Calibri"/>
          <w:color w:val="000000" w:themeColor="text1"/>
          <w:sz w:val="24"/>
          <w:szCs w:val="24"/>
        </w:rPr>
        <w:t xml:space="preserve">. Available at: </w:t>
      </w:r>
      <w:hyperlink r:id="rId10">
        <w:r w:rsidRPr="02DB14DE">
          <w:rPr>
            <w:rStyle w:val="Hyperlink"/>
            <w:rFonts w:ascii="Calibri" w:eastAsia="Calibri" w:hAnsi="Calibri" w:cs="Calibri"/>
            <w:sz w:val="24"/>
            <w:szCs w:val="24"/>
          </w:rPr>
          <w:t>https://www.rcn.org.uk/-/media/royal-college-of-nursing/documents/publications/2017/november/pub-005940.pdf</w:t>
        </w:r>
      </w:hyperlink>
      <w:r w:rsidRPr="02DB14DE">
        <w:rPr>
          <w:rFonts w:ascii="Calibri" w:eastAsia="Calibri" w:hAnsi="Calibri" w:cs="Calibri"/>
          <w:color w:val="000000" w:themeColor="text1"/>
          <w:sz w:val="24"/>
          <w:szCs w:val="24"/>
        </w:rPr>
        <w:t xml:space="preserve"> (Accessed: 26 July 2023). </w:t>
      </w:r>
      <w:r w:rsidRPr="02DB14DE">
        <w:rPr>
          <w:rFonts w:ascii="Calibri" w:eastAsia="Calibri" w:hAnsi="Calibri" w:cs="Calibri"/>
          <w:sz w:val="24"/>
          <w:szCs w:val="24"/>
        </w:rPr>
        <w:t xml:space="preserve"> </w:t>
      </w:r>
    </w:p>
    <w:p w14:paraId="48AE9B48" w14:textId="37639424" w:rsidR="15BAF8C0" w:rsidRDefault="15BAF8C0" w:rsidP="02DB14DE">
      <w:pPr>
        <w:spacing w:line="360" w:lineRule="auto"/>
        <w:ind w:left="567" w:hanging="567"/>
        <w:rPr>
          <w:rFonts w:ascii="Calibri" w:eastAsia="Calibri" w:hAnsi="Calibri" w:cs="Calibri"/>
          <w:color w:val="000000" w:themeColor="text1"/>
          <w:sz w:val="24"/>
          <w:szCs w:val="24"/>
        </w:rPr>
      </w:pPr>
      <w:r w:rsidRPr="02DB14DE">
        <w:rPr>
          <w:rFonts w:ascii="Calibri" w:eastAsia="Calibri" w:hAnsi="Calibri" w:cs="Calibri"/>
          <w:color w:val="000000" w:themeColor="text1"/>
          <w:sz w:val="24"/>
          <w:szCs w:val="24"/>
        </w:rPr>
        <w:t xml:space="preserve">Mackey, A. and </w:t>
      </w:r>
      <w:proofErr w:type="spellStart"/>
      <w:r w:rsidRPr="02DB14DE">
        <w:rPr>
          <w:rFonts w:ascii="Calibri" w:eastAsia="Calibri" w:hAnsi="Calibri" w:cs="Calibri"/>
          <w:color w:val="000000" w:themeColor="text1"/>
          <w:sz w:val="24"/>
          <w:szCs w:val="24"/>
        </w:rPr>
        <w:t>Bassendowski</w:t>
      </w:r>
      <w:proofErr w:type="spellEnd"/>
      <w:r w:rsidRPr="02DB14DE">
        <w:rPr>
          <w:rFonts w:ascii="Calibri" w:eastAsia="Calibri" w:hAnsi="Calibri" w:cs="Calibri"/>
          <w:color w:val="000000" w:themeColor="text1"/>
          <w:sz w:val="24"/>
          <w:szCs w:val="24"/>
        </w:rPr>
        <w:t xml:space="preserve">, S. (2017) “The history of evidence-based practice in nursing education and Practice,” </w:t>
      </w:r>
      <w:r w:rsidRPr="02DB14DE">
        <w:rPr>
          <w:rFonts w:ascii="Calibri" w:eastAsia="Calibri" w:hAnsi="Calibri" w:cs="Calibri"/>
          <w:i/>
          <w:iCs/>
          <w:color w:val="000000" w:themeColor="text1"/>
          <w:sz w:val="24"/>
          <w:szCs w:val="24"/>
        </w:rPr>
        <w:t>Journal of Professional Nursing</w:t>
      </w:r>
      <w:r w:rsidRPr="02DB14DE">
        <w:rPr>
          <w:rFonts w:ascii="Calibri" w:eastAsia="Calibri" w:hAnsi="Calibri" w:cs="Calibri"/>
          <w:color w:val="000000" w:themeColor="text1"/>
          <w:sz w:val="24"/>
          <w:szCs w:val="24"/>
        </w:rPr>
        <w:t xml:space="preserve">, 33(1), pp. 51–55. Available at: </w:t>
      </w:r>
      <w:hyperlink r:id="rId11">
        <w:r w:rsidRPr="02DB14DE">
          <w:rPr>
            <w:rStyle w:val="Hyperlink"/>
            <w:rFonts w:ascii="Calibri" w:eastAsia="Calibri" w:hAnsi="Calibri" w:cs="Calibri"/>
            <w:sz w:val="24"/>
            <w:szCs w:val="24"/>
          </w:rPr>
          <w:t>https://doi.org/10.1016/j.profnurs.2016.05.009</w:t>
        </w:r>
      </w:hyperlink>
      <w:r w:rsidRPr="02DB14DE">
        <w:rPr>
          <w:rFonts w:ascii="Calibri" w:eastAsia="Calibri" w:hAnsi="Calibri" w:cs="Calibri"/>
          <w:color w:val="000000" w:themeColor="text1"/>
          <w:sz w:val="24"/>
          <w:szCs w:val="24"/>
        </w:rPr>
        <w:t>.</w:t>
      </w:r>
    </w:p>
    <w:p w14:paraId="013E822D" w14:textId="407BBEE3" w:rsidR="15BAF8C0" w:rsidRDefault="15BAF8C0" w:rsidP="02DB14DE">
      <w:pPr>
        <w:spacing w:line="360" w:lineRule="auto"/>
        <w:ind w:left="567" w:hanging="567"/>
        <w:rPr>
          <w:rFonts w:ascii="Calibri" w:eastAsia="Calibri" w:hAnsi="Calibri" w:cs="Calibri"/>
          <w:sz w:val="24"/>
          <w:szCs w:val="24"/>
        </w:rPr>
      </w:pPr>
      <w:proofErr w:type="spellStart"/>
      <w:r w:rsidRPr="02DB14DE">
        <w:rPr>
          <w:rFonts w:ascii="Calibri" w:eastAsia="Calibri" w:hAnsi="Calibri" w:cs="Calibri"/>
          <w:color w:val="000000" w:themeColor="text1"/>
          <w:sz w:val="24"/>
          <w:szCs w:val="24"/>
        </w:rPr>
        <w:t>Martos</w:t>
      </w:r>
      <w:proofErr w:type="spellEnd"/>
      <w:r w:rsidRPr="02DB14DE">
        <w:rPr>
          <w:rFonts w:ascii="Calibri" w:eastAsia="Calibri" w:hAnsi="Calibri" w:cs="Calibri"/>
          <w:color w:val="000000" w:themeColor="text1"/>
          <w:sz w:val="24"/>
          <w:szCs w:val="24"/>
        </w:rPr>
        <w:t xml:space="preserve">-Cabrera, M.B. </w:t>
      </w:r>
      <w:r w:rsidRPr="02DB14DE">
        <w:rPr>
          <w:rFonts w:ascii="Calibri" w:eastAsia="Calibri" w:hAnsi="Calibri" w:cs="Calibri"/>
          <w:i/>
          <w:iCs/>
          <w:color w:val="000000" w:themeColor="text1"/>
          <w:sz w:val="24"/>
          <w:szCs w:val="24"/>
        </w:rPr>
        <w:t>et al.</w:t>
      </w:r>
      <w:r w:rsidRPr="02DB14DE">
        <w:rPr>
          <w:rFonts w:ascii="Calibri" w:eastAsia="Calibri" w:hAnsi="Calibri" w:cs="Calibri"/>
          <w:color w:val="000000" w:themeColor="text1"/>
          <w:sz w:val="24"/>
          <w:szCs w:val="24"/>
        </w:rPr>
        <w:t xml:space="preserve"> (2019) ‘Hand hygiene teaching strategies among nursing staff: A systematic review’, </w:t>
      </w:r>
      <w:r w:rsidRPr="02DB14DE">
        <w:rPr>
          <w:rFonts w:ascii="Calibri" w:eastAsia="Calibri" w:hAnsi="Calibri" w:cs="Calibri"/>
          <w:i/>
          <w:iCs/>
          <w:color w:val="000000" w:themeColor="text1"/>
          <w:sz w:val="24"/>
          <w:szCs w:val="24"/>
        </w:rPr>
        <w:t>International Journal of Environmental Research and Public Health</w:t>
      </w:r>
      <w:r w:rsidRPr="02DB14DE">
        <w:rPr>
          <w:rFonts w:ascii="Calibri" w:eastAsia="Calibri" w:hAnsi="Calibri" w:cs="Calibri"/>
          <w:color w:val="000000" w:themeColor="text1"/>
          <w:sz w:val="24"/>
          <w:szCs w:val="24"/>
        </w:rPr>
        <w:t xml:space="preserve">, 16(17), p. 3039. doi:10.3390/ijerph16173039. </w:t>
      </w:r>
      <w:r w:rsidRPr="02DB14DE">
        <w:rPr>
          <w:rFonts w:ascii="Calibri" w:eastAsia="Calibri" w:hAnsi="Calibri" w:cs="Calibri"/>
          <w:sz w:val="24"/>
          <w:szCs w:val="24"/>
        </w:rPr>
        <w:t xml:space="preserve"> </w:t>
      </w:r>
    </w:p>
    <w:p w14:paraId="3DC2ADC7" w14:textId="29A258AF"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NHS England (2020) </w:t>
      </w:r>
      <w:r w:rsidRPr="02DB14DE">
        <w:rPr>
          <w:rFonts w:ascii="Calibri" w:eastAsia="Calibri" w:hAnsi="Calibri" w:cs="Calibri"/>
          <w:i/>
          <w:iCs/>
          <w:color w:val="000000" w:themeColor="text1"/>
          <w:sz w:val="24"/>
          <w:szCs w:val="24"/>
        </w:rPr>
        <w:t>Leading the acceleration of evidence into practice</w:t>
      </w:r>
      <w:r w:rsidRPr="02DB14DE">
        <w:rPr>
          <w:rFonts w:ascii="Calibri" w:eastAsia="Calibri" w:hAnsi="Calibri" w:cs="Calibri"/>
          <w:color w:val="000000" w:themeColor="text1"/>
          <w:sz w:val="24"/>
          <w:szCs w:val="24"/>
        </w:rPr>
        <w:t xml:space="preserve">. Available at: </w:t>
      </w:r>
      <w:hyperlink r:id="rId12">
        <w:r w:rsidRPr="02DB14DE">
          <w:rPr>
            <w:rStyle w:val="Hyperlink"/>
            <w:rFonts w:ascii="Calibri" w:eastAsia="Calibri" w:hAnsi="Calibri" w:cs="Calibri"/>
            <w:sz w:val="24"/>
            <w:szCs w:val="24"/>
          </w:rPr>
          <w:t>https://www.england.nhs.uk/wp-content/uploads/2020/03/leading-the-acceleration-of-evidence-into-practice-guide.pdf</w:t>
        </w:r>
      </w:hyperlink>
      <w:r w:rsidRPr="02DB14DE">
        <w:rPr>
          <w:rFonts w:ascii="Calibri" w:eastAsia="Calibri" w:hAnsi="Calibri" w:cs="Calibri"/>
          <w:color w:val="000000" w:themeColor="text1"/>
          <w:sz w:val="24"/>
          <w:szCs w:val="24"/>
        </w:rPr>
        <w:t xml:space="preserve"> (Accessed: 26 July 2023). </w:t>
      </w:r>
      <w:r w:rsidRPr="02DB14DE">
        <w:rPr>
          <w:rFonts w:ascii="Calibri" w:eastAsia="Calibri" w:hAnsi="Calibri" w:cs="Calibri"/>
          <w:sz w:val="24"/>
          <w:szCs w:val="24"/>
        </w:rPr>
        <w:t xml:space="preserve"> </w:t>
      </w:r>
    </w:p>
    <w:p w14:paraId="386C3175" w14:textId="3FB65BAC" w:rsidR="15BAF8C0" w:rsidRDefault="15BAF8C0" w:rsidP="02DB14DE">
      <w:pPr>
        <w:spacing w:before="240" w:after="240" w:line="360" w:lineRule="auto"/>
        <w:ind w:left="567" w:hanging="567"/>
        <w:rPr>
          <w:rFonts w:ascii="Calibri" w:eastAsia="Calibri" w:hAnsi="Calibri" w:cs="Calibri"/>
          <w:sz w:val="24"/>
          <w:szCs w:val="24"/>
        </w:rPr>
      </w:pPr>
      <w:r w:rsidRPr="02DB14DE">
        <w:rPr>
          <w:rFonts w:ascii="Calibri" w:eastAsia="Calibri" w:hAnsi="Calibri" w:cs="Calibri"/>
          <w:sz w:val="24"/>
          <w:szCs w:val="24"/>
        </w:rPr>
        <w:t xml:space="preserve">Carley, S. </w:t>
      </w:r>
      <w:r w:rsidRPr="02DB14DE">
        <w:rPr>
          <w:rFonts w:ascii="Calibri" w:eastAsia="Calibri" w:hAnsi="Calibri" w:cs="Calibri"/>
          <w:i/>
          <w:iCs/>
          <w:sz w:val="24"/>
          <w:szCs w:val="24"/>
        </w:rPr>
        <w:t>et al.</w:t>
      </w:r>
      <w:r w:rsidRPr="02DB14DE">
        <w:rPr>
          <w:rFonts w:ascii="Calibri" w:eastAsia="Calibri" w:hAnsi="Calibri" w:cs="Calibri"/>
          <w:sz w:val="24"/>
          <w:szCs w:val="24"/>
        </w:rPr>
        <w:t xml:space="preserve"> (2020) ‘Evidence-based medicine and covid-19: What to believe and when to change’, </w:t>
      </w:r>
      <w:r w:rsidRPr="02DB14DE">
        <w:rPr>
          <w:rFonts w:ascii="Calibri" w:eastAsia="Calibri" w:hAnsi="Calibri" w:cs="Calibri"/>
          <w:i/>
          <w:iCs/>
          <w:sz w:val="24"/>
          <w:szCs w:val="24"/>
        </w:rPr>
        <w:t>Emergency Medicine Journal</w:t>
      </w:r>
      <w:r w:rsidRPr="02DB14DE">
        <w:rPr>
          <w:rFonts w:ascii="Calibri" w:eastAsia="Calibri" w:hAnsi="Calibri" w:cs="Calibri"/>
          <w:sz w:val="24"/>
          <w:szCs w:val="24"/>
        </w:rPr>
        <w:t>, 37(9), pp. 572–575. doi:10.1136/emermed-2020-210098.</w:t>
      </w:r>
    </w:p>
    <w:p w14:paraId="65E92D3F" w14:textId="0B299BD6"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Moore, L.D. </w:t>
      </w:r>
      <w:r w:rsidRPr="02DB14DE">
        <w:rPr>
          <w:rFonts w:ascii="Calibri" w:eastAsia="Calibri" w:hAnsi="Calibri" w:cs="Calibri"/>
          <w:i/>
          <w:iCs/>
          <w:color w:val="000000" w:themeColor="text1"/>
          <w:sz w:val="24"/>
          <w:szCs w:val="24"/>
        </w:rPr>
        <w:t>et al.</w:t>
      </w:r>
      <w:r w:rsidRPr="02DB14DE">
        <w:rPr>
          <w:rFonts w:ascii="Calibri" w:eastAsia="Calibri" w:hAnsi="Calibri" w:cs="Calibri"/>
          <w:color w:val="000000" w:themeColor="text1"/>
          <w:sz w:val="24"/>
          <w:szCs w:val="24"/>
        </w:rPr>
        <w:t xml:space="preserve"> (2020) ‘The impact of covid-19 pandemic on hand hygiene performance in Hospitals’, </w:t>
      </w:r>
      <w:r w:rsidRPr="02DB14DE">
        <w:rPr>
          <w:rFonts w:ascii="Calibri" w:eastAsia="Calibri" w:hAnsi="Calibri" w:cs="Calibri"/>
          <w:i/>
          <w:iCs/>
          <w:color w:val="000000" w:themeColor="text1"/>
          <w:sz w:val="24"/>
          <w:szCs w:val="24"/>
        </w:rPr>
        <w:t>American Journal of Infection Control</w:t>
      </w:r>
      <w:r w:rsidRPr="02DB14DE">
        <w:rPr>
          <w:rFonts w:ascii="Calibri" w:eastAsia="Calibri" w:hAnsi="Calibri" w:cs="Calibri"/>
          <w:color w:val="000000" w:themeColor="text1"/>
          <w:sz w:val="24"/>
          <w:szCs w:val="24"/>
        </w:rPr>
        <w:t xml:space="preserve">, 49(1), pp. 30–33. </w:t>
      </w:r>
      <w:proofErr w:type="gramStart"/>
      <w:r w:rsidRPr="02DB14DE">
        <w:rPr>
          <w:rFonts w:ascii="Calibri" w:eastAsia="Calibri" w:hAnsi="Calibri" w:cs="Calibri"/>
          <w:color w:val="000000" w:themeColor="text1"/>
          <w:sz w:val="24"/>
          <w:szCs w:val="24"/>
        </w:rPr>
        <w:t>doi:10.1016/j.ajic</w:t>
      </w:r>
      <w:proofErr w:type="gramEnd"/>
      <w:r w:rsidRPr="02DB14DE">
        <w:rPr>
          <w:rFonts w:ascii="Calibri" w:eastAsia="Calibri" w:hAnsi="Calibri" w:cs="Calibri"/>
          <w:color w:val="000000" w:themeColor="text1"/>
          <w:sz w:val="24"/>
          <w:szCs w:val="24"/>
        </w:rPr>
        <w:t xml:space="preserve">.2020.08.021. </w:t>
      </w:r>
      <w:r w:rsidRPr="02DB14DE">
        <w:rPr>
          <w:rFonts w:ascii="Calibri" w:eastAsia="Calibri" w:hAnsi="Calibri" w:cs="Calibri"/>
          <w:sz w:val="24"/>
          <w:szCs w:val="24"/>
        </w:rPr>
        <w:t xml:space="preserve"> </w:t>
      </w:r>
    </w:p>
    <w:p w14:paraId="56172061" w14:textId="686A04CC" w:rsidR="15BAF8C0" w:rsidRDefault="15BAF8C0" w:rsidP="02DB14DE">
      <w:pPr>
        <w:spacing w:before="240" w:after="240" w:line="360" w:lineRule="auto"/>
        <w:ind w:left="567" w:hanging="567"/>
        <w:rPr>
          <w:rFonts w:ascii="Calibri" w:eastAsia="Calibri" w:hAnsi="Calibri" w:cs="Calibri"/>
          <w:sz w:val="24"/>
          <w:szCs w:val="24"/>
        </w:rPr>
      </w:pPr>
      <w:proofErr w:type="spellStart"/>
      <w:r w:rsidRPr="02DB14DE">
        <w:rPr>
          <w:rFonts w:ascii="Calibri" w:eastAsia="Calibri" w:hAnsi="Calibri" w:cs="Calibri"/>
          <w:sz w:val="24"/>
          <w:szCs w:val="24"/>
        </w:rPr>
        <w:t>Alzyood</w:t>
      </w:r>
      <w:proofErr w:type="spellEnd"/>
      <w:r w:rsidRPr="02DB14DE">
        <w:rPr>
          <w:rFonts w:ascii="Calibri" w:eastAsia="Calibri" w:hAnsi="Calibri" w:cs="Calibri"/>
          <w:sz w:val="24"/>
          <w:szCs w:val="24"/>
        </w:rPr>
        <w:t xml:space="preserve">, M. </w:t>
      </w:r>
      <w:r w:rsidRPr="02DB14DE">
        <w:rPr>
          <w:rFonts w:ascii="Calibri" w:eastAsia="Calibri" w:hAnsi="Calibri" w:cs="Calibri"/>
          <w:i/>
          <w:iCs/>
          <w:sz w:val="24"/>
          <w:szCs w:val="24"/>
        </w:rPr>
        <w:t>et al.</w:t>
      </w:r>
      <w:r w:rsidRPr="02DB14DE">
        <w:rPr>
          <w:rFonts w:ascii="Calibri" w:eastAsia="Calibri" w:hAnsi="Calibri" w:cs="Calibri"/>
          <w:sz w:val="24"/>
          <w:szCs w:val="24"/>
        </w:rPr>
        <w:t xml:space="preserve"> (2020</w:t>
      </w:r>
      <w:r w:rsidR="22706EC1" w:rsidRPr="02DB14DE">
        <w:rPr>
          <w:rFonts w:ascii="Calibri" w:eastAsia="Calibri" w:hAnsi="Calibri" w:cs="Calibri"/>
          <w:sz w:val="24"/>
          <w:szCs w:val="24"/>
        </w:rPr>
        <w:t>a</w:t>
      </w:r>
      <w:r w:rsidRPr="02DB14DE">
        <w:rPr>
          <w:rFonts w:ascii="Calibri" w:eastAsia="Calibri" w:hAnsi="Calibri" w:cs="Calibri"/>
          <w:sz w:val="24"/>
          <w:szCs w:val="24"/>
        </w:rPr>
        <w:t xml:space="preserve">) ‘Covid‐19 reinforces the importance of handwashing’, </w:t>
      </w:r>
      <w:r w:rsidRPr="02DB14DE">
        <w:rPr>
          <w:rFonts w:ascii="Calibri" w:eastAsia="Calibri" w:hAnsi="Calibri" w:cs="Calibri"/>
          <w:i/>
          <w:iCs/>
          <w:sz w:val="24"/>
          <w:szCs w:val="24"/>
        </w:rPr>
        <w:t>Journal of Clinical Nursing</w:t>
      </w:r>
      <w:r w:rsidRPr="02DB14DE">
        <w:rPr>
          <w:rFonts w:ascii="Calibri" w:eastAsia="Calibri" w:hAnsi="Calibri" w:cs="Calibri"/>
          <w:sz w:val="24"/>
          <w:szCs w:val="24"/>
        </w:rPr>
        <w:t>, 29(15–16), pp. 2760–2761. doi:10.1111/jocn.15313.</w:t>
      </w:r>
    </w:p>
    <w:p w14:paraId="53E42C1E" w14:textId="0F68EE44" w:rsidR="15BAF8C0" w:rsidRDefault="15BAF8C0" w:rsidP="02DB14DE">
      <w:pPr>
        <w:spacing w:line="360" w:lineRule="auto"/>
        <w:ind w:left="567" w:hanging="567"/>
        <w:rPr>
          <w:rFonts w:ascii="Calibri" w:eastAsia="Calibri" w:hAnsi="Calibri" w:cs="Calibri"/>
          <w:sz w:val="24"/>
          <w:szCs w:val="24"/>
        </w:rPr>
      </w:pPr>
      <w:r w:rsidRPr="02DB14DE">
        <w:rPr>
          <w:rFonts w:ascii="Calibri" w:eastAsia="Calibri" w:hAnsi="Calibri" w:cs="Calibri"/>
          <w:color w:val="000000" w:themeColor="text1"/>
          <w:sz w:val="24"/>
          <w:szCs w:val="24"/>
        </w:rPr>
        <w:t xml:space="preserve">Hillier, M.D. (2020) ‘Using effective hand hygiene practice to prevent and control infection’, </w:t>
      </w:r>
      <w:r w:rsidRPr="02DB14DE">
        <w:rPr>
          <w:rFonts w:ascii="Calibri" w:eastAsia="Calibri" w:hAnsi="Calibri" w:cs="Calibri"/>
          <w:i/>
          <w:iCs/>
          <w:color w:val="000000" w:themeColor="text1"/>
          <w:sz w:val="24"/>
          <w:szCs w:val="24"/>
        </w:rPr>
        <w:t>Nursing Standard</w:t>
      </w:r>
      <w:r w:rsidRPr="02DB14DE">
        <w:rPr>
          <w:rFonts w:ascii="Calibri" w:eastAsia="Calibri" w:hAnsi="Calibri" w:cs="Calibri"/>
          <w:color w:val="000000" w:themeColor="text1"/>
          <w:sz w:val="24"/>
          <w:szCs w:val="24"/>
        </w:rPr>
        <w:t>, 35(5), pp. 45–50. doi:10.7748/</w:t>
      </w:r>
      <w:proofErr w:type="gramStart"/>
      <w:r w:rsidRPr="02DB14DE">
        <w:rPr>
          <w:rFonts w:ascii="Calibri" w:eastAsia="Calibri" w:hAnsi="Calibri" w:cs="Calibri"/>
          <w:color w:val="000000" w:themeColor="text1"/>
          <w:sz w:val="24"/>
          <w:szCs w:val="24"/>
        </w:rPr>
        <w:t>ns.2020.e</w:t>
      </w:r>
      <w:proofErr w:type="gramEnd"/>
      <w:r w:rsidRPr="02DB14DE">
        <w:rPr>
          <w:rFonts w:ascii="Calibri" w:eastAsia="Calibri" w:hAnsi="Calibri" w:cs="Calibri"/>
          <w:color w:val="000000" w:themeColor="text1"/>
          <w:sz w:val="24"/>
          <w:szCs w:val="24"/>
        </w:rPr>
        <w:t xml:space="preserve">11552. </w:t>
      </w:r>
      <w:r w:rsidRPr="02DB14DE">
        <w:rPr>
          <w:rFonts w:ascii="Calibri" w:eastAsia="Calibri" w:hAnsi="Calibri" w:cs="Calibri"/>
          <w:sz w:val="24"/>
          <w:szCs w:val="24"/>
        </w:rPr>
        <w:t xml:space="preserve"> </w:t>
      </w:r>
    </w:p>
    <w:p w14:paraId="07EB1529" w14:textId="7C5F30F1" w:rsidR="15BAF8C0" w:rsidRDefault="15BAF8C0" w:rsidP="02DB14DE">
      <w:pPr>
        <w:spacing w:line="360" w:lineRule="auto"/>
        <w:ind w:left="567" w:hanging="567"/>
        <w:rPr>
          <w:rFonts w:ascii="Calibri" w:eastAsia="Calibri" w:hAnsi="Calibri" w:cs="Calibri"/>
          <w:sz w:val="24"/>
          <w:szCs w:val="24"/>
        </w:rPr>
      </w:pPr>
      <w:proofErr w:type="spellStart"/>
      <w:r w:rsidRPr="02DB14DE">
        <w:rPr>
          <w:rFonts w:ascii="Calibri" w:eastAsia="Calibri" w:hAnsi="Calibri" w:cs="Calibri"/>
          <w:color w:val="000000" w:themeColor="text1"/>
          <w:sz w:val="24"/>
          <w:szCs w:val="24"/>
        </w:rPr>
        <w:t>Alzyood</w:t>
      </w:r>
      <w:proofErr w:type="spellEnd"/>
      <w:r w:rsidRPr="02DB14DE">
        <w:rPr>
          <w:rFonts w:ascii="Calibri" w:eastAsia="Calibri" w:hAnsi="Calibri" w:cs="Calibri"/>
          <w:color w:val="000000" w:themeColor="text1"/>
          <w:sz w:val="24"/>
          <w:szCs w:val="24"/>
        </w:rPr>
        <w:t xml:space="preserve">, M. </w:t>
      </w:r>
      <w:r w:rsidRPr="02DB14DE">
        <w:rPr>
          <w:rFonts w:ascii="Calibri" w:eastAsia="Calibri" w:hAnsi="Calibri" w:cs="Calibri"/>
          <w:i/>
          <w:iCs/>
          <w:color w:val="000000" w:themeColor="text1"/>
          <w:sz w:val="24"/>
          <w:szCs w:val="24"/>
        </w:rPr>
        <w:t>et al.</w:t>
      </w:r>
      <w:r w:rsidRPr="02DB14DE">
        <w:rPr>
          <w:rFonts w:ascii="Calibri" w:eastAsia="Calibri" w:hAnsi="Calibri" w:cs="Calibri"/>
          <w:color w:val="000000" w:themeColor="text1"/>
          <w:sz w:val="24"/>
          <w:szCs w:val="24"/>
        </w:rPr>
        <w:t xml:space="preserve"> (2020</w:t>
      </w:r>
      <w:r w:rsidR="446AA8FE" w:rsidRPr="02DB14DE">
        <w:rPr>
          <w:rFonts w:ascii="Calibri" w:eastAsia="Calibri" w:hAnsi="Calibri" w:cs="Calibri"/>
          <w:color w:val="000000" w:themeColor="text1"/>
          <w:sz w:val="24"/>
          <w:szCs w:val="24"/>
        </w:rPr>
        <w:t>b</w:t>
      </w:r>
      <w:r w:rsidRPr="02DB14DE">
        <w:rPr>
          <w:rFonts w:ascii="Calibri" w:eastAsia="Calibri" w:hAnsi="Calibri" w:cs="Calibri"/>
          <w:color w:val="000000" w:themeColor="text1"/>
          <w:sz w:val="24"/>
          <w:szCs w:val="24"/>
        </w:rPr>
        <w:t xml:space="preserve">) ‘Covid‐19 reinforces the importance of handwashing’, </w:t>
      </w:r>
      <w:r w:rsidRPr="02DB14DE">
        <w:rPr>
          <w:rFonts w:ascii="Calibri" w:eastAsia="Calibri" w:hAnsi="Calibri" w:cs="Calibri"/>
          <w:i/>
          <w:iCs/>
          <w:color w:val="000000" w:themeColor="text1"/>
          <w:sz w:val="24"/>
          <w:szCs w:val="24"/>
        </w:rPr>
        <w:t>Journal of Clinical Nursing</w:t>
      </w:r>
      <w:r w:rsidRPr="02DB14DE">
        <w:rPr>
          <w:rFonts w:ascii="Calibri" w:eastAsia="Calibri" w:hAnsi="Calibri" w:cs="Calibri"/>
          <w:color w:val="000000" w:themeColor="text1"/>
          <w:sz w:val="24"/>
          <w:szCs w:val="24"/>
        </w:rPr>
        <w:t xml:space="preserve">, 29(15–16), pp. 2760–2761. doi:10.1111/jocn.15313. </w:t>
      </w:r>
      <w:r w:rsidRPr="02DB14DE">
        <w:rPr>
          <w:rFonts w:ascii="Calibri" w:eastAsia="Calibri" w:hAnsi="Calibri" w:cs="Calibri"/>
          <w:sz w:val="24"/>
          <w:szCs w:val="24"/>
        </w:rPr>
        <w:t xml:space="preserve"> </w:t>
      </w:r>
    </w:p>
    <w:p w14:paraId="567EB4C3" w14:textId="297DC2C8" w:rsidR="15BAF8C0" w:rsidRDefault="15BAF8C0" w:rsidP="02DB14DE">
      <w:pPr>
        <w:spacing w:line="360" w:lineRule="auto"/>
        <w:ind w:left="567" w:hanging="567"/>
        <w:rPr>
          <w:rFonts w:ascii="Calibri" w:eastAsia="Calibri" w:hAnsi="Calibri" w:cs="Calibri"/>
          <w:color w:val="000000" w:themeColor="text1"/>
          <w:sz w:val="24"/>
          <w:szCs w:val="24"/>
        </w:rPr>
      </w:pPr>
      <w:r w:rsidRPr="02DB14DE">
        <w:rPr>
          <w:rFonts w:ascii="Calibri" w:eastAsia="Calibri" w:hAnsi="Calibri" w:cs="Calibri"/>
          <w:color w:val="000000" w:themeColor="text1"/>
          <w:sz w:val="24"/>
          <w:szCs w:val="24"/>
        </w:rPr>
        <w:t xml:space="preserve">NHS choices (2020) </w:t>
      </w:r>
      <w:r w:rsidRPr="02DB14DE">
        <w:rPr>
          <w:rFonts w:ascii="Calibri" w:eastAsia="Calibri" w:hAnsi="Calibri" w:cs="Calibri"/>
          <w:i/>
          <w:iCs/>
          <w:color w:val="000000" w:themeColor="text1"/>
          <w:sz w:val="24"/>
          <w:szCs w:val="24"/>
        </w:rPr>
        <w:t>Highlighting the importance of good hand hygiene</w:t>
      </w:r>
      <w:r w:rsidRPr="02DB14DE">
        <w:rPr>
          <w:rFonts w:ascii="Calibri" w:eastAsia="Calibri" w:hAnsi="Calibri" w:cs="Calibri"/>
          <w:color w:val="000000" w:themeColor="text1"/>
          <w:sz w:val="24"/>
          <w:szCs w:val="24"/>
        </w:rPr>
        <w:t xml:space="preserve">. Available at: </w:t>
      </w:r>
      <w:hyperlink r:id="rId13">
        <w:r w:rsidRPr="02DB14DE">
          <w:rPr>
            <w:rStyle w:val="Hyperlink"/>
            <w:rFonts w:ascii="Calibri" w:eastAsia="Calibri" w:hAnsi="Calibri" w:cs="Calibri"/>
            <w:sz w:val="24"/>
            <w:szCs w:val="24"/>
          </w:rPr>
          <w:t>https://www.nth.nhs.uk/news/highlighting-the-importance-of-good-hand-hygiene/</w:t>
        </w:r>
      </w:hyperlink>
      <w:r w:rsidRPr="02DB14DE">
        <w:rPr>
          <w:rFonts w:ascii="Calibri" w:eastAsia="Calibri" w:hAnsi="Calibri" w:cs="Calibri"/>
          <w:color w:val="000000" w:themeColor="text1"/>
          <w:sz w:val="24"/>
          <w:szCs w:val="24"/>
        </w:rPr>
        <w:t xml:space="preserve"> (Accessed: February 15, 2023).</w:t>
      </w:r>
    </w:p>
    <w:p w14:paraId="0F8FE873" w14:textId="1CC79747" w:rsidR="15BAF8C0" w:rsidRDefault="15BAF8C0" w:rsidP="02DB14DE">
      <w:pPr>
        <w:spacing w:line="360" w:lineRule="auto"/>
        <w:ind w:left="567" w:hanging="567"/>
        <w:rPr>
          <w:rFonts w:ascii="Calibri" w:eastAsia="Calibri" w:hAnsi="Calibri" w:cs="Calibri"/>
          <w:sz w:val="24"/>
          <w:szCs w:val="24"/>
        </w:rPr>
      </w:pPr>
      <w:proofErr w:type="spellStart"/>
      <w:r w:rsidRPr="02DB14DE">
        <w:rPr>
          <w:rFonts w:ascii="Calibri" w:eastAsia="Calibri" w:hAnsi="Calibri" w:cs="Calibri"/>
          <w:sz w:val="24"/>
          <w:szCs w:val="24"/>
        </w:rPr>
        <w:lastRenderedPageBreak/>
        <w:t>Palomares</w:t>
      </w:r>
      <w:proofErr w:type="spellEnd"/>
      <w:r w:rsidRPr="02DB14DE">
        <w:rPr>
          <w:rFonts w:ascii="Calibri" w:eastAsia="Calibri" w:hAnsi="Calibri" w:cs="Calibri"/>
          <w:sz w:val="24"/>
          <w:szCs w:val="24"/>
        </w:rPr>
        <w:t xml:space="preserve">, A. (2022) </w:t>
      </w:r>
      <w:r w:rsidRPr="02DB14DE">
        <w:rPr>
          <w:rFonts w:ascii="Calibri" w:eastAsia="Calibri" w:hAnsi="Calibri" w:cs="Calibri"/>
          <w:i/>
          <w:iCs/>
          <w:sz w:val="24"/>
          <w:szCs w:val="24"/>
        </w:rPr>
        <w:t xml:space="preserve">New evidence for improving handwashing access and </w:t>
      </w:r>
      <w:proofErr w:type="spellStart"/>
      <w:r w:rsidRPr="02DB14DE">
        <w:rPr>
          <w:rFonts w:ascii="Calibri" w:eastAsia="Calibri" w:hAnsi="Calibri" w:cs="Calibri"/>
          <w:i/>
          <w:iCs/>
          <w:sz w:val="24"/>
          <w:szCs w:val="24"/>
        </w:rPr>
        <w:t>behavior</w:t>
      </w:r>
      <w:proofErr w:type="spellEnd"/>
      <w:r w:rsidRPr="02DB14DE">
        <w:rPr>
          <w:rFonts w:ascii="Calibri" w:eastAsia="Calibri" w:hAnsi="Calibri" w:cs="Calibri"/>
          <w:i/>
          <w:iCs/>
          <w:sz w:val="24"/>
          <w:szCs w:val="24"/>
        </w:rPr>
        <w:t xml:space="preserve"> during COVID-19 and beyond</w:t>
      </w:r>
      <w:r w:rsidRPr="02DB14DE">
        <w:rPr>
          <w:rFonts w:ascii="Calibri" w:eastAsia="Calibri" w:hAnsi="Calibri" w:cs="Calibri"/>
          <w:sz w:val="24"/>
          <w:szCs w:val="24"/>
        </w:rPr>
        <w:t xml:space="preserve">, </w:t>
      </w:r>
      <w:r w:rsidRPr="02DB14DE">
        <w:rPr>
          <w:rFonts w:ascii="Calibri" w:eastAsia="Calibri" w:hAnsi="Calibri" w:cs="Calibri"/>
          <w:i/>
          <w:iCs/>
          <w:sz w:val="24"/>
          <w:szCs w:val="24"/>
        </w:rPr>
        <w:t>R&amp;E Search for Evidence</w:t>
      </w:r>
      <w:r w:rsidRPr="02DB14DE">
        <w:rPr>
          <w:rFonts w:ascii="Calibri" w:eastAsia="Calibri" w:hAnsi="Calibri" w:cs="Calibri"/>
          <w:sz w:val="24"/>
          <w:szCs w:val="24"/>
        </w:rPr>
        <w:t xml:space="preserve">. Available at: </w:t>
      </w:r>
      <w:hyperlink r:id="rId14">
        <w:r w:rsidRPr="02DB14DE">
          <w:rPr>
            <w:rStyle w:val="Hyperlink"/>
            <w:rFonts w:ascii="Calibri" w:eastAsia="Calibri" w:hAnsi="Calibri" w:cs="Calibri"/>
            <w:sz w:val="24"/>
            <w:szCs w:val="24"/>
          </w:rPr>
          <w:t>https://researchforevidence.fhi360.org/new-evidence-for-improving-handwashing-access-and-behavior-during-covid-19-and-beyond</w:t>
        </w:r>
      </w:hyperlink>
      <w:r w:rsidRPr="02DB14DE">
        <w:rPr>
          <w:rFonts w:ascii="Calibri" w:eastAsia="Calibri" w:hAnsi="Calibri" w:cs="Calibri"/>
          <w:sz w:val="24"/>
          <w:szCs w:val="24"/>
        </w:rPr>
        <w:t xml:space="preserve"> (Accessed: 26 July 2023).</w:t>
      </w:r>
    </w:p>
    <w:p w14:paraId="762CC288" w14:textId="4AC77A64" w:rsidR="15BAF8C0" w:rsidRDefault="15BAF8C0" w:rsidP="02DB14DE">
      <w:pPr>
        <w:spacing w:line="360" w:lineRule="auto"/>
        <w:ind w:left="567" w:hanging="567"/>
        <w:rPr>
          <w:rFonts w:ascii="Calibri" w:eastAsia="Calibri" w:hAnsi="Calibri" w:cs="Calibri"/>
          <w:color w:val="000000" w:themeColor="text1"/>
          <w:sz w:val="24"/>
          <w:szCs w:val="24"/>
        </w:rPr>
      </w:pPr>
      <w:r w:rsidRPr="02DB14DE">
        <w:rPr>
          <w:rFonts w:ascii="Calibri" w:eastAsia="Calibri" w:hAnsi="Calibri" w:cs="Calibri"/>
          <w:color w:val="000000" w:themeColor="text1"/>
          <w:sz w:val="24"/>
          <w:szCs w:val="24"/>
        </w:rPr>
        <w:t xml:space="preserve">Bartleby Research (2023) </w:t>
      </w:r>
      <w:r w:rsidRPr="02DB14DE">
        <w:rPr>
          <w:rFonts w:ascii="Calibri" w:eastAsia="Calibri" w:hAnsi="Calibri" w:cs="Calibri"/>
          <w:i/>
          <w:iCs/>
          <w:color w:val="000000" w:themeColor="text1"/>
          <w:sz w:val="24"/>
          <w:szCs w:val="24"/>
        </w:rPr>
        <w:t>Hand hygiene is a nursing practice intervention</w:t>
      </w:r>
      <w:r w:rsidRPr="02DB14DE">
        <w:rPr>
          <w:rFonts w:ascii="Calibri" w:eastAsia="Calibri" w:hAnsi="Calibri" w:cs="Calibri"/>
          <w:color w:val="000000" w:themeColor="text1"/>
          <w:sz w:val="24"/>
          <w:szCs w:val="24"/>
        </w:rPr>
        <w:t xml:space="preserve">. Available at: </w:t>
      </w:r>
      <w:hyperlink r:id="rId15">
        <w:r w:rsidRPr="02DB14DE">
          <w:rPr>
            <w:rStyle w:val="Hyperlink"/>
            <w:rFonts w:ascii="Calibri" w:eastAsia="Calibri" w:hAnsi="Calibri" w:cs="Calibri"/>
            <w:sz w:val="24"/>
            <w:szCs w:val="24"/>
          </w:rPr>
          <w:t>https://www.bartleby.com/essay/Hand-Hygiene-Is-A-Nursing-Practice-Intervention-FKQ7WCE9CPLLX</w:t>
        </w:r>
      </w:hyperlink>
      <w:r w:rsidRPr="02DB14DE">
        <w:rPr>
          <w:rFonts w:ascii="Calibri" w:eastAsia="Calibri" w:hAnsi="Calibri" w:cs="Calibri"/>
          <w:color w:val="000000" w:themeColor="text1"/>
          <w:sz w:val="24"/>
          <w:szCs w:val="24"/>
        </w:rPr>
        <w:t xml:space="preserve"> (Accessed: 26 July 2023). </w:t>
      </w:r>
    </w:p>
    <w:p w14:paraId="725A5C50" w14:textId="7A7B0C96" w:rsidR="15BAF8C0" w:rsidRDefault="15BAF8C0" w:rsidP="02DB14DE">
      <w:pPr>
        <w:spacing w:line="360" w:lineRule="auto"/>
        <w:ind w:left="567" w:hanging="567"/>
        <w:rPr>
          <w:rFonts w:ascii="Calibri" w:eastAsia="Calibri" w:hAnsi="Calibri" w:cs="Calibri"/>
          <w:color w:val="000000" w:themeColor="text1"/>
          <w:sz w:val="24"/>
          <w:szCs w:val="24"/>
        </w:rPr>
      </w:pPr>
      <w:proofErr w:type="spellStart"/>
      <w:r w:rsidRPr="02DB14DE">
        <w:rPr>
          <w:rFonts w:ascii="Calibri" w:eastAsia="Calibri" w:hAnsi="Calibri" w:cs="Calibri"/>
          <w:color w:val="000000" w:themeColor="text1"/>
          <w:sz w:val="24"/>
          <w:szCs w:val="24"/>
        </w:rPr>
        <w:t>Centers</w:t>
      </w:r>
      <w:proofErr w:type="spellEnd"/>
      <w:r w:rsidRPr="02DB14DE">
        <w:rPr>
          <w:rFonts w:ascii="Calibri" w:eastAsia="Calibri" w:hAnsi="Calibri" w:cs="Calibri"/>
          <w:color w:val="000000" w:themeColor="text1"/>
          <w:sz w:val="24"/>
          <w:szCs w:val="24"/>
        </w:rPr>
        <w:t xml:space="preserve"> for Disease Control and Prevention (2023) </w:t>
      </w:r>
      <w:r w:rsidRPr="02DB14DE">
        <w:rPr>
          <w:rFonts w:ascii="Calibri" w:eastAsia="Calibri" w:hAnsi="Calibri" w:cs="Calibri"/>
          <w:i/>
          <w:iCs/>
          <w:color w:val="000000" w:themeColor="text1"/>
          <w:sz w:val="24"/>
          <w:szCs w:val="24"/>
        </w:rPr>
        <w:t>Hand hygiene in healthcare settings</w:t>
      </w:r>
      <w:r w:rsidRPr="02DB14DE">
        <w:rPr>
          <w:rFonts w:ascii="Calibri" w:eastAsia="Calibri" w:hAnsi="Calibri" w:cs="Calibri"/>
          <w:color w:val="000000" w:themeColor="text1"/>
          <w:sz w:val="24"/>
          <w:szCs w:val="24"/>
        </w:rPr>
        <w:t xml:space="preserve">. Available at: </w:t>
      </w:r>
      <w:hyperlink r:id="rId16">
        <w:r w:rsidRPr="02DB14DE">
          <w:rPr>
            <w:rStyle w:val="Hyperlink"/>
            <w:rFonts w:ascii="Calibri" w:eastAsia="Calibri" w:hAnsi="Calibri" w:cs="Calibri"/>
            <w:sz w:val="24"/>
            <w:szCs w:val="24"/>
          </w:rPr>
          <w:t>https://www.cdc.gov/handhygiene/index.html</w:t>
        </w:r>
      </w:hyperlink>
      <w:r w:rsidRPr="02DB14DE">
        <w:rPr>
          <w:rFonts w:ascii="Calibri" w:eastAsia="Calibri" w:hAnsi="Calibri" w:cs="Calibri"/>
          <w:color w:val="000000" w:themeColor="text1"/>
          <w:sz w:val="24"/>
          <w:szCs w:val="24"/>
        </w:rPr>
        <w:t xml:space="preserve"> (Accessed: 26 July 2023). </w:t>
      </w:r>
    </w:p>
    <w:p w14:paraId="64B0D82A" w14:textId="2570854F" w:rsidR="15BAF8C0" w:rsidRDefault="15BAF8C0" w:rsidP="02DB14DE">
      <w:pPr>
        <w:spacing w:line="360" w:lineRule="auto"/>
        <w:ind w:left="567" w:hanging="567"/>
        <w:rPr>
          <w:rFonts w:ascii="Calibri" w:eastAsia="Calibri" w:hAnsi="Calibri" w:cs="Calibri"/>
          <w:color w:val="000000" w:themeColor="text1"/>
          <w:sz w:val="24"/>
          <w:szCs w:val="24"/>
        </w:rPr>
      </w:pPr>
      <w:proofErr w:type="spellStart"/>
      <w:r w:rsidRPr="02DB14DE">
        <w:rPr>
          <w:rFonts w:ascii="Calibri" w:eastAsia="Calibri" w:hAnsi="Calibri" w:cs="Calibri"/>
          <w:color w:val="000000" w:themeColor="text1"/>
          <w:sz w:val="24"/>
          <w:szCs w:val="24"/>
        </w:rPr>
        <w:t>Fabuion</w:t>
      </w:r>
      <w:proofErr w:type="spellEnd"/>
      <w:r w:rsidRPr="02DB14DE">
        <w:rPr>
          <w:rFonts w:ascii="Calibri" w:eastAsia="Calibri" w:hAnsi="Calibri" w:cs="Calibri"/>
          <w:color w:val="000000" w:themeColor="text1"/>
          <w:sz w:val="24"/>
          <w:szCs w:val="24"/>
        </w:rPr>
        <w:t xml:space="preserve">, D. (2023) </w:t>
      </w:r>
      <w:r w:rsidRPr="02DB14DE">
        <w:rPr>
          <w:rFonts w:ascii="Calibri" w:eastAsia="Calibri" w:hAnsi="Calibri" w:cs="Calibri"/>
          <w:i/>
          <w:iCs/>
          <w:color w:val="000000" w:themeColor="text1"/>
          <w:sz w:val="24"/>
          <w:szCs w:val="24"/>
        </w:rPr>
        <w:t>Understanding Evidence-Based Practice in Nursing + 10 Examples</w:t>
      </w:r>
      <w:r w:rsidRPr="02DB14DE">
        <w:rPr>
          <w:rFonts w:ascii="Calibri" w:eastAsia="Calibri" w:hAnsi="Calibri" w:cs="Calibri"/>
          <w:color w:val="000000" w:themeColor="text1"/>
          <w:sz w:val="24"/>
          <w:szCs w:val="24"/>
        </w:rPr>
        <w:t xml:space="preserve">, </w:t>
      </w:r>
      <w:r w:rsidRPr="02DB14DE">
        <w:rPr>
          <w:rFonts w:ascii="Calibri" w:eastAsia="Calibri" w:hAnsi="Calibri" w:cs="Calibri"/>
          <w:i/>
          <w:iCs/>
          <w:color w:val="000000" w:themeColor="text1"/>
          <w:sz w:val="24"/>
          <w:szCs w:val="24"/>
        </w:rPr>
        <w:t>Understanding evidence-based practice in nursing + 10 examples</w:t>
      </w:r>
      <w:r w:rsidRPr="02DB14DE">
        <w:rPr>
          <w:rFonts w:ascii="Calibri" w:eastAsia="Calibri" w:hAnsi="Calibri" w:cs="Calibri"/>
          <w:color w:val="000000" w:themeColor="text1"/>
          <w:sz w:val="24"/>
          <w:szCs w:val="24"/>
        </w:rPr>
        <w:t xml:space="preserve">. Available at: </w:t>
      </w:r>
      <w:hyperlink r:id="rId17">
        <w:r w:rsidRPr="02DB14DE">
          <w:rPr>
            <w:rStyle w:val="Hyperlink"/>
            <w:rFonts w:ascii="Calibri" w:eastAsia="Calibri" w:hAnsi="Calibri" w:cs="Calibri"/>
            <w:sz w:val="24"/>
            <w:szCs w:val="24"/>
          </w:rPr>
          <w:t>https://www.nursingprocess.org/evidence-based-practice-in-nursing-examples.html</w:t>
        </w:r>
      </w:hyperlink>
      <w:r w:rsidRPr="02DB14DE">
        <w:rPr>
          <w:rFonts w:ascii="Calibri" w:eastAsia="Calibri" w:hAnsi="Calibri" w:cs="Calibri"/>
          <w:color w:val="000000" w:themeColor="text1"/>
          <w:sz w:val="24"/>
          <w:szCs w:val="24"/>
        </w:rPr>
        <w:t xml:space="preserve"> (Accessed: 26 July 2023). </w:t>
      </w:r>
    </w:p>
    <w:p w14:paraId="235457D8" w14:textId="0618872B" w:rsidR="15BAF8C0" w:rsidRDefault="15BAF8C0" w:rsidP="02DB14DE">
      <w:pPr>
        <w:spacing w:line="360" w:lineRule="auto"/>
        <w:ind w:left="567" w:hanging="567"/>
        <w:rPr>
          <w:rFonts w:ascii="Calibri" w:eastAsia="Calibri" w:hAnsi="Calibri" w:cs="Calibri"/>
          <w:color w:val="000000" w:themeColor="text1"/>
          <w:sz w:val="24"/>
          <w:szCs w:val="24"/>
        </w:rPr>
      </w:pPr>
      <w:r w:rsidRPr="02DB14DE">
        <w:rPr>
          <w:rFonts w:ascii="Calibri" w:eastAsia="Calibri" w:hAnsi="Calibri" w:cs="Calibri"/>
          <w:color w:val="000000" w:themeColor="text1"/>
          <w:sz w:val="24"/>
          <w:szCs w:val="24"/>
        </w:rPr>
        <w:t xml:space="preserve">National Health service (2023) </w:t>
      </w:r>
      <w:r w:rsidRPr="02DB14DE">
        <w:rPr>
          <w:rFonts w:ascii="Calibri" w:eastAsia="Calibri" w:hAnsi="Calibri" w:cs="Calibri"/>
          <w:i/>
          <w:iCs/>
          <w:color w:val="000000" w:themeColor="text1"/>
          <w:sz w:val="24"/>
          <w:szCs w:val="24"/>
        </w:rPr>
        <w:t>Highlighting the importance of good hand hygiene</w:t>
      </w:r>
      <w:r w:rsidRPr="02DB14DE">
        <w:rPr>
          <w:rFonts w:ascii="Calibri" w:eastAsia="Calibri" w:hAnsi="Calibri" w:cs="Calibri"/>
          <w:color w:val="000000" w:themeColor="text1"/>
          <w:sz w:val="24"/>
          <w:szCs w:val="24"/>
        </w:rPr>
        <w:t xml:space="preserve">. Available at: </w:t>
      </w:r>
      <w:hyperlink r:id="rId18">
        <w:r w:rsidRPr="02DB14DE">
          <w:rPr>
            <w:rStyle w:val="Hyperlink"/>
            <w:rFonts w:ascii="Calibri" w:eastAsia="Calibri" w:hAnsi="Calibri" w:cs="Calibri"/>
            <w:sz w:val="24"/>
            <w:szCs w:val="24"/>
          </w:rPr>
          <w:t>https://www.nth.nhs.uk/news/highlighting-the-importance-of-good-hand-hygiene/</w:t>
        </w:r>
      </w:hyperlink>
      <w:r w:rsidRPr="02DB14DE">
        <w:rPr>
          <w:rFonts w:ascii="Calibri" w:eastAsia="Calibri" w:hAnsi="Calibri" w:cs="Calibri"/>
          <w:color w:val="000000" w:themeColor="text1"/>
          <w:sz w:val="24"/>
          <w:szCs w:val="24"/>
        </w:rPr>
        <w:t xml:space="preserve"> (Accessed: 25 July 2023).</w:t>
      </w:r>
    </w:p>
    <w:p w14:paraId="4391AC43" w14:textId="1C4CF28C" w:rsidR="02DB14DE" w:rsidRDefault="02DB14DE" w:rsidP="02DB14DE">
      <w:pPr>
        <w:spacing w:line="360" w:lineRule="auto"/>
        <w:ind w:left="567" w:hanging="567"/>
        <w:rPr>
          <w:rFonts w:ascii="Calibri" w:eastAsia="Calibri" w:hAnsi="Calibri" w:cs="Calibri"/>
          <w:color w:val="000000" w:themeColor="text1"/>
          <w:sz w:val="24"/>
          <w:szCs w:val="24"/>
        </w:rPr>
      </w:pPr>
    </w:p>
    <w:p w14:paraId="6F0C48B0" w14:textId="3B13AB5F" w:rsidR="02DB14DE" w:rsidRDefault="02DB14DE" w:rsidP="02DB14DE"/>
    <w:sectPr w:rsidR="02DB14DE">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0F086" w14:textId="77777777" w:rsidR="00830B07" w:rsidRDefault="00830B07">
      <w:pPr>
        <w:spacing w:after="0" w:line="240" w:lineRule="auto"/>
      </w:pPr>
      <w:r>
        <w:separator/>
      </w:r>
    </w:p>
  </w:endnote>
  <w:endnote w:type="continuationSeparator" w:id="0">
    <w:p w14:paraId="1407F6DC" w14:textId="77777777" w:rsidR="00830B07" w:rsidRDefault="0083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DB14DE" w14:paraId="1FFA4E07" w14:textId="77777777" w:rsidTr="25019EBB">
      <w:trPr>
        <w:trHeight w:val="300"/>
      </w:trPr>
      <w:tc>
        <w:tcPr>
          <w:tcW w:w="3005" w:type="dxa"/>
        </w:tcPr>
        <w:p w14:paraId="3BD467C9" w14:textId="25145D03" w:rsidR="02DB14DE" w:rsidRDefault="02DB14DE" w:rsidP="02DB14DE">
          <w:pPr>
            <w:pStyle w:val="Header"/>
            <w:ind w:left="-115"/>
          </w:pPr>
        </w:p>
      </w:tc>
      <w:tc>
        <w:tcPr>
          <w:tcW w:w="3005" w:type="dxa"/>
        </w:tcPr>
        <w:p w14:paraId="091263FC" w14:textId="38688BC2" w:rsidR="02DB14DE" w:rsidRDefault="02DB14DE" w:rsidP="02DB14DE">
          <w:pPr>
            <w:pStyle w:val="Header"/>
            <w:jc w:val="center"/>
          </w:pPr>
        </w:p>
      </w:tc>
      <w:tc>
        <w:tcPr>
          <w:tcW w:w="3005" w:type="dxa"/>
        </w:tcPr>
        <w:p w14:paraId="61B72490" w14:textId="7E77A23E" w:rsidR="02DB14DE" w:rsidRDefault="02DB14DE" w:rsidP="02DB14DE">
          <w:pPr>
            <w:pStyle w:val="Header"/>
            <w:ind w:right="-115"/>
            <w:jc w:val="right"/>
          </w:pPr>
          <w:r>
            <w:fldChar w:fldCharType="begin"/>
          </w:r>
          <w:r>
            <w:instrText>PAGE</w:instrText>
          </w:r>
          <w:r w:rsidR="00000000">
            <w:fldChar w:fldCharType="separate"/>
          </w:r>
          <w:r w:rsidR="00FB395E">
            <w:rPr>
              <w:noProof/>
            </w:rPr>
            <w:t>1</w:t>
          </w:r>
          <w:r>
            <w:fldChar w:fldCharType="end"/>
          </w:r>
        </w:p>
      </w:tc>
    </w:tr>
  </w:tbl>
  <w:p w14:paraId="6F843942" w14:textId="495C4752" w:rsidR="02DB14DE" w:rsidRDefault="02DB14DE" w:rsidP="02DB1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0B147" w14:textId="77777777" w:rsidR="00830B07" w:rsidRDefault="00830B07">
      <w:pPr>
        <w:spacing w:after="0" w:line="240" w:lineRule="auto"/>
      </w:pPr>
      <w:r>
        <w:separator/>
      </w:r>
    </w:p>
  </w:footnote>
  <w:footnote w:type="continuationSeparator" w:id="0">
    <w:p w14:paraId="26DA6F17" w14:textId="77777777" w:rsidR="00830B07" w:rsidRDefault="00830B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4779C" w14:textId="5C80399E" w:rsidR="02DB14DE" w:rsidRDefault="02DB14DE" w:rsidP="02DB14D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0b2SSwQZ" int2:invalidationBookmarkName="" int2:hashCode="V9CnXcV+ZGgRNM" int2:id="4mGwHeN1">
      <int2:state int2:value="Rejected" int2:type="AugLoop_Text_Critique"/>
    </int2:bookmark>
    <int2:entireDocument int2:id="wA2Gxekw">
      <int2:extLst>
        <oel:ext uri="E302BA01-7950-474C-9AD3-286E660C40A8">
          <int2:similaritySummary int2:version="1" int2:runId="1690397792561" int2:tilesCheckedInThisRun="21" int2:totalNumOfTiles="21" int2:similarityAnnotationCount="0" int2:numWords="1794" int2:numFlaggedWords="0"/>
        </oel:ext>
      </int2:extLst>
    </int2:entireDocument>
  </int2:observations>
  <int2:intelligenceSettings/>
  <int2:onDemandWorkflows>
    <int2:onDemandWorkflow int2:type="SimilarityCheck" int2:paragraphVersions="2928FC44-17B85FFD 47A9DC2B-14C0B034 3952B698-6819EA3C 0C8030B7-71D23848 7D7F9D19-32C2970C 623C65AD-0C75C4C8 408EDD06-4B2E7E78 7675F710-466B4C8F 03846C16-7CB0A2EA 7AD221C3-7C3C8B02 3F9DCE90-3D440BB4 66D07A83-308A1F0B 1678ED01-1AE99A35 131A965A-58D4B9C0 1467460C-0F88581B 03F312B7-1528459A 6FA78ED3-41C6F5B7 5ABA9A2D-447EB352 595C5C67-1107D81A 5C86910E-1D7FCE9A 2A2EC52F-065C25D2 1B45B6A3-55F6D7BB 622D104A-0002FC76 54AF628D-040B4B84 7D6D1C99-2434AFB8 67627986-6BC84C17 3321835B-14048AF8 3C971081-38B4BE04 56CDA7DA-0B245DF7 50BEC976-067FBB99 40029195-3CFA3D44 0D8F6B91-72F9ACF8 000C37D3-316B53F2 10F41A39-565A8592 2A2FE490-63CF02FB 41EAEFCD-20AF2177 347EEE9B-498A34D6 1BE44EA6-30BFB26F 6A8419EF-429107B2 00637EA5-0CEB55A6 2EEAE097-56476F2C 11D3F0B3-71B1CD7D 1DF342A8-31B6768A 4EB401B7-42D6B637 5F40E8EC-2215584D 7919AE61-0EB2E88E 48123019-259C6625 7ADFFED0-319F9A74 464EE1DF-190B8B3B 52BD2160-352E9736 441DD58D-13AC8D13 54987D28-5BAC9D08 6200C50C-262E709A 1EB7C2E3-7EDB1969 5D89D7E5-0F371D5E 413C2BE7-56A50664 52CACA17-44E4306C 52B40828-49F1DA76 0D9D4F08-6D117FF1 3C004886-604D79F0 1E90DE5C-6E3D89C0 60E243DA-5A89BCAC 758A426C-30DAACFA 2EFE14A7-3DA2505F 4C0088D3-109C22A4 1025DB7D-46A47E31 0D5B5CB1-7BBCE431 083E6F12-085EEB60 08669D6D-7129E6ED 718C304B-2A1D79F4 3B1A23E6-248D999B 2205CF63-7371546A 08E637B3-195B3439 7D3A0806-5B0281EA 4865771E-1C609D4B 60E0EB35-23D59F68 34C584B7-7AE3FE21 112D5230-6D121ECF 4D4DD31E-4DB0BD02 0539C1B0-2606153E 566F569D-2938F2D3 0B784558-74D040D3 31C63185-23F18457 0E2AE07C-22BD110B 16F175F4-1B795077 2EA37BBE-1A79045F 7E816EFD-13891DE6 6E268752-639FD94A 1C0F2D10-7F4FB371 487CBEA6-072469B9 1015DF38-6A792C81 2270CC4C-6C9D3145 286D2244-5CD6A9EF 2F7E4AD5-559BBAE5 79D131CF-50B952E6 709208ED-6483A83B 6DFC2864-62CF8A9A 619C588D-48962DDE 31D8C5F7-60BC8DCF 1D6F6FEC-0521A1C1 21F05379-0E1555D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7E57"/>
    <w:multiLevelType w:val="hybridMultilevel"/>
    <w:tmpl w:val="2118225C"/>
    <w:lvl w:ilvl="0" w:tplc="6C5A1BFE">
      <w:start w:val="1"/>
      <w:numFmt w:val="bullet"/>
      <w:lvlText w:val=""/>
      <w:lvlJc w:val="left"/>
      <w:pPr>
        <w:ind w:left="720" w:hanging="360"/>
      </w:pPr>
      <w:rPr>
        <w:rFonts w:ascii="Symbol" w:hAnsi="Symbol" w:hint="default"/>
      </w:rPr>
    </w:lvl>
    <w:lvl w:ilvl="1" w:tplc="5476CD84">
      <w:start w:val="1"/>
      <w:numFmt w:val="bullet"/>
      <w:lvlText w:val="o"/>
      <w:lvlJc w:val="left"/>
      <w:pPr>
        <w:ind w:left="1440" w:hanging="360"/>
      </w:pPr>
      <w:rPr>
        <w:rFonts w:ascii="Courier New" w:hAnsi="Courier New" w:hint="default"/>
      </w:rPr>
    </w:lvl>
    <w:lvl w:ilvl="2" w:tplc="EF04F748">
      <w:start w:val="1"/>
      <w:numFmt w:val="bullet"/>
      <w:lvlText w:val=""/>
      <w:lvlJc w:val="left"/>
      <w:pPr>
        <w:ind w:left="2160" w:hanging="360"/>
      </w:pPr>
      <w:rPr>
        <w:rFonts w:ascii="Wingdings" w:hAnsi="Wingdings" w:hint="default"/>
      </w:rPr>
    </w:lvl>
    <w:lvl w:ilvl="3" w:tplc="287C6550">
      <w:start w:val="1"/>
      <w:numFmt w:val="bullet"/>
      <w:lvlText w:val=""/>
      <w:lvlJc w:val="left"/>
      <w:pPr>
        <w:ind w:left="2880" w:hanging="360"/>
      </w:pPr>
      <w:rPr>
        <w:rFonts w:ascii="Symbol" w:hAnsi="Symbol" w:hint="default"/>
      </w:rPr>
    </w:lvl>
    <w:lvl w:ilvl="4" w:tplc="35CAD660">
      <w:start w:val="1"/>
      <w:numFmt w:val="bullet"/>
      <w:lvlText w:val="o"/>
      <w:lvlJc w:val="left"/>
      <w:pPr>
        <w:ind w:left="3600" w:hanging="360"/>
      </w:pPr>
      <w:rPr>
        <w:rFonts w:ascii="Courier New" w:hAnsi="Courier New" w:hint="default"/>
      </w:rPr>
    </w:lvl>
    <w:lvl w:ilvl="5" w:tplc="A0569A50">
      <w:start w:val="1"/>
      <w:numFmt w:val="bullet"/>
      <w:lvlText w:val=""/>
      <w:lvlJc w:val="left"/>
      <w:pPr>
        <w:ind w:left="4320" w:hanging="360"/>
      </w:pPr>
      <w:rPr>
        <w:rFonts w:ascii="Wingdings" w:hAnsi="Wingdings" w:hint="default"/>
      </w:rPr>
    </w:lvl>
    <w:lvl w:ilvl="6" w:tplc="82047A56">
      <w:start w:val="1"/>
      <w:numFmt w:val="bullet"/>
      <w:lvlText w:val=""/>
      <w:lvlJc w:val="left"/>
      <w:pPr>
        <w:ind w:left="5040" w:hanging="360"/>
      </w:pPr>
      <w:rPr>
        <w:rFonts w:ascii="Symbol" w:hAnsi="Symbol" w:hint="default"/>
      </w:rPr>
    </w:lvl>
    <w:lvl w:ilvl="7" w:tplc="CAF4AE80">
      <w:start w:val="1"/>
      <w:numFmt w:val="bullet"/>
      <w:lvlText w:val="o"/>
      <w:lvlJc w:val="left"/>
      <w:pPr>
        <w:ind w:left="5760" w:hanging="360"/>
      </w:pPr>
      <w:rPr>
        <w:rFonts w:ascii="Courier New" w:hAnsi="Courier New" w:hint="default"/>
      </w:rPr>
    </w:lvl>
    <w:lvl w:ilvl="8" w:tplc="FA5AE052">
      <w:start w:val="1"/>
      <w:numFmt w:val="bullet"/>
      <w:lvlText w:val=""/>
      <w:lvlJc w:val="left"/>
      <w:pPr>
        <w:ind w:left="6480" w:hanging="360"/>
      </w:pPr>
      <w:rPr>
        <w:rFonts w:ascii="Wingdings" w:hAnsi="Wingdings" w:hint="default"/>
      </w:rPr>
    </w:lvl>
  </w:abstractNum>
  <w:abstractNum w:abstractNumId="1" w15:restartNumberingAfterBreak="0">
    <w:nsid w:val="0CA7DE97"/>
    <w:multiLevelType w:val="hybridMultilevel"/>
    <w:tmpl w:val="F8F45AAC"/>
    <w:lvl w:ilvl="0" w:tplc="05C4A4B6">
      <w:start w:val="1"/>
      <w:numFmt w:val="bullet"/>
      <w:lvlText w:val=""/>
      <w:lvlJc w:val="left"/>
      <w:pPr>
        <w:ind w:left="720" w:hanging="360"/>
      </w:pPr>
      <w:rPr>
        <w:rFonts w:ascii="Symbol" w:hAnsi="Symbol" w:hint="default"/>
      </w:rPr>
    </w:lvl>
    <w:lvl w:ilvl="1" w:tplc="7608A2D4">
      <w:start w:val="1"/>
      <w:numFmt w:val="bullet"/>
      <w:lvlText w:val="o"/>
      <w:lvlJc w:val="left"/>
      <w:pPr>
        <w:ind w:left="1440" w:hanging="360"/>
      </w:pPr>
      <w:rPr>
        <w:rFonts w:ascii="Courier New" w:hAnsi="Courier New" w:hint="default"/>
      </w:rPr>
    </w:lvl>
    <w:lvl w:ilvl="2" w:tplc="0C100B64">
      <w:start w:val="1"/>
      <w:numFmt w:val="bullet"/>
      <w:lvlText w:val=""/>
      <w:lvlJc w:val="left"/>
      <w:pPr>
        <w:ind w:left="2160" w:hanging="360"/>
      </w:pPr>
      <w:rPr>
        <w:rFonts w:ascii="Wingdings" w:hAnsi="Wingdings" w:hint="default"/>
      </w:rPr>
    </w:lvl>
    <w:lvl w:ilvl="3" w:tplc="4E2C3BDC">
      <w:start w:val="1"/>
      <w:numFmt w:val="bullet"/>
      <w:lvlText w:val=""/>
      <w:lvlJc w:val="left"/>
      <w:pPr>
        <w:ind w:left="2880" w:hanging="360"/>
      </w:pPr>
      <w:rPr>
        <w:rFonts w:ascii="Symbol" w:hAnsi="Symbol" w:hint="default"/>
      </w:rPr>
    </w:lvl>
    <w:lvl w:ilvl="4" w:tplc="EAFA2DEC">
      <w:start w:val="1"/>
      <w:numFmt w:val="bullet"/>
      <w:lvlText w:val="o"/>
      <w:lvlJc w:val="left"/>
      <w:pPr>
        <w:ind w:left="3600" w:hanging="360"/>
      </w:pPr>
      <w:rPr>
        <w:rFonts w:ascii="Courier New" w:hAnsi="Courier New" w:hint="default"/>
      </w:rPr>
    </w:lvl>
    <w:lvl w:ilvl="5" w:tplc="0B7E5B6E">
      <w:start w:val="1"/>
      <w:numFmt w:val="bullet"/>
      <w:lvlText w:val=""/>
      <w:lvlJc w:val="left"/>
      <w:pPr>
        <w:ind w:left="4320" w:hanging="360"/>
      </w:pPr>
      <w:rPr>
        <w:rFonts w:ascii="Wingdings" w:hAnsi="Wingdings" w:hint="default"/>
      </w:rPr>
    </w:lvl>
    <w:lvl w:ilvl="6" w:tplc="E892AB18">
      <w:start w:val="1"/>
      <w:numFmt w:val="bullet"/>
      <w:lvlText w:val=""/>
      <w:lvlJc w:val="left"/>
      <w:pPr>
        <w:ind w:left="5040" w:hanging="360"/>
      </w:pPr>
      <w:rPr>
        <w:rFonts w:ascii="Symbol" w:hAnsi="Symbol" w:hint="default"/>
      </w:rPr>
    </w:lvl>
    <w:lvl w:ilvl="7" w:tplc="646A8EAE">
      <w:start w:val="1"/>
      <w:numFmt w:val="bullet"/>
      <w:lvlText w:val="o"/>
      <w:lvlJc w:val="left"/>
      <w:pPr>
        <w:ind w:left="5760" w:hanging="360"/>
      </w:pPr>
      <w:rPr>
        <w:rFonts w:ascii="Courier New" w:hAnsi="Courier New" w:hint="default"/>
      </w:rPr>
    </w:lvl>
    <w:lvl w:ilvl="8" w:tplc="17E4DA92">
      <w:start w:val="1"/>
      <w:numFmt w:val="bullet"/>
      <w:lvlText w:val=""/>
      <w:lvlJc w:val="left"/>
      <w:pPr>
        <w:ind w:left="6480" w:hanging="360"/>
      </w:pPr>
      <w:rPr>
        <w:rFonts w:ascii="Wingdings" w:hAnsi="Wingdings" w:hint="default"/>
      </w:rPr>
    </w:lvl>
  </w:abstractNum>
  <w:abstractNum w:abstractNumId="2" w15:restartNumberingAfterBreak="0">
    <w:nsid w:val="2B77A1C1"/>
    <w:multiLevelType w:val="hybridMultilevel"/>
    <w:tmpl w:val="81ECC8D2"/>
    <w:lvl w:ilvl="0" w:tplc="C720C30E">
      <w:start w:val="1"/>
      <w:numFmt w:val="bullet"/>
      <w:lvlText w:val=""/>
      <w:lvlJc w:val="left"/>
      <w:pPr>
        <w:ind w:left="720" w:hanging="360"/>
      </w:pPr>
      <w:rPr>
        <w:rFonts w:ascii="Symbol" w:hAnsi="Symbol" w:hint="default"/>
      </w:rPr>
    </w:lvl>
    <w:lvl w:ilvl="1" w:tplc="A00C87D6">
      <w:start w:val="1"/>
      <w:numFmt w:val="bullet"/>
      <w:lvlText w:val="o"/>
      <w:lvlJc w:val="left"/>
      <w:pPr>
        <w:ind w:left="1440" w:hanging="360"/>
      </w:pPr>
      <w:rPr>
        <w:rFonts w:ascii="Courier New" w:hAnsi="Courier New" w:hint="default"/>
      </w:rPr>
    </w:lvl>
    <w:lvl w:ilvl="2" w:tplc="8CF29C40">
      <w:start w:val="1"/>
      <w:numFmt w:val="bullet"/>
      <w:lvlText w:val=""/>
      <w:lvlJc w:val="left"/>
      <w:pPr>
        <w:ind w:left="2160" w:hanging="360"/>
      </w:pPr>
      <w:rPr>
        <w:rFonts w:ascii="Wingdings" w:hAnsi="Wingdings" w:hint="default"/>
      </w:rPr>
    </w:lvl>
    <w:lvl w:ilvl="3" w:tplc="CA56C59C">
      <w:start w:val="1"/>
      <w:numFmt w:val="bullet"/>
      <w:lvlText w:val=""/>
      <w:lvlJc w:val="left"/>
      <w:pPr>
        <w:ind w:left="2880" w:hanging="360"/>
      </w:pPr>
      <w:rPr>
        <w:rFonts w:ascii="Symbol" w:hAnsi="Symbol" w:hint="default"/>
      </w:rPr>
    </w:lvl>
    <w:lvl w:ilvl="4" w:tplc="8990C726">
      <w:start w:val="1"/>
      <w:numFmt w:val="bullet"/>
      <w:lvlText w:val="o"/>
      <w:lvlJc w:val="left"/>
      <w:pPr>
        <w:ind w:left="3600" w:hanging="360"/>
      </w:pPr>
      <w:rPr>
        <w:rFonts w:ascii="Courier New" w:hAnsi="Courier New" w:hint="default"/>
      </w:rPr>
    </w:lvl>
    <w:lvl w:ilvl="5" w:tplc="723E4F4E">
      <w:start w:val="1"/>
      <w:numFmt w:val="bullet"/>
      <w:lvlText w:val=""/>
      <w:lvlJc w:val="left"/>
      <w:pPr>
        <w:ind w:left="4320" w:hanging="360"/>
      </w:pPr>
      <w:rPr>
        <w:rFonts w:ascii="Wingdings" w:hAnsi="Wingdings" w:hint="default"/>
      </w:rPr>
    </w:lvl>
    <w:lvl w:ilvl="6" w:tplc="F5CA0366">
      <w:start w:val="1"/>
      <w:numFmt w:val="bullet"/>
      <w:lvlText w:val=""/>
      <w:lvlJc w:val="left"/>
      <w:pPr>
        <w:ind w:left="5040" w:hanging="360"/>
      </w:pPr>
      <w:rPr>
        <w:rFonts w:ascii="Symbol" w:hAnsi="Symbol" w:hint="default"/>
      </w:rPr>
    </w:lvl>
    <w:lvl w:ilvl="7" w:tplc="D660E35C">
      <w:start w:val="1"/>
      <w:numFmt w:val="bullet"/>
      <w:lvlText w:val="o"/>
      <w:lvlJc w:val="left"/>
      <w:pPr>
        <w:ind w:left="5760" w:hanging="360"/>
      </w:pPr>
      <w:rPr>
        <w:rFonts w:ascii="Courier New" w:hAnsi="Courier New" w:hint="default"/>
      </w:rPr>
    </w:lvl>
    <w:lvl w:ilvl="8" w:tplc="FE8E523A">
      <w:start w:val="1"/>
      <w:numFmt w:val="bullet"/>
      <w:lvlText w:val=""/>
      <w:lvlJc w:val="left"/>
      <w:pPr>
        <w:ind w:left="6480" w:hanging="360"/>
      </w:pPr>
      <w:rPr>
        <w:rFonts w:ascii="Wingdings" w:hAnsi="Wingdings" w:hint="default"/>
      </w:rPr>
    </w:lvl>
  </w:abstractNum>
  <w:abstractNum w:abstractNumId="3" w15:restartNumberingAfterBreak="0">
    <w:nsid w:val="4198C48D"/>
    <w:multiLevelType w:val="hybridMultilevel"/>
    <w:tmpl w:val="D74634F6"/>
    <w:lvl w:ilvl="0" w:tplc="2E84F546">
      <w:start w:val="1"/>
      <w:numFmt w:val="bullet"/>
      <w:lvlText w:val=""/>
      <w:lvlJc w:val="left"/>
      <w:pPr>
        <w:ind w:left="720" w:hanging="360"/>
      </w:pPr>
      <w:rPr>
        <w:rFonts w:ascii="Symbol" w:hAnsi="Symbol" w:hint="default"/>
      </w:rPr>
    </w:lvl>
    <w:lvl w:ilvl="1" w:tplc="16EE24CA">
      <w:start w:val="1"/>
      <w:numFmt w:val="bullet"/>
      <w:lvlText w:val="o"/>
      <w:lvlJc w:val="left"/>
      <w:pPr>
        <w:ind w:left="1440" w:hanging="360"/>
      </w:pPr>
      <w:rPr>
        <w:rFonts w:ascii="Courier New" w:hAnsi="Courier New" w:hint="default"/>
      </w:rPr>
    </w:lvl>
    <w:lvl w:ilvl="2" w:tplc="AC0CB7DE">
      <w:start w:val="1"/>
      <w:numFmt w:val="bullet"/>
      <w:lvlText w:val=""/>
      <w:lvlJc w:val="left"/>
      <w:pPr>
        <w:ind w:left="2160" w:hanging="360"/>
      </w:pPr>
      <w:rPr>
        <w:rFonts w:ascii="Wingdings" w:hAnsi="Wingdings" w:hint="default"/>
      </w:rPr>
    </w:lvl>
    <w:lvl w:ilvl="3" w:tplc="6590C6E4">
      <w:start w:val="1"/>
      <w:numFmt w:val="bullet"/>
      <w:lvlText w:val=""/>
      <w:lvlJc w:val="left"/>
      <w:pPr>
        <w:ind w:left="2880" w:hanging="360"/>
      </w:pPr>
      <w:rPr>
        <w:rFonts w:ascii="Symbol" w:hAnsi="Symbol" w:hint="default"/>
      </w:rPr>
    </w:lvl>
    <w:lvl w:ilvl="4" w:tplc="C94866AA">
      <w:start w:val="1"/>
      <w:numFmt w:val="bullet"/>
      <w:lvlText w:val="o"/>
      <w:lvlJc w:val="left"/>
      <w:pPr>
        <w:ind w:left="3600" w:hanging="360"/>
      </w:pPr>
      <w:rPr>
        <w:rFonts w:ascii="Courier New" w:hAnsi="Courier New" w:hint="default"/>
      </w:rPr>
    </w:lvl>
    <w:lvl w:ilvl="5" w:tplc="E2FC6596">
      <w:start w:val="1"/>
      <w:numFmt w:val="bullet"/>
      <w:lvlText w:val=""/>
      <w:lvlJc w:val="left"/>
      <w:pPr>
        <w:ind w:left="4320" w:hanging="360"/>
      </w:pPr>
      <w:rPr>
        <w:rFonts w:ascii="Wingdings" w:hAnsi="Wingdings" w:hint="default"/>
      </w:rPr>
    </w:lvl>
    <w:lvl w:ilvl="6" w:tplc="854083C6">
      <w:start w:val="1"/>
      <w:numFmt w:val="bullet"/>
      <w:lvlText w:val=""/>
      <w:lvlJc w:val="left"/>
      <w:pPr>
        <w:ind w:left="5040" w:hanging="360"/>
      </w:pPr>
      <w:rPr>
        <w:rFonts w:ascii="Symbol" w:hAnsi="Symbol" w:hint="default"/>
      </w:rPr>
    </w:lvl>
    <w:lvl w:ilvl="7" w:tplc="D060A7B0">
      <w:start w:val="1"/>
      <w:numFmt w:val="bullet"/>
      <w:lvlText w:val="o"/>
      <w:lvlJc w:val="left"/>
      <w:pPr>
        <w:ind w:left="5760" w:hanging="360"/>
      </w:pPr>
      <w:rPr>
        <w:rFonts w:ascii="Courier New" w:hAnsi="Courier New" w:hint="default"/>
      </w:rPr>
    </w:lvl>
    <w:lvl w:ilvl="8" w:tplc="9816228C">
      <w:start w:val="1"/>
      <w:numFmt w:val="bullet"/>
      <w:lvlText w:val=""/>
      <w:lvlJc w:val="left"/>
      <w:pPr>
        <w:ind w:left="6480" w:hanging="360"/>
      </w:pPr>
      <w:rPr>
        <w:rFonts w:ascii="Wingdings" w:hAnsi="Wingdings" w:hint="default"/>
      </w:rPr>
    </w:lvl>
  </w:abstractNum>
  <w:abstractNum w:abstractNumId="4" w15:restartNumberingAfterBreak="0">
    <w:nsid w:val="65A0BBF9"/>
    <w:multiLevelType w:val="hybridMultilevel"/>
    <w:tmpl w:val="65C82C26"/>
    <w:lvl w:ilvl="0" w:tplc="01A67FCC">
      <w:start w:val="1"/>
      <w:numFmt w:val="bullet"/>
      <w:lvlText w:val=""/>
      <w:lvlJc w:val="left"/>
      <w:pPr>
        <w:ind w:left="720" w:hanging="360"/>
      </w:pPr>
      <w:rPr>
        <w:rFonts w:ascii="Symbol" w:hAnsi="Symbol" w:hint="default"/>
      </w:rPr>
    </w:lvl>
    <w:lvl w:ilvl="1" w:tplc="3F343424">
      <w:start w:val="1"/>
      <w:numFmt w:val="bullet"/>
      <w:lvlText w:val="o"/>
      <w:lvlJc w:val="left"/>
      <w:pPr>
        <w:ind w:left="1440" w:hanging="360"/>
      </w:pPr>
      <w:rPr>
        <w:rFonts w:ascii="Courier New" w:hAnsi="Courier New" w:hint="default"/>
      </w:rPr>
    </w:lvl>
    <w:lvl w:ilvl="2" w:tplc="D00853C4">
      <w:start w:val="1"/>
      <w:numFmt w:val="bullet"/>
      <w:lvlText w:val=""/>
      <w:lvlJc w:val="left"/>
      <w:pPr>
        <w:ind w:left="2160" w:hanging="360"/>
      </w:pPr>
      <w:rPr>
        <w:rFonts w:ascii="Wingdings" w:hAnsi="Wingdings" w:hint="default"/>
      </w:rPr>
    </w:lvl>
    <w:lvl w:ilvl="3" w:tplc="F580DD8C">
      <w:start w:val="1"/>
      <w:numFmt w:val="bullet"/>
      <w:lvlText w:val=""/>
      <w:lvlJc w:val="left"/>
      <w:pPr>
        <w:ind w:left="2880" w:hanging="360"/>
      </w:pPr>
      <w:rPr>
        <w:rFonts w:ascii="Symbol" w:hAnsi="Symbol" w:hint="default"/>
      </w:rPr>
    </w:lvl>
    <w:lvl w:ilvl="4" w:tplc="D2662C4A">
      <w:start w:val="1"/>
      <w:numFmt w:val="bullet"/>
      <w:lvlText w:val="o"/>
      <w:lvlJc w:val="left"/>
      <w:pPr>
        <w:ind w:left="3600" w:hanging="360"/>
      </w:pPr>
      <w:rPr>
        <w:rFonts w:ascii="Courier New" w:hAnsi="Courier New" w:hint="default"/>
      </w:rPr>
    </w:lvl>
    <w:lvl w:ilvl="5" w:tplc="9E9AFF3A">
      <w:start w:val="1"/>
      <w:numFmt w:val="bullet"/>
      <w:lvlText w:val=""/>
      <w:lvlJc w:val="left"/>
      <w:pPr>
        <w:ind w:left="4320" w:hanging="360"/>
      </w:pPr>
      <w:rPr>
        <w:rFonts w:ascii="Wingdings" w:hAnsi="Wingdings" w:hint="default"/>
      </w:rPr>
    </w:lvl>
    <w:lvl w:ilvl="6" w:tplc="1242E470">
      <w:start w:val="1"/>
      <w:numFmt w:val="bullet"/>
      <w:lvlText w:val=""/>
      <w:lvlJc w:val="left"/>
      <w:pPr>
        <w:ind w:left="5040" w:hanging="360"/>
      </w:pPr>
      <w:rPr>
        <w:rFonts w:ascii="Symbol" w:hAnsi="Symbol" w:hint="default"/>
      </w:rPr>
    </w:lvl>
    <w:lvl w:ilvl="7" w:tplc="19F4EFE0">
      <w:start w:val="1"/>
      <w:numFmt w:val="bullet"/>
      <w:lvlText w:val="o"/>
      <w:lvlJc w:val="left"/>
      <w:pPr>
        <w:ind w:left="5760" w:hanging="360"/>
      </w:pPr>
      <w:rPr>
        <w:rFonts w:ascii="Courier New" w:hAnsi="Courier New" w:hint="default"/>
      </w:rPr>
    </w:lvl>
    <w:lvl w:ilvl="8" w:tplc="1C728E78">
      <w:start w:val="1"/>
      <w:numFmt w:val="bullet"/>
      <w:lvlText w:val=""/>
      <w:lvlJc w:val="left"/>
      <w:pPr>
        <w:ind w:left="6480" w:hanging="360"/>
      </w:pPr>
      <w:rPr>
        <w:rFonts w:ascii="Wingdings" w:hAnsi="Wingdings" w:hint="default"/>
      </w:rPr>
    </w:lvl>
  </w:abstractNum>
  <w:abstractNum w:abstractNumId="5" w15:restartNumberingAfterBreak="0">
    <w:nsid w:val="7A1C02C9"/>
    <w:multiLevelType w:val="hybridMultilevel"/>
    <w:tmpl w:val="49CEC238"/>
    <w:lvl w:ilvl="0" w:tplc="8D42C914">
      <w:start w:val="1"/>
      <w:numFmt w:val="bullet"/>
      <w:lvlText w:val=""/>
      <w:lvlJc w:val="left"/>
      <w:pPr>
        <w:ind w:left="720" w:hanging="360"/>
      </w:pPr>
      <w:rPr>
        <w:rFonts w:ascii="Symbol" w:hAnsi="Symbol" w:hint="default"/>
      </w:rPr>
    </w:lvl>
    <w:lvl w:ilvl="1" w:tplc="93E06B28">
      <w:start w:val="1"/>
      <w:numFmt w:val="bullet"/>
      <w:lvlText w:val="o"/>
      <w:lvlJc w:val="left"/>
      <w:pPr>
        <w:ind w:left="1440" w:hanging="360"/>
      </w:pPr>
      <w:rPr>
        <w:rFonts w:ascii="Courier New" w:hAnsi="Courier New" w:hint="default"/>
      </w:rPr>
    </w:lvl>
    <w:lvl w:ilvl="2" w:tplc="75049C9E">
      <w:start w:val="1"/>
      <w:numFmt w:val="bullet"/>
      <w:lvlText w:val=""/>
      <w:lvlJc w:val="left"/>
      <w:pPr>
        <w:ind w:left="2160" w:hanging="360"/>
      </w:pPr>
      <w:rPr>
        <w:rFonts w:ascii="Wingdings" w:hAnsi="Wingdings" w:hint="default"/>
      </w:rPr>
    </w:lvl>
    <w:lvl w:ilvl="3" w:tplc="D2405FE8">
      <w:start w:val="1"/>
      <w:numFmt w:val="bullet"/>
      <w:lvlText w:val=""/>
      <w:lvlJc w:val="left"/>
      <w:pPr>
        <w:ind w:left="2880" w:hanging="360"/>
      </w:pPr>
      <w:rPr>
        <w:rFonts w:ascii="Symbol" w:hAnsi="Symbol" w:hint="default"/>
      </w:rPr>
    </w:lvl>
    <w:lvl w:ilvl="4" w:tplc="E326EF20">
      <w:start w:val="1"/>
      <w:numFmt w:val="bullet"/>
      <w:lvlText w:val="o"/>
      <w:lvlJc w:val="left"/>
      <w:pPr>
        <w:ind w:left="3600" w:hanging="360"/>
      </w:pPr>
      <w:rPr>
        <w:rFonts w:ascii="Courier New" w:hAnsi="Courier New" w:hint="default"/>
      </w:rPr>
    </w:lvl>
    <w:lvl w:ilvl="5" w:tplc="4BE86DD8">
      <w:start w:val="1"/>
      <w:numFmt w:val="bullet"/>
      <w:lvlText w:val=""/>
      <w:lvlJc w:val="left"/>
      <w:pPr>
        <w:ind w:left="4320" w:hanging="360"/>
      </w:pPr>
      <w:rPr>
        <w:rFonts w:ascii="Wingdings" w:hAnsi="Wingdings" w:hint="default"/>
      </w:rPr>
    </w:lvl>
    <w:lvl w:ilvl="6" w:tplc="70A61698">
      <w:start w:val="1"/>
      <w:numFmt w:val="bullet"/>
      <w:lvlText w:val=""/>
      <w:lvlJc w:val="left"/>
      <w:pPr>
        <w:ind w:left="5040" w:hanging="360"/>
      </w:pPr>
      <w:rPr>
        <w:rFonts w:ascii="Symbol" w:hAnsi="Symbol" w:hint="default"/>
      </w:rPr>
    </w:lvl>
    <w:lvl w:ilvl="7" w:tplc="4AF63EC2">
      <w:start w:val="1"/>
      <w:numFmt w:val="bullet"/>
      <w:lvlText w:val="o"/>
      <w:lvlJc w:val="left"/>
      <w:pPr>
        <w:ind w:left="5760" w:hanging="360"/>
      </w:pPr>
      <w:rPr>
        <w:rFonts w:ascii="Courier New" w:hAnsi="Courier New" w:hint="default"/>
      </w:rPr>
    </w:lvl>
    <w:lvl w:ilvl="8" w:tplc="F8382E44">
      <w:start w:val="1"/>
      <w:numFmt w:val="bullet"/>
      <w:lvlText w:val=""/>
      <w:lvlJc w:val="left"/>
      <w:pPr>
        <w:ind w:left="6480" w:hanging="360"/>
      </w:pPr>
      <w:rPr>
        <w:rFonts w:ascii="Wingdings" w:hAnsi="Wingdings" w:hint="default"/>
      </w:rPr>
    </w:lvl>
  </w:abstractNum>
  <w:num w:numId="1" w16cid:durableId="782001381">
    <w:abstractNumId w:val="4"/>
  </w:num>
  <w:num w:numId="2" w16cid:durableId="2139180078">
    <w:abstractNumId w:val="5"/>
  </w:num>
  <w:num w:numId="3" w16cid:durableId="402723105">
    <w:abstractNumId w:val="3"/>
  </w:num>
  <w:num w:numId="4" w16cid:durableId="1194683904">
    <w:abstractNumId w:val="2"/>
  </w:num>
  <w:num w:numId="5" w16cid:durableId="1642884552">
    <w:abstractNumId w:val="1"/>
  </w:num>
  <w:num w:numId="6" w16cid:durableId="443842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18EDFE"/>
    <w:rsid w:val="000A4537"/>
    <w:rsid w:val="0024D6BF"/>
    <w:rsid w:val="00830B07"/>
    <w:rsid w:val="00FB395E"/>
    <w:rsid w:val="02DB14DE"/>
    <w:rsid w:val="03664067"/>
    <w:rsid w:val="03C72139"/>
    <w:rsid w:val="03C73A98"/>
    <w:rsid w:val="0428AB97"/>
    <w:rsid w:val="04A7B792"/>
    <w:rsid w:val="0505BEAA"/>
    <w:rsid w:val="0518BA7C"/>
    <w:rsid w:val="052CAC47"/>
    <w:rsid w:val="05412400"/>
    <w:rsid w:val="057403BD"/>
    <w:rsid w:val="05C2BA66"/>
    <w:rsid w:val="05D074B2"/>
    <w:rsid w:val="06C87CA8"/>
    <w:rsid w:val="078A7C8D"/>
    <w:rsid w:val="097B28B5"/>
    <w:rsid w:val="0A001D6A"/>
    <w:rsid w:val="0A3917D9"/>
    <w:rsid w:val="0A8A00B0"/>
    <w:rsid w:val="0BD1E9CC"/>
    <w:rsid w:val="0CD87B86"/>
    <w:rsid w:val="0DC7EC82"/>
    <w:rsid w:val="0DFB5E38"/>
    <w:rsid w:val="0DFE3426"/>
    <w:rsid w:val="0E2EBA45"/>
    <w:rsid w:val="0E61DFC6"/>
    <w:rsid w:val="0E86E187"/>
    <w:rsid w:val="0E8E1BD9"/>
    <w:rsid w:val="0EBE005E"/>
    <w:rsid w:val="0F1CB5D5"/>
    <w:rsid w:val="0FCA8AA6"/>
    <w:rsid w:val="104DC3A9"/>
    <w:rsid w:val="1087413D"/>
    <w:rsid w:val="10BB0AAF"/>
    <w:rsid w:val="11BCEEF1"/>
    <w:rsid w:val="11C82006"/>
    <w:rsid w:val="11DA35CC"/>
    <w:rsid w:val="1448B782"/>
    <w:rsid w:val="15A5EE00"/>
    <w:rsid w:val="15BAF8C0"/>
    <w:rsid w:val="1718EDFE"/>
    <w:rsid w:val="181FC0AE"/>
    <w:rsid w:val="18B6EE57"/>
    <w:rsid w:val="1970A6D6"/>
    <w:rsid w:val="1A52BEB8"/>
    <w:rsid w:val="1B27211D"/>
    <w:rsid w:val="1BEE8F19"/>
    <w:rsid w:val="1C037178"/>
    <w:rsid w:val="1C5B4778"/>
    <w:rsid w:val="1C937221"/>
    <w:rsid w:val="1CA84798"/>
    <w:rsid w:val="1CD67A08"/>
    <w:rsid w:val="1CE9A3E7"/>
    <w:rsid w:val="1CF20471"/>
    <w:rsid w:val="1D8A5F7A"/>
    <w:rsid w:val="1E3A203D"/>
    <w:rsid w:val="1E4417F9"/>
    <w:rsid w:val="1F967791"/>
    <w:rsid w:val="1FF60A4C"/>
    <w:rsid w:val="202E2D98"/>
    <w:rsid w:val="20591633"/>
    <w:rsid w:val="20C2003C"/>
    <w:rsid w:val="20CDF626"/>
    <w:rsid w:val="210B70AE"/>
    <w:rsid w:val="213F426A"/>
    <w:rsid w:val="2191DAAD"/>
    <w:rsid w:val="21D0B71D"/>
    <w:rsid w:val="225DD09D"/>
    <w:rsid w:val="22706EC1"/>
    <w:rsid w:val="22E3C689"/>
    <w:rsid w:val="2317891C"/>
    <w:rsid w:val="232C19BF"/>
    <w:rsid w:val="23F9A0FE"/>
    <w:rsid w:val="2413CDCE"/>
    <w:rsid w:val="247F96EA"/>
    <w:rsid w:val="24B3597D"/>
    <w:rsid w:val="24DCA2CD"/>
    <w:rsid w:val="25019EBB"/>
    <w:rsid w:val="26319B4B"/>
    <w:rsid w:val="26FEAE1D"/>
    <w:rsid w:val="2721D3B6"/>
    <w:rsid w:val="273141C0"/>
    <w:rsid w:val="289A7E7E"/>
    <w:rsid w:val="28AFD75A"/>
    <w:rsid w:val="2953080D"/>
    <w:rsid w:val="2ACBF5C9"/>
    <w:rsid w:val="2B02B509"/>
    <w:rsid w:val="2B6C9DFE"/>
    <w:rsid w:val="2BC33D31"/>
    <w:rsid w:val="2C0F1709"/>
    <w:rsid w:val="2D0D5835"/>
    <w:rsid w:val="2D6AB248"/>
    <w:rsid w:val="2FE7239A"/>
    <w:rsid w:val="31689816"/>
    <w:rsid w:val="3182F3FB"/>
    <w:rsid w:val="322143DE"/>
    <w:rsid w:val="328078D9"/>
    <w:rsid w:val="33812107"/>
    <w:rsid w:val="33D63C9C"/>
    <w:rsid w:val="3400260F"/>
    <w:rsid w:val="348F06E2"/>
    <w:rsid w:val="35ACCB79"/>
    <w:rsid w:val="35AF53CF"/>
    <w:rsid w:val="35F94709"/>
    <w:rsid w:val="36519FC1"/>
    <w:rsid w:val="36EC103E"/>
    <w:rsid w:val="36F4B501"/>
    <w:rsid w:val="38908562"/>
    <w:rsid w:val="38C871D9"/>
    <w:rsid w:val="38E46C3B"/>
    <w:rsid w:val="38F6C7D7"/>
    <w:rsid w:val="39894083"/>
    <w:rsid w:val="3A2C55C3"/>
    <w:rsid w:val="3A803C9C"/>
    <w:rsid w:val="3B40AC51"/>
    <w:rsid w:val="3BA48F34"/>
    <w:rsid w:val="3C3311FC"/>
    <w:rsid w:val="3CE6C467"/>
    <w:rsid w:val="3CFF5707"/>
    <w:rsid w:val="3D63F685"/>
    <w:rsid w:val="3DABD2E3"/>
    <w:rsid w:val="3E77023B"/>
    <w:rsid w:val="3EBEA813"/>
    <w:rsid w:val="3F1ED09A"/>
    <w:rsid w:val="3F53ADBF"/>
    <w:rsid w:val="4090D722"/>
    <w:rsid w:val="409B9747"/>
    <w:rsid w:val="40AA7956"/>
    <w:rsid w:val="414459A0"/>
    <w:rsid w:val="420B2598"/>
    <w:rsid w:val="423767A8"/>
    <w:rsid w:val="428ECB16"/>
    <w:rsid w:val="42A0FC32"/>
    <w:rsid w:val="4344516C"/>
    <w:rsid w:val="43BD5D25"/>
    <w:rsid w:val="446AA8FE"/>
    <w:rsid w:val="456F086A"/>
    <w:rsid w:val="45F4461B"/>
    <w:rsid w:val="46138A29"/>
    <w:rsid w:val="470AD8CB"/>
    <w:rsid w:val="4719587B"/>
    <w:rsid w:val="47529241"/>
    <w:rsid w:val="47A93ED9"/>
    <w:rsid w:val="482B741D"/>
    <w:rsid w:val="48E75898"/>
    <w:rsid w:val="492B417E"/>
    <w:rsid w:val="4940C93C"/>
    <w:rsid w:val="49A3D7BA"/>
    <w:rsid w:val="49E88337"/>
    <w:rsid w:val="4A066ED3"/>
    <w:rsid w:val="4A1E32DF"/>
    <w:rsid w:val="4A67426D"/>
    <w:rsid w:val="4B15030E"/>
    <w:rsid w:val="4C21C057"/>
    <w:rsid w:val="4C5AA55A"/>
    <w:rsid w:val="4D7A1A4F"/>
    <w:rsid w:val="4DCD3B12"/>
    <w:rsid w:val="4E2C1F79"/>
    <w:rsid w:val="4F95351C"/>
    <w:rsid w:val="4FBD9F71"/>
    <w:rsid w:val="501F620B"/>
    <w:rsid w:val="50B9A897"/>
    <w:rsid w:val="50BA8195"/>
    <w:rsid w:val="524D8B72"/>
    <w:rsid w:val="52B53CD8"/>
    <w:rsid w:val="5382C417"/>
    <w:rsid w:val="538CA9DB"/>
    <w:rsid w:val="5408BA03"/>
    <w:rsid w:val="551409FC"/>
    <w:rsid w:val="55287A3C"/>
    <w:rsid w:val="5541E99F"/>
    <w:rsid w:val="55A48A64"/>
    <w:rsid w:val="55AC6C57"/>
    <w:rsid w:val="5699AE1D"/>
    <w:rsid w:val="56E38D8A"/>
    <w:rsid w:val="57A066BC"/>
    <w:rsid w:val="57D7293F"/>
    <w:rsid w:val="58180899"/>
    <w:rsid w:val="5856353A"/>
    <w:rsid w:val="587F5DEB"/>
    <w:rsid w:val="58DC2B26"/>
    <w:rsid w:val="59E2C302"/>
    <w:rsid w:val="5A2BD41B"/>
    <w:rsid w:val="5A4AAA71"/>
    <w:rsid w:val="5A97F1CA"/>
    <w:rsid w:val="5AE3B406"/>
    <w:rsid w:val="5AE6B213"/>
    <w:rsid w:val="5B3B6D77"/>
    <w:rsid w:val="5B6DF669"/>
    <w:rsid w:val="5B7AB148"/>
    <w:rsid w:val="5B7E9363"/>
    <w:rsid w:val="5BAC2A78"/>
    <w:rsid w:val="5BED2E88"/>
    <w:rsid w:val="5E59604A"/>
    <w:rsid w:val="5F78D84B"/>
    <w:rsid w:val="61AA66F7"/>
    <w:rsid w:val="63463758"/>
    <w:rsid w:val="63E21848"/>
    <w:rsid w:val="64120F08"/>
    <w:rsid w:val="64A4A18D"/>
    <w:rsid w:val="6538881B"/>
    <w:rsid w:val="67D20EEB"/>
    <w:rsid w:val="6836DDE4"/>
    <w:rsid w:val="683A470F"/>
    <w:rsid w:val="689A24EC"/>
    <w:rsid w:val="689D6F3B"/>
    <w:rsid w:val="68C7E550"/>
    <w:rsid w:val="6912639C"/>
    <w:rsid w:val="697C3967"/>
    <w:rsid w:val="69D2AE45"/>
    <w:rsid w:val="6AAE33FD"/>
    <w:rsid w:val="6B10408F"/>
    <w:rsid w:val="6B6E7EA6"/>
    <w:rsid w:val="6C0A699E"/>
    <w:rsid w:val="6CCF4DBE"/>
    <w:rsid w:val="6D0A4F07"/>
    <w:rsid w:val="6D4DD0D0"/>
    <w:rsid w:val="6D626451"/>
    <w:rsid w:val="6DB4F73B"/>
    <w:rsid w:val="6F6E569E"/>
    <w:rsid w:val="6F7DA74D"/>
    <w:rsid w:val="6FDE9E4A"/>
    <w:rsid w:val="70620132"/>
    <w:rsid w:val="706B2CD8"/>
    <w:rsid w:val="70D7FD45"/>
    <w:rsid w:val="71AD5E11"/>
    <w:rsid w:val="71C08AC1"/>
    <w:rsid w:val="72B804E4"/>
    <w:rsid w:val="7336041A"/>
    <w:rsid w:val="73C4E4FC"/>
    <w:rsid w:val="73F1D110"/>
    <w:rsid w:val="75787BA1"/>
    <w:rsid w:val="75A8A04E"/>
    <w:rsid w:val="75F9B88F"/>
    <w:rsid w:val="7618EAA3"/>
    <w:rsid w:val="7693FBE4"/>
    <w:rsid w:val="76E71CA7"/>
    <w:rsid w:val="782FCC45"/>
    <w:rsid w:val="787E044F"/>
    <w:rsid w:val="788CF1A5"/>
    <w:rsid w:val="7A5F042B"/>
    <w:rsid w:val="7A6BC4B4"/>
    <w:rsid w:val="7C50B814"/>
    <w:rsid w:val="7D033D68"/>
    <w:rsid w:val="7D565E2B"/>
    <w:rsid w:val="7D84351B"/>
    <w:rsid w:val="7E9F0DC9"/>
    <w:rsid w:val="7F3C5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8EDFE"/>
  <w15:chartTrackingRefBased/>
  <w15:docId w15:val="{EB478E70-2F22-491C-8E0D-30B579F60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912/ojin.vol18no02man04" TargetMode="External"/><Relationship Id="rId13" Type="http://schemas.openxmlformats.org/officeDocument/2006/relationships/hyperlink" Target="https://www.nth.nhs.uk/news/highlighting-the-importance-of-good-hand-hygiene/" TargetMode="External"/><Relationship Id="rId18" Type="http://schemas.openxmlformats.org/officeDocument/2006/relationships/hyperlink" Target="https://www.nth.nhs.uk/news/highlighting-the-importance-of-good-hand-hygien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who.int/publications/m/item/hand-hygiene-why-how-when" TargetMode="External"/><Relationship Id="rId12" Type="http://schemas.openxmlformats.org/officeDocument/2006/relationships/hyperlink" Target="https://www.england.nhs.uk/wp-content/uploads/2020/03/leading-the-acceleration-of-evidence-into-practice-guide.pdf" TargetMode="External"/><Relationship Id="rId17" Type="http://schemas.openxmlformats.org/officeDocument/2006/relationships/hyperlink" Target="https://www.nursingprocess.org/evidence-based-practice-in-nursing-examples.html" TargetMode="External"/><Relationship Id="rId2" Type="http://schemas.openxmlformats.org/officeDocument/2006/relationships/styles" Target="styles.xml"/><Relationship Id="rId16" Type="http://schemas.openxmlformats.org/officeDocument/2006/relationships/hyperlink" Target="https://www.cdc.gov/handhygiene/index.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rofnurs.2016.05.009" TargetMode="External"/><Relationship Id="rId5" Type="http://schemas.openxmlformats.org/officeDocument/2006/relationships/footnotes" Target="footnotes.xml"/><Relationship Id="rId15" Type="http://schemas.openxmlformats.org/officeDocument/2006/relationships/hyperlink" Target="https://www.bartleby.com/essay/Hand-Hygiene-Is-A-Nursing-Practice-Intervention-FKQ7WCE9CPLLX" TargetMode="External"/><Relationship Id="rId23" Type="http://schemas.microsoft.com/office/2020/10/relationships/intelligence" Target="intelligence2.xml"/><Relationship Id="rId10" Type="http://schemas.openxmlformats.org/officeDocument/2006/relationships/hyperlink" Target="https://www.rcn.org.uk/-/media/royal-college-of-nursing/documents/publications/2017/november/pub-005940.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ice.org.uk/guidance/qs61/chapter/quality-statement-3-hand-decontamination" TargetMode="External"/><Relationship Id="rId14" Type="http://schemas.openxmlformats.org/officeDocument/2006/relationships/hyperlink" Target="https://researchforevidence.fhi360.org/new-evidence-for-improving-handwashing-access-and-behavior-during-covid-19-and-beyon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2581</Words>
  <Characters>16190</Characters>
  <Application>Microsoft Office Word</Application>
  <DocSecurity>0</DocSecurity>
  <Lines>351</Lines>
  <Paragraphs>68</Paragraphs>
  <ScaleCrop>false</ScaleCrop>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Lorren Montgomery (2210324)</dc:creator>
  <cp:keywords/>
  <dc:description/>
  <cp:lastModifiedBy>Lorren Montgomery</cp:lastModifiedBy>
  <cp:revision>6</cp:revision>
  <dcterms:created xsi:type="dcterms:W3CDTF">2023-02-17T13:50:00Z</dcterms:created>
  <dcterms:modified xsi:type="dcterms:W3CDTF">2023-07-26T19:43:00Z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513c52bea9e99cdf48c9e941ada202d18cc02d2816b709721a200a634ac2873c</vt:lpwstr>
  </property>
</Properties>
</file>