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53DE7" w14:textId="1500ABE3" w:rsidR="00023C0F" w:rsidRDefault="00023C0F" w:rsidP="00023C0F">
      <w:pPr>
        <w:pStyle w:val="ListParagraph"/>
        <w:autoSpaceDN w:val="0"/>
        <w:ind w:left="360"/>
        <w:contextualSpacing w:val="0"/>
        <w:jc w:val="center"/>
        <w:rPr>
          <w:rFonts w:ascii="Times New Roman" w:hAnsi="Times New Roman" w:cs="Times New Roman"/>
          <w:sz w:val="28"/>
          <w:szCs w:val="28"/>
          <w:u w:val="single"/>
        </w:rPr>
      </w:pPr>
      <w:r w:rsidRPr="00023C0F">
        <w:rPr>
          <w:rFonts w:ascii="Times New Roman" w:hAnsi="Times New Roman" w:cs="Times New Roman"/>
          <w:sz w:val="28"/>
          <w:szCs w:val="28"/>
          <w:u w:val="single"/>
        </w:rPr>
        <w:t>The primary weakness of British policy towards Ireland between 1914 and 1921 was its inconsistency. Discuss with particular attention given to the impact of Britain’s involvement in World War One.</w:t>
      </w:r>
    </w:p>
    <w:p w14:paraId="084270B4" w14:textId="77777777" w:rsidR="00C2275C" w:rsidRDefault="00C2275C" w:rsidP="00A8312F">
      <w:pPr>
        <w:autoSpaceDN w:val="0"/>
        <w:rPr>
          <w:rFonts w:ascii="Times New Roman" w:hAnsi="Times New Roman" w:cs="Times New Roman"/>
          <w:b/>
          <w:bCs/>
          <w:u w:val="single"/>
        </w:rPr>
      </w:pPr>
    </w:p>
    <w:p w14:paraId="76863078" w14:textId="546720D3" w:rsidR="00C2275C" w:rsidRDefault="00194B3B" w:rsidP="00A8312F">
      <w:pPr>
        <w:autoSpaceDN w:val="0"/>
        <w:rPr>
          <w:rFonts w:ascii="Times New Roman" w:hAnsi="Times New Roman" w:cs="Times New Roman"/>
        </w:rPr>
      </w:pPr>
      <w:r>
        <w:rPr>
          <w:rFonts w:ascii="Times New Roman" w:hAnsi="Times New Roman" w:cs="Times New Roman"/>
        </w:rPr>
        <w:t xml:space="preserve">The period 1914 to 1921 was dominated by </w:t>
      </w:r>
      <w:r w:rsidR="00EF5DB0">
        <w:rPr>
          <w:rFonts w:ascii="Times New Roman" w:hAnsi="Times New Roman" w:cs="Times New Roman"/>
        </w:rPr>
        <w:t xml:space="preserve">not </w:t>
      </w:r>
      <w:r>
        <w:rPr>
          <w:rFonts w:ascii="Times New Roman" w:hAnsi="Times New Roman" w:cs="Times New Roman"/>
        </w:rPr>
        <w:t>an inconsistent policy towards Ireland</w:t>
      </w:r>
      <w:r w:rsidR="00EF5DB0">
        <w:rPr>
          <w:rFonts w:ascii="Times New Roman" w:hAnsi="Times New Roman" w:cs="Times New Roman"/>
        </w:rPr>
        <w:t xml:space="preserve"> but a violent one</w:t>
      </w:r>
      <w:r w:rsidR="007E56B1">
        <w:rPr>
          <w:rFonts w:ascii="Times New Roman" w:hAnsi="Times New Roman" w:cs="Times New Roman"/>
        </w:rPr>
        <w:t xml:space="preserve"> and surrounded the issue of home rule</w:t>
      </w:r>
      <w:r w:rsidR="00EF5DB0">
        <w:rPr>
          <w:rFonts w:ascii="Times New Roman" w:hAnsi="Times New Roman" w:cs="Times New Roman"/>
        </w:rPr>
        <w:t>.</w:t>
      </w:r>
      <w:r>
        <w:rPr>
          <w:rFonts w:ascii="Times New Roman" w:hAnsi="Times New Roman" w:cs="Times New Roman"/>
        </w:rPr>
        <w:t xml:space="preserve"> </w:t>
      </w:r>
      <w:r w:rsidR="00B84A35">
        <w:rPr>
          <w:rFonts w:ascii="Times New Roman" w:hAnsi="Times New Roman" w:cs="Times New Roman"/>
        </w:rPr>
        <w:t xml:space="preserve">The rise of Irish nationalism was due partly to world events and became a driving force for revolution, particularly towards the British. A.J. Rose notes how </w:t>
      </w:r>
      <w:r w:rsidR="00B84A35" w:rsidRPr="00B84A35">
        <w:rPr>
          <w:rFonts w:ascii="Times New Roman" w:hAnsi="Times New Roman" w:cs="Times New Roman"/>
          <w:color w:val="FF0000"/>
        </w:rPr>
        <w:t>“The development of nationalism as a primary force in world politics since the American War of Independence and the French Revolution has resulted in a profound and continuing remodelling of the old state territorial systems and the disintegration of non-nationality</w:t>
      </w:r>
      <w:r w:rsidR="00B84A35">
        <w:rPr>
          <w:rFonts w:ascii="Times New Roman" w:hAnsi="Times New Roman" w:cs="Times New Roman"/>
          <w:color w:val="FF0000"/>
        </w:rPr>
        <w:t xml:space="preserve"> </w:t>
      </w:r>
      <w:r w:rsidR="00B84A35" w:rsidRPr="00B84A35">
        <w:rPr>
          <w:rFonts w:ascii="Times New Roman" w:hAnsi="Times New Roman" w:cs="Times New Roman"/>
          <w:color w:val="FF0000"/>
        </w:rPr>
        <w:t>based empires.”</w:t>
      </w:r>
      <w:r w:rsidR="00B84A35" w:rsidRPr="00B84A35">
        <w:rPr>
          <w:rStyle w:val="FootnoteReference"/>
          <w:rFonts w:ascii="Times New Roman" w:hAnsi="Times New Roman" w:cs="Times New Roman"/>
          <w:color w:val="FF0000"/>
        </w:rPr>
        <w:footnoteReference w:id="1"/>
      </w:r>
      <w:r w:rsidR="00C2275C">
        <w:rPr>
          <w:rFonts w:ascii="Times New Roman" w:hAnsi="Times New Roman" w:cs="Times New Roman"/>
        </w:rPr>
        <w:t xml:space="preserve">At a time when the United Kingdom is still </w:t>
      </w:r>
      <w:r w:rsidR="00B87F61">
        <w:rPr>
          <w:rFonts w:ascii="Times New Roman" w:hAnsi="Times New Roman" w:cs="Times New Roman"/>
        </w:rPr>
        <w:t xml:space="preserve">reforming after the effects of the French Revolution and the new ideology of enlightenment, it was also </w:t>
      </w:r>
      <w:r w:rsidR="00C2275C">
        <w:rPr>
          <w:rFonts w:ascii="Times New Roman" w:hAnsi="Times New Roman" w:cs="Times New Roman"/>
        </w:rPr>
        <w:t>adjusting its p</w:t>
      </w:r>
      <w:r w:rsidR="00B87F61">
        <w:rPr>
          <w:rFonts w:ascii="Times New Roman" w:hAnsi="Times New Roman" w:cs="Times New Roman"/>
        </w:rPr>
        <w:t>olicy</w:t>
      </w:r>
      <w:r w:rsidR="00C2275C">
        <w:rPr>
          <w:rFonts w:ascii="Times New Roman" w:hAnsi="Times New Roman" w:cs="Times New Roman"/>
        </w:rPr>
        <w:t xml:space="preserve"> towards Ireland </w:t>
      </w:r>
      <w:r w:rsidR="00B87F61">
        <w:rPr>
          <w:rFonts w:ascii="Times New Roman" w:hAnsi="Times New Roman" w:cs="Times New Roman"/>
        </w:rPr>
        <w:t xml:space="preserve">since the 1800s with volatile acts ensuing throughout the period up until the Good Friday Agreement (1998). </w:t>
      </w:r>
      <w:r w:rsidR="00C2275C">
        <w:rPr>
          <w:rFonts w:ascii="Times New Roman" w:hAnsi="Times New Roman" w:cs="Times New Roman"/>
        </w:rPr>
        <w:t xml:space="preserve">One of these periods existed during the Great War (1914-1918) and ended </w:t>
      </w:r>
      <w:r w:rsidR="00B87F61">
        <w:rPr>
          <w:rFonts w:ascii="Times New Roman" w:hAnsi="Times New Roman" w:cs="Times New Roman"/>
        </w:rPr>
        <w:t>with the partition of Ireland (1921)</w:t>
      </w:r>
      <w:r w:rsidR="00C2275C">
        <w:rPr>
          <w:rFonts w:ascii="Times New Roman" w:hAnsi="Times New Roman" w:cs="Times New Roman"/>
        </w:rPr>
        <w:t xml:space="preserve">. The review of </w:t>
      </w:r>
      <w:r w:rsidR="00B87F61">
        <w:rPr>
          <w:rFonts w:ascii="Times New Roman" w:hAnsi="Times New Roman" w:cs="Times New Roman"/>
        </w:rPr>
        <w:t xml:space="preserve">British </w:t>
      </w:r>
      <w:r w:rsidR="00C2275C">
        <w:rPr>
          <w:rFonts w:ascii="Times New Roman" w:hAnsi="Times New Roman" w:cs="Times New Roman"/>
        </w:rPr>
        <w:t>p</w:t>
      </w:r>
      <w:r w:rsidR="00B87F61">
        <w:rPr>
          <w:rFonts w:ascii="Times New Roman" w:hAnsi="Times New Roman" w:cs="Times New Roman"/>
        </w:rPr>
        <w:t>olicy towards Ireland</w:t>
      </w:r>
      <w:r w:rsidR="00C2275C">
        <w:rPr>
          <w:rFonts w:ascii="Times New Roman" w:hAnsi="Times New Roman" w:cs="Times New Roman"/>
        </w:rPr>
        <w:t xml:space="preserve"> can be dated back to former Prime Minister William Gladstone</w:t>
      </w:r>
      <w:r w:rsidR="00B87F61">
        <w:rPr>
          <w:rFonts w:ascii="Times New Roman" w:hAnsi="Times New Roman" w:cs="Times New Roman"/>
        </w:rPr>
        <w:t>’</w:t>
      </w:r>
      <w:r w:rsidR="00C2275C">
        <w:rPr>
          <w:rFonts w:ascii="Times New Roman" w:hAnsi="Times New Roman" w:cs="Times New Roman"/>
        </w:rPr>
        <w:t>s foreign policy by promoting Home Rule in Ireland and since then these proposals have evolved and been challenged. The issue of Home Rule was prevalent just before the breakout of war in Europe and was side-lined for its duration</w:t>
      </w:r>
      <w:r w:rsidR="009B7048">
        <w:rPr>
          <w:rFonts w:ascii="Times New Roman" w:hAnsi="Times New Roman" w:cs="Times New Roman"/>
        </w:rPr>
        <w:t xml:space="preserve"> but also created one cohesive national movement. It also provided a dominant question within parliament, liberals supported Home Rule for Ireland whilst Conservative opposition to the idea of Home Rule shaped its party identity during the late Victorian and Edwardian era or Britain, arguably more than any other single issue.</w:t>
      </w:r>
    </w:p>
    <w:p w14:paraId="40782765" w14:textId="77777777" w:rsidR="00BD7CC9" w:rsidRPr="002D08D8" w:rsidRDefault="00BD7CC9" w:rsidP="00BD7CC9">
      <w:pPr>
        <w:autoSpaceDN w:val="0"/>
        <w:rPr>
          <w:rFonts w:ascii="Times New Roman" w:hAnsi="Times New Roman" w:cs="Times New Roman"/>
          <w:b/>
          <w:bCs/>
          <w:color w:val="000000" w:themeColor="text1"/>
          <w:u w:val="single"/>
          <w:shd w:val="clear" w:color="auto" w:fill="FFFFFF"/>
        </w:rPr>
      </w:pPr>
    </w:p>
    <w:p w14:paraId="5C8C16BF" w14:textId="014F6E98" w:rsidR="00BD7CC9" w:rsidRPr="00B80024" w:rsidRDefault="00BD7CC9" w:rsidP="00BD7CC9">
      <w:pPr>
        <w:autoSpaceDN w:val="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commons were rife with debate between Conservative party and Liberal party’s over whether the matter of Home Rule should be implemented in Ireland and if Britain should maintain its rule over Ireland. Conservative views on Irish home rule between 1886-1914 was that home rule would be the demise of the British empire. The outbreak of war although somewhat changed conservative attitudes to home rule by 1917 as D.G. Boyce notes explaining </w:t>
      </w:r>
      <w:r w:rsidRPr="003A7498">
        <w:rPr>
          <w:rFonts w:ascii="Times New Roman" w:hAnsi="Times New Roman" w:cs="Times New Roman"/>
          <w:color w:val="FF0000"/>
          <w:shd w:val="clear" w:color="auto" w:fill="FFFFFF"/>
        </w:rPr>
        <w:t>“…by 1917 they could hardly ignore the fact that an Irish settlement, necessarily involving home rule in some form, was essential to the war effort, and therefore to the survival of the empire.”</w:t>
      </w:r>
      <w:r w:rsidRPr="003A7498">
        <w:rPr>
          <w:rStyle w:val="FootnoteReference"/>
          <w:rFonts w:ascii="Times New Roman" w:hAnsi="Times New Roman" w:cs="Times New Roman"/>
          <w:color w:val="FF0000"/>
          <w:shd w:val="clear" w:color="auto" w:fill="FFFFFF"/>
        </w:rPr>
        <w:footnoteReference w:id="2"/>
      </w:r>
      <w:r w:rsidRPr="003A7498">
        <w:rPr>
          <w:rFonts w:ascii="Times New Roman" w:hAnsi="Times New Roman" w:cs="Times New Roman"/>
          <w:color w:val="FF0000"/>
          <w:shd w:val="clear" w:color="auto" w:fill="FFFFFF"/>
        </w:rPr>
        <w:t xml:space="preserve"> </w:t>
      </w:r>
      <w:r>
        <w:rPr>
          <w:rFonts w:ascii="Times New Roman" w:hAnsi="Times New Roman" w:cs="Times New Roman"/>
          <w:color w:val="000000" w:themeColor="text1"/>
          <w:shd w:val="clear" w:color="auto" w:fill="FFFFFF"/>
        </w:rPr>
        <w:t xml:space="preserve">Never the less, challenge of the conservatives over this issue somewhat hindered the policy of the Liberals towards the ‘Irish Question’. D.G. Boyce noted in the journal article ‘Irish Historical Studies’ that the conservative between 1906 to 1910 had </w:t>
      </w:r>
      <w:r w:rsidRPr="00B75EF2">
        <w:rPr>
          <w:rFonts w:ascii="Times New Roman" w:hAnsi="Times New Roman" w:cs="Times New Roman"/>
          <w:color w:val="FF0000"/>
          <w:shd w:val="clear" w:color="auto" w:fill="FFFFFF"/>
        </w:rPr>
        <w:t>“…made it clear that, if they could not govern, they could at least hinder the government of others by using their control of the house of lords to place their own veto on liberal legislation”</w:t>
      </w:r>
      <w:r>
        <w:rPr>
          <w:rStyle w:val="FootnoteReference"/>
          <w:rFonts w:ascii="Times New Roman" w:hAnsi="Times New Roman" w:cs="Times New Roman"/>
          <w:color w:val="FF0000"/>
          <w:shd w:val="clear" w:color="auto" w:fill="FFFFFF"/>
        </w:rPr>
        <w:footnoteReference w:id="3"/>
      </w:r>
      <w:r>
        <w:rPr>
          <w:rFonts w:ascii="Times New Roman" w:hAnsi="Times New Roman" w:cs="Times New Roman"/>
          <w:color w:val="FF0000"/>
          <w:shd w:val="clear" w:color="auto" w:fill="FFFFFF"/>
        </w:rPr>
        <w:t xml:space="preserve"> </w:t>
      </w:r>
      <w:r>
        <w:rPr>
          <w:rFonts w:ascii="Times New Roman" w:hAnsi="Times New Roman" w:cs="Times New Roman"/>
          <w:color w:val="000000" w:themeColor="text1"/>
          <w:shd w:val="clear" w:color="auto" w:fill="FFFFFF"/>
        </w:rPr>
        <w:t xml:space="preserve">although by 1911 </w:t>
      </w:r>
      <w:r w:rsidR="00EF5DB0">
        <w:rPr>
          <w:rFonts w:ascii="Times New Roman" w:hAnsi="Times New Roman" w:cs="Times New Roman"/>
          <w:color w:val="000000" w:themeColor="text1"/>
          <w:shd w:val="clear" w:color="auto" w:fill="FFFFFF"/>
        </w:rPr>
        <w:t>t</w:t>
      </w:r>
      <w:r>
        <w:rPr>
          <w:rFonts w:ascii="Times New Roman" w:hAnsi="Times New Roman" w:cs="Times New Roman"/>
          <w:color w:val="000000" w:themeColor="text1"/>
          <w:shd w:val="clear" w:color="auto" w:fill="FFFFFF"/>
        </w:rPr>
        <w:t>heir control of the House of Lords had diminished. Despite this fact, the opposition Asquith and the liberal party faced from the conservative party was one of the main reasons why the policy towards Ireland would be inconsistent from 1914-1</w:t>
      </w:r>
      <w:r w:rsidR="00EF5DB0">
        <w:rPr>
          <w:rFonts w:ascii="Times New Roman" w:hAnsi="Times New Roman" w:cs="Times New Roman"/>
          <w:color w:val="000000" w:themeColor="text1"/>
          <w:shd w:val="clear" w:color="auto" w:fill="FFFFFF"/>
        </w:rPr>
        <w:t>9</w:t>
      </w:r>
      <w:r>
        <w:rPr>
          <w:rFonts w:ascii="Times New Roman" w:hAnsi="Times New Roman" w:cs="Times New Roman"/>
          <w:color w:val="000000" w:themeColor="text1"/>
          <w:shd w:val="clear" w:color="auto" w:fill="FFFFFF"/>
        </w:rPr>
        <w:t xml:space="preserve">21. In 1913 the conservative leader Bonar Law argued that if there was an attempt to force protestant Ulster to submit to a home rule parliament then he could not </w:t>
      </w:r>
      <w:r w:rsidRPr="002D08D8">
        <w:rPr>
          <w:rFonts w:ascii="Times New Roman" w:hAnsi="Times New Roman" w:cs="Times New Roman"/>
          <w:color w:val="FF0000"/>
          <w:shd w:val="clear" w:color="auto" w:fill="FFFFFF"/>
        </w:rPr>
        <w:t>“imagine no length of resistance ‘to which Ulster could go”</w:t>
      </w:r>
      <w:r w:rsidRPr="002D08D8">
        <w:rPr>
          <w:rStyle w:val="FootnoteReference"/>
          <w:rFonts w:ascii="Times New Roman" w:hAnsi="Times New Roman" w:cs="Times New Roman"/>
          <w:color w:val="FF0000"/>
          <w:shd w:val="clear" w:color="auto" w:fill="FFFFFF"/>
        </w:rPr>
        <w:footnoteReference w:id="4"/>
      </w:r>
      <w:r w:rsidRPr="002D08D8">
        <w:rPr>
          <w:rFonts w:ascii="Times New Roman" w:hAnsi="Times New Roman" w:cs="Times New Roman"/>
          <w:color w:val="FF0000"/>
          <w:shd w:val="clear" w:color="auto" w:fill="FFFFFF"/>
        </w:rPr>
        <w:t xml:space="preserve">  </w:t>
      </w:r>
      <w:r>
        <w:rPr>
          <w:rFonts w:ascii="Times New Roman" w:hAnsi="Times New Roman" w:cs="Times New Roman"/>
          <w:color w:val="000000" w:themeColor="text1"/>
          <w:shd w:val="clear" w:color="auto" w:fill="FFFFFF"/>
        </w:rPr>
        <w:t xml:space="preserve">The ‘Ulster Crisis’ would be an issue that would concern the conservative party throughout the period 1914-1921 and </w:t>
      </w:r>
      <w:r w:rsidR="00EF5DB0">
        <w:rPr>
          <w:rFonts w:ascii="Times New Roman" w:hAnsi="Times New Roman" w:cs="Times New Roman"/>
          <w:color w:val="000000" w:themeColor="text1"/>
          <w:shd w:val="clear" w:color="auto" w:fill="FFFFFF"/>
        </w:rPr>
        <w:t xml:space="preserve">eventually </w:t>
      </w:r>
      <w:r>
        <w:rPr>
          <w:rFonts w:ascii="Times New Roman" w:hAnsi="Times New Roman" w:cs="Times New Roman"/>
          <w:color w:val="000000" w:themeColor="text1"/>
          <w:shd w:val="clear" w:color="auto" w:fill="FFFFFF"/>
        </w:rPr>
        <w:t xml:space="preserve">lead to the </w:t>
      </w:r>
      <w:r>
        <w:rPr>
          <w:rFonts w:ascii="Times New Roman" w:hAnsi="Times New Roman" w:cs="Times New Roman"/>
          <w:color w:val="000000" w:themeColor="text1"/>
          <w:shd w:val="clear" w:color="auto" w:fill="FFFFFF"/>
        </w:rPr>
        <w:lastRenderedPageBreak/>
        <w:t xml:space="preserve">creation of Northern Ireland. </w:t>
      </w:r>
      <w:r w:rsidR="00EF5DB0">
        <w:rPr>
          <w:rFonts w:ascii="Times New Roman" w:hAnsi="Times New Roman" w:cs="Times New Roman"/>
          <w:color w:val="000000" w:themeColor="text1"/>
          <w:shd w:val="clear" w:color="auto" w:fill="FFFFFF"/>
        </w:rPr>
        <w:t xml:space="preserve">The Ulster Crisis would lead to </w:t>
      </w:r>
      <w:r w:rsidR="007E6451">
        <w:rPr>
          <w:rFonts w:ascii="Times New Roman" w:hAnsi="Times New Roman" w:cs="Times New Roman"/>
          <w:color w:val="000000" w:themeColor="text1"/>
          <w:shd w:val="clear" w:color="auto" w:fill="FFFFFF"/>
        </w:rPr>
        <w:t>rising volatile tensions went presented with any idea of home rule, but this tension subsided with the outbreak of World War in 1914.</w:t>
      </w:r>
    </w:p>
    <w:p w14:paraId="15FB84EF" w14:textId="77777777" w:rsidR="00A8312F" w:rsidRPr="00A8312F" w:rsidRDefault="00A8312F" w:rsidP="00A8312F">
      <w:pPr>
        <w:autoSpaceDN w:val="0"/>
        <w:rPr>
          <w:rFonts w:ascii="Times New Roman" w:hAnsi="Times New Roman" w:cs="Times New Roman"/>
          <w:b/>
          <w:bCs/>
          <w:u w:val="single"/>
        </w:rPr>
      </w:pPr>
    </w:p>
    <w:p w14:paraId="438FED3F" w14:textId="20CE8B73" w:rsidR="00C77ADF" w:rsidRDefault="007E6451" w:rsidP="00E50752">
      <w:pPr>
        <w:autoSpaceDN w:val="0"/>
        <w:rPr>
          <w:rFonts w:ascii="Times New Roman" w:hAnsi="Times New Roman" w:cs="Times New Roman"/>
          <w:color w:val="000000" w:themeColor="text1"/>
          <w:shd w:val="clear" w:color="auto" w:fill="FFFFFF"/>
        </w:rPr>
      </w:pPr>
      <w:r>
        <w:rPr>
          <w:rFonts w:ascii="Times New Roman" w:hAnsi="Times New Roman" w:cs="Times New Roman"/>
        </w:rPr>
        <w:t xml:space="preserve">As noted, before </w:t>
      </w:r>
      <w:r w:rsidR="00770EFB" w:rsidRPr="00A8312F">
        <w:rPr>
          <w:rFonts w:ascii="Times New Roman" w:hAnsi="Times New Roman" w:cs="Times New Roman"/>
        </w:rPr>
        <w:t>the First World War</w:t>
      </w:r>
      <w:r w:rsidR="007E56B1">
        <w:rPr>
          <w:rFonts w:ascii="Times New Roman" w:hAnsi="Times New Roman" w:cs="Times New Roman"/>
        </w:rPr>
        <w:t>,</w:t>
      </w:r>
      <w:r w:rsidR="00770EFB" w:rsidRPr="00A8312F">
        <w:rPr>
          <w:rFonts w:ascii="Times New Roman" w:hAnsi="Times New Roman" w:cs="Times New Roman"/>
        </w:rPr>
        <w:t xml:space="preserve"> Ireland was facing a volatile political clash between the Unionists and the </w:t>
      </w:r>
      <w:r w:rsidR="00A8312F" w:rsidRPr="00A8312F">
        <w:rPr>
          <w:rFonts w:ascii="Times New Roman" w:hAnsi="Times New Roman" w:cs="Times New Roman"/>
        </w:rPr>
        <w:t xml:space="preserve">Irish Volunteers over the issue of home rule. The British parliament, controlled by Prime Minister Henry Asquith and his liberal government, had just passed the Government of Ireland Act (1914) providing the right to self-govern within Ireland. This act had received Royal Ascent but because of the arrival of the war this act was </w:t>
      </w:r>
      <w:r w:rsidR="00BD7CC9" w:rsidRPr="00A8312F">
        <w:rPr>
          <w:rFonts w:ascii="Times New Roman" w:hAnsi="Times New Roman" w:cs="Times New Roman"/>
        </w:rPr>
        <w:t>suspended</w:t>
      </w:r>
      <w:r w:rsidR="00BD7CC9">
        <w:rPr>
          <w:rFonts w:ascii="Times New Roman" w:hAnsi="Times New Roman" w:cs="Times New Roman"/>
        </w:rPr>
        <w:t xml:space="preserve"> due to the First World War</w:t>
      </w:r>
      <w:r w:rsidR="00A8312F" w:rsidRPr="00A8312F">
        <w:rPr>
          <w:rFonts w:ascii="Times New Roman" w:hAnsi="Times New Roman" w:cs="Times New Roman"/>
        </w:rPr>
        <w:t>.</w:t>
      </w:r>
      <w:r w:rsidR="0005230D">
        <w:rPr>
          <w:rFonts w:ascii="Times New Roman" w:hAnsi="Times New Roman" w:cs="Times New Roman"/>
        </w:rPr>
        <w:t xml:space="preserve"> </w:t>
      </w:r>
      <w:r w:rsidR="00BD7CC9">
        <w:rPr>
          <w:rFonts w:ascii="Times New Roman" w:hAnsi="Times New Roman" w:cs="Times New Roman"/>
        </w:rPr>
        <w:t xml:space="preserve">This may not be a change of foreign policy, but it still angered Irish nationalists and showed a lack of consistency from Asquith to follow through on his plans but also this policy succeeded in creating further turmoil within Ireland. Asquith had failed to consider the stance that Ulster had taken to Home Rule. </w:t>
      </w:r>
      <w:r w:rsidR="0005230D">
        <w:rPr>
          <w:rFonts w:ascii="Times New Roman" w:hAnsi="Times New Roman" w:cs="Times New Roman"/>
        </w:rPr>
        <w:t>Before its implementation and during its suspension there was fierce resistance towards Home Rule in Ireland from the Unionist, mainly comprised from the Ulster region of Ireland. In 1913 an armed militia was formed calling itself the ‘Ulster Volunteers’</w:t>
      </w:r>
      <w:r w:rsidR="0088480E">
        <w:rPr>
          <w:rFonts w:ascii="Times New Roman" w:hAnsi="Times New Roman" w:cs="Times New Roman"/>
        </w:rPr>
        <w:t xml:space="preserve"> (1912)</w:t>
      </w:r>
      <w:r w:rsidR="0005230D">
        <w:rPr>
          <w:rFonts w:ascii="Times New Roman" w:hAnsi="Times New Roman" w:cs="Times New Roman"/>
        </w:rPr>
        <w:t xml:space="preserve">, its goal was </w:t>
      </w:r>
      <w:r w:rsidR="0005230D" w:rsidRPr="0005230D">
        <w:rPr>
          <w:rFonts w:ascii="Times New Roman" w:hAnsi="Times New Roman" w:cs="Times New Roman"/>
          <w:color w:val="FF0000"/>
        </w:rPr>
        <w:t>“</w:t>
      </w:r>
      <w:r w:rsidR="0005230D" w:rsidRPr="0005230D">
        <w:rPr>
          <w:rFonts w:ascii="Times New Roman" w:hAnsi="Times New Roman" w:cs="Times New Roman"/>
          <w:color w:val="FF0000"/>
          <w:shd w:val="clear" w:color="auto" w:fill="FFFFFF"/>
        </w:rPr>
        <w:t>to resist the implementation of Home Rule or to exclude Ulster itself from the settlement”</w:t>
      </w:r>
      <w:r w:rsidR="0005230D" w:rsidRPr="0005230D">
        <w:rPr>
          <w:rStyle w:val="FootnoteReference"/>
          <w:rFonts w:ascii="Times New Roman" w:hAnsi="Times New Roman" w:cs="Times New Roman"/>
          <w:color w:val="FF0000"/>
          <w:shd w:val="clear" w:color="auto" w:fill="FFFFFF"/>
        </w:rPr>
        <w:footnoteReference w:id="5"/>
      </w:r>
      <w:r w:rsidR="0005230D">
        <w:rPr>
          <w:rFonts w:ascii="Times New Roman" w:hAnsi="Times New Roman" w:cs="Times New Roman"/>
          <w:color w:val="FF0000"/>
          <w:shd w:val="clear" w:color="auto" w:fill="FFFFFF"/>
        </w:rPr>
        <w:t xml:space="preserve"> </w:t>
      </w:r>
      <w:r w:rsidR="0005230D">
        <w:rPr>
          <w:rFonts w:ascii="Times New Roman" w:hAnsi="Times New Roman" w:cs="Times New Roman"/>
          <w:color w:val="000000" w:themeColor="text1"/>
          <w:shd w:val="clear" w:color="auto" w:fill="FFFFFF"/>
        </w:rPr>
        <w:t>and to remain in a political union with the United Kingdom. This was obviously resisted by Irish Nationalists and resulted in a counter militia being formed known as the ‘Irish Volunteers’</w:t>
      </w:r>
      <w:r w:rsidR="0088480E">
        <w:rPr>
          <w:rFonts w:ascii="Times New Roman" w:hAnsi="Times New Roman" w:cs="Times New Roman"/>
          <w:color w:val="000000" w:themeColor="text1"/>
          <w:shd w:val="clear" w:color="auto" w:fill="FFFFFF"/>
        </w:rPr>
        <w:t xml:space="preserve"> (1913)</w:t>
      </w:r>
      <w:r w:rsidR="0005230D">
        <w:rPr>
          <w:rFonts w:ascii="Times New Roman" w:hAnsi="Times New Roman" w:cs="Times New Roman"/>
          <w:color w:val="000000" w:themeColor="text1"/>
          <w:shd w:val="clear" w:color="auto" w:fill="FFFFFF"/>
        </w:rPr>
        <w:t>, their aim was</w:t>
      </w:r>
      <w:r>
        <w:rPr>
          <w:rFonts w:ascii="Times New Roman" w:hAnsi="Times New Roman" w:cs="Times New Roman"/>
          <w:color w:val="000000" w:themeColor="text1"/>
          <w:shd w:val="clear" w:color="auto" w:fill="FFFFFF"/>
        </w:rPr>
        <w:t xml:space="preserve"> to</w:t>
      </w:r>
      <w:r w:rsidR="0005230D">
        <w:rPr>
          <w:rFonts w:ascii="Times New Roman" w:hAnsi="Times New Roman" w:cs="Times New Roman"/>
          <w:color w:val="000000" w:themeColor="text1"/>
          <w:shd w:val="clear" w:color="auto" w:fill="FFFFFF"/>
        </w:rPr>
        <w:t xml:space="preserve"> </w:t>
      </w:r>
      <w:r w:rsidR="0005230D" w:rsidRPr="0005230D">
        <w:rPr>
          <w:rFonts w:ascii="Times New Roman" w:hAnsi="Times New Roman" w:cs="Times New Roman"/>
          <w:color w:val="FF0000"/>
          <w:shd w:val="clear" w:color="auto" w:fill="FFFFFF"/>
        </w:rPr>
        <w:t>"defend the constitutional rights of the Irish people</w:t>
      </w:r>
      <w:r w:rsidR="0005230D">
        <w:rPr>
          <w:rFonts w:ascii="Times New Roman" w:hAnsi="Times New Roman" w:cs="Times New Roman"/>
          <w:color w:val="FF0000"/>
          <w:shd w:val="clear" w:color="auto" w:fill="FFFFFF"/>
        </w:rPr>
        <w:t>.</w:t>
      </w:r>
      <w:r w:rsidR="0005230D" w:rsidRPr="0005230D">
        <w:rPr>
          <w:rFonts w:ascii="Times New Roman" w:hAnsi="Times New Roman" w:cs="Times New Roman"/>
          <w:color w:val="FF0000"/>
          <w:shd w:val="clear" w:color="auto" w:fill="FFFFFF"/>
        </w:rPr>
        <w:t>"</w:t>
      </w:r>
      <w:r w:rsidR="0005230D" w:rsidRPr="0005230D">
        <w:rPr>
          <w:rStyle w:val="FootnoteReference"/>
          <w:rFonts w:ascii="Times New Roman" w:hAnsi="Times New Roman" w:cs="Times New Roman"/>
          <w:color w:val="FF0000"/>
          <w:shd w:val="clear" w:color="auto" w:fill="FFFFFF"/>
        </w:rPr>
        <w:footnoteReference w:id="6"/>
      </w:r>
      <w:r w:rsidR="0005230D">
        <w:rPr>
          <w:rFonts w:ascii="Times New Roman" w:hAnsi="Times New Roman" w:cs="Times New Roman"/>
          <w:color w:val="FF0000"/>
          <w:shd w:val="clear" w:color="auto" w:fill="FFFFFF"/>
        </w:rPr>
        <w:t xml:space="preserve"> </w:t>
      </w:r>
      <w:r w:rsidR="0005230D">
        <w:rPr>
          <w:rFonts w:ascii="Times New Roman" w:hAnsi="Times New Roman" w:cs="Times New Roman"/>
          <w:color w:val="000000" w:themeColor="text1"/>
          <w:shd w:val="clear" w:color="auto" w:fill="FFFFFF"/>
        </w:rPr>
        <w:t>Obviously with these two contrasting views and the formation of their own militias</w:t>
      </w:r>
      <w:r>
        <w:rPr>
          <w:rFonts w:ascii="Times New Roman" w:hAnsi="Times New Roman" w:cs="Times New Roman"/>
          <w:color w:val="000000" w:themeColor="text1"/>
          <w:shd w:val="clear" w:color="auto" w:fill="FFFFFF"/>
        </w:rPr>
        <w:t>,</w:t>
      </w:r>
      <w:r w:rsidR="0005230D">
        <w:rPr>
          <w:rFonts w:ascii="Times New Roman" w:hAnsi="Times New Roman" w:cs="Times New Roman"/>
          <w:color w:val="000000" w:themeColor="text1"/>
          <w:shd w:val="clear" w:color="auto" w:fill="FFFFFF"/>
        </w:rPr>
        <w:t xml:space="preserve"> tension within Ireland was rife even before the breakout of war in Europe and it was vital that Britain’s policy towards Ireland did not give the two factions within Ireland any </w:t>
      </w:r>
      <w:r w:rsidR="00BD7CC9">
        <w:rPr>
          <w:rFonts w:ascii="Times New Roman" w:hAnsi="Times New Roman" w:cs="Times New Roman"/>
          <w:color w:val="000000" w:themeColor="text1"/>
          <w:shd w:val="clear" w:color="auto" w:fill="FFFFFF"/>
        </w:rPr>
        <w:t xml:space="preserve">more </w:t>
      </w:r>
      <w:r w:rsidR="0005230D">
        <w:rPr>
          <w:rFonts w:ascii="Times New Roman" w:hAnsi="Times New Roman" w:cs="Times New Roman"/>
          <w:color w:val="000000" w:themeColor="text1"/>
          <w:shd w:val="clear" w:color="auto" w:fill="FFFFFF"/>
        </w:rPr>
        <w:t>cause for violence within its borders.</w:t>
      </w:r>
      <w:r w:rsidR="0088480E">
        <w:rPr>
          <w:rFonts w:ascii="Times New Roman" w:hAnsi="Times New Roman" w:cs="Times New Roman"/>
          <w:color w:val="000000" w:themeColor="text1"/>
          <w:shd w:val="clear" w:color="auto" w:fill="FFFFFF"/>
        </w:rPr>
        <w:t xml:space="preserve"> The formation of the ‘Irish Volunteers’ also served to force Britain to maintain its promise of Home Rule after the Great War. The outlook of war in Ireland was a very real possibility but was somewhat quelled by the Great War and this lasted </w:t>
      </w:r>
      <w:r w:rsidR="00BD7CC9">
        <w:rPr>
          <w:rFonts w:ascii="Times New Roman" w:hAnsi="Times New Roman" w:cs="Times New Roman"/>
          <w:color w:val="000000" w:themeColor="text1"/>
          <w:shd w:val="clear" w:color="auto" w:fill="FFFFFF"/>
        </w:rPr>
        <w:t>until the actions of nationalists in 1916</w:t>
      </w:r>
      <w:r w:rsidR="0088480E">
        <w:rPr>
          <w:rFonts w:ascii="Times New Roman" w:hAnsi="Times New Roman" w:cs="Times New Roman"/>
          <w:color w:val="000000" w:themeColor="text1"/>
          <w:shd w:val="clear" w:color="auto" w:fill="FFFFFF"/>
        </w:rPr>
        <w:t xml:space="preserve">. </w:t>
      </w:r>
      <w:r w:rsidR="00E50752">
        <w:rPr>
          <w:rFonts w:ascii="Times New Roman" w:hAnsi="Times New Roman" w:cs="Times New Roman"/>
          <w:color w:val="000000" w:themeColor="text1"/>
          <w:shd w:val="clear" w:color="auto" w:fill="FFFFFF"/>
        </w:rPr>
        <w:t xml:space="preserve">The main topic during parliamentary debates </w:t>
      </w:r>
      <w:r w:rsidR="00CC5503">
        <w:rPr>
          <w:rFonts w:ascii="Times New Roman" w:hAnsi="Times New Roman" w:cs="Times New Roman"/>
          <w:color w:val="000000" w:themeColor="text1"/>
          <w:shd w:val="clear" w:color="auto" w:fill="FFFFFF"/>
        </w:rPr>
        <w:t xml:space="preserve">in 1912 </w:t>
      </w:r>
      <w:r w:rsidR="00E50752">
        <w:rPr>
          <w:rFonts w:ascii="Times New Roman" w:hAnsi="Times New Roman" w:cs="Times New Roman"/>
          <w:color w:val="000000" w:themeColor="text1"/>
          <w:shd w:val="clear" w:color="auto" w:fill="FFFFFF"/>
        </w:rPr>
        <w:t xml:space="preserve">was the issue of as it was put, the </w:t>
      </w:r>
      <w:r w:rsidR="00E50752" w:rsidRPr="00CC5503">
        <w:rPr>
          <w:rFonts w:ascii="Times New Roman" w:hAnsi="Times New Roman" w:cs="Times New Roman"/>
          <w:color w:val="FF0000"/>
          <w:shd w:val="clear" w:color="auto" w:fill="FFFFFF"/>
        </w:rPr>
        <w:t>“coercion of Ulster”</w:t>
      </w:r>
      <w:r w:rsidR="00CC5503">
        <w:rPr>
          <w:rStyle w:val="FootnoteReference"/>
          <w:rFonts w:ascii="Times New Roman" w:hAnsi="Times New Roman" w:cs="Times New Roman"/>
          <w:color w:val="FF0000"/>
          <w:shd w:val="clear" w:color="auto" w:fill="FFFFFF"/>
        </w:rPr>
        <w:footnoteReference w:id="7"/>
      </w:r>
      <w:r w:rsidR="00E50752" w:rsidRPr="00CC5503">
        <w:rPr>
          <w:rFonts w:ascii="Times New Roman" w:hAnsi="Times New Roman" w:cs="Times New Roman"/>
          <w:color w:val="FF0000"/>
          <w:shd w:val="clear" w:color="auto" w:fill="FFFFFF"/>
        </w:rPr>
        <w:t xml:space="preserve"> </w:t>
      </w:r>
      <w:r w:rsidR="00E50752">
        <w:rPr>
          <w:rFonts w:ascii="Times New Roman" w:hAnsi="Times New Roman" w:cs="Times New Roman"/>
          <w:color w:val="000000" w:themeColor="text1"/>
          <w:shd w:val="clear" w:color="auto" w:fill="FFFFFF"/>
        </w:rPr>
        <w:t>with some mentions of which parts of Ulster should be left out of the inclusion of Home Rule. Leaders of the Iris</w:t>
      </w:r>
      <w:r w:rsidR="00DE0735">
        <w:rPr>
          <w:rFonts w:ascii="Times New Roman" w:hAnsi="Times New Roman" w:cs="Times New Roman"/>
          <w:color w:val="000000" w:themeColor="text1"/>
          <w:shd w:val="clear" w:color="auto" w:fill="FFFFFF"/>
        </w:rPr>
        <w:t>h</w:t>
      </w:r>
      <w:r w:rsidR="00E50752">
        <w:rPr>
          <w:rFonts w:ascii="Times New Roman" w:hAnsi="Times New Roman" w:cs="Times New Roman"/>
          <w:color w:val="000000" w:themeColor="text1"/>
          <w:shd w:val="clear" w:color="auto" w:fill="FFFFFF"/>
        </w:rPr>
        <w:t xml:space="preserve"> Party, John Dillon and Joseph Devlin</w:t>
      </w:r>
      <w:r w:rsidR="00CC5503">
        <w:rPr>
          <w:rFonts w:ascii="Times New Roman" w:hAnsi="Times New Roman" w:cs="Times New Roman"/>
          <w:color w:val="000000" w:themeColor="text1"/>
          <w:shd w:val="clear" w:color="auto" w:fill="FFFFFF"/>
        </w:rPr>
        <w:t xml:space="preserve">, argued during these debates </w:t>
      </w:r>
      <w:r w:rsidR="00CC5503" w:rsidRPr="00CC5503">
        <w:rPr>
          <w:rFonts w:ascii="Times New Roman" w:hAnsi="Times New Roman" w:cs="Times New Roman"/>
          <w:color w:val="FF0000"/>
          <w:shd w:val="clear" w:color="auto" w:fill="FFFFFF"/>
        </w:rPr>
        <w:t>“no concessions for Ulster, Ulster will have to follow”</w:t>
      </w:r>
      <w:r w:rsidR="00CC5503">
        <w:rPr>
          <w:rStyle w:val="FootnoteReference"/>
          <w:rFonts w:ascii="Times New Roman" w:hAnsi="Times New Roman" w:cs="Times New Roman"/>
          <w:color w:val="FF0000"/>
          <w:shd w:val="clear" w:color="auto" w:fill="FFFFFF"/>
        </w:rPr>
        <w:footnoteReference w:id="8"/>
      </w:r>
      <w:r w:rsidR="00CC5503">
        <w:rPr>
          <w:rFonts w:ascii="Times New Roman" w:hAnsi="Times New Roman" w:cs="Times New Roman"/>
          <w:color w:val="FF0000"/>
          <w:shd w:val="clear" w:color="auto" w:fill="FFFFFF"/>
        </w:rPr>
        <w:t xml:space="preserve"> </w:t>
      </w:r>
      <w:r w:rsidR="00CC5503">
        <w:rPr>
          <w:rFonts w:ascii="Times New Roman" w:hAnsi="Times New Roman" w:cs="Times New Roman"/>
          <w:color w:val="000000" w:themeColor="text1"/>
          <w:shd w:val="clear" w:color="auto" w:fill="FFFFFF"/>
        </w:rPr>
        <w:t>John Dillon</w:t>
      </w:r>
      <w:r w:rsidR="00BD7CC9">
        <w:rPr>
          <w:rFonts w:ascii="Times New Roman" w:hAnsi="Times New Roman" w:cs="Times New Roman"/>
          <w:color w:val="000000" w:themeColor="text1"/>
          <w:shd w:val="clear" w:color="auto" w:fill="FFFFFF"/>
        </w:rPr>
        <w:t xml:space="preserve"> in 1913</w:t>
      </w:r>
      <w:r w:rsidR="00CC5503">
        <w:rPr>
          <w:rFonts w:ascii="Times New Roman" w:hAnsi="Times New Roman" w:cs="Times New Roman"/>
          <w:color w:val="000000" w:themeColor="text1"/>
          <w:shd w:val="clear" w:color="auto" w:fill="FFFFFF"/>
        </w:rPr>
        <w:t xml:space="preserve"> spoke to an audience in Bristol about the Ulster crisis</w:t>
      </w:r>
      <w:r w:rsidR="00BD7CC9">
        <w:rPr>
          <w:rFonts w:ascii="Times New Roman" w:hAnsi="Times New Roman" w:cs="Times New Roman"/>
          <w:color w:val="000000" w:themeColor="text1"/>
          <w:shd w:val="clear" w:color="auto" w:fill="FFFFFF"/>
        </w:rPr>
        <w:t xml:space="preserve"> and their </w:t>
      </w:r>
      <w:r w:rsidR="00AE40C7">
        <w:rPr>
          <w:rFonts w:ascii="Times New Roman" w:hAnsi="Times New Roman" w:cs="Times New Roman"/>
          <w:color w:val="000000" w:themeColor="text1"/>
          <w:shd w:val="clear" w:color="auto" w:fill="FFFFFF"/>
        </w:rPr>
        <w:t>refusal to follow the potential Home Rule act</w:t>
      </w:r>
      <w:r w:rsidR="00CC5503">
        <w:rPr>
          <w:rFonts w:ascii="Times New Roman" w:hAnsi="Times New Roman" w:cs="Times New Roman"/>
          <w:color w:val="000000" w:themeColor="text1"/>
          <w:shd w:val="clear" w:color="auto" w:fill="FFFFFF"/>
        </w:rPr>
        <w:t xml:space="preserve"> stating that Irish Nationalists </w:t>
      </w:r>
      <w:r w:rsidR="00CC5503" w:rsidRPr="00CC5503">
        <w:rPr>
          <w:rFonts w:ascii="Times New Roman" w:hAnsi="Times New Roman" w:cs="Times New Roman"/>
          <w:color w:val="FF0000"/>
          <w:shd w:val="clear" w:color="auto" w:fill="FFFFFF"/>
        </w:rPr>
        <w:t>“do not intend to interfere with her or give her any excuse to fight”</w:t>
      </w:r>
      <w:r w:rsidR="00CC5503" w:rsidRPr="00CC5503">
        <w:rPr>
          <w:rStyle w:val="FootnoteReference"/>
          <w:rFonts w:ascii="Times New Roman" w:hAnsi="Times New Roman" w:cs="Times New Roman"/>
          <w:color w:val="FF0000"/>
          <w:shd w:val="clear" w:color="auto" w:fill="FFFFFF"/>
        </w:rPr>
        <w:footnoteReference w:id="9"/>
      </w:r>
      <w:r w:rsidR="00CC5503">
        <w:rPr>
          <w:rFonts w:ascii="Times New Roman" w:hAnsi="Times New Roman" w:cs="Times New Roman"/>
          <w:color w:val="FF0000"/>
          <w:shd w:val="clear" w:color="auto" w:fill="FFFFFF"/>
        </w:rPr>
        <w:t xml:space="preserve"> </w:t>
      </w:r>
      <w:r w:rsidR="00CC5503" w:rsidRPr="00CC5503">
        <w:rPr>
          <w:rFonts w:ascii="Times New Roman" w:hAnsi="Times New Roman" w:cs="Times New Roman"/>
          <w:color w:val="000000" w:themeColor="text1"/>
          <w:shd w:val="clear" w:color="auto" w:fill="FFFFFF"/>
        </w:rPr>
        <w:t xml:space="preserve">and went on to say that </w:t>
      </w:r>
      <w:r w:rsidR="00CC5503">
        <w:rPr>
          <w:rFonts w:ascii="Times New Roman" w:hAnsi="Times New Roman" w:cs="Times New Roman"/>
          <w:color w:val="000000" w:themeColor="text1"/>
          <w:shd w:val="clear" w:color="auto" w:fill="FFFFFF"/>
        </w:rPr>
        <w:t xml:space="preserve">he was </w:t>
      </w:r>
      <w:r w:rsidR="00CC5503">
        <w:rPr>
          <w:rFonts w:ascii="Times New Roman" w:hAnsi="Times New Roman" w:cs="Times New Roman"/>
          <w:color w:val="FF0000"/>
          <w:shd w:val="clear" w:color="auto" w:fill="FFFFFF"/>
        </w:rPr>
        <w:t>“</w:t>
      </w:r>
      <w:r w:rsidR="00CC5503" w:rsidRPr="00CC5503">
        <w:rPr>
          <w:rFonts w:ascii="Times New Roman" w:hAnsi="Times New Roman" w:cs="Times New Roman"/>
          <w:color w:val="FF0000"/>
          <w:shd w:val="clear" w:color="auto" w:fill="FFFFFF"/>
        </w:rPr>
        <w:t>now convinced by our struggle in Parliament that we are fit to govern Ireland and to manage our own affairs, and in spite of the bullying and threats of Ulster I believe Great Britain will grant us freedom.”</w:t>
      </w:r>
      <w:r w:rsidR="00CC5503" w:rsidRPr="00CC5503">
        <w:rPr>
          <w:rStyle w:val="FootnoteReference"/>
          <w:rFonts w:ascii="Times New Roman" w:hAnsi="Times New Roman" w:cs="Times New Roman"/>
          <w:color w:val="FF0000"/>
          <w:shd w:val="clear" w:color="auto" w:fill="FFFFFF"/>
        </w:rPr>
        <w:footnoteReference w:id="10"/>
      </w:r>
      <w:r w:rsidR="000274DF">
        <w:rPr>
          <w:rFonts w:ascii="Times New Roman" w:hAnsi="Times New Roman" w:cs="Times New Roman"/>
          <w:color w:val="FF0000"/>
          <w:shd w:val="clear" w:color="auto" w:fill="FFFFFF"/>
        </w:rPr>
        <w:t>.</w:t>
      </w:r>
      <w:r w:rsidR="000274DF">
        <w:rPr>
          <w:rFonts w:ascii="Times New Roman" w:hAnsi="Times New Roman" w:cs="Times New Roman"/>
          <w:color w:val="000000" w:themeColor="text1"/>
          <w:shd w:val="clear" w:color="auto" w:fill="FFFFFF"/>
        </w:rPr>
        <w:t xml:space="preserve"> To the </w:t>
      </w:r>
      <w:r w:rsidR="000274DF">
        <w:rPr>
          <w:rFonts w:ascii="Times New Roman" w:hAnsi="Times New Roman" w:cs="Times New Roman"/>
          <w:color w:val="000000" w:themeColor="text1"/>
          <w:shd w:val="clear" w:color="auto" w:fill="FFFFFF"/>
        </w:rPr>
        <w:lastRenderedPageBreak/>
        <w:t>applause of the crowd in Bristol Dillon went on to talk about how the nationalists only wanted liberty and equality compared to the Ulstermen who hated the idea of Home Rule and the prospect of equality. With the looming impact of the Great War approaching and the threat of Civil War in Britain’s own back yard ever increasing</w:t>
      </w:r>
      <w:r w:rsidR="001B035D">
        <w:rPr>
          <w:rFonts w:ascii="Times New Roman" w:hAnsi="Times New Roman" w:cs="Times New Roman"/>
          <w:color w:val="000000" w:themeColor="text1"/>
          <w:shd w:val="clear" w:color="auto" w:fill="FFFFFF"/>
        </w:rPr>
        <w:t xml:space="preserve"> </w:t>
      </w:r>
      <w:r w:rsidR="000274DF">
        <w:rPr>
          <w:rFonts w:ascii="Times New Roman" w:hAnsi="Times New Roman" w:cs="Times New Roman"/>
          <w:color w:val="000000" w:themeColor="text1"/>
          <w:shd w:val="clear" w:color="auto" w:fill="FFFFFF"/>
        </w:rPr>
        <w:t xml:space="preserve">the policy towards Ireland needed to appease both sides hence the thought of partition was floated about within parliament. </w:t>
      </w:r>
      <w:r w:rsidR="00B87F61">
        <w:rPr>
          <w:rFonts w:ascii="Times New Roman" w:hAnsi="Times New Roman" w:cs="Times New Roman"/>
          <w:color w:val="000000" w:themeColor="text1"/>
          <w:shd w:val="clear" w:color="auto" w:fill="FFFFFF"/>
        </w:rPr>
        <w:t xml:space="preserve">Unfortunately, the following events during wartime led to a poor policy being utilized ending in the public favour regarding Home Rule switching from support for Britain to </w:t>
      </w:r>
      <w:r w:rsidR="00AE40C7">
        <w:rPr>
          <w:rFonts w:ascii="Times New Roman" w:hAnsi="Times New Roman" w:cs="Times New Roman"/>
          <w:color w:val="000000" w:themeColor="text1"/>
          <w:shd w:val="clear" w:color="auto" w:fill="FFFFFF"/>
        </w:rPr>
        <w:t xml:space="preserve">a direct support for </w:t>
      </w:r>
      <w:r w:rsidR="00B87F61">
        <w:rPr>
          <w:rFonts w:ascii="Times New Roman" w:hAnsi="Times New Roman" w:cs="Times New Roman"/>
          <w:color w:val="000000" w:themeColor="text1"/>
          <w:shd w:val="clear" w:color="auto" w:fill="FFFFFF"/>
        </w:rPr>
        <w:t>Ireland.</w:t>
      </w:r>
      <w:r>
        <w:rPr>
          <w:rFonts w:ascii="Times New Roman" w:hAnsi="Times New Roman" w:cs="Times New Roman"/>
          <w:color w:val="000000" w:themeColor="text1"/>
          <w:shd w:val="clear" w:color="auto" w:fill="FFFFFF"/>
        </w:rPr>
        <w:t xml:space="preserve"> This would be </w:t>
      </w:r>
      <w:r w:rsidR="007E56B1">
        <w:rPr>
          <w:rFonts w:ascii="Times New Roman" w:hAnsi="Times New Roman" w:cs="Times New Roman"/>
          <w:color w:val="000000" w:themeColor="text1"/>
          <w:shd w:val="clear" w:color="auto" w:fill="FFFFFF"/>
        </w:rPr>
        <w:t xml:space="preserve">a </w:t>
      </w:r>
      <w:r>
        <w:rPr>
          <w:rFonts w:ascii="Times New Roman" w:hAnsi="Times New Roman" w:cs="Times New Roman"/>
          <w:color w:val="000000" w:themeColor="text1"/>
          <w:shd w:val="clear" w:color="auto" w:fill="FFFFFF"/>
        </w:rPr>
        <w:t>reminder to Britain that its policy to Ireland had turned Irish citizens volatile.</w:t>
      </w:r>
    </w:p>
    <w:p w14:paraId="486B6DBC" w14:textId="5C5DA0B5" w:rsidR="003A5F63" w:rsidRDefault="003A5F63" w:rsidP="00E50752">
      <w:pPr>
        <w:autoSpaceDN w:val="0"/>
        <w:rPr>
          <w:rFonts w:ascii="Times New Roman" w:hAnsi="Times New Roman" w:cs="Times New Roman"/>
          <w:b/>
          <w:bCs/>
          <w:color w:val="000000" w:themeColor="text1"/>
          <w:u w:val="single"/>
          <w:shd w:val="clear" w:color="auto" w:fill="FFFFFF"/>
        </w:rPr>
      </w:pPr>
    </w:p>
    <w:p w14:paraId="1145F7E4" w14:textId="30CA5BBE" w:rsidR="006A3984" w:rsidRDefault="003A5F63" w:rsidP="00E50752">
      <w:pPr>
        <w:autoSpaceDN w:val="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The Easter Rising of 1916 was devised by the I</w:t>
      </w:r>
      <w:r w:rsidR="00D52CEB">
        <w:rPr>
          <w:rFonts w:ascii="Times New Roman" w:hAnsi="Times New Roman" w:cs="Times New Roman"/>
          <w:color w:val="000000" w:themeColor="text1"/>
          <w:shd w:val="clear" w:color="auto" w:fill="FFFFFF"/>
        </w:rPr>
        <w:t xml:space="preserve">rish Republican Brotherhood (IRB) and Military Council leaders including Tom Clarke and Sean MacDermott. The aim of the rising was to capitalize on the focus of Britain towards the First World War and the lack of focus on tensions in its own back yard of Ireland. The final goal was to establish an independent republic in Ireland under the distraction of the first world war. The attention to the First World War from Britain side-lined the Irish Question in parliament and as such, policy towards Ireland stagnated during the wars period but this lack of policy was soon regretted with the events of 1916 in Ireland and their insurrection. </w:t>
      </w:r>
      <w:r w:rsidR="00A4501D">
        <w:rPr>
          <w:rFonts w:ascii="Times New Roman" w:hAnsi="Times New Roman" w:cs="Times New Roman"/>
          <w:color w:val="000000" w:themeColor="text1"/>
          <w:shd w:val="clear" w:color="auto" w:fill="FFFFFF"/>
        </w:rPr>
        <w:t xml:space="preserve">After the events of the easter rising and the IRB’s failed insurrection against British rule, parliament could have arguably left matters alone and allow Irish nationalism to die down once again as it did before, for example the events at Mitchelstown. The </w:t>
      </w:r>
      <w:r w:rsidR="007E6451">
        <w:rPr>
          <w:rFonts w:ascii="Times New Roman" w:hAnsi="Times New Roman" w:cs="Times New Roman"/>
          <w:color w:val="000000" w:themeColor="text1"/>
          <w:shd w:val="clear" w:color="auto" w:fill="FFFFFF"/>
        </w:rPr>
        <w:t xml:space="preserve">violent </w:t>
      </w:r>
      <w:r w:rsidR="00A4501D">
        <w:rPr>
          <w:rFonts w:ascii="Times New Roman" w:hAnsi="Times New Roman" w:cs="Times New Roman"/>
          <w:color w:val="000000" w:themeColor="text1"/>
          <w:shd w:val="clear" w:color="auto" w:fill="FFFFFF"/>
        </w:rPr>
        <w:t xml:space="preserve">actions of British government in killing the fifteen leaders of the insurrection made those leaders martyrs and worsened relations with the Irish people and changed the public image of the issue of home rule in favour of independence. In the house of </w:t>
      </w:r>
      <w:r w:rsidR="00F445B0">
        <w:rPr>
          <w:rFonts w:ascii="Times New Roman" w:hAnsi="Times New Roman" w:cs="Times New Roman"/>
          <w:color w:val="000000" w:themeColor="text1"/>
          <w:shd w:val="clear" w:color="auto" w:fill="FFFFFF"/>
        </w:rPr>
        <w:t>commons,</w:t>
      </w:r>
      <w:r w:rsidR="00A4501D">
        <w:rPr>
          <w:rFonts w:ascii="Times New Roman" w:hAnsi="Times New Roman" w:cs="Times New Roman"/>
          <w:color w:val="000000" w:themeColor="text1"/>
          <w:shd w:val="clear" w:color="auto" w:fill="FFFFFF"/>
        </w:rPr>
        <w:t xml:space="preserve"> the Irish </w:t>
      </w:r>
      <w:r w:rsidR="00F445B0">
        <w:rPr>
          <w:rFonts w:ascii="Times New Roman" w:hAnsi="Times New Roman" w:cs="Times New Roman"/>
          <w:color w:val="000000" w:themeColor="text1"/>
          <w:shd w:val="clear" w:color="auto" w:fill="FFFFFF"/>
        </w:rPr>
        <w:t>Parliamentary</w:t>
      </w:r>
      <w:r w:rsidR="00A4501D">
        <w:rPr>
          <w:rFonts w:ascii="Times New Roman" w:hAnsi="Times New Roman" w:cs="Times New Roman"/>
          <w:color w:val="000000" w:themeColor="text1"/>
          <w:shd w:val="clear" w:color="auto" w:fill="FFFFFF"/>
        </w:rPr>
        <w:t xml:space="preserve"> Party member John Dillon</w:t>
      </w:r>
      <w:r w:rsidR="00F445B0">
        <w:rPr>
          <w:rFonts w:ascii="Times New Roman" w:hAnsi="Times New Roman" w:cs="Times New Roman"/>
          <w:color w:val="000000" w:themeColor="text1"/>
          <w:shd w:val="clear" w:color="auto" w:fill="FFFFFF"/>
        </w:rPr>
        <w:t xml:space="preserve"> attacked British policy and conveyed the change of public mood to the government. Dillon spoke in the commons stating, </w:t>
      </w:r>
      <w:r w:rsidR="00F445B0" w:rsidRPr="00F445B0">
        <w:rPr>
          <w:rFonts w:ascii="Times New Roman" w:hAnsi="Times New Roman" w:cs="Times New Roman"/>
          <w:color w:val="FF0000"/>
          <w:shd w:val="clear" w:color="auto" w:fill="FFFFFF"/>
        </w:rPr>
        <w:t>“In the whole of modern history…there has been no rebellion or insurrection put down with so much blood and so much savagery as the recent insurrection in Ireland.”</w:t>
      </w:r>
      <w:r w:rsidR="00F445B0" w:rsidRPr="00F445B0">
        <w:rPr>
          <w:rStyle w:val="FootnoteReference"/>
          <w:rFonts w:ascii="Times New Roman" w:hAnsi="Times New Roman" w:cs="Times New Roman"/>
          <w:color w:val="FF0000"/>
          <w:shd w:val="clear" w:color="auto" w:fill="FFFFFF"/>
        </w:rPr>
        <w:footnoteReference w:id="11"/>
      </w:r>
      <w:r w:rsidR="00F445B0">
        <w:rPr>
          <w:rFonts w:ascii="Times New Roman" w:hAnsi="Times New Roman" w:cs="Times New Roman"/>
          <w:color w:val="FF0000"/>
          <w:shd w:val="clear" w:color="auto" w:fill="FFFFFF"/>
        </w:rPr>
        <w:t xml:space="preserve"> </w:t>
      </w:r>
      <w:r w:rsidR="00F445B0">
        <w:rPr>
          <w:rFonts w:ascii="Times New Roman" w:hAnsi="Times New Roman" w:cs="Times New Roman"/>
          <w:color w:val="000000" w:themeColor="text1"/>
          <w:shd w:val="clear" w:color="auto" w:fill="FFFFFF"/>
        </w:rPr>
        <w:t>The Press also had been subdued by the government, arguably due to the Firs World War horrors rather than the suppression of Irish nationalism, under the Defence of the Realm Act (1914)</w:t>
      </w:r>
      <w:r w:rsidR="0020695C">
        <w:rPr>
          <w:rFonts w:ascii="Times New Roman" w:hAnsi="Times New Roman" w:cs="Times New Roman"/>
          <w:color w:val="000000" w:themeColor="text1"/>
          <w:shd w:val="clear" w:color="auto" w:fill="FFFFFF"/>
        </w:rPr>
        <w:t xml:space="preserve"> and Lord Asquith made it a court martial offence to</w:t>
      </w:r>
      <w:r w:rsidR="007E6451">
        <w:rPr>
          <w:rFonts w:ascii="Times New Roman" w:hAnsi="Times New Roman" w:cs="Times New Roman"/>
          <w:color w:val="000000" w:themeColor="text1"/>
          <w:shd w:val="clear" w:color="auto" w:fill="FFFFFF"/>
        </w:rPr>
        <w:t xml:space="preserve"> publish</w:t>
      </w:r>
      <w:r w:rsidR="0020695C">
        <w:rPr>
          <w:rFonts w:ascii="Times New Roman" w:hAnsi="Times New Roman" w:cs="Times New Roman"/>
          <w:color w:val="000000" w:themeColor="text1"/>
          <w:shd w:val="clear" w:color="auto" w:fill="FFFFFF"/>
        </w:rPr>
        <w:t xml:space="preserve"> </w:t>
      </w:r>
      <w:r w:rsidR="0020695C" w:rsidRPr="00BA7174">
        <w:rPr>
          <w:rFonts w:ascii="Times New Roman" w:hAnsi="Times New Roman" w:cs="Times New Roman"/>
          <w:color w:val="FF0000"/>
          <w:shd w:val="clear" w:color="auto" w:fill="FFFFFF"/>
        </w:rPr>
        <w:t>“…false reports or reports likely to cause disaffection to His Majesty or to interfere with the success of His Majesty’s forces…”</w:t>
      </w:r>
      <w:r w:rsidR="0020695C" w:rsidRPr="00BA7174">
        <w:rPr>
          <w:rStyle w:val="FootnoteReference"/>
          <w:rFonts w:ascii="Times New Roman" w:hAnsi="Times New Roman" w:cs="Times New Roman"/>
          <w:color w:val="FF0000"/>
          <w:shd w:val="clear" w:color="auto" w:fill="FFFFFF"/>
        </w:rPr>
        <w:footnoteReference w:id="12"/>
      </w:r>
      <w:r w:rsidR="00E77BF6">
        <w:rPr>
          <w:rFonts w:ascii="Times New Roman" w:hAnsi="Times New Roman" w:cs="Times New Roman"/>
          <w:color w:val="FF0000"/>
          <w:shd w:val="clear" w:color="auto" w:fill="FFFFFF"/>
        </w:rPr>
        <w:t xml:space="preserve"> </w:t>
      </w:r>
      <w:r w:rsidR="00E77BF6">
        <w:rPr>
          <w:rFonts w:ascii="Times New Roman" w:hAnsi="Times New Roman" w:cs="Times New Roman"/>
          <w:color w:val="000000" w:themeColor="text1"/>
          <w:shd w:val="clear" w:color="auto" w:fill="FFFFFF"/>
        </w:rPr>
        <w:t xml:space="preserve">This allowed Britain to distort the facts of the events in Ireland with no media coverage but also divided relations between England and Ireland even further which led to some fiery debates in the house of commons. Britain’s policy to subdue rebellions with violence had made relations worse between the two countries but </w:t>
      </w:r>
      <w:r w:rsidR="006A3984">
        <w:rPr>
          <w:rFonts w:ascii="Times New Roman" w:hAnsi="Times New Roman" w:cs="Times New Roman"/>
          <w:color w:val="000000" w:themeColor="text1"/>
          <w:shd w:val="clear" w:color="auto" w:fill="FFFFFF"/>
        </w:rPr>
        <w:t>the lack of consistency</w:t>
      </w:r>
      <w:r w:rsidR="00E77BF6">
        <w:rPr>
          <w:rFonts w:ascii="Times New Roman" w:hAnsi="Times New Roman" w:cs="Times New Roman"/>
          <w:color w:val="000000" w:themeColor="text1"/>
          <w:shd w:val="clear" w:color="auto" w:fill="FFFFFF"/>
        </w:rPr>
        <w:t xml:space="preserve"> </w:t>
      </w:r>
      <w:r w:rsidR="006A3984">
        <w:rPr>
          <w:rFonts w:ascii="Times New Roman" w:hAnsi="Times New Roman" w:cs="Times New Roman"/>
          <w:color w:val="000000" w:themeColor="text1"/>
          <w:shd w:val="clear" w:color="auto" w:fill="FFFFFF"/>
        </w:rPr>
        <w:t>of</w:t>
      </w:r>
      <w:r w:rsidR="00E77BF6">
        <w:rPr>
          <w:rFonts w:ascii="Times New Roman" w:hAnsi="Times New Roman" w:cs="Times New Roman"/>
          <w:color w:val="000000" w:themeColor="text1"/>
          <w:shd w:val="clear" w:color="auto" w:fill="FFFFFF"/>
        </w:rPr>
        <w:t xml:space="preserve"> British policy towards Ireland</w:t>
      </w:r>
      <w:r w:rsidR="006A3984">
        <w:rPr>
          <w:rFonts w:ascii="Times New Roman" w:hAnsi="Times New Roman" w:cs="Times New Roman"/>
          <w:color w:val="000000" w:themeColor="text1"/>
          <w:shd w:val="clear" w:color="auto" w:fill="FFFFFF"/>
        </w:rPr>
        <w:t xml:space="preserve"> carried on, this time arguably for the better</w:t>
      </w:r>
      <w:r w:rsidR="00E77BF6">
        <w:rPr>
          <w:rFonts w:ascii="Times New Roman" w:hAnsi="Times New Roman" w:cs="Times New Roman"/>
          <w:color w:val="000000" w:themeColor="text1"/>
          <w:shd w:val="clear" w:color="auto" w:fill="FFFFFF"/>
        </w:rPr>
        <w:t xml:space="preserve">. </w:t>
      </w:r>
      <w:r w:rsidR="006A3984">
        <w:rPr>
          <w:rFonts w:ascii="Times New Roman" w:hAnsi="Times New Roman" w:cs="Times New Roman"/>
          <w:color w:val="000000" w:themeColor="text1"/>
          <w:shd w:val="clear" w:color="auto" w:fill="FFFFFF"/>
        </w:rPr>
        <w:t>T</w:t>
      </w:r>
      <w:r w:rsidR="00E77BF6">
        <w:rPr>
          <w:rFonts w:ascii="Times New Roman" w:hAnsi="Times New Roman" w:cs="Times New Roman"/>
          <w:color w:val="000000" w:themeColor="text1"/>
          <w:shd w:val="clear" w:color="auto" w:fill="FFFFFF"/>
        </w:rPr>
        <w:t>he shell scandal of 1915 during the Great War</w:t>
      </w:r>
      <w:r w:rsidR="006A3984">
        <w:rPr>
          <w:rFonts w:ascii="Times New Roman" w:hAnsi="Times New Roman" w:cs="Times New Roman"/>
          <w:color w:val="000000" w:themeColor="text1"/>
          <w:shd w:val="clear" w:color="auto" w:fill="FFFFFF"/>
        </w:rPr>
        <w:t xml:space="preserve"> led to </w:t>
      </w:r>
      <w:r w:rsidR="00E77BF6">
        <w:rPr>
          <w:rFonts w:ascii="Times New Roman" w:hAnsi="Times New Roman" w:cs="Times New Roman"/>
          <w:color w:val="000000" w:themeColor="text1"/>
          <w:shd w:val="clear" w:color="auto" w:fill="FFFFFF"/>
        </w:rPr>
        <w:t>liberal party leader Lord Asquith los</w:t>
      </w:r>
      <w:r w:rsidR="006A3984">
        <w:rPr>
          <w:rFonts w:ascii="Times New Roman" w:hAnsi="Times New Roman" w:cs="Times New Roman"/>
          <w:color w:val="000000" w:themeColor="text1"/>
          <w:shd w:val="clear" w:color="auto" w:fill="FFFFFF"/>
        </w:rPr>
        <w:t>ing</w:t>
      </w:r>
      <w:r w:rsidR="00E77BF6">
        <w:rPr>
          <w:rFonts w:ascii="Times New Roman" w:hAnsi="Times New Roman" w:cs="Times New Roman"/>
          <w:color w:val="000000" w:themeColor="text1"/>
          <w:shd w:val="clear" w:color="auto" w:fill="FFFFFF"/>
        </w:rPr>
        <w:t xml:space="preserve"> the faith of his peers and resigned in 1916 shortly after the easter rising and gave way for David Lloyd George to become leader of the liberal party and present his proposals for the closure of its </w:t>
      </w:r>
      <w:r w:rsidR="006A3984">
        <w:rPr>
          <w:rFonts w:ascii="Times New Roman" w:hAnsi="Times New Roman" w:cs="Times New Roman"/>
          <w:color w:val="000000" w:themeColor="text1"/>
          <w:shd w:val="clear" w:color="auto" w:fill="FFFFFF"/>
        </w:rPr>
        <w:t>Ireland chapter…The partition of Ireland (19</w:t>
      </w:r>
      <w:r w:rsidR="00BD7CC9">
        <w:rPr>
          <w:rFonts w:ascii="Times New Roman" w:hAnsi="Times New Roman" w:cs="Times New Roman"/>
          <w:color w:val="000000" w:themeColor="text1"/>
          <w:shd w:val="clear" w:color="auto" w:fill="FFFFFF"/>
        </w:rPr>
        <w:t>21)</w:t>
      </w:r>
    </w:p>
    <w:p w14:paraId="39FAE1B2" w14:textId="77777777" w:rsidR="006A3984" w:rsidRDefault="006A3984" w:rsidP="006A3984">
      <w:pPr>
        <w:autoSpaceDN w:val="0"/>
        <w:rPr>
          <w:rFonts w:ascii="Times New Roman" w:hAnsi="Times New Roman" w:cs="Times New Roman"/>
          <w:color w:val="000000" w:themeColor="text1"/>
          <w:shd w:val="clear" w:color="auto" w:fill="FFFFFF"/>
        </w:rPr>
      </w:pPr>
    </w:p>
    <w:p w14:paraId="68B13ACF" w14:textId="784EFECE" w:rsidR="006A3984" w:rsidRPr="002D568E" w:rsidRDefault="006A3984" w:rsidP="006A3984">
      <w:pPr>
        <w:autoSpaceDN w:val="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long-term aftermath of the Easter Rising led to a conservative controlled government in 1918 and the Government of Ireland Act in 1920, also known as the fourth home rule act, which split Ireland into two parts, Northern Ireland, and Southern Ireland. Northern Ireland </w:t>
      </w:r>
      <w:r>
        <w:rPr>
          <w:rFonts w:ascii="Times New Roman" w:hAnsi="Times New Roman" w:cs="Times New Roman"/>
          <w:color w:val="000000" w:themeColor="text1"/>
          <w:shd w:val="clear" w:color="auto" w:fill="FFFFFF"/>
        </w:rPr>
        <w:lastRenderedPageBreak/>
        <w:t xml:space="preserve">consisted of the six north eastern counties and the larger part of Ireland was named as Southern Ireland. At this point both territories remained within the United Kingdom and the plan was a reunification of Ireland under an Irish council. This was the current policy of the conservative government towards Ireland and therefore Ulster was never going to be able to remain its own territory. In 1919 David Lloyd George laid out his plans for the partition of Ireland and the implementation of the home rule act by 1920 whilst also laying out the factors that led to his decisions. In the house of commons Lloyd George explained the factors that led to his adoption of his proposals. </w:t>
      </w:r>
      <w:r w:rsidRPr="000D1C05">
        <w:rPr>
          <w:rFonts w:ascii="Times New Roman" w:hAnsi="Times New Roman" w:cs="Times New Roman"/>
          <w:color w:val="FF0000"/>
          <w:shd w:val="clear" w:color="auto" w:fill="FFFFFF"/>
        </w:rPr>
        <w:t>“First, the impossibility of severing Ireland from the United Kingdom; second, the opposition of nationalist Ireland to British rule in Ireland; and third, the opposition of the population of north-east Ulster to Irish rule”</w:t>
      </w:r>
      <w:r w:rsidRPr="000D1C05">
        <w:rPr>
          <w:rStyle w:val="FootnoteReference"/>
          <w:rFonts w:ascii="Times New Roman" w:hAnsi="Times New Roman" w:cs="Times New Roman"/>
          <w:color w:val="FF0000"/>
          <w:shd w:val="clear" w:color="auto" w:fill="FFFFFF"/>
        </w:rPr>
        <w:footnoteReference w:id="13"/>
      </w:r>
      <w:r w:rsidRPr="000D1C05">
        <w:rPr>
          <w:rFonts w:ascii="Times New Roman" w:hAnsi="Times New Roman" w:cs="Times New Roman"/>
          <w:color w:val="FF0000"/>
          <w:shd w:val="clear" w:color="auto" w:fill="FFFFFF"/>
        </w:rPr>
        <w:t xml:space="preserve"> </w:t>
      </w:r>
      <w:r>
        <w:rPr>
          <w:rFonts w:ascii="Times New Roman" w:hAnsi="Times New Roman" w:cs="Times New Roman"/>
          <w:color w:val="000000" w:themeColor="text1"/>
          <w:shd w:val="clear" w:color="auto" w:fill="FFFFFF"/>
        </w:rPr>
        <w:t xml:space="preserve">declared Lloyd George in 1919. He had summed up the obvious divisions that had existed in the United Kingdom at this point that had become more prevalent after the war in Europe. Britain was unable to attend to Irelands issues from abroad and with no understanding of the situations arising in Ireland without any first-hand exposure. Ireland would also refuse any direct rule from Britain no matter what concessions may be mad to them besides home rule and the right to self-govern. Finally, the so called ‘Ulster Question’ posed a conundrum for the Lloyd George coalition as well as the north-eastern territory of Ireland would refuse any direct rule from Ireland and wanted to maintain the political unity with Britain. The ‘Irish question’ had now become mainstream in British politics and had the direct attention of every member of parliament during the period 1914-1921. The change of </w:t>
      </w:r>
      <w:r w:rsidR="00AE40C7">
        <w:rPr>
          <w:rFonts w:ascii="Times New Roman" w:hAnsi="Times New Roman" w:cs="Times New Roman"/>
          <w:color w:val="000000" w:themeColor="text1"/>
          <w:shd w:val="clear" w:color="auto" w:fill="FFFFFF"/>
        </w:rPr>
        <w:t>leader</w:t>
      </w:r>
      <w:r>
        <w:rPr>
          <w:rFonts w:ascii="Times New Roman" w:hAnsi="Times New Roman" w:cs="Times New Roman"/>
          <w:color w:val="000000" w:themeColor="text1"/>
          <w:shd w:val="clear" w:color="auto" w:fill="FFFFFF"/>
        </w:rPr>
        <w:t xml:space="preserve"> from Asquith to Lloyd George ignited a sudden change of policy from a liberal view of home rule for the entirety of Ireland to the new idea of partition between the future Republic of Ireland and Northern Ireland. Lloyd Georges proposals to fix these issues were as followed, </w:t>
      </w:r>
      <w:r w:rsidRPr="002D568E">
        <w:rPr>
          <w:rFonts w:ascii="Times New Roman" w:hAnsi="Times New Roman" w:cs="Times New Roman"/>
          <w:color w:val="FF0000"/>
          <w:shd w:val="clear" w:color="auto" w:fill="FFFFFF"/>
        </w:rPr>
        <w:t>“The first involves the recognition that Ireland must remain an integral part of the United Kingdom. The second involves the conferring of self-government upon Ireland in all its domestic concerns. The third involves the setting up of two parliaments, and not one, in Ireland.”</w:t>
      </w:r>
      <w:r w:rsidRPr="002D568E">
        <w:rPr>
          <w:rStyle w:val="FootnoteReference"/>
          <w:rFonts w:ascii="Times New Roman" w:hAnsi="Times New Roman" w:cs="Times New Roman"/>
          <w:color w:val="FF0000"/>
          <w:shd w:val="clear" w:color="auto" w:fill="FFFFFF"/>
        </w:rPr>
        <w:footnoteReference w:id="14"/>
      </w:r>
      <w:r>
        <w:rPr>
          <w:rFonts w:ascii="Times New Roman" w:hAnsi="Times New Roman" w:cs="Times New Roman"/>
          <w:color w:val="FF0000"/>
          <w:shd w:val="clear" w:color="auto" w:fill="FFFFFF"/>
        </w:rPr>
        <w:t xml:space="preserve"> </w:t>
      </w:r>
      <w:r>
        <w:rPr>
          <w:rFonts w:ascii="Times New Roman" w:hAnsi="Times New Roman" w:cs="Times New Roman"/>
          <w:color w:val="000000" w:themeColor="text1"/>
          <w:shd w:val="clear" w:color="auto" w:fill="FFFFFF"/>
        </w:rPr>
        <w:t xml:space="preserve">Lloyd George would ask the house of commons and Irish citizens to consider these proposals seriously. He also acknowledged how </w:t>
      </w:r>
      <w:r w:rsidRPr="002D568E">
        <w:rPr>
          <w:rFonts w:ascii="Times New Roman" w:hAnsi="Times New Roman" w:cs="Times New Roman"/>
          <w:color w:val="FF0000"/>
          <w:shd w:val="clear" w:color="auto" w:fill="FFFFFF"/>
        </w:rPr>
        <w:t>“there have been mistakes, there have been follies, there have been crimes on both sides”</w:t>
      </w:r>
      <w:r w:rsidRPr="002D568E">
        <w:rPr>
          <w:rStyle w:val="FootnoteReference"/>
          <w:rFonts w:ascii="Times New Roman" w:hAnsi="Times New Roman" w:cs="Times New Roman"/>
          <w:color w:val="FF0000"/>
          <w:shd w:val="clear" w:color="auto" w:fill="FFFFFF"/>
        </w:rPr>
        <w:footnoteReference w:id="15"/>
      </w:r>
      <w:r w:rsidRPr="002D568E">
        <w:rPr>
          <w:rFonts w:ascii="Times New Roman" w:hAnsi="Times New Roman" w:cs="Times New Roman"/>
          <w:color w:val="FF0000"/>
          <w:shd w:val="clear" w:color="auto" w:fill="FFFFFF"/>
        </w:rPr>
        <w:t xml:space="preserve"> </w:t>
      </w:r>
      <w:r>
        <w:rPr>
          <w:rFonts w:ascii="Times New Roman" w:hAnsi="Times New Roman" w:cs="Times New Roman"/>
          <w:color w:val="000000" w:themeColor="text1"/>
          <w:shd w:val="clear" w:color="auto" w:fill="FFFFFF"/>
        </w:rPr>
        <w:t>and he went on to s</w:t>
      </w:r>
      <w:r w:rsidR="00AE40C7">
        <w:rPr>
          <w:rFonts w:ascii="Times New Roman" w:hAnsi="Times New Roman" w:cs="Times New Roman"/>
          <w:color w:val="000000" w:themeColor="text1"/>
          <w:shd w:val="clear" w:color="auto" w:fill="FFFFFF"/>
        </w:rPr>
        <w:t>uggest</w:t>
      </w:r>
      <w:r>
        <w:rPr>
          <w:rFonts w:ascii="Times New Roman" w:hAnsi="Times New Roman" w:cs="Times New Roman"/>
          <w:color w:val="000000" w:themeColor="text1"/>
          <w:shd w:val="clear" w:color="auto" w:fill="FFFFFF"/>
        </w:rPr>
        <w:t xml:space="preserve"> that now was the time for this chapter of inconsistency to be closed. Lloyd George would conclude that the recent activity of his government to do what’s best for Ireland was not because of the unrest that had deepened divisions in Ireland but because he was driven by a </w:t>
      </w:r>
      <w:r w:rsidRPr="0071646F">
        <w:rPr>
          <w:rFonts w:ascii="Times New Roman" w:hAnsi="Times New Roman" w:cs="Times New Roman"/>
          <w:color w:val="FF0000"/>
          <w:shd w:val="clear" w:color="auto" w:fill="FFFFFF"/>
        </w:rPr>
        <w:t>“deep sense of justice and right”</w:t>
      </w:r>
      <w:r w:rsidRPr="0071646F">
        <w:rPr>
          <w:rStyle w:val="FootnoteReference"/>
          <w:rFonts w:ascii="Times New Roman" w:hAnsi="Times New Roman" w:cs="Times New Roman"/>
          <w:color w:val="FF0000"/>
          <w:shd w:val="clear" w:color="auto" w:fill="FFFFFF"/>
        </w:rPr>
        <w:footnoteReference w:id="16"/>
      </w:r>
    </w:p>
    <w:p w14:paraId="6683FD47" w14:textId="70986D99" w:rsidR="00AE40C7" w:rsidRDefault="00AE40C7" w:rsidP="00E50752">
      <w:pPr>
        <w:autoSpaceDN w:val="0"/>
        <w:rPr>
          <w:rFonts w:ascii="Times New Roman" w:hAnsi="Times New Roman" w:cs="Times New Roman"/>
          <w:b/>
          <w:bCs/>
          <w:color w:val="000000" w:themeColor="text1"/>
          <w:u w:val="single"/>
          <w:shd w:val="clear" w:color="auto" w:fill="FFFFFF"/>
        </w:rPr>
      </w:pPr>
    </w:p>
    <w:p w14:paraId="22B17A80" w14:textId="4F289D59" w:rsidR="00AE40C7" w:rsidRDefault="003E7464" w:rsidP="00E50752">
      <w:pPr>
        <w:autoSpaceDN w:val="0"/>
        <w:rPr>
          <w:rFonts w:ascii="Times New Roman" w:hAnsi="Times New Roman" w:cs="Times New Roman"/>
          <w:color w:val="FF0000"/>
          <w:shd w:val="clear" w:color="auto" w:fill="FFFFFF"/>
        </w:rPr>
      </w:pPr>
      <w:r>
        <w:rPr>
          <w:rFonts w:ascii="Times New Roman" w:hAnsi="Times New Roman" w:cs="Times New Roman"/>
          <w:color w:val="000000" w:themeColor="text1"/>
          <w:shd w:val="clear" w:color="auto" w:fill="FFFFFF"/>
        </w:rPr>
        <w:t xml:space="preserve">In terms of the assumed ‘inconsistency’ of British policy towards Ireland, having researched the events that existed during the period 1914-1921, even looking back prior to this period for a foundation, it’s clear to me that whilst there was an inconsistency towards foreign policy towards Ireland that was not the reason for Britain’s failure with Ireland. As we can see with the actions of Asquith and Lloyd George there was attempts to appease Irish nationalists by </w:t>
      </w:r>
      <w:r>
        <w:rPr>
          <w:rFonts w:ascii="Times New Roman" w:hAnsi="Times New Roman" w:cs="Times New Roman"/>
          <w:color w:val="000000" w:themeColor="text1"/>
          <w:shd w:val="clear" w:color="auto" w:fill="FFFFFF"/>
        </w:rPr>
        <w:lastRenderedPageBreak/>
        <w:t xml:space="preserve">providing them home rule, although under Asquith the region of Ulster was ignored causing resistance from then. Llyod George however introduced the idea </w:t>
      </w:r>
      <w:r w:rsidR="00B53A04">
        <w:rPr>
          <w:rFonts w:ascii="Times New Roman" w:hAnsi="Times New Roman" w:cs="Times New Roman"/>
          <w:color w:val="000000" w:themeColor="text1"/>
          <w:shd w:val="clear" w:color="auto" w:fill="FFFFFF"/>
        </w:rPr>
        <w:t>o</w:t>
      </w:r>
      <w:r>
        <w:rPr>
          <w:rFonts w:ascii="Times New Roman" w:hAnsi="Times New Roman" w:cs="Times New Roman"/>
          <w:color w:val="000000" w:themeColor="text1"/>
          <w:shd w:val="clear" w:color="auto" w:fill="FFFFFF"/>
        </w:rPr>
        <w:t xml:space="preserve">f partition to </w:t>
      </w:r>
      <w:r w:rsidR="007E2A72">
        <w:rPr>
          <w:rFonts w:ascii="Times New Roman" w:hAnsi="Times New Roman" w:cs="Times New Roman"/>
          <w:color w:val="000000" w:themeColor="text1"/>
          <w:shd w:val="clear" w:color="auto" w:fill="FFFFFF"/>
        </w:rPr>
        <w:t>parliament,</w:t>
      </w:r>
      <w:r>
        <w:rPr>
          <w:rFonts w:ascii="Times New Roman" w:hAnsi="Times New Roman" w:cs="Times New Roman"/>
          <w:color w:val="000000" w:themeColor="text1"/>
          <w:shd w:val="clear" w:color="auto" w:fill="FFFFFF"/>
        </w:rPr>
        <w:t xml:space="preserve"> and this provided the Ulster region and the nationalist region their own separate governments. Every concession was made to appease Ireland but there was also a lack of foresight to the issues that existed in Ireland although that can be defended by the outbreak of war in Europe. The real cause of failure when it came to Ireland was the aggression that </w:t>
      </w:r>
      <w:r w:rsidR="00B53A04">
        <w:rPr>
          <w:rFonts w:ascii="Times New Roman" w:hAnsi="Times New Roman" w:cs="Times New Roman"/>
          <w:color w:val="000000" w:themeColor="text1"/>
          <w:shd w:val="clear" w:color="auto" w:fill="FFFFFF"/>
        </w:rPr>
        <w:t>Britain</w:t>
      </w:r>
      <w:r>
        <w:rPr>
          <w:rFonts w:ascii="Times New Roman" w:hAnsi="Times New Roman" w:cs="Times New Roman"/>
          <w:color w:val="000000" w:themeColor="text1"/>
          <w:shd w:val="clear" w:color="auto" w:fill="FFFFFF"/>
        </w:rPr>
        <w:t xml:space="preserve"> maintained to any form of riot or mass meeting a violent response. The easter rebellions were considered bloody and over the top </w:t>
      </w:r>
      <w:r w:rsidR="00B53A04">
        <w:rPr>
          <w:rFonts w:ascii="Times New Roman" w:hAnsi="Times New Roman" w:cs="Times New Roman"/>
          <w:color w:val="000000" w:themeColor="text1"/>
          <w:shd w:val="clear" w:color="auto" w:fill="FFFFFF"/>
        </w:rPr>
        <w:t xml:space="preserve">by Irish MP’s and the execution of its leaders made them martyrs rather than criminals. This led to the complete switch of support for Britain straight towards Ireland and their struggle for home rule. Their violent reactions to the events in Ireland in my opinion was the reason why Ireland failed to believe that British policy would lead to their demands being realised or even considered. This was why British policy failed to take hold in Ireland and not its supposed inconsistent policy. To summarize, as noted previously Lloyd George </w:t>
      </w:r>
      <w:r w:rsidR="00B53A04" w:rsidRPr="002D568E">
        <w:rPr>
          <w:rFonts w:ascii="Times New Roman" w:hAnsi="Times New Roman" w:cs="Times New Roman"/>
          <w:color w:val="FF0000"/>
          <w:shd w:val="clear" w:color="auto" w:fill="FFFFFF"/>
        </w:rPr>
        <w:t>“there have been mistakes, there have been follies, there have been crimes on both sides”</w:t>
      </w:r>
      <w:r w:rsidR="00B53A04" w:rsidRPr="002D568E">
        <w:rPr>
          <w:rStyle w:val="FootnoteReference"/>
          <w:rFonts w:ascii="Times New Roman" w:hAnsi="Times New Roman" w:cs="Times New Roman"/>
          <w:color w:val="FF0000"/>
          <w:shd w:val="clear" w:color="auto" w:fill="FFFFFF"/>
        </w:rPr>
        <w:footnoteReference w:id="17"/>
      </w:r>
    </w:p>
    <w:p w14:paraId="27DF3933" w14:textId="39A22A4D" w:rsidR="00B53A04" w:rsidRDefault="00B53A04" w:rsidP="00E50752">
      <w:pPr>
        <w:autoSpaceDN w:val="0"/>
        <w:rPr>
          <w:rFonts w:ascii="Times New Roman" w:hAnsi="Times New Roman" w:cs="Times New Roman"/>
          <w:color w:val="FF0000"/>
          <w:shd w:val="clear" w:color="auto" w:fill="FFFFFF"/>
        </w:rPr>
      </w:pPr>
    </w:p>
    <w:p w14:paraId="1D3D9E79" w14:textId="2BA51C0E" w:rsidR="00B53A04" w:rsidRDefault="00EF5DB0" w:rsidP="00E50752">
      <w:pPr>
        <w:autoSpaceDN w:val="0"/>
        <w:rPr>
          <w:rFonts w:ascii="Times New Roman" w:hAnsi="Times New Roman" w:cs="Times New Roman"/>
          <w:b/>
          <w:bCs/>
          <w:color w:val="000000" w:themeColor="text1"/>
          <w:u w:val="single"/>
          <w:shd w:val="clear" w:color="auto" w:fill="FFFFFF"/>
        </w:rPr>
      </w:pPr>
      <w:r>
        <w:rPr>
          <w:rFonts w:ascii="Times New Roman" w:hAnsi="Times New Roman" w:cs="Times New Roman"/>
          <w:b/>
          <w:bCs/>
          <w:color w:val="000000" w:themeColor="text1"/>
          <w:u w:val="single"/>
          <w:shd w:val="clear" w:color="auto" w:fill="FFFFFF"/>
        </w:rPr>
        <w:t>Reference List</w:t>
      </w:r>
      <w:r w:rsidR="007E6451">
        <w:rPr>
          <w:rFonts w:ascii="Times New Roman" w:hAnsi="Times New Roman" w:cs="Times New Roman"/>
          <w:b/>
          <w:bCs/>
          <w:color w:val="000000" w:themeColor="text1"/>
          <w:u w:val="single"/>
          <w:shd w:val="clear" w:color="auto" w:fill="FFFFFF"/>
        </w:rPr>
        <w:t xml:space="preserve"> – In order of usage</w:t>
      </w:r>
    </w:p>
    <w:p w14:paraId="0260CB3A" w14:textId="56611665" w:rsidR="00EF5DB0" w:rsidRDefault="00EF5DB0" w:rsidP="00E50752">
      <w:pPr>
        <w:autoSpaceDN w:val="0"/>
        <w:rPr>
          <w:rFonts w:ascii="Times New Roman" w:hAnsi="Times New Roman" w:cs="Times New Roman"/>
          <w:b/>
          <w:bCs/>
          <w:color w:val="000000" w:themeColor="text1"/>
          <w:u w:val="single"/>
          <w:shd w:val="clear" w:color="auto" w:fill="FFFFFF"/>
        </w:rPr>
      </w:pPr>
    </w:p>
    <w:p w14:paraId="65A50A3A" w14:textId="77777777" w:rsidR="00EF5DB0" w:rsidRPr="00EF5DB0" w:rsidRDefault="00EF5DB0" w:rsidP="00E50752">
      <w:pPr>
        <w:autoSpaceDN w:val="0"/>
        <w:rPr>
          <w:rFonts w:ascii="Times New Roman" w:hAnsi="Times New Roman" w:cs="Times New Roman"/>
          <w:color w:val="000000" w:themeColor="text1"/>
          <w:shd w:val="clear" w:color="auto" w:fill="FFFFFF"/>
        </w:rPr>
      </w:pPr>
    </w:p>
    <w:p w14:paraId="714FD5AE" w14:textId="77777777" w:rsidR="00EF5DB0" w:rsidRPr="00EF5DB0" w:rsidRDefault="00EF5DB0" w:rsidP="00EF5DB0">
      <w:pPr>
        <w:pStyle w:val="FootnoteText"/>
        <w:rPr>
          <w:sz w:val="24"/>
          <w:szCs w:val="24"/>
        </w:rPr>
      </w:pPr>
      <w:r w:rsidRPr="00EF5DB0">
        <w:rPr>
          <w:sz w:val="24"/>
          <w:szCs w:val="24"/>
        </w:rPr>
        <w:t xml:space="preserve">A.J. Rose, ‘Partition and Ireland’, </w:t>
      </w:r>
      <w:r w:rsidRPr="00EF5DB0">
        <w:rPr>
          <w:i/>
          <w:iCs/>
          <w:sz w:val="24"/>
          <w:szCs w:val="24"/>
        </w:rPr>
        <w:t xml:space="preserve">The Australian Quarterly, </w:t>
      </w:r>
      <w:r w:rsidRPr="00EF5DB0">
        <w:rPr>
          <w:sz w:val="24"/>
          <w:szCs w:val="24"/>
        </w:rPr>
        <w:t>No. 3, Vol. 27, (1955), p67, (p67-p81)</w:t>
      </w:r>
    </w:p>
    <w:p w14:paraId="79DE5FB6" w14:textId="77777777" w:rsidR="00EF5DB0" w:rsidRPr="00EF5DB0" w:rsidRDefault="00EF5DB0" w:rsidP="00EF5DB0">
      <w:pPr>
        <w:pStyle w:val="FootnoteText"/>
        <w:rPr>
          <w:sz w:val="24"/>
          <w:szCs w:val="24"/>
        </w:rPr>
      </w:pPr>
    </w:p>
    <w:p w14:paraId="1EC56069" w14:textId="32EBFE4A" w:rsidR="00EF5DB0" w:rsidRDefault="00EF5DB0" w:rsidP="00EF5DB0">
      <w:pPr>
        <w:pStyle w:val="FootnoteText"/>
        <w:rPr>
          <w:sz w:val="24"/>
          <w:szCs w:val="24"/>
        </w:rPr>
      </w:pPr>
      <w:r w:rsidRPr="00EF5DB0">
        <w:rPr>
          <w:sz w:val="24"/>
          <w:szCs w:val="24"/>
        </w:rPr>
        <w:t xml:space="preserve">D.G. Boyce, ‘British Conservative Opinion, the Ulster Question, and the Partition of Ireland, 1912-1921’, </w:t>
      </w:r>
      <w:r w:rsidRPr="00EF5DB0">
        <w:rPr>
          <w:i/>
          <w:iCs/>
          <w:sz w:val="24"/>
          <w:szCs w:val="24"/>
        </w:rPr>
        <w:t xml:space="preserve">Irish Historical Studies, No.65, Vol.17, (1970), </w:t>
      </w:r>
      <w:r w:rsidRPr="00EF5DB0">
        <w:rPr>
          <w:sz w:val="24"/>
          <w:szCs w:val="24"/>
        </w:rPr>
        <w:t xml:space="preserve">p95  </w:t>
      </w:r>
    </w:p>
    <w:p w14:paraId="22871F0C" w14:textId="34BED1BF" w:rsidR="007E6451" w:rsidRDefault="007E6451" w:rsidP="00EF5DB0">
      <w:pPr>
        <w:pStyle w:val="FootnoteText"/>
        <w:rPr>
          <w:sz w:val="24"/>
          <w:szCs w:val="24"/>
        </w:rPr>
      </w:pPr>
    </w:p>
    <w:p w14:paraId="59D9D523" w14:textId="6D3CE3D6" w:rsidR="007E6451" w:rsidRPr="00EF5DB0" w:rsidRDefault="007E6451" w:rsidP="007E6451">
      <w:pPr>
        <w:pStyle w:val="FootnoteText"/>
        <w:rPr>
          <w:sz w:val="24"/>
          <w:szCs w:val="24"/>
        </w:rPr>
      </w:pPr>
      <w:r w:rsidRPr="00EF5DB0">
        <w:rPr>
          <w:sz w:val="24"/>
          <w:szCs w:val="24"/>
        </w:rPr>
        <w:t xml:space="preserve">D.G. Boyce, ‘British Conservative Opinion, the Ulster Question, and the Partition of Ireland, 1912-1921’, </w:t>
      </w:r>
      <w:r w:rsidRPr="00EF5DB0">
        <w:rPr>
          <w:i/>
          <w:iCs/>
          <w:sz w:val="24"/>
          <w:szCs w:val="24"/>
        </w:rPr>
        <w:t xml:space="preserve">Irish Historical Studies, No.65, Vol.17, (1970), </w:t>
      </w:r>
      <w:r w:rsidRPr="00EF5DB0">
        <w:rPr>
          <w:sz w:val="24"/>
          <w:szCs w:val="24"/>
        </w:rPr>
        <w:t>p9</w:t>
      </w:r>
      <w:r>
        <w:rPr>
          <w:sz w:val="24"/>
          <w:szCs w:val="24"/>
        </w:rPr>
        <w:t>1</w:t>
      </w:r>
      <w:r w:rsidRPr="00EF5DB0">
        <w:rPr>
          <w:sz w:val="24"/>
          <w:szCs w:val="24"/>
        </w:rPr>
        <w:t xml:space="preserve">  </w:t>
      </w:r>
    </w:p>
    <w:p w14:paraId="178163AE" w14:textId="77777777" w:rsidR="007E6451" w:rsidRPr="00EF5DB0" w:rsidRDefault="007E6451" w:rsidP="00EF5DB0">
      <w:pPr>
        <w:pStyle w:val="FootnoteText"/>
        <w:rPr>
          <w:sz w:val="24"/>
          <w:szCs w:val="24"/>
        </w:rPr>
      </w:pPr>
    </w:p>
    <w:p w14:paraId="301F1D6F" w14:textId="77777777" w:rsidR="00EF5DB0" w:rsidRPr="00EF5DB0" w:rsidRDefault="00EF5DB0" w:rsidP="00EF5DB0">
      <w:pPr>
        <w:pStyle w:val="FootnoteText"/>
        <w:rPr>
          <w:sz w:val="24"/>
          <w:szCs w:val="24"/>
        </w:rPr>
      </w:pPr>
      <w:r w:rsidRPr="00EF5DB0">
        <w:rPr>
          <w:sz w:val="24"/>
          <w:szCs w:val="24"/>
        </w:rPr>
        <w:t>Ireland and World War 1, ‘</w:t>
      </w:r>
      <w:r w:rsidRPr="00EF5DB0">
        <w:rPr>
          <w:i/>
          <w:iCs/>
          <w:sz w:val="24"/>
          <w:szCs w:val="24"/>
        </w:rPr>
        <w:t>Prelude to the Great War’</w:t>
      </w:r>
      <w:r w:rsidRPr="00EF5DB0">
        <w:rPr>
          <w:sz w:val="24"/>
          <w:szCs w:val="24"/>
        </w:rPr>
        <w:t xml:space="preserve">, </w:t>
      </w:r>
      <w:hyperlink r:id="rId8" w:anchor="Prelude_to_the_Great_War" w:history="1">
        <w:r w:rsidRPr="00EF5DB0">
          <w:rPr>
            <w:rStyle w:val="Hyperlink"/>
            <w:sz w:val="24"/>
            <w:szCs w:val="24"/>
          </w:rPr>
          <w:t>https://en.wikipedia.org/wiki/Ireland_and_World_War_I#Prelude_to_the_Great_War</w:t>
        </w:r>
      </w:hyperlink>
      <w:r w:rsidRPr="00EF5DB0">
        <w:rPr>
          <w:sz w:val="24"/>
          <w:szCs w:val="24"/>
        </w:rPr>
        <w:t>, [Accessed 16/12/2022]</w:t>
      </w:r>
    </w:p>
    <w:p w14:paraId="7F96C0CE" w14:textId="77777777" w:rsidR="0020695C" w:rsidRDefault="0020695C" w:rsidP="00E50752">
      <w:pPr>
        <w:autoSpaceDN w:val="0"/>
        <w:rPr>
          <w:rFonts w:ascii="Times New Roman" w:hAnsi="Times New Roman" w:cs="Times New Roman"/>
          <w:color w:val="000000" w:themeColor="text1"/>
          <w:shd w:val="clear" w:color="auto" w:fill="FFFFFF"/>
        </w:rPr>
      </w:pPr>
    </w:p>
    <w:p w14:paraId="78C329B3" w14:textId="77777777" w:rsidR="00EF5DB0" w:rsidRPr="00EF5DB0" w:rsidRDefault="00EF5DB0" w:rsidP="00EF5DB0">
      <w:pPr>
        <w:pStyle w:val="FootnoteText"/>
        <w:rPr>
          <w:sz w:val="24"/>
          <w:szCs w:val="24"/>
        </w:rPr>
      </w:pPr>
      <w:r w:rsidRPr="00EF5DB0">
        <w:rPr>
          <w:sz w:val="24"/>
          <w:szCs w:val="24"/>
        </w:rPr>
        <w:t>John Dillon, ‘ ‘</w:t>
      </w:r>
      <w:r w:rsidRPr="00EF5DB0">
        <w:rPr>
          <w:i/>
          <w:iCs/>
          <w:sz w:val="24"/>
          <w:szCs w:val="24"/>
        </w:rPr>
        <w:t>Ulster will not fight’, John Dillon tells Bristol demonstration’</w:t>
      </w:r>
      <w:r w:rsidRPr="00EF5DB0">
        <w:rPr>
          <w:sz w:val="24"/>
          <w:szCs w:val="24"/>
        </w:rPr>
        <w:t xml:space="preserve">, &lt; </w:t>
      </w:r>
      <w:hyperlink r:id="rId9" w:history="1">
        <w:r w:rsidRPr="00EF5DB0">
          <w:rPr>
            <w:rStyle w:val="Hyperlink"/>
            <w:sz w:val="24"/>
            <w:szCs w:val="24"/>
          </w:rPr>
          <w:t>https://www.rte.ie/centuryireland/index.php/articles/ulster-will-not-fight-john-dillon-tells-home-rule-demonstration-in-bristol</w:t>
        </w:r>
      </w:hyperlink>
      <w:r w:rsidRPr="00EF5DB0">
        <w:rPr>
          <w:sz w:val="24"/>
          <w:szCs w:val="24"/>
        </w:rPr>
        <w:t>&gt;, [Accessed 16/12/2022]</w:t>
      </w:r>
    </w:p>
    <w:p w14:paraId="3E7C1D04" w14:textId="77777777" w:rsidR="00EF5DB0" w:rsidRPr="00EF5DB0" w:rsidRDefault="00EF5DB0" w:rsidP="00EF5DB0">
      <w:pPr>
        <w:pStyle w:val="FootnoteText"/>
        <w:rPr>
          <w:sz w:val="24"/>
          <w:szCs w:val="24"/>
        </w:rPr>
      </w:pPr>
    </w:p>
    <w:p w14:paraId="7223AB0A" w14:textId="4269F519" w:rsidR="00EF5DB0" w:rsidRDefault="00EF5DB0" w:rsidP="00EF5DB0">
      <w:pPr>
        <w:pStyle w:val="FootnoteText"/>
        <w:rPr>
          <w:sz w:val="24"/>
          <w:szCs w:val="24"/>
        </w:rPr>
      </w:pPr>
      <w:r w:rsidRPr="00EF5DB0">
        <w:rPr>
          <w:sz w:val="24"/>
          <w:szCs w:val="24"/>
        </w:rPr>
        <w:t>Alan McCarthy, ‘</w:t>
      </w:r>
      <w:r w:rsidRPr="00EF5DB0">
        <w:rPr>
          <w:i/>
          <w:iCs/>
          <w:sz w:val="24"/>
          <w:szCs w:val="24"/>
        </w:rPr>
        <w:t>The Irish Revolutionary Project: Chapter 5. The Aftermath of the Easter Rising’</w:t>
      </w:r>
      <w:r w:rsidRPr="00EF5DB0">
        <w:rPr>
          <w:sz w:val="24"/>
          <w:szCs w:val="24"/>
        </w:rPr>
        <w:t xml:space="preserve">, &lt; </w:t>
      </w:r>
      <w:hyperlink r:id="rId10" w:history="1">
        <w:r w:rsidRPr="00EF5DB0">
          <w:rPr>
            <w:rStyle w:val="Hyperlink"/>
            <w:sz w:val="24"/>
            <w:szCs w:val="24"/>
          </w:rPr>
          <w:t>https://www.ucc.ie/en/theirishrevolution/collections/the-story-of-1916/chapter-5-the-aftermath-of-the-1916-rising/</w:t>
        </w:r>
      </w:hyperlink>
      <w:r w:rsidRPr="00EF5DB0">
        <w:rPr>
          <w:sz w:val="24"/>
          <w:szCs w:val="24"/>
        </w:rPr>
        <w:t>&gt;, [Accessed 17/12/2022]</w:t>
      </w:r>
    </w:p>
    <w:p w14:paraId="75EC9FD6" w14:textId="11BCDA31" w:rsidR="00EF5DB0" w:rsidRDefault="00EF5DB0" w:rsidP="00EF5DB0">
      <w:pPr>
        <w:pStyle w:val="FootnoteText"/>
        <w:rPr>
          <w:sz w:val="24"/>
          <w:szCs w:val="24"/>
        </w:rPr>
      </w:pPr>
    </w:p>
    <w:p w14:paraId="6E203D19" w14:textId="77777777" w:rsidR="00EF5DB0" w:rsidRPr="00EF5DB0" w:rsidRDefault="00EF5DB0" w:rsidP="00EF5DB0">
      <w:pPr>
        <w:pStyle w:val="FootnoteText"/>
        <w:rPr>
          <w:sz w:val="24"/>
          <w:szCs w:val="24"/>
        </w:rPr>
      </w:pPr>
      <w:r w:rsidRPr="00EF5DB0">
        <w:rPr>
          <w:sz w:val="24"/>
          <w:szCs w:val="24"/>
        </w:rPr>
        <w:t xml:space="preserve">David Lloyd George, ‘Lloyd George announces home rule plans with partition’, &lt; </w:t>
      </w:r>
      <w:hyperlink r:id="rId11" w:history="1">
        <w:r w:rsidRPr="00EF5DB0">
          <w:rPr>
            <w:rStyle w:val="Hyperlink"/>
            <w:sz w:val="24"/>
            <w:szCs w:val="24"/>
          </w:rPr>
          <w:t>https://www.rte.ie/centuryireland/index.php/articles/lloyd-george-announces-home-rule-plans-with-partition</w:t>
        </w:r>
      </w:hyperlink>
      <w:r w:rsidRPr="00EF5DB0">
        <w:rPr>
          <w:sz w:val="24"/>
          <w:szCs w:val="24"/>
        </w:rPr>
        <w:t>&gt;, [Accessed 17/12/2022]</w:t>
      </w:r>
    </w:p>
    <w:p w14:paraId="150B509C" w14:textId="77777777" w:rsidR="00EF5DB0" w:rsidRPr="00EF5DB0" w:rsidRDefault="00EF5DB0" w:rsidP="00EF5DB0">
      <w:pPr>
        <w:pStyle w:val="FootnoteText"/>
        <w:rPr>
          <w:sz w:val="24"/>
          <w:szCs w:val="24"/>
        </w:rPr>
      </w:pPr>
    </w:p>
    <w:p w14:paraId="5C5B67DE" w14:textId="77777777" w:rsidR="00B75EF2" w:rsidRDefault="00B75EF2" w:rsidP="00B75EF2">
      <w:pPr>
        <w:autoSpaceDN w:val="0"/>
        <w:rPr>
          <w:rFonts w:ascii="Times New Roman" w:hAnsi="Times New Roman" w:cs="Times New Roman"/>
          <w:color w:val="000000" w:themeColor="text1"/>
          <w:shd w:val="clear" w:color="auto" w:fill="FFFFFF"/>
        </w:rPr>
      </w:pPr>
    </w:p>
    <w:p w14:paraId="6169DE26" w14:textId="77777777" w:rsidR="002D568E" w:rsidRDefault="002D568E" w:rsidP="00B75EF2">
      <w:pPr>
        <w:autoSpaceDN w:val="0"/>
        <w:rPr>
          <w:rFonts w:ascii="Times New Roman" w:hAnsi="Times New Roman" w:cs="Times New Roman"/>
          <w:b/>
          <w:bCs/>
          <w:color w:val="000000" w:themeColor="text1"/>
          <w:u w:val="single"/>
          <w:shd w:val="clear" w:color="auto" w:fill="FFFFFF"/>
        </w:rPr>
      </w:pPr>
    </w:p>
    <w:p w14:paraId="572B87CA" w14:textId="77777777" w:rsidR="00023C0F" w:rsidRPr="00023C0F" w:rsidRDefault="00023C0F" w:rsidP="00B75EF2">
      <w:pPr>
        <w:pStyle w:val="NormalWeb"/>
        <w:autoSpaceDN w:val="0"/>
        <w:spacing w:beforeAutospacing="0" w:afterAutospacing="0"/>
        <w:rPr>
          <w:color w:val="000000"/>
        </w:rPr>
      </w:pPr>
    </w:p>
    <w:p w14:paraId="1287BDE5" w14:textId="77777777" w:rsidR="009A07A6" w:rsidRDefault="009A07A6"/>
    <w:sectPr w:rsidR="009A07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BDC64" w14:textId="77777777" w:rsidR="0063765C" w:rsidRDefault="0063765C" w:rsidP="0005230D">
      <w:r>
        <w:separator/>
      </w:r>
    </w:p>
  </w:endnote>
  <w:endnote w:type="continuationSeparator" w:id="0">
    <w:p w14:paraId="48D609F7" w14:textId="77777777" w:rsidR="0063765C" w:rsidRDefault="0063765C" w:rsidP="00052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8B1C7" w14:textId="77777777" w:rsidR="0063765C" w:rsidRDefault="0063765C" w:rsidP="0005230D">
      <w:r>
        <w:separator/>
      </w:r>
    </w:p>
  </w:footnote>
  <w:footnote w:type="continuationSeparator" w:id="0">
    <w:p w14:paraId="1044C4B8" w14:textId="77777777" w:rsidR="0063765C" w:rsidRDefault="0063765C" w:rsidP="0005230D">
      <w:r>
        <w:continuationSeparator/>
      </w:r>
    </w:p>
  </w:footnote>
  <w:footnote w:id="1">
    <w:p w14:paraId="33809BD6" w14:textId="16981FD5" w:rsidR="00B84A35" w:rsidRPr="006A3984" w:rsidRDefault="00B84A35">
      <w:pPr>
        <w:pStyle w:val="FootnoteText"/>
      </w:pPr>
      <w:r w:rsidRPr="006A3984">
        <w:rPr>
          <w:rStyle w:val="FootnoteReference"/>
        </w:rPr>
        <w:footnoteRef/>
      </w:r>
      <w:r w:rsidRPr="006A3984">
        <w:t xml:space="preserve"> A.J. Rose, ‘Partition and Ireland’, </w:t>
      </w:r>
      <w:r w:rsidRPr="006A3984">
        <w:rPr>
          <w:i/>
          <w:iCs/>
        </w:rPr>
        <w:t xml:space="preserve">The Australian Quarterly, </w:t>
      </w:r>
      <w:r w:rsidRPr="006A3984">
        <w:t>No. 3, Vol. 27, (1955),</w:t>
      </w:r>
      <w:r w:rsidR="00DE0735" w:rsidRPr="006A3984">
        <w:t xml:space="preserve"> </w:t>
      </w:r>
      <w:r w:rsidRPr="006A3984">
        <w:t>p67, (p67-p81)</w:t>
      </w:r>
    </w:p>
  </w:footnote>
  <w:footnote w:id="2">
    <w:p w14:paraId="05517B0D" w14:textId="77777777" w:rsidR="00BD7CC9" w:rsidRPr="006A3984" w:rsidRDefault="00BD7CC9" w:rsidP="00BD7CC9">
      <w:pPr>
        <w:pStyle w:val="FootnoteText"/>
      </w:pPr>
      <w:r w:rsidRPr="006A3984">
        <w:rPr>
          <w:rStyle w:val="FootnoteReference"/>
        </w:rPr>
        <w:footnoteRef/>
      </w:r>
      <w:r w:rsidRPr="006A3984">
        <w:t xml:space="preserve"> D.G. Boyce, ‘British Conservative Opinion, the Ulster Question, and the Partition of Ireland, 1912-1921’, </w:t>
      </w:r>
      <w:r w:rsidRPr="006A3984">
        <w:rPr>
          <w:i/>
          <w:iCs/>
        </w:rPr>
        <w:t xml:space="preserve">Irish Historical Studies, No.65, Vol.17, (1970), </w:t>
      </w:r>
      <w:r w:rsidRPr="006A3984">
        <w:t xml:space="preserve">p95  </w:t>
      </w:r>
    </w:p>
  </w:footnote>
  <w:footnote w:id="3">
    <w:p w14:paraId="21EA5726" w14:textId="77777777" w:rsidR="00BD7CC9" w:rsidRPr="006A3984" w:rsidRDefault="00BD7CC9" w:rsidP="00BD7CC9">
      <w:pPr>
        <w:pStyle w:val="FootnoteText"/>
      </w:pPr>
      <w:r w:rsidRPr="006A3984">
        <w:rPr>
          <w:rStyle w:val="FootnoteReference"/>
        </w:rPr>
        <w:footnoteRef/>
      </w:r>
      <w:r w:rsidRPr="006A3984">
        <w:t xml:space="preserve"> D.G. Boyce, p91</w:t>
      </w:r>
    </w:p>
  </w:footnote>
  <w:footnote w:id="4">
    <w:p w14:paraId="361E13D6" w14:textId="77777777" w:rsidR="00BD7CC9" w:rsidRPr="006A3984" w:rsidRDefault="00BD7CC9" w:rsidP="00BD7CC9">
      <w:pPr>
        <w:pStyle w:val="FootnoteText"/>
      </w:pPr>
      <w:r w:rsidRPr="006A3984">
        <w:rPr>
          <w:rStyle w:val="FootnoteReference"/>
        </w:rPr>
        <w:footnoteRef/>
      </w:r>
      <w:r w:rsidRPr="006A3984">
        <w:t xml:space="preserve"> D.G. Boyce, p91</w:t>
      </w:r>
    </w:p>
  </w:footnote>
  <w:footnote w:id="5">
    <w:p w14:paraId="27C4627A" w14:textId="7319CD26" w:rsidR="0005230D" w:rsidRPr="006A3984" w:rsidRDefault="0005230D">
      <w:pPr>
        <w:pStyle w:val="FootnoteText"/>
      </w:pPr>
      <w:r w:rsidRPr="006A3984">
        <w:rPr>
          <w:rStyle w:val="FootnoteReference"/>
        </w:rPr>
        <w:footnoteRef/>
      </w:r>
      <w:r w:rsidRPr="006A3984">
        <w:t xml:space="preserve"> </w:t>
      </w:r>
      <w:r w:rsidR="0071646F" w:rsidRPr="006A3984">
        <w:t xml:space="preserve">Ireland and </w:t>
      </w:r>
      <w:r w:rsidR="00A57ADA" w:rsidRPr="006A3984">
        <w:t>World War 1, ‘</w:t>
      </w:r>
      <w:r w:rsidR="00A57ADA" w:rsidRPr="006A3984">
        <w:rPr>
          <w:i/>
          <w:iCs/>
        </w:rPr>
        <w:t>Prelude to the Great War’</w:t>
      </w:r>
      <w:r w:rsidR="00A57ADA" w:rsidRPr="006A3984">
        <w:t xml:space="preserve">, </w:t>
      </w:r>
      <w:hyperlink r:id="rId1" w:anchor="Prelude_to_the_Great_War" w:history="1">
        <w:r w:rsidR="00A57ADA" w:rsidRPr="006A3984">
          <w:rPr>
            <w:rStyle w:val="Hyperlink"/>
          </w:rPr>
          <w:t>https://en.wikipedia.org/wiki/Ireland_and_World_War_I#Prelude_to_the_Great_War</w:t>
        </w:r>
      </w:hyperlink>
      <w:r w:rsidR="00A57ADA" w:rsidRPr="006A3984">
        <w:t>, [Accessed 16/12/2022]</w:t>
      </w:r>
    </w:p>
  </w:footnote>
  <w:footnote w:id="6">
    <w:p w14:paraId="6C5F82DC" w14:textId="28DB7B26" w:rsidR="0005230D" w:rsidRPr="006A3984" w:rsidRDefault="0005230D">
      <w:pPr>
        <w:pStyle w:val="FootnoteText"/>
      </w:pPr>
      <w:r w:rsidRPr="006A3984">
        <w:rPr>
          <w:rStyle w:val="FootnoteReference"/>
        </w:rPr>
        <w:footnoteRef/>
      </w:r>
      <w:r w:rsidRPr="006A3984">
        <w:t xml:space="preserve"> </w:t>
      </w:r>
      <w:r w:rsidR="00A57ADA" w:rsidRPr="006A3984">
        <w:t>Ireland and World War 1, ‘</w:t>
      </w:r>
      <w:r w:rsidR="00A57ADA" w:rsidRPr="006A3984">
        <w:rPr>
          <w:i/>
          <w:iCs/>
        </w:rPr>
        <w:t>Prelude to the Great War’</w:t>
      </w:r>
      <w:r w:rsidR="00A57ADA" w:rsidRPr="006A3984">
        <w:t xml:space="preserve">, </w:t>
      </w:r>
      <w:hyperlink r:id="rId2" w:anchor="Prelude_to_the_Great_War" w:history="1">
        <w:r w:rsidR="00A57ADA" w:rsidRPr="006A3984">
          <w:rPr>
            <w:rStyle w:val="Hyperlink"/>
          </w:rPr>
          <w:t>https://en.wikipedia.org/wiki/Ireland_and_World_War_I#Prelude_to_the_Great_War</w:t>
        </w:r>
      </w:hyperlink>
      <w:r w:rsidR="00A57ADA" w:rsidRPr="006A3984">
        <w:t>, [Accessed 16/12/2022]</w:t>
      </w:r>
    </w:p>
  </w:footnote>
  <w:footnote w:id="7">
    <w:p w14:paraId="7DC0CEAE" w14:textId="7607E7AD" w:rsidR="00CC5503" w:rsidRPr="006A3984" w:rsidRDefault="00CC5503">
      <w:pPr>
        <w:pStyle w:val="FootnoteText"/>
      </w:pPr>
      <w:r w:rsidRPr="006A3984">
        <w:rPr>
          <w:rStyle w:val="FootnoteReference"/>
        </w:rPr>
        <w:footnoteRef/>
      </w:r>
      <w:r w:rsidRPr="006A3984">
        <w:t xml:space="preserve"> </w:t>
      </w:r>
      <w:r w:rsidR="0071646F" w:rsidRPr="006A3984">
        <w:t>John Dillon, ‘ ‘</w:t>
      </w:r>
      <w:r w:rsidR="0071646F" w:rsidRPr="006A3984">
        <w:rPr>
          <w:i/>
          <w:iCs/>
        </w:rPr>
        <w:t>Ulster will not fight’, John Dillon tells Bristol demonstration’</w:t>
      </w:r>
      <w:r w:rsidR="0071646F" w:rsidRPr="006A3984">
        <w:t xml:space="preserve">, &lt; </w:t>
      </w:r>
      <w:hyperlink r:id="rId3" w:history="1">
        <w:r w:rsidR="0071646F" w:rsidRPr="006A3984">
          <w:rPr>
            <w:rStyle w:val="Hyperlink"/>
          </w:rPr>
          <w:t>https://www.rte.ie/centuryireland/index.php/articles/ulster-will-not-fight-john-dillon-tells-home-rule-demonstration-in-bristol</w:t>
        </w:r>
      </w:hyperlink>
      <w:r w:rsidR="0071646F" w:rsidRPr="006A3984">
        <w:t>&gt;, [Accessed 16/12/2022]</w:t>
      </w:r>
    </w:p>
  </w:footnote>
  <w:footnote w:id="8">
    <w:p w14:paraId="329875C5" w14:textId="284FD85A" w:rsidR="00CC5503" w:rsidRPr="006A3984" w:rsidRDefault="00CC5503">
      <w:pPr>
        <w:pStyle w:val="FootnoteText"/>
      </w:pPr>
      <w:r w:rsidRPr="006A3984">
        <w:rPr>
          <w:rStyle w:val="FootnoteReference"/>
        </w:rPr>
        <w:footnoteRef/>
      </w:r>
      <w:r w:rsidRPr="006A3984">
        <w:t xml:space="preserve"> </w:t>
      </w:r>
      <w:r w:rsidR="0071646F" w:rsidRPr="006A3984">
        <w:t>John Dillon, ‘ ‘</w:t>
      </w:r>
      <w:r w:rsidR="0071646F" w:rsidRPr="006A3984">
        <w:rPr>
          <w:i/>
          <w:iCs/>
        </w:rPr>
        <w:t>Ulster will not fight’, John Dillon tells Bristol demonstration’</w:t>
      </w:r>
      <w:r w:rsidR="0071646F" w:rsidRPr="006A3984">
        <w:t xml:space="preserve">, &lt; </w:t>
      </w:r>
      <w:hyperlink r:id="rId4" w:history="1">
        <w:r w:rsidR="0071646F" w:rsidRPr="006A3984">
          <w:rPr>
            <w:rStyle w:val="Hyperlink"/>
          </w:rPr>
          <w:t>https://www.rte.ie/centuryireland/index.php/articles/ulster-will-not-fight-john-dillon-tells-home-rule-demonstration-in-bristol</w:t>
        </w:r>
      </w:hyperlink>
      <w:r w:rsidR="0071646F" w:rsidRPr="006A3984">
        <w:t>&gt;, [Accessed 16/12/2022]</w:t>
      </w:r>
    </w:p>
  </w:footnote>
  <w:footnote w:id="9">
    <w:p w14:paraId="0DE5A095" w14:textId="31B13340" w:rsidR="00CC5503" w:rsidRPr="006A3984" w:rsidRDefault="00CC5503">
      <w:pPr>
        <w:pStyle w:val="FootnoteText"/>
      </w:pPr>
      <w:r w:rsidRPr="006A3984">
        <w:rPr>
          <w:rStyle w:val="FootnoteReference"/>
        </w:rPr>
        <w:footnoteRef/>
      </w:r>
      <w:r w:rsidRPr="006A3984">
        <w:t xml:space="preserve"> </w:t>
      </w:r>
      <w:r w:rsidR="0071646F" w:rsidRPr="006A3984">
        <w:t>John Dillon, ‘ ‘</w:t>
      </w:r>
      <w:r w:rsidR="0071646F" w:rsidRPr="006A3984">
        <w:rPr>
          <w:i/>
          <w:iCs/>
        </w:rPr>
        <w:t>Ulster will not fight’, John Dillon tells Bristol demonstration’</w:t>
      </w:r>
      <w:r w:rsidR="0071646F" w:rsidRPr="006A3984">
        <w:t xml:space="preserve">, &lt; </w:t>
      </w:r>
      <w:hyperlink r:id="rId5" w:history="1">
        <w:r w:rsidR="0071646F" w:rsidRPr="006A3984">
          <w:rPr>
            <w:rStyle w:val="Hyperlink"/>
          </w:rPr>
          <w:t>https://www.rte.ie/centuryireland/index.php/articles/ulster-will-not-fight-john-dillon-tells-home-rule-demonstration-in-bristol</w:t>
        </w:r>
      </w:hyperlink>
      <w:r w:rsidR="0071646F" w:rsidRPr="006A3984">
        <w:t>&gt;, [Accessed 16/12/2022]</w:t>
      </w:r>
    </w:p>
  </w:footnote>
  <w:footnote w:id="10">
    <w:p w14:paraId="0E3EFD04" w14:textId="1706FD03" w:rsidR="00CC5503" w:rsidRPr="006A3984" w:rsidRDefault="00CC5503">
      <w:pPr>
        <w:pStyle w:val="FootnoteText"/>
      </w:pPr>
      <w:r w:rsidRPr="006A3984">
        <w:rPr>
          <w:rStyle w:val="FootnoteReference"/>
        </w:rPr>
        <w:footnoteRef/>
      </w:r>
      <w:r w:rsidRPr="006A3984">
        <w:t xml:space="preserve"> </w:t>
      </w:r>
      <w:r w:rsidR="0071646F" w:rsidRPr="006A3984">
        <w:t>John Dillon, ‘ ‘</w:t>
      </w:r>
      <w:r w:rsidR="0071646F" w:rsidRPr="006A3984">
        <w:rPr>
          <w:i/>
          <w:iCs/>
        </w:rPr>
        <w:t>Ulster will not fight’, John Dillon tells Bristol demonstration’</w:t>
      </w:r>
      <w:r w:rsidR="0071646F" w:rsidRPr="006A3984">
        <w:t xml:space="preserve">, &lt; </w:t>
      </w:r>
      <w:hyperlink r:id="rId6" w:history="1">
        <w:r w:rsidR="0071646F" w:rsidRPr="006A3984">
          <w:rPr>
            <w:rStyle w:val="Hyperlink"/>
          </w:rPr>
          <w:t>https://www.rte.ie/centuryireland/index.php/articles/ulster-will-not-fight-john-dillon-tells-home-rule-demonstration-in-bristol</w:t>
        </w:r>
      </w:hyperlink>
      <w:r w:rsidR="0071646F" w:rsidRPr="006A3984">
        <w:t>&gt;, [Accessed 16/12/2022]</w:t>
      </w:r>
    </w:p>
  </w:footnote>
  <w:footnote w:id="11">
    <w:p w14:paraId="6D820167" w14:textId="20FE8B60" w:rsidR="00F445B0" w:rsidRPr="006A3984" w:rsidRDefault="00F445B0">
      <w:pPr>
        <w:pStyle w:val="FootnoteText"/>
      </w:pPr>
      <w:r w:rsidRPr="006A3984">
        <w:rPr>
          <w:rStyle w:val="FootnoteReference"/>
        </w:rPr>
        <w:footnoteRef/>
      </w:r>
      <w:r w:rsidRPr="006A3984">
        <w:t xml:space="preserve"> Alan McCarthy, ‘</w:t>
      </w:r>
      <w:r w:rsidRPr="006A3984">
        <w:rPr>
          <w:i/>
          <w:iCs/>
        </w:rPr>
        <w:t>The Irish Revolutionary Project: Chapter 5. The Aftermath of the Easter Rising’</w:t>
      </w:r>
      <w:r w:rsidRPr="006A3984">
        <w:t xml:space="preserve">, &lt; </w:t>
      </w:r>
      <w:hyperlink r:id="rId7" w:history="1">
        <w:r w:rsidRPr="006A3984">
          <w:rPr>
            <w:rStyle w:val="Hyperlink"/>
          </w:rPr>
          <w:t>https://www.ucc.ie/en/theirishrevolution/collections/the-story-of-1916/chapter-5-the-aftermath-of-the-1916-rising/</w:t>
        </w:r>
      </w:hyperlink>
      <w:r w:rsidRPr="006A3984">
        <w:t>&gt;, [Accessed 17/12/2022]</w:t>
      </w:r>
    </w:p>
  </w:footnote>
  <w:footnote w:id="12">
    <w:p w14:paraId="7491B5CA" w14:textId="267DDE3D" w:rsidR="0020695C" w:rsidRPr="006A3984" w:rsidRDefault="0020695C">
      <w:pPr>
        <w:pStyle w:val="FootnoteText"/>
      </w:pPr>
      <w:r w:rsidRPr="006A3984">
        <w:rPr>
          <w:rStyle w:val="FootnoteReference"/>
        </w:rPr>
        <w:footnoteRef/>
      </w:r>
      <w:r w:rsidRPr="006A3984">
        <w:t xml:space="preserve"> Alan McCarthy, ‘</w:t>
      </w:r>
      <w:r w:rsidRPr="006A3984">
        <w:rPr>
          <w:i/>
          <w:iCs/>
        </w:rPr>
        <w:t>The Irish Revolutionary Project: Chapter 5. The Aftermath of the Easter Rising’</w:t>
      </w:r>
      <w:r w:rsidRPr="006A3984">
        <w:t xml:space="preserve">, &lt; </w:t>
      </w:r>
      <w:hyperlink r:id="rId8" w:history="1">
        <w:r w:rsidRPr="006A3984">
          <w:rPr>
            <w:rStyle w:val="Hyperlink"/>
          </w:rPr>
          <w:t>https://www.ucc.ie/en/theirishrevolution/collections/the-story-of-1916/chapter-5-the-aftermath-of-the-1916-rising/</w:t>
        </w:r>
      </w:hyperlink>
      <w:r w:rsidRPr="006A3984">
        <w:t>&gt;, [Accessed 17/12/2022]</w:t>
      </w:r>
    </w:p>
  </w:footnote>
  <w:footnote w:id="13">
    <w:p w14:paraId="722A0C89" w14:textId="77777777" w:rsidR="006A3984" w:rsidRPr="006A3984" w:rsidRDefault="006A3984" w:rsidP="006A3984">
      <w:pPr>
        <w:pStyle w:val="FootnoteText"/>
      </w:pPr>
      <w:r w:rsidRPr="006A3984">
        <w:rPr>
          <w:rStyle w:val="FootnoteReference"/>
        </w:rPr>
        <w:footnoteRef/>
      </w:r>
      <w:r w:rsidRPr="006A3984">
        <w:t xml:space="preserve"> David Lloyd George, ‘Lloyd George announces home rule plans with partition’, &lt; </w:t>
      </w:r>
      <w:hyperlink r:id="rId9" w:history="1">
        <w:r w:rsidRPr="006A3984">
          <w:rPr>
            <w:rStyle w:val="Hyperlink"/>
          </w:rPr>
          <w:t>https://www.rte.ie/centuryireland/index.php/articles/lloyd-george-announces-home-rule-plans-with-partition</w:t>
        </w:r>
      </w:hyperlink>
      <w:r w:rsidRPr="006A3984">
        <w:t>&gt;, [Accessed 17/12/2022]</w:t>
      </w:r>
    </w:p>
  </w:footnote>
  <w:footnote w:id="14">
    <w:p w14:paraId="522FCED7" w14:textId="77777777" w:rsidR="006A3984" w:rsidRPr="006A3984" w:rsidRDefault="006A3984" w:rsidP="006A3984">
      <w:pPr>
        <w:pStyle w:val="FootnoteText"/>
      </w:pPr>
      <w:r w:rsidRPr="006A3984">
        <w:rPr>
          <w:rStyle w:val="FootnoteReference"/>
        </w:rPr>
        <w:footnoteRef/>
      </w:r>
      <w:r w:rsidRPr="006A3984">
        <w:t xml:space="preserve"> David Lloyd George, ‘Lloyd George announces home rule plans with partition’, &lt; </w:t>
      </w:r>
      <w:hyperlink r:id="rId10" w:history="1">
        <w:r w:rsidRPr="006A3984">
          <w:rPr>
            <w:rStyle w:val="Hyperlink"/>
          </w:rPr>
          <w:t>https://www.rte.ie/centuryireland/index.php/articles/lloyd-george-announces-home-rule-plans-with-partition</w:t>
        </w:r>
      </w:hyperlink>
      <w:r w:rsidRPr="006A3984">
        <w:t>&gt;, [Accessed 17/12/2022]</w:t>
      </w:r>
    </w:p>
  </w:footnote>
  <w:footnote w:id="15">
    <w:p w14:paraId="0F1EFDAD" w14:textId="77777777" w:rsidR="006A3984" w:rsidRPr="006A3984" w:rsidRDefault="006A3984" w:rsidP="006A3984">
      <w:pPr>
        <w:pStyle w:val="FootnoteText"/>
        <w:rPr>
          <w:sz w:val="21"/>
          <w:szCs w:val="21"/>
        </w:rPr>
      </w:pPr>
      <w:r w:rsidRPr="006A3984">
        <w:rPr>
          <w:rStyle w:val="FootnoteReference"/>
        </w:rPr>
        <w:footnoteRef/>
      </w:r>
      <w:r w:rsidRPr="006A3984">
        <w:t xml:space="preserve"> David Lloyd George, ‘Lloyd George announces home rule plans with partition’, &lt; </w:t>
      </w:r>
      <w:hyperlink r:id="rId11" w:history="1">
        <w:r w:rsidRPr="006A3984">
          <w:rPr>
            <w:rStyle w:val="Hyperlink"/>
          </w:rPr>
          <w:t>https://www.rte.ie/centuryireland/index.php/articles/lloyd-george-announces-home-rule-plans-with-partition</w:t>
        </w:r>
      </w:hyperlink>
      <w:r w:rsidRPr="006A3984">
        <w:t>&gt;, [Accessed 17/12/2022]</w:t>
      </w:r>
    </w:p>
  </w:footnote>
  <w:footnote w:id="16">
    <w:p w14:paraId="32F69B15" w14:textId="77777777" w:rsidR="006A3984" w:rsidRPr="006A3984" w:rsidRDefault="006A3984" w:rsidP="006A3984">
      <w:pPr>
        <w:pStyle w:val="FootnoteText"/>
        <w:rPr>
          <w:sz w:val="21"/>
          <w:szCs w:val="21"/>
        </w:rPr>
      </w:pPr>
      <w:r w:rsidRPr="006A3984">
        <w:rPr>
          <w:rStyle w:val="FootnoteReference"/>
          <w:sz w:val="21"/>
          <w:szCs w:val="21"/>
        </w:rPr>
        <w:footnoteRef/>
      </w:r>
      <w:r w:rsidRPr="006A3984">
        <w:rPr>
          <w:sz w:val="21"/>
          <w:szCs w:val="21"/>
        </w:rPr>
        <w:t xml:space="preserve"> David Lloyd George, ‘Lloyd George announces home rule plans with partition’, &lt; </w:t>
      </w:r>
      <w:hyperlink r:id="rId12" w:history="1">
        <w:r w:rsidRPr="006A3984">
          <w:rPr>
            <w:rStyle w:val="Hyperlink"/>
            <w:sz w:val="21"/>
            <w:szCs w:val="21"/>
          </w:rPr>
          <w:t>https://www.rte.ie/centuryireland/index.php/articles/lloyd-george-announces-home-rule-plans-with-partition</w:t>
        </w:r>
      </w:hyperlink>
      <w:r w:rsidRPr="006A3984">
        <w:rPr>
          <w:sz w:val="21"/>
          <w:szCs w:val="21"/>
        </w:rPr>
        <w:t>&gt;, [Accessed 17/12/2022]</w:t>
      </w:r>
    </w:p>
  </w:footnote>
  <w:footnote w:id="17">
    <w:p w14:paraId="0BA2173A" w14:textId="77777777" w:rsidR="00B53A04" w:rsidRPr="006A3984" w:rsidRDefault="00B53A04" w:rsidP="00B53A04">
      <w:pPr>
        <w:pStyle w:val="FootnoteText"/>
        <w:rPr>
          <w:sz w:val="21"/>
          <w:szCs w:val="21"/>
        </w:rPr>
      </w:pPr>
      <w:r w:rsidRPr="006A3984">
        <w:rPr>
          <w:rStyle w:val="FootnoteReference"/>
        </w:rPr>
        <w:footnoteRef/>
      </w:r>
      <w:r w:rsidRPr="006A3984">
        <w:t xml:space="preserve"> David Lloyd George, ‘Lloyd George announces home rule plans with partition’, &lt; </w:t>
      </w:r>
      <w:hyperlink r:id="rId13" w:history="1">
        <w:r w:rsidRPr="006A3984">
          <w:rPr>
            <w:rStyle w:val="Hyperlink"/>
          </w:rPr>
          <w:t>https://www.rte.ie/centuryireland/index.php/articles/lloyd-george-announces-home-rule-plans-with-partition</w:t>
        </w:r>
      </w:hyperlink>
      <w:r w:rsidRPr="006A3984">
        <w:t>&gt;, [Accessed 17/12/2022]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F9683E"/>
    <w:multiLevelType w:val="multilevel"/>
    <w:tmpl w:val="DB5E254E"/>
    <w:lvl w:ilvl="0">
      <w:start w:val="1"/>
      <w:numFmt w:val="decimal"/>
      <w:lvlText w:val="%1."/>
      <w:lvlJc w:val="left"/>
      <w:pPr>
        <w:ind w:left="360" w:hanging="360"/>
      </w:pPr>
    </w:lvl>
    <w:lvl w:ilvl="1">
      <w:start w:val="1"/>
      <w:numFmt w:val="lowerLetter"/>
      <w:lvlText w:val="%2."/>
      <w:lvlJc w:val="left"/>
      <w:pPr>
        <w:ind w:left="1930" w:hanging="360"/>
      </w:pPr>
    </w:lvl>
    <w:lvl w:ilvl="2">
      <w:start w:val="1"/>
      <w:numFmt w:val="lowerRoman"/>
      <w:lvlText w:val="%3."/>
      <w:lvlJc w:val="right"/>
      <w:pPr>
        <w:ind w:left="2650" w:hanging="180"/>
      </w:pPr>
    </w:lvl>
    <w:lvl w:ilvl="3">
      <w:start w:val="1"/>
      <w:numFmt w:val="decimal"/>
      <w:lvlText w:val="%4."/>
      <w:lvlJc w:val="left"/>
      <w:pPr>
        <w:ind w:left="360" w:hanging="360"/>
      </w:pPr>
    </w:lvl>
    <w:lvl w:ilvl="4">
      <w:start w:val="1"/>
      <w:numFmt w:val="lowerLetter"/>
      <w:lvlText w:val="%5."/>
      <w:lvlJc w:val="left"/>
      <w:pPr>
        <w:ind w:left="4090" w:hanging="360"/>
      </w:pPr>
    </w:lvl>
    <w:lvl w:ilvl="5">
      <w:start w:val="1"/>
      <w:numFmt w:val="lowerRoman"/>
      <w:lvlText w:val="%6."/>
      <w:lvlJc w:val="right"/>
      <w:pPr>
        <w:ind w:left="4810" w:hanging="180"/>
      </w:pPr>
    </w:lvl>
    <w:lvl w:ilvl="6">
      <w:start w:val="1"/>
      <w:numFmt w:val="decimal"/>
      <w:lvlText w:val="%7."/>
      <w:lvlJc w:val="left"/>
      <w:pPr>
        <w:ind w:left="360" w:hanging="360"/>
      </w:pPr>
    </w:lvl>
    <w:lvl w:ilvl="7">
      <w:start w:val="1"/>
      <w:numFmt w:val="lowerLetter"/>
      <w:lvlText w:val="%8."/>
      <w:lvlJc w:val="left"/>
      <w:pPr>
        <w:ind w:left="6250" w:hanging="360"/>
      </w:pPr>
    </w:lvl>
    <w:lvl w:ilvl="8">
      <w:start w:val="1"/>
      <w:numFmt w:val="lowerRoman"/>
      <w:lvlText w:val="%9."/>
      <w:lvlJc w:val="right"/>
      <w:pPr>
        <w:ind w:left="6970" w:hanging="180"/>
      </w:pPr>
    </w:lvl>
  </w:abstractNum>
  <w:num w:numId="1" w16cid:durableId="59597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ADF"/>
    <w:rsid w:val="00023C0F"/>
    <w:rsid w:val="000274DF"/>
    <w:rsid w:val="0005230D"/>
    <w:rsid w:val="000C3F27"/>
    <w:rsid w:val="000D1C05"/>
    <w:rsid w:val="00184C3C"/>
    <w:rsid w:val="00194B3B"/>
    <w:rsid w:val="001B035D"/>
    <w:rsid w:val="0020695C"/>
    <w:rsid w:val="002D08D8"/>
    <w:rsid w:val="002D26F5"/>
    <w:rsid w:val="002D568E"/>
    <w:rsid w:val="00325B78"/>
    <w:rsid w:val="003A35B7"/>
    <w:rsid w:val="003A5F63"/>
    <w:rsid w:val="003A7498"/>
    <w:rsid w:val="003E7464"/>
    <w:rsid w:val="00406F86"/>
    <w:rsid w:val="00436875"/>
    <w:rsid w:val="004C487D"/>
    <w:rsid w:val="0063765C"/>
    <w:rsid w:val="006509DB"/>
    <w:rsid w:val="006A3984"/>
    <w:rsid w:val="00701B4A"/>
    <w:rsid w:val="0071646F"/>
    <w:rsid w:val="00770EFB"/>
    <w:rsid w:val="007E2A72"/>
    <w:rsid w:val="007E56B1"/>
    <w:rsid w:val="007E6451"/>
    <w:rsid w:val="0088480E"/>
    <w:rsid w:val="008C74A0"/>
    <w:rsid w:val="00975D9B"/>
    <w:rsid w:val="009A07A6"/>
    <w:rsid w:val="009B7048"/>
    <w:rsid w:val="00A4501D"/>
    <w:rsid w:val="00A57ADA"/>
    <w:rsid w:val="00A8312F"/>
    <w:rsid w:val="00AE40C7"/>
    <w:rsid w:val="00B53A04"/>
    <w:rsid w:val="00B75EF2"/>
    <w:rsid w:val="00B80024"/>
    <w:rsid w:val="00B84A35"/>
    <w:rsid w:val="00B87F61"/>
    <w:rsid w:val="00B906CE"/>
    <w:rsid w:val="00BA7174"/>
    <w:rsid w:val="00BC019A"/>
    <w:rsid w:val="00BD7CC9"/>
    <w:rsid w:val="00C2275C"/>
    <w:rsid w:val="00C77ADF"/>
    <w:rsid w:val="00CC5503"/>
    <w:rsid w:val="00D52CEB"/>
    <w:rsid w:val="00DE0735"/>
    <w:rsid w:val="00E00436"/>
    <w:rsid w:val="00E429FF"/>
    <w:rsid w:val="00E50752"/>
    <w:rsid w:val="00E77BF6"/>
    <w:rsid w:val="00EF5DB0"/>
    <w:rsid w:val="00F445B0"/>
    <w:rsid w:val="00FE1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22B172"/>
  <w15:chartTrackingRefBased/>
  <w15:docId w15:val="{18DB901E-751D-D74C-9429-A06D7E787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C77AD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qFormat/>
    <w:rsid w:val="00023C0F"/>
    <w:pPr>
      <w:spacing w:after="200" w:line="276" w:lineRule="auto"/>
      <w:ind w:left="720"/>
      <w:contextualSpacing/>
    </w:pPr>
    <w:rPr>
      <w:rFonts w:eastAsiaTheme="minorEastAsia"/>
      <w:sz w:val="22"/>
      <w:szCs w:val="22"/>
      <w:lang w:eastAsia="en-GB"/>
    </w:rPr>
  </w:style>
  <w:style w:type="paragraph" w:styleId="FootnoteText">
    <w:name w:val="footnote text"/>
    <w:basedOn w:val="Normal"/>
    <w:link w:val="FootnoteTextChar"/>
    <w:uiPriority w:val="99"/>
    <w:semiHidden/>
    <w:unhideWhenUsed/>
    <w:rsid w:val="0005230D"/>
    <w:rPr>
      <w:sz w:val="20"/>
      <w:szCs w:val="20"/>
    </w:rPr>
  </w:style>
  <w:style w:type="character" w:customStyle="1" w:styleId="FootnoteTextChar">
    <w:name w:val="Footnote Text Char"/>
    <w:basedOn w:val="DefaultParagraphFont"/>
    <w:link w:val="FootnoteText"/>
    <w:uiPriority w:val="99"/>
    <w:semiHidden/>
    <w:rsid w:val="0005230D"/>
    <w:rPr>
      <w:sz w:val="20"/>
      <w:szCs w:val="20"/>
    </w:rPr>
  </w:style>
  <w:style w:type="character" w:styleId="FootnoteReference">
    <w:name w:val="footnote reference"/>
    <w:basedOn w:val="DefaultParagraphFont"/>
    <w:uiPriority w:val="99"/>
    <w:semiHidden/>
    <w:unhideWhenUsed/>
    <w:rsid w:val="0005230D"/>
    <w:rPr>
      <w:vertAlign w:val="superscript"/>
    </w:rPr>
  </w:style>
  <w:style w:type="character" w:styleId="Hyperlink">
    <w:name w:val="Hyperlink"/>
    <w:basedOn w:val="DefaultParagraphFont"/>
    <w:uiPriority w:val="99"/>
    <w:unhideWhenUsed/>
    <w:rsid w:val="00F445B0"/>
    <w:rPr>
      <w:color w:val="0563C1" w:themeColor="hyperlink"/>
      <w:u w:val="single"/>
    </w:rPr>
  </w:style>
  <w:style w:type="character" w:styleId="UnresolvedMention">
    <w:name w:val="Unresolved Mention"/>
    <w:basedOn w:val="DefaultParagraphFont"/>
    <w:uiPriority w:val="99"/>
    <w:semiHidden/>
    <w:unhideWhenUsed/>
    <w:rsid w:val="00F445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reland_and_World_War_I"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te.ie/centuryireland/index.php/articles/lloyd-george-announces-home-rule-plans-with-partition" TargetMode="External"/><Relationship Id="rId5" Type="http://schemas.openxmlformats.org/officeDocument/2006/relationships/webSettings" Target="webSettings.xml"/><Relationship Id="rId10" Type="http://schemas.openxmlformats.org/officeDocument/2006/relationships/hyperlink" Target="https://www.ucc.ie/en/theirishrevolution/collections/the-story-of-1916/chapter-5-the-aftermath-of-the-1916-rising/" TargetMode="External"/><Relationship Id="rId4" Type="http://schemas.openxmlformats.org/officeDocument/2006/relationships/settings" Target="settings.xml"/><Relationship Id="rId9" Type="http://schemas.openxmlformats.org/officeDocument/2006/relationships/hyperlink" Target="https://www.rte.ie/centuryireland/index.php/articles/ulster-will-not-fight-john-dillon-tells-home-rule-demonstration-in-bristo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ucc.ie/en/theirishrevolution/collections/the-story-of-1916/chapter-5-the-aftermath-of-the-1916-rising/" TargetMode="External"/><Relationship Id="rId13" Type="http://schemas.openxmlformats.org/officeDocument/2006/relationships/hyperlink" Target="https://www.rte.ie/centuryireland/index.php/articles/lloyd-george-announces-home-rule-plans-with-partition" TargetMode="External"/><Relationship Id="rId3" Type="http://schemas.openxmlformats.org/officeDocument/2006/relationships/hyperlink" Target="https://www.rte.ie/centuryireland/index.php/articles/ulster-will-not-fight-john-dillon-tells-home-rule-demonstration-in-bristol" TargetMode="External"/><Relationship Id="rId7" Type="http://schemas.openxmlformats.org/officeDocument/2006/relationships/hyperlink" Target="https://www.ucc.ie/en/theirishrevolution/collections/the-story-of-1916/chapter-5-the-aftermath-of-the-1916-rising/" TargetMode="External"/><Relationship Id="rId12" Type="http://schemas.openxmlformats.org/officeDocument/2006/relationships/hyperlink" Target="https://www.rte.ie/centuryireland/index.php/articles/lloyd-george-announces-home-rule-plans-with-partition" TargetMode="External"/><Relationship Id="rId2" Type="http://schemas.openxmlformats.org/officeDocument/2006/relationships/hyperlink" Target="https://en.wikipedia.org/wiki/Ireland_and_World_War_I" TargetMode="External"/><Relationship Id="rId1" Type="http://schemas.openxmlformats.org/officeDocument/2006/relationships/hyperlink" Target="https://en.wikipedia.org/wiki/Ireland_and_World_War_I" TargetMode="External"/><Relationship Id="rId6" Type="http://schemas.openxmlformats.org/officeDocument/2006/relationships/hyperlink" Target="https://www.rte.ie/centuryireland/index.php/articles/ulster-will-not-fight-john-dillon-tells-home-rule-demonstration-in-bristol" TargetMode="External"/><Relationship Id="rId11" Type="http://schemas.openxmlformats.org/officeDocument/2006/relationships/hyperlink" Target="https://www.rte.ie/centuryireland/index.php/articles/lloyd-george-announces-home-rule-plans-with-partition" TargetMode="External"/><Relationship Id="rId5" Type="http://schemas.openxmlformats.org/officeDocument/2006/relationships/hyperlink" Target="https://www.rte.ie/centuryireland/index.php/articles/ulster-will-not-fight-john-dillon-tells-home-rule-demonstration-in-bristol" TargetMode="External"/><Relationship Id="rId10" Type="http://schemas.openxmlformats.org/officeDocument/2006/relationships/hyperlink" Target="https://www.rte.ie/centuryireland/index.php/articles/lloyd-george-announces-home-rule-plans-with-partition" TargetMode="External"/><Relationship Id="rId4" Type="http://schemas.openxmlformats.org/officeDocument/2006/relationships/hyperlink" Target="https://www.rte.ie/centuryireland/index.php/articles/ulster-will-not-fight-john-dillon-tells-home-rule-demonstration-in-bristol" TargetMode="External"/><Relationship Id="rId9" Type="http://schemas.openxmlformats.org/officeDocument/2006/relationships/hyperlink" Target="https://www.rte.ie/centuryireland/index.php/articles/lloyd-george-announces-home-rule-plans-with-part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090B0-1972-7C4E-BADD-4EFF6088A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6</Pages>
  <Words>2511</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6</cp:revision>
  <dcterms:created xsi:type="dcterms:W3CDTF">2022-12-17T13:14:00Z</dcterms:created>
  <dcterms:modified xsi:type="dcterms:W3CDTF">2022-12-18T14:16:00Z</dcterms:modified>
</cp:coreProperties>
</file>