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EA271" w14:textId="77777777" w:rsidR="003A1031" w:rsidRDefault="003A1031" w:rsidP="003B6D43">
      <w:pPr>
        <w:pStyle w:val="Heading1"/>
      </w:pPr>
      <w:r>
        <w:t>HPHI4903 Pathways to Evil: Genocide – History, Theory and Denial</w:t>
      </w:r>
    </w:p>
    <w:p w14:paraId="230ECBA6" w14:textId="459AC8AD" w:rsidR="003A1031" w:rsidRDefault="003A1031">
      <w:r>
        <w:t>Class tutor: Dr Rhian Elinor Keyse</w:t>
      </w:r>
    </w:p>
    <w:p w14:paraId="7B25DA7B" w14:textId="5A813004" w:rsidR="003B6D43" w:rsidRDefault="003B6D43" w:rsidP="003B6D43">
      <w:pPr>
        <w:pStyle w:val="Heading2"/>
      </w:pPr>
      <w:r>
        <w:t>Introduction to the module</w:t>
      </w:r>
    </w:p>
    <w:p w14:paraId="07A67FEF" w14:textId="5FF3E874" w:rsidR="003A1031" w:rsidRPr="003B6D43" w:rsidRDefault="003A1031" w:rsidP="003B6D43">
      <w:pPr>
        <w:spacing w:line="276" w:lineRule="auto"/>
      </w:pPr>
      <w:r w:rsidRPr="003B6D43">
        <w:t xml:space="preserve">Welcome to </w:t>
      </w:r>
      <w:r w:rsidR="003B6D43" w:rsidRPr="003B6D43">
        <w:t>‘Pathways to Evil’. The module aims to give you a conceptual and theoretical introduction to the study of genocide. We’ll be exploring definitions of genocide, as well as how these have emerged and shifted. We’ll then move on to a selection of case studies week-by-week, drawing on examples from Europe, Africa, and Asia. We’ll be looking at what drives ordinary people to commit genocide, and drawing out themes across the course like race, gender, totalitarianism, and the legacies of imperialism. We’ll also examine the issues of genocide remembrance and genocide denial, and explore why commemorating past crimes is important for present-day societies.</w:t>
      </w:r>
    </w:p>
    <w:p w14:paraId="743474C8" w14:textId="55F110AC" w:rsidR="003B6D43" w:rsidRDefault="003B6D43" w:rsidP="003B6D43">
      <w:pPr>
        <w:spacing w:line="276" w:lineRule="auto"/>
      </w:pPr>
      <w:r w:rsidRPr="003B6D43">
        <w:t>The Moodle page for the module contains all of the information you’ll need for our classes. There you’ll find dates of classes, reading lists, asynchronous tasks, and information about assessment. We’ll meet weekly online on Teams over the course of ten weeks, in a two-hour slot. The lecture part of our sessions will be recorded</w:t>
      </w:r>
      <w:r>
        <w:t xml:space="preserve"> and will be available for you to review shortly after the class</w:t>
      </w:r>
      <w:r w:rsidRPr="003B6D43">
        <w:t>. There will also be an asynchronous exercise for you to do each week, which will help you to prepare for assignments. I’ll provide formative feedback on those tasks.</w:t>
      </w:r>
      <w:r>
        <w:t xml:space="preserve"> I’ll also be very happy to discuss the material outside of class, either by email or by setting up a meeting at a mutually convenient time.</w:t>
      </w:r>
    </w:p>
    <w:p w14:paraId="2526A8EF" w14:textId="2EB5EC02" w:rsidR="003B6D43" w:rsidRPr="003B6D43" w:rsidRDefault="003B6D43" w:rsidP="003B6D43">
      <w:pPr>
        <w:pStyle w:val="Heading2"/>
        <w:rPr>
          <w:rFonts w:asciiTheme="minorHAnsi" w:hAnsiTheme="minorHAnsi"/>
          <w:sz w:val="24"/>
          <w:szCs w:val="24"/>
        </w:rPr>
      </w:pPr>
      <w:r>
        <w:t>Class schedule</w:t>
      </w:r>
    </w:p>
    <w:p w14:paraId="52ECB683" w14:textId="759FA22F" w:rsidR="003B6D43" w:rsidRPr="003B6D43" w:rsidRDefault="003B6D43" w:rsidP="003B6D43">
      <w:pPr>
        <w:spacing w:after="100" w:afterAutospacing="1" w:line="276" w:lineRule="auto"/>
        <w:rPr>
          <w:rFonts w:eastAsia="Times New Roman" w:cs="Segoe UI"/>
          <w:color w:val="212529"/>
          <w:kern w:val="0"/>
          <w14:ligatures w14:val="none"/>
        </w:rPr>
      </w:pPr>
      <w:r w:rsidRPr="003B6D43">
        <w:rPr>
          <w:rFonts w:eastAsia="Times New Roman" w:cs="Segoe UI"/>
          <w:color w:val="212529"/>
          <w:kern w:val="0"/>
          <w14:ligatures w14:val="none"/>
        </w:rPr>
        <w:t>The first two weeks of the course will be run jointly with your 'Power and Inequality' module. The schedule for the rest of the course, from week commencing 24 June 2024, is below</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7890"/>
      </w:tblGrid>
      <w:tr w:rsidR="003B6D43" w:rsidRPr="003B6D43" w14:paraId="26006FB8"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5E22A8DD"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w.c. 24/6/24</w:t>
            </w:r>
          </w:p>
        </w:tc>
        <w:tc>
          <w:tcPr>
            <w:tcW w:w="7890" w:type="dxa"/>
            <w:tcBorders>
              <w:top w:val="outset" w:sz="6" w:space="0" w:color="auto"/>
              <w:left w:val="outset" w:sz="6" w:space="0" w:color="auto"/>
              <w:bottom w:val="outset" w:sz="6" w:space="0" w:color="auto"/>
              <w:right w:val="outset" w:sz="6" w:space="0" w:color="auto"/>
            </w:tcBorders>
            <w:hideMark/>
          </w:tcPr>
          <w:p w14:paraId="72B507FD"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The Herero Genocide. On the Path to Auschwitz?</w:t>
            </w:r>
          </w:p>
        </w:tc>
      </w:tr>
      <w:tr w:rsidR="003B6D43" w:rsidRPr="003B6D43" w14:paraId="5365089B"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79CAB497"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w.c. 1/7/24</w:t>
            </w:r>
          </w:p>
        </w:tc>
        <w:tc>
          <w:tcPr>
            <w:tcW w:w="7890" w:type="dxa"/>
            <w:tcBorders>
              <w:top w:val="outset" w:sz="6" w:space="0" w:color="auto"/>
              <w:left w:val="outset" w:sz="6" w:space="0" w:color="auto"/>
              <w:bottom w:val="outset" w:sz="6" w:space="0" w:color="auto"/>
              <w:right w:val="outset" w:sz="6" w:space="0" w:color="auto"/>
            </w:tcBorders>
            <w:hideMark/>
          </w:tcPr>
          <w:p w14:paraId="707F0162"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Plan or a Gruesome Accident? Origins of the Holocaust</w:t>
            </w:r>
          </w:p>
        </w:tc>
      </w:tr>
      <w:tr w:rsidR="003B6D43" w:rsidRPr="003B6D43" w14:paraId="54864A29"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660813D3"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8/7/24</w:t>
            </w:r>
          </w:p>
        </w:tc>
        <w:tc>
          <w:tcPr>
            <w:tcW w:w="7890" w:type="dxa"/>
            <w:tcBorders>
              <w:top w:val="outset" w:sz="6" w:space="0" w:color="auto"/>
              <w:left w:val="outset" w:sz="6" w:space="0" w:color="auto"/>
              <w:bottom w:val="outset" w:sz="6" w:space="0" w:color="auto"/>
              <w:right w:val="outset" w:sz="6" w:space="0" w:color="auto"/>
            </w:tcBorders>
            <w:hideMark/>
          </w:tcPr>
          <w:p w14:paraId="5EED669C" w14:textId="75851785" w:rsidR="003B6D43" w:rsidRPr="003B6D43" w:rsidRDefault="003B6D43" w:rsidP="00DA5851">
            <w:pPr>
              <w:spacing w:after="100" w:afterAutospacing="1" w:line="240" w:lineRule="auto"/>
              <w:ind w:left="120" w:right="120"/>
              <w:rPr>
                <w:rFonts w:eastAsia="Times New Roman" w:cs="Segoe UI"/>
                <w:b/>
                <w:bCs/>
                <w:color w:val="000000"/>
                <w:kern w:val="0"/>
                <w:lang w:val="fr-FR"/>
                <w14:ligatures w14:val="none"/>
              </w:rPr>
            </w:pPr>
            <w:r w:rsidRPr="003B6D43">
              <w:rPr>
                <w:rFonts w:eastAsia="Times New Roman" w:cs="Segoe UI"/>
                <w:color w:val="000000"/>
                <w:kern w:val="0"/>
                <w14:ligatures w14:val="none"/>
              </w:rPr>
              <w:t xml:space="preserve">Ordinary Killers? </w:t>
            </w:r>
            <w:proofErr w:type="spellStart"/>
            <w:r w:rsidRPr="003B6D43">
              <w:rPr>
                <w:rFonts w:eastAsia="Times New Roman" w:cs="Segoe UI"/>
                <w:color w:val="000000"/>
                <w:kern w:val="0"/>
                <w:lang w:val="fr-FR"/>
                <w14:ligatures w14:val="none"/>
              </w:rPr>
              <w:t>Holocaust</w:t>
            </w:r>
            <w:proofErr w:type="spellEnd"/>
            <w:r w:rsidRPr="003B6D43">
              <w:rPr>
                <w:rFonts w:eastAsia="Times New Roman" w:cs="Segoe UI"/>
                <w:color w:val="000000"/>
                <w:kern w:val="0"/>
                <w:lang w:val="fr-FR"/>
                <w14:ligatures w14:val="none"/>
              </w:rPr>
              <w:t xml:space="preserve"> </w:t>
            </w:r>
            <w:proofErr w:type="spellStart"/>
            <w:r w:rsidRPr="003B6D43">
              <w:rPr>
                <w:rFonts w:eastAsia="Times New Roman" w:cs="Segoe UI"/>
                <w:color w:val="000000"/>
                <w:kern w:val="0"/>
                <w:lang w:val="fr-FR"/>
                <w14:ligatures w14:val="none"/>
              </w:rPr>
              <w:t>Perpetrators</w:t>
            </w:r>
            <w:proofErr w:type="spellEnd"/>
            <w:r w:rsidRPr="003B6D43">
              <w:rPr>
                <w:rFonts w:eastAsia="Times New Roman" w:cs="Segoe UI"/>
                <w:color w:val="000000"/>
                <w:kern w:val="0"/>
                <w:lang w:val="fr-FR"/>
                <w14:ligatures w14:val="none"/>
              </w:rPr>
              <w:t xml:space="preserve"> </w:t>
            </w:r>
          </w:p>
        </w:tc>
      </w:tr>
      <w:tr w:rsidR="003B6D43" w:rsidRPr="003B6D43" w14:paraId="15FAE29F"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3ED7D86B"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15/7/24</w:t>
            </w:r>
          </w:p>
        </w:tc>
        <w:tc>
          <w:tcPr>
            <w:tcW w:w="7890" w:type="dxa"/>
            <w:tcBorders>
              <w:top w:val="outset" w:sz="6" w:space="0" w:color="auto"/>
              <w:left w:val="outset" w:sz="6" w:space="0" w:color="auto"/>
              <w:bottom w:val="outset" w:sz="6" w:space="0" w:color="auto"/>
              <w:right w:val="outset" w:sz="6" w:space="0" w:color="auto"/>
            </w:tcBorders>
            <w:hideMark/>
          </w:tcPr>
          <w:p w14:paraId="79964C52" w14:textId="7FEA85EB" w:rsidR="003B6D43" w:rsidRPr="003B6D43" w:rsidRDefault="003B6D43" w:rsidP="00DA5851">
            <w:pPr>
              <w:spacing w:after="100" w:afterAutospacing="1" w:line="240" w:lineRule="auto"/>
              <w:ind w:left="120" w:right="120"/>
              <w:rPr>
                <w:rFonts w:eastAsia="Times New Roman" w:cs="Segoe UI"/>
                <w:b/>
                <w:bCs/>
                <w:color w:val="000000"/>
                <w:kern w:val="0"/>
                <w14:ligatures w14:val="none"/>
              </w:rPr>
            </w:pPr>
            <w:r w:rsidRPr="003B6D43">
              <w:rPr>
                <w:rFonts w:eastAsia="Times New Roman" w:cs="Segoe UI"/>
                <w:color w:val="000000"/>
                <w:kern w:val="0"/>
                <w14:ligatures w14:val="none"/>
              </w:rPr>
              <w:t>Holocaust Remembrance and Denial</w:t>
            </w:r>
            <w:r>
              <w:rPr>
                <w:rFonts w:eastAsia="Times New Roman" w:cs="Segoe UI"/>
                <w:color w:val="000000"/>
                <w:kern w:val="0"/>
                <w14:ligatures w14:val="none"/>
              </w:rPr>
              <w:t xml:space="preserve"> </w:t>
            </w:r>
            <w:r w:rsidRPr="003B6D43">
              <w:rPr>
                <w:rFonts w:eastAsia="Times New Roman" w:cs="Segoe UI"/>
                <w:b/>
                <w:bCs/>
                <w:color w:val="000000"/>
                <w:kern w:val="0"/>
                <w14:ligatures w14:val="none"/>
              </w:rPr>
              <w:t>Portfolio</w:t>
            </w:r>
            <w:r>
              <w:rPr>
                <w:rFonts w:eastAsia="Times New Roman" w:cs="Segoe UI"/>
                <w:b/>
                <w:bCs/>
                <w:color w:val="000000"/>
                <w:kern w:val="0"/>
                <w14:ligatures w14:val="none"/>
              </w:rPr>
              <w:t xml:space="preserve"> </w:t>
            </w:r>
            <w:r w:rsidRPr="003B6D43">
              <w:rPr>
                <w:rFonts w:eastAsia="Times New Roman" w:cs="Segoe UI"/>
                <w:b/>
                <w:bCs/>
                <w:color w:val="000000"/>
                <w:kern w:val="0"/>
                <w14:ligatures w14:val="none"/>
              </w:rPr>
              <w:t xml:space="preserve">Due : </w:t>
            </w:r>
            <w:r>
              <w:rPr>
                <w:rFonts w:eastAsia="Times New Roman" w:cs="Segoe UI"/>
                <w:b/>
                <w:bCs/>
                <w:color w:val="000000"/>
                <w:kern w:val="0"/>
                <w14:ligatures w14:val="none"/>
              </w:rPr>
              <w:t>21</w:t>
            </w:r>
            <w:r w:rsidRPr="003B6D43">
              <w:rPr>
                <w:rFonts w:eastAsia="Times New Roman" w:cs="Segoe UI"/>
                <w:b/>
                <w:bCs/>
                <w:color w:val="000000"/>
                <w:kern w:val="0"/>
                <w14:ligatures w14:val="none"/>
              </w:rPr>
              <w:t>/7/24 11 :59 PM</w:t>
            </w:r>
          </w:p>
        </w:tc>
      </w:tr>
      <w:tr w:rsidR="003B6D43" w:rsidRPr="003B6D43" w14:paraId="083EE439"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54D4B8EA"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22/7/24</w:t>
            </w:r>
          </w:p>
        </w:tc>
        <w:tc>
          <w:tcPr>
            <w:tcW w:w="7890" w:type="dxa"/>
            <w:tcBorders>
              <w:top w:val="outset" w:sz="6" w:space="0" w:color="auto"/>
              <w:left w:val="outset" w:sz="6" w:space="0" w:color="auto"/>
              <w:bottom w:val="outset" w:sz="6" w:space="0" w:color="auto"/>
              <w:right w:val="outset" w:sz="6" w:space="0" w:color="auto"/>
            </w:tcBorders>
            <w:hideMark/>
          </w:tcPr>
          <w:p w14:paraId="7FC6C9F6"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Stalin's Genocide? The Holodomor</w:t>
            </w:r>
          </w:p>
        </w:tc>
      </w:tr>
      <w:tr w:rsidR="003B6D43" w:rsidRPr="003B6D43" w14:paraId="6D9506CD"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6FC609F0"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29/7/24</w:t>
            </w:r>
          </w:p>
        </w:tc>
        <w:tc>
          <w:tcPr>
            <w:tcW w:w="7890" w:type="dxa"/>
            <w:tcBorders>
              <w:top w:val="outset" w:sz="6" w:space="0" w:color="auto"/>
              <w:left w:val="outset" w:sz="6" w:space="0" w:color="auto"/>
              <w:bottom w:val="outset" w:sz="6" w:space="0" w:color="auto"/>
              <w:right w:val="outset" w:sz="6" w:space="0" w:color="auto"/>
            </w:tcBorders>
            <w:hideMark/>
          </w:tcPr>
          <w:p w14:paraId="1B7834F9" w14:textId="6F1EEFD9" w:rsidR="003B6D43" w:rsidRPr="003B6D43" w:rsidRDefault="003B6D43" w:rsidP="00DA5851">
            <w:pPr>
              <w:spacing w:after="100" w:afterAutospacing="1" w:line="240" w:lineRule="auto"/>
              <w:ind w:left="120" w:right="120"/>
              <w:rPr>
                <w:rFonts w:eastAsia="Times New Roman" w:cs="Segoe UI"/>
                <w:color w:val="000000"/>
                <w:kern w:val="0"/>
                <w:lang w:val="it-IT"/>
                <w14:ligatures w14:val="none"/>
              </w:rPr>
            </w:pPr>
            <w:r w:rsidRPr="003B6D43">
              <w:rPr>
                <w:rFonts w:eastAsia="Times New Roman" w:cs="Segoe UI"/>
                <w:color w:val="000000"/>
                <w:kern w:val="0"/>
                <w:lang w:val="it-IT"/>
                <w14:ligatures w14:val="none"/>
              </w:rPr>
              <w:t xml:space="preserve">The </w:t>
            </w:r>
            <w:proofErr w:type="spellStart"/>
            <w:r w:rsidRPr="003B6D43">
              <w:rPr>
                <w:rFonts w:eastAsia="Times New Roman" w:cs="Segoe UI"/>
                <w:color w:val="000000"/>
                <w:kern w:val="0"/>
                <w:lang w:val="it-IT"/>
                <w14:ligatures w14:val="none"/>
              </w:rPr>
              <w:t>Cambodian</w:t>
            </w:r>
            <w:proofErr w:type="spellEnd"/>
            <w:r w:rsidRPr="003B6D43">
              <w:rPr>
                <w:rFonts w:eastAsia="Times New Roman" w:cs="Segoe UI"/>
                <w:color w:val="000000"/>
                <w:kern w:val="0"/>
                <w:lang w:val="it-IT"/>
                <w14:ligatures w14:val="none"/>
              </w:rPr>
              <w:t xml:space="preserve"> Auto-Genocide </w:t>
            </w:r>
          </w:p>
        </w:tc>
      </w:tr>
      <w:tr w:rsidR="003B6D43" w:rsidRPr="003B6D43" w14:paraId="7C1C4E8C"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0932D838"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5/8/24</w:t>
            </w:r>
          </w:p>
        </w:tc>
        <w:tc>
          <w:tcPr>
            <w:tcW w:w="7890" w:type="dxa"/>
            <w:tcBorders>
              <w:top w:val="outset" w:sz="6" w:space="0" w:color="auto"/>
              <w:left w:val="outset" w:sz="6" w:space="0" w:color="auto"/>
              <w:bottom w:val="outset" w:sz="6" w:space="0" w:color="auto"/>
              <w:right w:val="outset" w:sz="6" w:space="0" w:color="auto"/>
            </w:tcBorders>
            <w:hideMark/>
          </w:tcPr>
          <w:p w14:paraId="7E9D85A0" w14:textId="40FDDD6C"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 xml:space="preserve">The Fall of Yugoslavia and the Bosnian Genocide </w:t>
            </w:r>
          </w:p>
        </w:tc>
      </w:tr>
      <w:tr w:rsidR="003B6D43" w:rsidRPr="003B6D43" w14:paraId="4E31809C" w14:textId="77777777" w:rsidTr="00DA5851">
        <w:trPr>
          <w:jc w:val="center"/>
        </w:trPr>
        <w:tc>
          <w:tcPr>
            <w:tcW w:w="1125" w:type="dxa"/>
            <w:tcBorders>
              <w:top w:val="outset" w:sz="6" w:space="0" w:color="auto"/>
              <w:left w:val="outset" w:sz="6" w:space="0" w:color="auto"/>
              <w:bottom w:val="outset" w:sz="6" w:space="0" w:color="auto"/>
              <w:right w:val="outset" w:sz="6" w:space="0" w:color="auto"/>
            </w:tcBorders>
            <w:hideMark/>
          </w:tcPr>
          <w:p w14:paraId="64FE41C6" w14:textId="77777777" w:rsidR="003B6D43" w:rsidRPr="003B6D43" w:rsidRDefault="003B6D43" w:rsidP="00DA5851">
            <w:pPr>
              <w:spacing w:after="100" w:afterAutospacing="1" w:line="240" w:lineRule="auto"/>
              <w:ind w:left="120" w:right="120"/>
              <w:rPr>
                <w:rFonts w:eastAsia="Times New Roman" w:cs="Segoe UI"/>
                <w:color w:val="000000"/>
                <w:kern w:val="0"/>
                <w14:ligatures w14:val="none"/>
              </w:rPr>
            </w:pPr>
            <w:r w:rsidRPr="003B6D43">
              <w:rPr>
                <w:rFonts w:eastAsia="Times New Roman" w:cs="Segoe UI"/>
                <w:color w:val="000000"/>
                <w:kern w:val="0"/>
                <w14:ligatures w14:val="none"/>
              </w:rPr>
              <w:t>12/8/24</w:t>
            </w:r>
          </w:p>
        </w:tc>
        <w:tc>
          <w:tcPr>
            <w:tcW w:w="7890" w:type="dxa"/>
            <w:tcBorders>
              <w:top w:val="outset" w:sz="6" w:space="0" w:color="auto"/>
              <w:left w:val="outset" w:sz="6" w:space="0" w:color="auto"/>
              <w:bottom w:val="outset" w:sz="6" w:space="0" w:color="auto"/>
              <w:right w:val="outset" w:sz="6" w:space="0" w:color="auto"/>
            </w:tcBorders>
            <w:hideMark/>
          </w:tcPr>
          <w:p w14:paraId="092E3EF2" w14:textId="22AAA7AD" w:rsidR="003B6D43" w:rsidRPr="003B6D43" w:rsidRDefault="003B6D43" w:rsidP="00DA5851">
            <w:pPr>
              <w:spacing w:after="100" w:afterAutospacing="1" w:line="240" w:lineRule="auto"/>
              <w:ind w:left="120" w:right="120"/>
              <w:rPr>
                <w:rFonts w:eastAsia="Times New Roman" w:cs="Segoe UI"/>
                <w:b/>
                <w:bCs/>
                <w:color w:val="000000"/>
                <w:kern w:val="0"/>
                <w14:ligatures w14:val="none"/>
              </w:rPr>
            </w:pPr>
            <w:r w:rsidRPr="003B6D43">
              <w:rPr>
                <w:rFonts w:eastAsia="Times New Roman" w:cs="Segoe UI"/>
                <w:color w:val="000000"/>
                <w:kern w:val="0"/>
                <w14:ligatures w14:val="none"/>
              </w:rPr>
              <w:t xml:space="preserve">The Rwandan Genocide </w:t>
            </w:r>
            <w:r w:rsidRPr="003B6D43">
              <w:rPr>
                <w:rFonts w:eastAsia="Times New Roman" w:cs="Segoe UI"/>
                <w:b/>
                <w:bCs/>
                <w:color w:val="000000"/>
                <w:kern w:val="0"/>
                <w14:ligatures w14:val="none"/>
              </w:rPr>
              <w:t>Essay Due:  1</w:t>
            </w:r>
            <w:r>
              <w:rPr>
                <w:rFonts w:eastAsia="Times New Roman" w:cs="Segoe UI"/>
                <w:b/>
                <w:bCs/>
                <w:color w:val="000000"/>
                <w:kern w:val="0"/>
                <w14:ligatures w14:val="none"/>
              </w:rPr>
              <w:t>8</w:t>
            </w:r>
            <w:r w:rsidRPr="003B6D43">
              <w:rPr>
                <w:rFonts w:eastAsia="Times New Roman" w:cs="Segoe UI"/>
                <w:b/>
                <w:bCs/>
                <w:color w:val="000000"/>
                <w:kern w:val="0"/>
                <w14:ligatures w14:val="none"/>
              </w:rPr>
              <w:t xml:space="preserve">/8/24 </w:t>
            </w:r>
            <w:r>
              <w:rPr>
                <w:rFonts w:eastAsia="Times New Roman" w:cs="Segoe UI"/>
                <w:b/>
                <w:bCs/>
                <w:color w:val="000000"/>
                <w:kern w:val="0"/>
                <w14:ligatures w14:val="none"/>
              </w:rPr>
              <w:t>11:59PM</w:t>
            </w:r>
          </w:p>
        </w:tc>
      </w:tr>
    </w:tbl>
    <w:p w14:paraId="425CF0F9" w14:textId="77777777" w:rsidR="003B6D43" w:rsidRDefault="003B6D43"/>
    <w:p w14:paraId="4814B16B" w14:textId="33631698" w:rsidR="003B6D43" w:rsidRDefault="003B6D43" w:rsidP="003B6D43">
      <w:pPr>
        <w:pStyle w:val="Heading2"/>
      </w:pPr>
      <w:proofErr w:type="spellStart"/>
      <w:r>
        <w:t>Asssessment</w:t>
      </w:r>
      <w:proofErr w:type="spellEnd"/>
      <w:r>
        <w:t xml:space="preserve"> for this module</w:t>
      </w:r>
    </w:p>
    <w:p w14:paraId="2C7FEAE0" w14:textId="00B4156F" w:rsidR="003B6D43" w:rsidRDefault="003B6D43" w:rsidP="003B6D43">
      <w:r>
        <w:t>You’ll be focusing on one genocide as a case study for all of this module’s assignments. Please choose from:</w:t>
      </w:r>
    </w:p>
    <w:p w14:paraId="7AC72E9C" w14:textId="4EC62880" w:rsidR="003B6D43" w:rsidRDefault="003B6D43" w:rsidP="003B6D43">
      <w:pPr>
        <w:pStyle w:val="ListParagraph"/>
        <w:numPr>
          <w:ilvl w:val="0"/>
          <w:numId w:val="6"/>
        </w:numPr>
      </w:pPr>
      <w:r>
        <w:t>The Herero Genocide</w:t>
      </w:r>
    </w:p>
    <w:p w14:paraId="3718081A" w14:textId="4CE94F85" w:rsidR="003B6D43" w:rsidRDefault="003B6D43" w:rsidP="003B6D43">
      <w:pPr>
        <w:pStyle w:val="ListParagraph"/>
        <w:numPr>
          <w:ilvl w:val="0"/>
          <w:numId w:val="6"/>
        </w:numPr>
      </w:pPr>
      <w:r>
        <w:t>The Holocaust</w:t>
      </w:r>
    </w:p>
    <w:p w14:paraId="67710C33" w14:textId="40F3B27A" w:rsidR="003B6D43" w:rsidRDefault="003B6D43" w:rsidP="003B6D43">
      <w:pPr>
        <w:pStyle w:val="ListParagraph"/>
        <w:numPr>
          <w:ilvl w:val="0"/>
          <w:numId w:val="6"/>
        </w:numPr>
      </w:pPr>
      <w:r>
        <w:t>The Holodomor</w:t>
      </w:r>
    </w:p>
    <w:p w14:paraId="4B8E19CF" w14:textId="744CD5EA" w:rsidR="003B6D43" w:rsidRDefault="003B6D43" w:rsidP="003B6D43">
      <w:pPr>
        <w:pStyle w:val="ListParagraph"/>
        <w:numPr>
          <w:ilvl w:val="0"/>
          <w:numId w:val="6"/>
        </w:numPr>
      </w:pPr>
      <w:r>
        <w:t>The Cambodian Auto-Genocide</w:t>
      </w:r>
    </w:p>
    <w:p w14:paraId="136BAA5E" w14:textId="4D59C536" w:rsidR="003B6D43" w:rsidRDefault="003B6D43" w:rsidP="003B6D43">
      <w:pPr>
        <w:pStyle w:val="ListParagraph"/>
        <w:numPr>
          <w:ilvl w:val="0"/>
          <w:numId w:val="6"/>
        </w:numPr>
      </w:pPr>
      <w:r>
        <w:t>The Bosnian Genocide</w:t>
      </w:r>
    </w:p>
    <w:p w14:paraId="0A1937EE" w14:textId="0DE1CA5A" w:rsidR="003B6D43" w:rsidRPr="003B6D43" w:rsidRDefault="003B6D43" w:rsidP="003B6D43">
      <w:pPr>
        <w:pStyle w:val="ListParagraph"/>
        <w:numPr>
          <w:ilvl w:val="0"/>
          <w:numId w:val="6"/>
        </w:numPr>
      </w:pPr>
      <w:r>
        <w:t>The Rwandan Genocide</w:t>
      </w:r>
    </w:p>
    <w:p w14:paraId="50E302C9" w14:textId="7AD0168D" w:rsidR="003B6D43" w:rsidRDefault="003B6D43" w:rsidP="003B6D43">
      <w:pPr>
        <w:shd w:val="clear" w:color="auto" w:fill="FFFFFF"/>
        <w:spacing w:after="100" w:afterAutospacing="1" w:line="240" w:lineRule="auto"/>
        <w:rPr>
          <w:rFonts w:ascii="Segoe UI" w:eastAsia="Times New Roman" w:hAnsi="Segoe UI" w:cs="Segoe UI"/>
          <w:color w:val="1D2125"/>
          <w:kern w:val="0"/>
          <w:sz w:val="23"/>
          <w:szCs w:val="23"/>
          <w14:ligatures w14:val="none"/>
        </w:rPr>
      </w:pPr>
      <w:r>
        <w:rPr>
          <w:rFonts w:ascii="Segoe UI" w:eastAsia="Times New Roman" w:hAnsi="Segoe UI" w:cs="Segoe UI"/>
          <w:color w:val="1D2125"/>
          <w:kern w:val="0"/>
          <w:sz w:val="23"/>
          <w:szCs w:val="23"/>
          <w14:ligatures w14:val="none"/>
        </w:rPr>
        <w:t xml:space="preserve">The assessment is split into two: A portfolio (submitted in two parts, together making up 50% of your final mark) and a 2000-word essay (making up the other 50%). Marking criteria are available on the </w:t>
      </w:r>
      <w:r w:rsidRPr="003B6D43">
        <w:rPr>
          <w:rFonts w:ascii="Segoe UI" w:eastAsia="Times New Roman" w:hAnsi="Segoe UI" w:cs="Segoe UI"/>
          <w:color w:val="1D2125"/>
          <w:kern w:val="0"/>
          <w:sz w:val="23"/>
          <w:szCs w:val="23"/>
          <w:highlight w:val="yellow"/>
          <w14:ligatures w14:val="none"/>
        </w:rPr>
        <w:t>Moodle page</w:t>
      </w:r>
      <w:r>
        <w:rPr>
          <w:rFonts w:ascii="Segoe UI" w:eastAsia="Times New Roman" w:hAnsi="Segoe UI" w:cs="Segoe UI"/>
          <w:color w:val="1D2125"/>
          <w:kern w:val="0"/>
          <w:sz w:val="23"/>
          <w:szCs w:val="23"/>
          <w14:ligatures w14:val="none"/>
        </w:rPr>
        <w:t>.</w:t>
      </w:r>
    </w:p>
    <w:p w14:paraId="0C9479ED" w14:textId="311733A8" w:rsidR="003B6D43" w:rsidRDefault="003B6D43" w:rsidP="003B6D43">
      <w:p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sidRPr="003B6D43">
        <w:rPr>
          <w:rFonts w:ascii="Segoe UI" w:eastAsia="Times New Roman" w:hAnsi="Segoe UI" w:cs="Segoe UI"/>
          <w:b/>
          <w:bCs/>
          <w:color w:val="1D2125"/>
          <w:kern w:val="0"/>
          <w:sz w:val="23"/>
          <w:szCs w:val="23"/>
          <w14:ligatures w14:val="none"/>
        </w:rPr>
        <w:t>Portfolio</w:t>
      </w:r>
      <w:r>
        <w:rPr>
          <w:rFonts w:ascii="Segoe UI" w:eastAsia="Times New Roman" w:hAnsi="Segoe UI" w:cs="Segoe UI"/>
          <w:b/>
          <w:bCs/>
          <w:color w:val="1D2125"/>
          <w:kern w:val="0"/>
          <w:sz w:val="23"/>
          <w:szCs w:val="23"/>
          <w14:ligatures w14:val="none"/>
        </w:rPr>
        <w:t xml:space="preserve">: Made up of two parts, a </w:t>
      </w:r>
      <w:r w:rsidRPr="003B6D43">
        <w:rPr>
          <w:rFonts w:ascii="Segoe UI" w:eastAsia="Times New Roman" w:hAnsi="Segoe UI" w:cs="Segoe UI"/>
          <w:b/>
          <w:bCs/>
          <w:color w:val="1D2125"/>
          <w:kern w:val="0"/>
          <w:sz w:val="23"/>
          <w:szCs w:val="23"/>
          <w14:ligatures w14:val="none"/>
        </w:rPr>
        <w:t>1000</w:t>
      </w:r>
      <w:r>
        <w:rPr>
          <w:rFonts w:ascii="Segoe UI" w:eastAsia="Times New Roman" w:hAnsi="Segoe UI" w:cs="Segoe UI"/>
          <w:b/>
          <w:bCs/>
          <w:color w:val="1D2125"/>
          <w:kern w:val="0"/>
          <w:sz w:val="23"/>
          <w:szCs w:val="23"/>
          <w14:ligatures w14:val="none"/>
        </w:rPr>
        <w:t>-</w:t>
      </w:r>
      <w:r w:rsidRPr="003B6D43">
        <w:rPr>
          <w:rFonts w:ascii="Segoe UI" w:eastAsia="Times New Roman" w:hAnsi="Segoe UI" w:cs="Segoe UI"/>
          <w:b/>
          <w:bCs/>
          <w:color w:val="1D2125"/>
          <w:kern w:val="0"/>
          <w:sz w:val="23"/>
          <w:szCs w:val="23"/>
          <w14:ligatures w14:val="none"/>
        </w:rPr>
        <w:t>word literature review</w:t>
      </w:r>
      <w:r>
        <w:rPr>
          <w:rFonts w:ascii="Segoe UI" w:eastAsia="Times New Roman" w:hAnsi="Segoe UI" w:cs="Segoe UI"/>
          <w:b/>
          <w:bCs/>
          <w:color w:val="1D2125"/>
          <w:kern w:val="0"/>
          <w:sz w:val="23"/>
          <w:szCs w:val="23"/>
          <w14:ligatures w14:val="none"/>
        </w:rPr>
        <w:t xml:space="preserve"> and a 1000-word primary source analysis</w:t>
      </w:r>
    </w:p>
    <w:p w14:paraId="527BFB51" w14:textId="719C61FC" w:rsidR="003B6D43" w:rsidRPr="003B6D43" w:rsidRDefault="003B6D43" w:rsidP="003B6D43">
      <w:pPr>
        <w:shd w:val="clear" w:color="auto" w:fill="FFFFFF"/>
        <w:spacing w:after="100" w:afterAutospacing="1" w:line="240" w:lineRule="auto"/>
        <w:rPr>
          <w:rFonts w:ascii="Segoe UI" w:eastAsia="Times New Roman" w:hAnsi="Segoe UI" w:cs="Segoe UI"/>
          <w:color w:val="1D2125"/>
          <w:kern w:val="0"/>
          <w:sz w:val="23"/>
          <w:szCs w:val="23"/>
          <w:u w:val="single"/>
          <w14:ligatures w14:val="none"/>
        </w:rPr>
      </w:pPr>
      <w:r>
        <w:rPr>
          <w:rFonts w:ascii="Segoe UI" w:eastAsia="Times New Roman" w:hAnsi="Segoe UI" w:cs="Segoe UI"/>
          <w:color w:val="1D2125"/>
          <w:kern w:val="0"/>
          <w:sz w:val="23"/>
          <w:szCs w:val="23"/>
          <w:u w:val="single"/>
          <w14:ligatures w14:val="none"/>
        </w:rPr>
        <w:t xml:space="preserve">Literature review (1000 words) (due </w:t>
      </w:r>
    </w:p>
    <w:p w14:paraId="7F27B444" w14:textId="77777777" w:rsidR="003B6D43" w:rsidRPr="003B6D43" w:rsidRDefault="003B6D43" w:rsidP="003B6D43">
      <w:pPr>
        <w:pStyle w:val="ListParagraph"/>
        <w:numPr>
          <w:ilvl w:val="0"/>
          <w:numId w:val="7"/>
        </w:num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Pr>
          <w:rFonts w:ascii="Segoe UI" w:eastAsia="Times New Roman" w:hAnsi="Segoe UI" w:cs="Segoe UI"/>
          <w:color w:val="1D2125"/>
          <w:kern w:val="0"/>
          <w:sz w:val="23"/>
          <w:szCs w:val="23"/>
          <w14:ligatures w14:val="none"/>
        </w:rPr>
        <w:t xml:space="preserve">Pick 4 scholarly texts (articles from peer-reviewed academic journals, chapters from edited collections, monographs) and write 250 words about each of those texts. </w:t>
      </w:r>
    </w:p>
    <w:p w14:paraId="55847D56" w14:textId="77777777" w:rsidR="003B6D43" w:rsidRPr="003B6D43" w:rsidRDefault="003B6D43" w:rsidP="003B6D43">
      <w:pPr>
        <w:pStyle w:val="ListParagraph"/>
        <w:numPr>
          <w:ilvl w:val="0"/>
          <w:numId w:val="7"/>
        </w:num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Pr>
          <w:rFonts w:ascii="Segoe UI" w:eastAsia="Times New Roman" w:hAnsi="Segoe UI" w:cs="Segoe UI"/>
          <w:color w:val="1D2125"/>
          <w:kern w:val="0"/>
          <w:sz w:val="23"/>
          <w:szCs w:val="23"/>
          <w14:ligatures w14:val="none"/>
        </w:rPr>
        <w:t xml:space="preserve">Explain what the main argument of the text is, what the strengths and weaknesses of the text are, and how it is useful for your research. </w:t>
      </w:r>
    </w:p>
    <w:p w14:paraId="03FA88AC" w14:textId="313B9309" w:rsidR="003B6D43" w:rsidRPr="003B6D43" w:rsidRDefault="003B6D43" w:rsidP="003B6D43">
      <w:pPr>
        <w:pStyle w:val="ListParagraph"/>
        <w:numPr>
          <w:ilvl w:val="0"/>
          <w:numId w:val="7"/>
        </w:num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Pr>
          <w:rFonts w:ascii="Segoe UI" w:eastAsia="Times New Roman" w:hAnsi="Segoe UI" w:cs="Segoe UI"/>
          <w:color w:val="1D2125"/>
          <w:kern w:val="0"/>
          <w:sz w:val="23"/>
          <w:szCs w:val="23"/>
          <w14:ligatures w14:val="none"/>
        </w:rPr>
        <w:t xml:space="preserve">A template for the literature review is on the </w:t>
      </w:r>
      <w:r w:rsidRPr="003B6D43">
        <w:rPr>
          <w:rFonts w:ascii="Segoe UI" w:eastAsia="Times New Roman" w:hAnsi="Segoe UI" w:cs="Segoe UI"/>
          <w:color w:val="1D2125"/>
          <w:kern w:val="0"/>
          <w:sz w:val="23"/>
          <w:szCs w:val="23"/>
          <w:highlight w:val="yellow"/>
          <w14:ligatures w14:val="none"/>
        </w:rPr>
        <w:t>Moodle page</w:t>
      </w:r>
      <w:r>
        <w:rPr>
          <w:rFonts w:ascii="Segoe UI" w:eastAsia="Times New Roman" w:hAnsi="Segoe UI" w:cs="Segoe UI"/>
          <w:color w:val="1D2125"/>
          <w:kern w:val="0"/>
          <w:sz w:val="23"/>
          <w:szCs w:val="23"/>
          <w14:ligatures w14:val="none"/>
        </w:rPr>
        <w:t>.</w:t>
      </w:r>
    </w:p>
    <w:p w14:paraId="6878B19E" w14:textId="2B4DCEE3" w:rsidR="003B6D43" w:rsidRPr="003B6D43" w:rsidRDefault="003B6D43" w:rsidP="003B6D43">
      <w:pPr>
        <w:shd w:val="clear" w:color="auto" w:fill="FFFFFF"/>
        <w:spacing w:after="100" w:afterAutospacing="1" w:line="240" w:lineRule="auto"/>
        <w:rPr>
          <w:rFonts w:ascii="Segoe UI" w:eastAsia="Times New Roman" w:hAnsi="Segoe UI" w:cs="Segoe UI"/>
          <w:color w:val="1D2125"/>
          <w:kern w:val="0"/>
          <w:sz w:val="23"/>
          <w:szCs w:val="23"/>
          <w:u w:val="single"/>
          <w14:ligatures w14:val="none"/>
        </w:rPr>
      </w:pPr>
      <w:r>
        <w:rPr>
          <w:rFonts w:ascii="Segoe UI" w:eastAsia="Times New Roman" w:hAnsi="Segoe UI" w:cs="Segoe UI"/>
          <w:color w:val="1D2125"/>
          <w:kern w:val="0"/>
          <w:sz w:val="23"/>
          <w:szCs w:val="23"/>
          <w:u w:val="single"/>
          <w14:ligatures w14:val="none"/>
        </w:rPr>
        <w:t>Primary source analysis (1000 words)</w:t>
      </w:r>
    </w:p>
    <w:p w14:paraId="75222111" w14:textId="0C022C8C" w:rsidR="003B6D43" w:rsidRPr="003B6D43" w:rsidRDefault="003B6D43" w:rsidP="003B6D43">
      <w:pPr>
        <w:pStyle w:val="ListParagraph"/>
        <w:numPr>
          <w:ilvl w:val="0"/>
          <w:numId w:val="7"/>
        </w:num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Pr>
          <w:rFonts w:ascii="Segoe UI" w:eastAsia="Times New Roman" w:hAnsi="Segoe UI" w:cs="Segoe UI"/>
          <w:color w:val="1D2125"/>
          <w:kern w:val="0"/>
          <w:sz w:val="23"/>
          <w:szCs w:val="23"/>
          <w14:ligatures w14:val="none"/>
        </w:rPr>
        <w:t>Pick one primary source and analyse it to answer the question “What does [your primary source] tell us about perpetrators/victims/denial of my chosen genocide?”.</w:t>
      </w:r>
    </w:p>
    <w:p w14:paraId="5188A05B" w14:textId="26AA0D05" w:rsidR="003B6D43" w:rsidRPr="003B6D43" w:rsidRDefault="003B6D43" w:rsidP="003B6D43">
      <w:pPr>
        <w:pStyle w:val="ListParagraph"/>
        <w:numPr>
          <w:ilvl w:val="0"/>
          <w:numId w:val="7"/>
        </w:num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Pr>
          <w:rFonts w:ascii="Segoe UI" w:eastAsia="Times New Roman" w:hAnsi="Segoe UI" w:cs="Segoe UI"/>
          <w:color w:val="1D2125"/>
          <w:kern w:val="0"/>
          <w:sz w:val="23"/>
          <w:szCs w:val="23"/>
          <w14:ligatures w14:val="none"/>
        </w:rPr>
        <w:t xml:space="preserve">Guidance on primary source analysis is available on the </w:t>
      </w:r>
      <w:r w:rsidRPr="003B6D43">
        <w:rPr>
          <w:rFonts w:ascii="Segoe UI" w:eastAsia="Times New Roman" w:hAnsi="Segoe UI" w:cs="Segoe UI"/>
          <w:color w:val="1D2125"/>
          <w:kern w:val="0"/>
          <w:sz w:val="23"/>
          <w:szCs w:val="23"/>
          <w:highlight w:val="yellow"/>
          <w14:ligatures w14:val="none"/>
        </w:rPr>
        <w:t>Moodle page</w:t>
      </w:r>
      <w:r>
        <w:rPr>
          <w:rFonts w:ascii="Segoe UI" w:eastAsia="Times New Roman" w:hAnsi="Segoe UI" w:cs="Segoe UI"/>
          <w:color w:val="1D2125"/>
          <w:kern w:val="0"/>
          <w:sz w:val="23"/>
          <w:szCs w:val="23"/>
          <w14:ligatures w14:val="none"/>
        </w:rPr>
        <w:t>.</w:t>
      </w:r>
    </w:p>
    <w:p w14:paraId="0846C9A1" w14:textId="6A94F073" w:rsidR="003B6D43" w:rsidRPr="003B6D43" w:rsidRDefault="003B6D43" w:rsidP="003B6D43">
      <w:pPr>
        <w:pStyle w:val="ListParagraph"/>
        <w:numPr>
          <w:ilvl w:val="0"/>
          <w:numId w:val="7"/>
        </w:num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Pr>
          <w:rFonts w:ascii="Segoe UI" w:eastAsia="Times New Roman" w:hAnsi="Segoe UI" w:cs="Segoe UI"/>
          <w:color w:val="1D2125"/>
          <w:kern w:val="0"/>
          <w:sz w:val="23"/>
          <w:szCs w:val="23"/>
          <w14:ligatures w14:val="none"/>
        </w:rPr>
        <w:t>For this part of the portfolio, you should focus on what the primary source tells you and keep references to the scholarship minimal.</w:t>
      </w:r>
    </w:p>
    <w:p w14:paraId="7771FEE0" w14:textId="77777777" w:rsidR="003B6D43" w:rsidRDefault="003B6D43" w:rsidP="003B6D43">
      <w:pPr>
        <w:shd w:val="clear" w:color="auto" w:fill="FFFFFF"/>
        <w:spacing w:after="100" w:afterAutospacing="1" w:line="240" w:lineRule="auto"/>
        <w:rPr>
          <w:rFonts w:ascii="Segoe UI" w:eastAsia="Times New Roman" w:hAnsi="Segoe UI" w:cs="Segoe UI"/>
          <w:b/>
          <w:bCs/>
          <w:color w:val="1D2125"/>
          <w:kern w:val="0"/>
          <w:sz w:val="23"/>
          <w:szCs w:val="23"/>
          <w14:ligatures w14:val="none"/>
        </w:rPr>
      </w:pPr>
      <w:r>
        <w:rPr>
          <w:rFonts w:ascii="Segoe UI" w:eastAsia="Times New Roman" w:hAnsi="Segoe UI" w:cs="Segoe UI"/>
          <w:b/>
          <w:bCs/>
          <w:color w:val="1D2125"/>
          <w:kern w:val="0"/>
          <w:sz w:val="23"/>
          <w:szCs w:val="23"/>
          <w14:ligatures w14:val="none"/>
        </w:rPr>
        <w:t>2000-word essay</w:t>
      </w:r>
    </w:p>
    <w:p w14:paraId="521C20B8" w14:textId="721C1719" w:rsidR="003B6D43" w:rsidRDefault="003B6D43" w:rsidP="003B6D43">
      <w:pPr>
        <w:pStyle w:val="ListParagraph"/>
        <w:numPr>
          <w:ilvl w:val="0"/>
          <w:numId w:val="8"/>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3B6D43">
        <w:rPr>
          <w:rFonts w:ascii="Segoe UI" w:eastAsia="Times New Roman" w:hAnsi="Segoe UI" w:cs="Segoe UI"/>
          <w:color w:val="1D2125"/>
          <w:kern w:val="0"/>
          <w:sz w:val="23"/>
          <w:szCs w:val="23"/>
          <w14:ligatures w14:val="none"/>
        </w:rPr>
        <w:t xml:space="preserve">Choose a </w:t>
      </w:r>
      <w:r w:rsidRPr="003B6D43">
        <w:rPr>
          <w:rFonts w:ascii="Segoe UI" w:eastAsia="Times New Roman" w:hAnsi="Segoe UI" w:cs="Segoe UI"/>
          <w:b/>
          <w:bCs/>
          <w:color w:val="1D2125"/>
          <w:kern w:val="0"/>
          <w:sz w:val="23"/>
          <w:szCs w:val="23"/>
          <w14:ligatures w14:val="none"/>
        </w:rPr>
        <w:t xml:space="preserve">different </w:t>
      </w:r>
      <w:r w:rsidRPr="003B6D43">
        <w:rPr>
          <w:rFonts w:ascii="Segoe UI" w:eastAsia="Times New Roman" w:hAnsi="Segoe UI" w:cs="Segoe UI"/>
          <w:color w:val="1D2125"/>
          <w:kern w:val="0"/>
          <w:sz w:val="23"/>
          <w:szCs w:val="23"/>
          <w14:ligatures w14:val="none"/>
        </w:rPr>
        <w:t>primary source relating to the same genocide. Answer the question: ‘What does [your primary source] tell us about perpetrators/victims/denial of my chosen genocide?’</w:t>
      </w:r>
    </w:p>
    <w:p w14:paraId="67F83210" w14:textId="1B2A9F67" w:rsidR="003B6D43" w:rsidRDefault="003B6D43" w:rsidP="003B6D43">
      <w:pPr>
        <w:pStyle w:val="ListParagraph"/>
        <w:numPr>
          <w:ilvl w:val="0"/>
          <w:numId w:val="8"/>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Pr>
          <w:rFonts w:ascii="Segoe UI" w:eastAsia="Times New Roman" w:hAnsi="Segoe UI" w:cs="Segoe UI"/>
          <w:color w:val="1D2125"/>
          <w:kern w:val="0"/>
          <w:sz w:val="23"/>
          <w:szCs w:val="23"/>
          <w14:ligatures w14:val="none"/>
        </w:rPr>
        <w:lastRenderedPageBreak/>
        <w:t>For the essay, you will need to bring together the primary source and the scholarship (secondary sources), aiming to enter a conversation with other authors writing about the same genocide.</w:t>
      </w:r>
    </w:p>
    <w:p w14:paraId="11529114" w14:textId="3393EA2D" w:rsidR="003B6D43" w:rsidRPr="003B6D43" w:rsidRDefault="003B6D43" w:rsidP="003B6D43">
      <w:pPr>
        <w:pStyle w:val="ListParagraph"/>
        <w:numPr>
          <w:ilvl w:val="0"/>
          <w:numId w:val="8"/>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Pr>
          <w:rFonts w:ascii="Segoe UI" w:eastAsia="Times New Roman" w:hAnsi="Segoe UI" w:cs="Segoe UI"/>
          <w:color w:val="1D2125"/>
          <w:kern w:val="0"/>
          <w:sz w:val="23"/>
          <w:szCs w:val="23"/>
          <w14:ligatures w14:val="none"/>
        </w:rPr>
        <w:t>Open your essay by establishing the state of the field (literature review). Then analyse your primary source. Finally, explain how your interpretation of the primary source relates to the existing literature – does your analysis support or problematise scholarly consensus?</w:t>
      </w:r>
    </w:p>
    <w:p w14:paraId="2827F432" w14:textId="54A51FFC" w:rsidR="003B6D43" w:rsidRPr="003B6D43" w:rsidRDefault="003B6D43" w:rsidP="003B6D43">
      <w:pPr>
        <w:shd w:val="clear" w:color="auto" w:fill="FFFFFF"/>
        <w:spacing w:after="100" w:afterAutospacing="1" w:line="240" w:lineRule="auto"/>
      </w:pPr>
      <w:r>
        <w:rPr>
          <w:rFonts w:ascii="Segoe UI" w:eastAsia="Times New Roman" w:hAnsi="Segoe UI" w:cs="Segoe UI"/>
          <w:color w:val="1D2125"/>
          <w:kern w:val="0"/>
          <w:sz w:val="23"/>
          <w:szCs w:val="23"/>
          <w14:ligatures w14:val="none"/>
        </w:rPr>
        <w:t>Both assignments should have references and a bibliography.</w:t>
      </w:r>
    </w:p>
    <w:p w14:paraId="5AF414F1" w14:textId="7471B112" w:rsidR="003A1031" w:rsidRDefault="003A1031" w:rsidP="003B6D43">
      <w:pPr>
        <w:pStyle w:val="Heading2"/>
      </w:pPr>
      <w:r>
        <w:t>Weeks 1&amp;2:</w:t>
      </w:r>
      <w:r w:rsidR="003B6D43">
        <w:t xml:space="preserve"> </w:t>
      </w:r>
      <w:r>
        <w:t>Introduction and Rapid Research Tasks</w:t>
      </w:r>
    </w:p>
    <w:p w14:paraId="087EC06D" w14:textId="037A29BE" w:rsidR="003A1031" w:rsidRDefault="003A1031">
      <w:r>
        <w:t xml:space="preserve">This session will be run jointly with the other Level 4 Conflict and War Distance Learning module, </w:t>
      </w:r>
      <w:r>
        <w:rPr>
          <w:i/>
          <w:iCs/>
        </w:rPr>
        <w:t xml:space="preserve">HPHI4904 Power and Inequality. </w:t>
      </w:r>
      <w:r>
        <w:t xml:space="preserve">We will cover some introductory information on the module, and </w:t>
      </w:r>
      <w:r w:rsidR="003B6D43">
        <w:t>you’ll have some rapid research tasks to complete.</w:t>
      </w:r>
    </w:p>
    <w:p w14:paraId="28317C2E" w14:textId="6F030329" w:rsidR="003B6D43" w:rsidRDefault="003B6D43" w:rsidP="003B6D43">
      <w:pPr>
        <w:pStyle w:val="Heading3"/>
      </w:pPr>
      <w:r>
        <w:t>Rapid research exercise</w:t>
      </w:r>
    </w:p>
    <w:p w14:paraId="3941DFF3" w14:textId="2A10ACC1" w:rsidR="003B6D43" w:rsidRPr="003B6D43" w:rsidRDefault="003B6D43">
      <w:r>
        <w:t>Please review the links below, and make some notes focusing on the following questions:</w:t>
      </w:r>
    </w:p>
    <w:p w14:paraId="0F27F8C5" w14:textId="77777777" w:rsidR="003B6D43" w:rsidRDefault="003B6D43" w:rsidP="003B6D43">
      <w:pPr>
        <w:pStyle w:val="xmsolistparagraph"/>
        <w:numPr>
          <w:ilvl w:val="0"/>
          <w:numId w:val="3"/>
        </w:numPr>
        <w:rPr>
          <w:rFonts w:eastAsia="Times New Roman"/>
        </w:rPr>
      </w:pPr>
      <w:r>
        <w:rPr>
          <w:rFonts w:eastAsia="Times New Roman"/>
        </w:rPr>
        <w:t>What is the definition of genocide? (Legal definition/s and jurisdiction.)</w:t>
      </w:r>
    </w:p>
    <w:p w14:paraId="0B7F43C9" w14:textId="77777777" w:rsidR="003B6D43" w:rsidRDefault="003B6D43" w:rsidP="003B6D43">
      <w:pPr>
        <w:pStyle w:val="xmsolistparagraph"/>
        <w:numPr>
          <w:ilvl w:val="0"/>
          <w:numId w:val="3"/>
        </w:numPr>
        <w:rPr>
          <w:rFonts w:eastAsia="Times New Roman"/>
        </w:rPr>
      </w:pPr>
      <w:r>
        <w:rPr>
          <w:rFonts w:eastAsia="Times New Roman"/>
        </w:rPr>
        <w:t xml:space="preserve">What is the timeline of genocide? When was the term first used? </w:t>
      </w:r>
    </w:p>
    <w:p w14:paraId="2C581B8F" w14:textId="77777777" w:rsidR="003B6D43" w:rsidRDefault="003B6D43" w:rsidP="003B6D43">
      <w:pPr>
        <w:pStyle w:val="xmsolistparagraph"/>
        <w:numPr>
          <w:ilvl w:val="0"/>
          <w:numId w:val="3"/>
        </w:numPr>
        <w:rPr>
          <w:rFonts w:eastAsia="Times New Roman"/>
        </w:rPr>
      </w:pPr>
      <w:r>
        <w:rPr>
          <w:rFonts w:eastAsia="Times New Roman"/>
        </w:rPr>
        <w:t xml:space="preserve">Is there a meaningful difference between </w:t>
      </w:r>
      <w:r>
        <w:rPr>
          <w:rFonts w:eastAsia="Times New Roman"/>
          <w:i/>
          <w:iCs/>
        </w:rPr>
        <w:t>genocide</w:t>
      </w:r>
      <w:r>
        <w:rPr>
          <w:rFonts w:eastAsia="Times New Roman"/>
        </w:rPr>
        <w:t xml:space="preserve"> and </w:t>
      </w:r>
      <w:r>
        <w:rPr>
          <w:rFonts w:eastAsia="Times New Roman"/>
          <w:i/>
          <w:iCs/>
        </w:rPr>
        <w:t>ethnic cleansing</w:t>
      </w:r>
      <w:r>
        <w:rPr>
          <w:rFonts w:eastAsia="Times New Roman"/>
        </w:rPr>
        <w:t>?</w:t>
      </w:r>
    </w:p>
    <w:p w14:paraId="4B2616DD" w14:textId="77777777" w:rsidR="003B6D43" w:rsidRDefault="003B6D43" w:rsidP="003B6D43">
      <w:pPr>
        <w:pStyle w:val="xmsonormal"/>
      </w:pPr>
      <w:r>
        <w:t>Here are the links:</w:t>
      </w:r>
    </w:p>
    <w:p w14:paraId="49991FD8" w14:textId="77777777" w:rsidR="003B6D43" w:rsidRDefault="00B934B4" w:rsidP="003B6D43">
      <w:pPr>
        <w:pStyle w:val="xmsonormal"/>
      </w:pPr>
      <w:hyperlink r:id="rId7" w:history="1">
        <w:r w:rsidR="003B6D43">
          <w:rPr>
            <w:rStyle w:val="Hyperlink"/>
          </w:rPr>
          <w:t>https://en.wikipedia.org/wiki/Genocide</w:t>
        </w:r>
      </w:hyperlink>
    </w:p>
    <w:p w14:paraId="12677C0F" w14:textId="77777777" w:rsidR="003B6D43" w:rsidRDefault="00B934B4" w:rsidP="003B6D43">
      <w:pPr>
        <w:pStyle w:val="xmsonormal"/>
      </w:pPr>
      <w:hyperlink r:id="rId8" w:history="1">
        <w:r w:rsidR="003B6D43">
          <w:rPr>
            <w:rStyle w:val="Hyperlink"/>
          </w:rPr>
          <w:t>https://www.un.org/en/genocideprevention/genocide.shtml</w:t>
        </w:r>
      </w:hyperlink>
    </w:p>
    <w:p w14:paraId="270F1614" w14:textId="77777777" w:rsidR="003B6D43" w:rsidRDefault="00B934B4" w:rsidP="003B6D43">
      <w:pPr>
        <w:pStyle w:val="xmsonormal"/>
      </w:pPr>
      <w:hyperlink r:id="rId9" w:history="1">
        <w:r w:rsidR="003B6D43">
          <w:rPr>
            <w:rStyle w:val="Hyperlink"/>
          </w:rPr>
          <w:t>https://www.ushmm.org/genocide-prevention/learn-about-genocide-and-other-mass-atrocities/what-is-genocide</w:t>
        </w:r>
      </w:hyperlink>
    </w:p>
    <w:p w14:paraId="08CED3D0" w14:textId="77777777" w:rsidR="003B6D43" w:rsidRDefault="00B934B4" w:rsidP="003B6D43">
      <w:pPr>
        <w:pStyle w:val="xmsonormal"/>
      </w:pPr>
      <w:hyperlink r:id="rId10" w:history="1">
        <w:r w:rsidR="003B6D43">
          <w:rPr>
            <w:rStyle w:val="Hyperlink"/>
          </w:rPr>
          <w:t>https://www.aljazeera.com/opinions/2024/6/2/it-is-not-ethnic-cleansing-it-is-genocide</w:t>
        </w:r>
      </w:hyperlink>
    </w:p>
    <w:p w14:paraId="01A07E2D" w14:textId="77777777" w:rsidR="003B6D43" w:rsidRDefault="00B934B4" w:rsidP="003B6D43">
      <w:pPr>
        <w:pStyle w:val="xmsonormal"/>
      </w:pPr>
      <w:hyperlink r:id="rId11" w:history="1">
        <w:r w:rsidR="003B6D43">
          <w:rPr>
            <w:rStyle w:val="Hyperlink"/>
          </w:rPr>
          <w:t>https://www.genocidewatch.com/</w:t>
        </w:r>
      </w:hyperlink>
    </w:p>
    <w:p w14:paraId="570DDB0B" w14:textId="06E6EDB4" w:rsidR="003B6D43" w:rsidRPr="003B6D43" w:rsidRDefault="003B6D43" w:rsidP="003B6D43">
      <w:pPr>
        <w:pStyle w:val="Heading3"/>
        <w:rPr>
          <w:rFonts w:eastAsiaTheme="minorEastAsia"/>
        </w:rPr>
      </w:pPr>
      <w:r>
        <w:t>Some introductory reading for the module: Defining genocide</w:t>
      </w:r>
    </w:p>
    <w:p w14:paraId="1737CE23" w14:textId="5204A7B5" w:rsidR="00097690" w:rsidRDefault="00097690">
      <w:r>
        <w:t xml:space="preserve">Mark Levene, ‘Why Is the Twentieth Century the Century of Genocide?’ </w:t>
      </w:r>
      <w:r>
        <w:rPr>
          <w:i/>
          <w:iCs/>
        </w:rPr>
        <w:t xml:space="preserve">Journal of World History, </w:t>
      </w:r>
      <w:r>
        <w:t>11:2 (2000), 305-336.</w:t>
      </w:r>
    </w:p>
    <w:p w14:paraId="44A4FEE9" w14:textId="14AD0A22" w:rsidR="00097690" w:rsidRDefault="00097690">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1</w:t>
      </w:r>
      <w:r w:rsidR="003B6D43">
        <w:t>.</w:t>
      </w:r>
    </w:p>
    <w:p w14:paraId="6700A27F" w14:textId="53DE2A3B" w:rsidR="003B6D43" w:rsidRDefault="003B6D43">
      <w:r>
        <w:lastRenderedPageBreak/>
        <w:t xml:space="preserve">Robert </w:t>
      </w:r>
      <w:proofErr w:type="spellStart"/>
      <w:r>
        <w:t>Gellately</w:t>
      </w:r>
      <w:proofErr w:type="spellEnd"/>
      <w:r>
        <w:t xml:space="preserve"> and Ben Kiernan, ‘The Study of Mass Murder and Genocide’ in Robert </w:t>
      </w:r>
      <w:proofErr w:type="spellStart"/>
      <w:r>
        <w:t>Gellately</w:t>
      </w:r>
      <w:proofErr w:type="spellEnd"/>
      <w:r>
        <w:t xml:space="preserve"> and Ben Kiernan (eds.), ‘ </w:t>
      </w:r>
      <w:r>
        <w:rPr>
          <w:i/>
          <w:iCs/>
        </w:rPr>
        <w:t xml:space="preserve">The Specter of Genocide: Mass Murder in Historical Perspective </w:t>
      </w:r>
      <w:r>
        <w:t>(Cambridge, 2003), pp. 3-26.</w:t>
      </w:r>
    </w:p>
    <w:p w14:paraId="023668C5" w14:textId="54E5971F" w:rsidR="003B6D43" w:rsidRPr="003B6D43" w:rsidRDefault="003B6D43">
      <w:r w:rsidRPr="003B6D43">
        <w:t>Ben Kiernan, ‘Twentieth-Century Genocides: Unde</w:t>
      </w:r>
      <w:r>
        <w:t xml:space="preserve">rlying Ideological Themes from Armenia to East Timor’ in Robert </w:t>
      </w:r>
      <w:proofErr w:type="spellStart"/>
      <w:r>
        <w:t>Gellately</w:t>
      </w:r>
      <w:proofErr w:type="spellEnd"/>
      <w:r>
        <w:t xml:space="preserve"> and Ben Kiernan (eds.), ‘ </w:t>
      </w:r>
      <w:r>
        <w:rPr>
          <w:i/>
          <w:iCs/>
        </w:rPr>
        <w:t xml:space="preserve">The Specter of Genocide: Mass Murder in Historical Perspective </w:t>
      </w:r>
      <w:r>
        <w:t>(Cambridge, 2003) pp. 29-51.</w:t>
      </w:r>
    </w:p>
    <w:p w14:paraId="495973EE" w14:textId="29164B77" w:rsidR="00097690" w:rsidRDefault="00097690" w:rsidP="00097690">
      <w:r>
        <w:t xml:space="preserve">Martha Minow, ‘Naming Horror: Legal and Political Words for Mass Atrocities’, </w:t>
      </w:r>
      <w:r>
        <w:rPr>
          <w:i/>
          <w:iCs/>
        </w:rPr>
        <w:t xml:space="preserve">Genocide Studies and Prevention </w:t>
      </w:r>
      <w:r>
        <w:t>2:1 (2007)</w:t>
      </w:r>
      <w:r w:rsidR="003B6D43">
        <w:t>.</w:t>
      </w:r>
    </w:p>
    <w:p w14:paraId="0A8A875E" w14:textId="7E310730" w:rsidR="00B745BB" w:rsidRPr="00B745BB" w:rsidRDefault="00B745BB" w:rsidP="00097690">
      <w:r>
        <w:t xml:space="preserve">Krista K. Thomason, ‘If Everything is Genocide, Nothing Is: Scepticism and the Concept of Genocide’, </w:t>
      </w:r>
      <w:r>
        <w:rPr>
          <w:i/>
          <w:iCs/>
        </w:rPr>
        <w:t xml:space="preserve">Journal of Genocide Research </w:t>
      </w:r>
      <w:r>
        <w:t xml:space="preserve">20:3 (2018), </w:t>
      </w:r>
      <w:r w:rsidR="003F38B5">
        <w:t>412-416.</w:t>
      </w:r>
    </w:p>
    <w:p w14:paraId="163AD4E7" w14:textId="2725A96A" w:rsidR="003B6D43" w:rsidRDefault="003B6D43" w:rsidP="003B6D43">
      <w:pPr>
        <w:pStyle w:val="Heading2"/>
      </w:pPr>
      <w:r>
        <w:t>Week 3: The Herero Genocide: On the Path to Auschwitz?</w:t>
      </w:r>
    </w:p>
    <w:p w14:paraId="170ACD4F" w14:textId="7E0AFE8E" w:rsidR="003B6D43" w:rsidRDefault="003B6D43" w:rsidP="003B6D43">
      <w:r>
        <w:t>This week we will focus on the genocide of the Herero and Nama people in German Southwest Africa (present-day Namibia), which occurred between 1904 and 1908 in the context of a Herero and Nama rebellion against German colonial rule. Between 24,000 and 100,000 Herero and 10,000 Nama were killed in the genocide, which was characterised by starvation and the use of concentration camps. We’ll be looking at those debates in our session.</w:t>
      </w:r>
    </w:p>
    <w:p w14:paraId="636FF867" w14:textId="6EEECC65" w:rsidR="003B6D43" w:rsidRDefault="003B6D43" w:rsidP="003B6D43">
      <w:r>
        <w:t xml:space="preserve">Key questions for our seminar: </w:t>
      </w:r>
    </w:p>
    <w:p w14:paraId="759DEE0F" w14:textId="5DEBA534" w:rsidR="003B6D43" w:rsidRDefault="003B6D43" w:rsidP="003B6D43">
      <w:pPr>
        <w:pStyle w:val="ListParagraph"/>
        <w:numPr>
          <w:ilvl w:val="0"/>
          <w:numId w:val="4"/>
        </w:numPr>
      </w:pPr>
      <w:r>
        <w:t>Some historians have linked the Herero genocide to the Holocaust, and this is an area of contentious historiographical debate. Is it useful to view these two periods of history in relation to each other? What do we gain and lose?</w:t>
      </w:r>
    </w:p>
    <w:p w14:paraId="472BB703" w14:textId="02D05FCB" w:rsidR="003B6D43" w:rsidRDefault="003B6D43" w:rsidP="003B6D43">
      <w:pPr>
        <w:pStyle w:val="Heading3"/>
      </w:pPr>
      <w:r>
        <w:t>Asynchronous task for assignment preparation</w:t>
      </w:r>
    </w:p>
    <w:p w14:paraId="4BC405A4" w14:textId="725F5AEB" w:rsidR="003B6D43" w:rsidRPr="003B6D43" w:rsidRDefault="003B6D43" w:rsidP="003B6D43">
      <w:r>
        <w:rPr>
          <w:rFonts w:ascii="Segoe UI" w:hAnsi="Segoe UI" w:cs="Segoe UI"/>
          <w:color w:val="1D2125"/>
          <w:sz w:val="23"/>
          <w:szCs w:val="23"/>
          <w:shd w:val="clear" w:color="auto" w:fill="FFFFFF"/>
        </w:rPr>
        <w:t>Pick 4 texts you plan to use for your literature review. Write a reference and a bibliographical entry for all of them.</w:t>
      </w:r>
    </w:p>
    <w:p w14:paraId="3023C908" w14:textId="2DF6C103" w:rsidR="003B6D43" w:rsidRDefault="003B6D43" w:rsidP="003B6D43">
      <w:pPr>
        <w:pStyle w:val="Heading3"/>
      </w:pPr>
      <w:r>
        <w:t>Seminar reading</w:t>
      </w:r>
    </w:p>
    <w:p w14:paraId="26828F6F" w14:textId="3B528E1B" w:rsidR="003B6D43" w:rsidRDefault="003B6D43" w:rsidP="003B6D43">
      <w:r>
        <w:t xml:space="preserve">Jon Bridgman and Leslie J. Worley, ‘Genocide of the Hereros’ in Samuel Totten and William S. Parsons (eds.), </w:t>
      </w:r>
      <w:r>
        <w:rPr>
          <w:i/>
          <w:iCs/>
        </w:rPr>
        <w:t xml:space="preserve">Century of Genocide: Critical Essays and Eyewitness Accounts, </w:t>
      </w:r>
      <w:r>
        <w:t>(New York, 2009), pp. 14-42.</w:t>
      </w:r>
    </w:p>
    <w:p w14:paraId="5B723FA5" w14:textId="171F2A45" w:rsidR="003B6D43" w:rsidRPr="003B6D43" w:rsidRDefault="003B6D43" w:rsidP="003B6D43">
      <w:r>
        <w:t xml:space="preserve">Birthe Kundrus, ‘From the Herero to the Holocaust? Some Remarks on the Current Debate’, </w:t>
      </w:r>
      <w:r>
        <w:rPr>
          <w:i/>
          <w:iCs/>
        </w:rPr>
        <w:t xml:space="preserve">Afrika Spectrum </w:t>
      </w:r>
      <w:r>
        <w:t xml:space="preserve">40:2 (2005), pp.299-308, available open access here: </w:t>
      </w:r>
      <w:hyperlink r:id="rId12" w:history="1">
        <w:r>
          <w:rPr>
            <w:rStyle w:val="Hyperlink"/>
          </w:rPr>
          <w:t>KundrusLast.PDF (ssoar.info)</w:t>
        </w:r>
      </w:hyperlink>
    </w:p>
    <w:p w14:paraId="5C62D65E" w14:textId="6F7D3676" w:rsidR="003B6D43" w:rsidRDefault="00B934B4" w:rsidP="003B6D43">
      <w:hyperlink r:id="rId13" w:history="1">
        <w:r w:rsidR="003B6D43">
          <w:rPr>
            <w:rStyle w:val="Hyperlink"/>
          </w:rPr>
          <w:t>Namibia: Genocide and the Second Reich (BBC) (youtube.com)</w:t>
        </w:r>
      </w:hyperlink>
    </w:p>
    <w:p w14:paraId="121A2D2F" w14:textId="57B78976" w:rsidR="003B6D43" w:rsidRDefault="00B934B4" w:rsidP="003B6D43">
      <w:hyperlink r:id="rId14" w:history="1">
        <w:r w:rsidR="003B6D43">
          <w:rPr>
            <w:rStyle w:val="Hyperlink"/>
          </w:rPr>
          <w:t xml:space="preserve">Report on the natives of South-west Africa and their treatment by Germany / prepared in the Administrator's Office, </w:t>
        </w:r>
        <w:proofErr w:type="spellStart"/>
        <w:r w:rsidR="003B6D43">
          <w:rPr>
            <w:rStyle w:val="Hyperlink"/>
          </w:rPr>
          <w:t>Windhuk</w:t>
        </w:r>
        <w:proofErr w:type="spellEnd"/>
        <w:r w:rsidR="003B6D43">
          <w:rPr>
            <w:rStyle w:val="Hyperlink"/>
          </w:rPr>
          <w:t xml:space="preserve">, South-West Africa, January 1918. | </w:t>
        </w:r>
        <w:proofErr w:type="spellStart"/>
        <w:r w:rsidR="003B6D43">
          <w:rPr>
            <w:rStyle w:val="Hyperlink"/>
          </w:rPr>
          <w:t>Wellcome</w:t>
        </w:r>
        <w:proofErr w:type="spellEnd"/>
        <w:r w:rsidR="003B6D43">
          <w:rPr>
            <w:rStyle w:val="Hyperlink"/>
          </w:rPr>
          <w:t xml:space="preserve"> Collection</w:t>
        </w:r>
      </w:hyperlink>
    </w:p>
    <w:p w14:paraId="1EBEAF15" w14:textId="1432AB52" w:rsidR="003B6D43" w:rsidRPr="003B6D43" w:rsidRDefault="003B6D43" w:rsidP="003B6D43">
      <w:r>
        <w:t xml:space="preserve">(See also Jeremy Silvester and Jan-Bart </w:t>
      </w:r>
      <w:proofErr w:type="spellStart"/>
      <w:r>
        <w:t>Gewald</w:t>
      </w:r>
      <w:proofErr w:type="spellEnd"/>
      <w:r>
        <w:t xml:space="preserve">, </w:t>
      </w:r>
      <w:r>
        <w:rPr>
          <w:i/>
          <w:iCs/>
        </w:rPr>
        <w:t xml:space="preserve">Words Cannot Be Found: German Colonial Rule in Namibia: An Annotated Reprint of the 1918 Blue Book </w:t>
      </w:r>
      <w:r>
        <w:t>(Leiden, 2003), which contains a reprint of the above Report with some commentary).</w:t>
      </w:r>
    </w:p>
    <w:p w14:paraId="6CC8ABA3" w14:textId="58931A06" w:rsidR="003B6D43" w:rsidRDefault="003B6D43" w:rsidP="003B6D43">
      <w:pPr>
        <w:pStyle w:val="Heading3"/>
      </w:pPr>
      <w:r>
        <w:t>Further reading</w:t>
      </w:r>
    </w:p>
    <w:p w14:paraId="79AC45BB" w14:textId="7C2C10B5" w:rsidR="003B6D43" w:rsidRDefault="003B6D43" w:rsidP="003B6D43">
      <w:r>
        <w:t xml:space="preserve">Mohamed Adhikari, ‘Streams of Blood and Streams of Money’: New Perspectives on the Annihilation of the Herero and Nama Peoples of Namibia, 1904-1908, </w:t>
      </w:r>
      <w:r>
        <w:rPr>
          <w:i/>
          <w:iCs/>
        </w:rPr>
        <w:t xml:space="preserve">Kronos, </w:t>
      </w:r>
      <w:r>
        <w:t xml:space="preserve">34:1 (2008), 303-320, available open access here: </w:t>
      </w:r>
      <w:hyperlink r:id="rId15" w:history="1">
        <w:r>
          <w:rPr>
            <w:rStyle w:val="Hyperlink"/>
          </w:rPr>
          <w:t>13_2 REVIEW ARTICLE 2.indd (scielo.org.za)</w:t>
        </w:r>
      </w:hyperlink>
    </w:p>
    <w:p w14:paraId="06293319" w14:textId="0679A32F" w:rsidR="00037CB8" w:rsidRPr="00037CB8" w:rsidRDefault="00037CB8" w:rsidP="003B6D43">
      <w:r w:rsidRPr="00037CB8">
        <w:t xml:space="preserve">Klaus Bachmann, </w:t>
      </w:r>
      <w:r w:rsidRPr="00037CB8">
        <w:rPr>
          <w:i/>
          <w:iCs/>
        </w:rPr>
        <w:t>Genocidal Empires: German Colonialism in</w:t>
      </w:r>
      <w:r>
        <w:rPr>
          <w:i/>
          <w:iCs/>
        </w:rPr>
        <w:t xml:space="preserve"> Africa and the Third Reich </w:t>
      </w:r>
      <w:r>
        <w:t>(Peter Lang, 2018).</w:t>
      </w:r>
    </w:p>
    <w:p w14:paraId="17F74517" w14:textId="03A9E850" w:rsidR="00451528" w:rsidRDefault="00451528" w:rsidP="003B6D43">
      <w:r>
        <w:t xml:space="preserve">David </w:t>
      </w:r>
      <w:proofErr w:type="spellStart"/>
      <w:r>
        <w:t>Bargueno</w:t>
      </w:r>
      <w:proofErr w:type="spellEnd"/>
      <w:r>
        <w:t xml:space="preserve">, ‘Cash for Genocide? The Politics of Memory in the Herero Case for Reparations’, </w:t>
      </w:r>
      <w:r>
        <w:rPr>
          <w:i/>
          <w:iCs/>
        </w:rPr>
        <w:t xml:space="preserve">Holocaust and Genocide Studies, </w:t>
      </w:r>
      <w:r>
        <w:t>26:3 (2012), 394-424.</w:t>
      </w:r>
    </w:p>
    <w:p w14:paraId="0523C805" w14:textId="6351BDEE" w:rsidR="0008212E" w:rsidRPr="0008212E" w:rsidRDefault="0008212E" w:rsidP="003B6D43">
      <w:r>
        <w:t xml:space="preserve">Mads Bomholt Nielsen, ‘Selective Memory: British Perceptions of the Herero-Nama Genocide, 1904-1908 and 1918’, </w:t>
      </w:r>
      <w:r>
        <w:rPr>
          <w:i/>
          <w:iCs/>
        </w:rPr>
        <w:t xml:space="preserve">Journal of Southern African Studies </w:t>
      </w:r>
      <w:r w:rsidR="00037CB8">
        <w:t>43:2 (2017), 315-330.</w:t>
      </w:r>
    </w:p>
    <w:p w14:paraId="5BCEF156" w14:textId="2DEE2D92" w:rsidR="009962C5" w:rsidRDefault="009962C5" w:rsidP="003B6D43">
      <w:r w:rsidRPr="009962C5">
        <w:t xml:space="preserve">Elisa von </w:t>
      </w:r>
      <w:proofErr w:type="spellStart"/>
      <w:r w:rsidRPr="009962C5">
        <w:t>Joeden</w:t>
      </w:r>
      <w:proofErr w:type="spellEnd"/>
      <w:r w:rsidRPr="009962C5">
        <w:t>-Forgey, ‘Hidden in Plain Sight: A</w:t>
      </w:r>
      <w:r>
        <w:t xml:space="preserve">trocity Concealment in German Political Culture Before the First World War’ in </w:t>
      </w:r>
      <w:r w:rsidR="007F64A2">
        <w:t xml:space="preserve">Alexander Laban Hinton, Thomas La Pointe and Douglas Irvin-Erickson (eds.), </w:t>
      </w:r>
      <w:r w:rsidR="007F64A2">
        <w:rPr>
          <w:i/>
          <w:iCs/>
        </w:rPr>
        <w:t xml:space="preserve">Hidden Genocides: Power, Knowledge, Memory </w:t>
      </w:r>
      <w:r w:rsidR="007F64A2">
        <w:t xml:space="preserve">(Rutgers University Press, 2014), pp. </w:t>
      </w:r>
      <w:r w:rsidR="000D0234">
        <w:t>52-67.</w:t>
      </w:r>
    </w:p>
    <w:p w14:paraId="4BA289B3" w14:textId="51019783" w:rsidR="00005223" w:rsidRPr="001E6AF7" w:rsidRDefault="00005223" w:rsidP="003B6D43">
      <w:r w:rsidRPr="001E6AF7">
        <w:t xml:space="preserve">Janne Lahti, </w:t>
      </w:r>
      <w:r w:rsidR="001E6AF7" w:rsidRPr="001E6AF7">
        <w:t>‘</w:t>
      </w:r>
      <w:proofErr w:type="spellStart"/>
      <w:r w:rsidR="001E6AF7" w:rsidRPr="001E6AF7">
        <w:rPr>
          <w:i/>
          <w:iCs/>
        </w:rPr>
        <w:t>Südwester</w:t>
      </w:r>
      <w:proofErr w:type="spellEnd"/>
      <w:r w:rsidR="001E6AF7" w:rsidRPr="001E6AF7">
        <w:rPr>
          <w:i/>
          <w:iCs/>
        </w:rPr>
        <w:t xml:space="preserve"> Reiter: </w:t>
      </w:r>
      <w:r w:rsidR="001E6AF7" w:rsidRPr="001E6AF7">
        <w:t xml:space="preserve">Fear, Belonging, </w:t>
      </w:r>
      <w:r w:rsidR="001E6AF7">
        <w:t xml:space="preserve">and Settler Colonial Violence in Namibia’, </w:t>
      </w:r>
      <w:r w:rsidR="001E6AF7">
        <w:rPr>
          <w:i/>
          <w:iCs/>
        </w:rPr>
        <w:t xml:space="preserve">Journal of Genocide Research </w:t>
      </w:r>
      <w:r w:rsidR="001E6AF7">
        <w:t>24:4 (2022), 529-548.</w:t>
      </w:r>
    </w:p>
    <w:p w14:paraId="1B5EEE7C" w14:textId="7B795B30" w:rsidR="003B6D43" w:rsidRDefault="003B6D43" w:rsidP="003B6D43">
      <w:r w:rsidRPr="001E6AF7">
        <w:t xml:space="preserve"> </w:t>
      </w:r>
      <w:r>
        <w:t xml:space="preserve">Benjamin Madley, ‘Patterns of Frontier Genocide 1803-1910: The Aboriginal Tasmanians, the Yuki of California, and the Herero of Namibia’, </w:t>
      </w:r>
      <w:r>
        <w:rPr>
          <w:i/>
          <w:iCs/>
        </w:rPr>
        <w:t xml:space="preserve">Journal of Genocide Research, </w:t>
      </w:r>
      <w:r>
        <w:t>6:2 (2004), 167-192.</w:t>
      </w:r>
    </w:p>
    <w:p w14:paraId="16821CB9" w14:textId="0B0ACED2" w:rsidR="004D48DA" w:rsidRDefault="003B6D43" w:rsidP="004D48DA">
      <w:r>
        <w:t xml:space="preserve">Benjamin Madley, ‘From Africa to Auschwitz: How German South West Africa Incubated Ideas and Methods Adopted and Developed by the Nazis in Eastern Europe’, </w:t>
      </w:r>
      <w:r>
        <w:rPr>
          <w:i/>
          <w:iCs/>
        </w:rPr>
        <w:t xml:space="preserve">European History Quarterly, </w:t>
      </w:r>
      <w:r>
        <w:t>35:3 (2005), 429-464.</w:t>
      </w:r>
    </w:p>
    <w:p w14:paraId="2259BC47" w14:textId="2CC863CF" w:rsidR="00EE64ED" w:rsidRDefault="00EE64ED" w:rsidP="00EE64ED">
      <w:r>
        <w:t xml:space="preserve">Henning Melber, ‘How to come to terms with the past: Revisiting the German Colonial Genocide in Namibia’, </w:t>
      </w:r>
      <w:r>
        <w:rPr>
          <w:i/>
          <w:iCs/>
        </w:rPr>
        <w:t xml:space="preserve">Afrika Spectrum </w:t>
      </w:r>
      <w:r>
        <w:t>40:1 (2005), 139-148.</w:t>
      </w:r>
    </w:p>
    <w:p w14:paraId="600FAF0A" w14:textId="3A279B96" w:rsidR="004D48DA" w:rsidRPr="004D48DA" w:rsidRDefault="004D48DA" w:rsidP="004D48DA">
      <w:r w:rsidRPr="004D48DA">
        <w:t xml:space="preserve">Ellie Hamrick and Haley </w:t>
      </w:r>
      <w:proofErr w:type="spellStart"/>
      <w:r w:rsidRPr="004D48DA">
        <w:t>Duschinski</w:t>
      </w:r>
      <w:proofErr w:type="spellEnd"/>
      <w:r w:rsidRPr="004D48DA">
        <w:t>, ‘End</w:t>
      </w:r>
      <w:r>
        <w:t xml:space="preserve">uring Injustice: Memory Politics and Namibia’s Genocide Reparations Movement’, </w:t>
      </w:r>
      <w:r>
        <w:rPr>
          <w:i/>
          <w:iCs/>
        </w:rPr>
        <w:t xml:space="preserve">Memory Studies </w:t>
      </w:r>
      <w:r>
        <w:t>11:4 (2018), 437-454.</w:t>
      </w:r>
    </w:p>
    <w:p w14:paraId="6E0629F4" w14:textId="77777777" w:rsidR="003B6D43" w:rsidRDefault="003B6D43" w:rsidP="003B6D43">
      <w:r>
        <w:lastRenderedPageBreak/>
        <w:t xml:space="preserve">Matthias </w:t>
      </w:r>
      <w:proofErr w:type="spellStart"/>
      <w:r>
        <w:t>Häussler</w:t>
      </w:r>
      <w:proofErr w:type="spellEnd"/>
      <w:r>
        <w:t xml:space="preserve">, </w:t>
      </w:r>
      <w:r>
        <w:rPr>
          <w:i/>
          <w:iCs/>
        </w:rPr>
        <w:t xml:space="preserve">The Herero Genocide: War, Emotion, and Extreme Violence in Colonial Namibia </w:t>
      </w:r>
      <w:r>
        <w:t>(New York, 2021).</w:t>
      </w:r>
    </w:p>
    <w:p w14:paraId="5076CEA4" w14:textId="4B96D8B5" w:rsidR="003B6D43" w:rsidRDefault="003B6D43" w:rsidP="003B6D43">
      <w:r>
        <w:t xml:space="preserve">Isabel V. Hull, ‘Military Culture and the Production of “Final Solutions” in the Colonies: The Example of </w:t>
      </w:r>
      <w:proofErr w:type="spellStart"/>
      <w:r>
        <w:t>Wilhelminian</w:t>
      </w:r>
      <w:proofErr w:type="spellEnd"/>
      <w:r>
        <w:t xml:space="preserve"> Germany’ in Robert </w:t>
      </w:r>
      <w:proofErr w:type="spellStart"/>
      <w:r>
        <w:t>Gellately</w:t>
      </w:r>
      <w:proofErr w:type="spellEnd"/>
      <w:r>
        <w:t xml:space="preserve"> and Ben Kiernan (eds.), ‘ </w:t>
      </w:r>
      <w:r>
        <w:rPr>
          <w:i/>
          <w:iCs/>
        </w:rPr>
        <w:t xml:space="preserve">The Specter of Genocide: Mass Murder in Historical Perspective </w:t>
      </w:r>
      <w:r>
        <w:t>(Cambridge, 2003), pp. 141-162.</w:t>
      </w:r>
    </w:p>
    <w:p w14:paraId="46E25CCF" w14:textId="134B1270" w:rsidR="006727C6" w:rsidRDefault="006727C6" w:rsidP="006C4B99">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 xml:space="preserve">Abingdon, 2011), Chapter </w:t>
      </w:r>
      <w:r w:rsidR="006C4B99">
        <w:t>3.</w:t>
      </w:r>
    </w:p>
    <w:p w14:paraId="3FDBE2C7" w14:textId="3F5C609A" w:rsidR="003B6D43" w:rsidRDefault="003B6D43" w:rsidP="003B6D43">
      <w:r>
        <w:t xml:space="preserve">Jeremy Sarkin, </w:t>
      </w:r>
      <w:r>
        <w:rPr>
          <w:i/>
          <w:iCs/>
        </w:rPr>
        <w:t xml:space="preserve">Germany’s Genocide of the Herero: Kaiser Wilhelm II, His General, His Settlers, His Soldiers </w:t>
      </w:r>
      <w:r>
        <w:t>(Cape Town, 2011).</w:t>
      </w:r>
    </w:p>
    <w:p w14:paraId="51A2C79A" w14:textId="2D0389E5" w:rsidR="0018682A" w:rsidRPr="00105220" w:rsidRDefault="0018682A" w:rsidP="003B6D43">
      <w:r>
        <w:t>Dominik J. Schaller, ‘“Every Herero Will Be Shot”: Genocide, Concentration Camps and Slave Labour in German South-West Africa”</w:t>
      </w:r>
      <w:r w:rsidR="00105220">
        <w:t xml:space="preserve"> in René Lemarchand (ed.), </w:t>
      </w:r>
      <w:r w:rsidR="00105220">
        <w:rPr>
          <w:i/>
          <w:iCs/>
        </w:rPr>
        <w:t xml:space="preserve">Forgotten Genocides: Oblivion, Denial, and Memory </w:t>
      </w:r>
      <w:r w:rsidR="00105220">
        <w:t xml:space="preserve">(University of Pennsylvania Press, 2011), pp. </w:t>
      </w:r>
      <w:r w:rsidR="00AB6562">
        <w:t>37-50.</w:t>
      </w:r>
    </w:p>
    <w:p w14:paraId="2485ECF1" w14:textId="40DF90B3" w:rsidR="003B6D43" w:rsidRDefault="003B6D43" w:rsidP="003B6D43">
      <w:r w:rsidRPr="003B6D43">
        <w:t xml:space="preserve">Jürgen Zimmerer, </w:t>
      </w:r>
      <w:r w:rsidRPr="003B6D43">
        <w:rPr>
          <w:i/>
          <w:iCs/>
        </w:rPr>
        <w:t>From Windhoek to Auschwitz?: Reflections on th</w:t>
      </w:r>
      <w:r>
        <w:rPr>
          <w:i/>
          <w:iCs/>
        </w:rPr>
        <w:t xml:space="preserve">e Relationship Between Colonialism and National Socialism </w:t>
      </w:r>
      <w:r>
        <w:t>(Berlin, 2024).</w:t>
      </w:r>
    </w:p>
    <w:p w14:paraId="60309E50" w14:textId="77777777" w:rsidR="003B6D43" w:rsidRDefault="003B6D43" w:rsidP="003B6D43">
      <w:pPr>
        <w:pStyle w:val="Heading2"/>
      </w:pPr>
      <w:r>
        <w:t>Week 4: Plan or a Gruesome Accident? Origins of the Holocaust</w:t>
      </w:r>
    </w:p>
    <w:p w14:paraId="21A069C7" w14:textId="40D8FCB7" w:rsidR="00DC66E2" w:rsidRDefault="003B6D43" w:rsidP="003B6D43">
      <w:r>
        <w:t>The Holocaust, perpetrated under Hitler’s National Socialists, is one of the most-researched topics by historians. Yet, there are areas of contentious debate. The origins of the genocide is just one of those areas. We will examine these debates in this session.</w:t>
      </w:r>
    </w:p>
    <w:p w14:paraId="14E2C5D8" w14:textId="2DE3C24F" w:rsidR="003B6D43" w:rsidRDefault="003B6D43" w:rsidP="003B6D43">
      <w:r>
        <w:t>Key questions for our seminar:</w:t>
      </w:r>
    </w:p>
    <w:p w14:paraId="05756DC8" w14:textId="154B7ECD" w:rsidR="003B6D43" w:rsidRDefault="003B6D43" w:rsidP="003B6D43">
      <w:pPr>
        <w:pStyle w:val="ListParagraph"/>
        <w:numPr>
          <w:ilvl w:val="0"/>
          <w:numId w:val="4"/>
        </w:numPr>
      </w:pPr>
      <w:r>
        <w:t>Was the Holocaust meticulously planned by Hitler years in advance? Or an unforeseen outcome of military planning?</w:t>
      </w:r>
    </w:p>
    <w:p w14:paraId="1F7D62D5" w14:textId="62B075D4" w:rsidR="003B6D43" w:rsidRDefault="003B6D43" w:rsidP="003B6D43">
      <w:pPr>
        <w:pStyle w:val="Heading3"/>
      </w:pPr>
      <w:r>
        <w:t>Asynchronous task for assignment preparation</w:t>
      </w:r>
    </w:p>
    <w:p w14:paraId="290B977D" w14:textId="6A94A196" w:rsidR="003B6D43" w:rsidRPr="003B6D43" w:rsidRDefault="003B6D43" w:rsidP="003B6D43">
      <w:r w:rsidRPr="003B6D43">
        <w:rPr>
          <w:rFonts w:cs="Segoe UI"/>
          <w:color w:val="1D2125"/>
          <w:shd w:val="clear" w:color="auto" w:fill="FFFFFF"/>
        </w:rPr>
        <w:t>Draft one paragraph of a literature review for one of your chosen texts.</w:t>
      </w:r>
    </w:p>
    <w:p w14:paraId="53DB76E7" w14:textId="2481A13C" w:rsidR="003B6D43" w:rsidRDefault="003B6D43" w:rsidP="003B6D43">
      <w:pPr>
        <w:pStyle w:val="Heading3"/>
      </w:pPr>
      <w:r>
        <w:t>Seminar Reading</w:t>
      </w:r>
    </w:p>
    <w:p w14:paraId="29DCC2D5" w14:textId="7EE65988" w:rsidR="003B6D43" w:rsidRDefault="003B6D43" w:rsidP="003B6D43">
      <w:r>
        <w:t xml:space="preserve">Christopher R. Browning, </w:t>
      </w:r>
      <w:r>
        <w:rPr>
          <w:i/>
          <w:iCs/>
        </w:rPr>
        <w:t>The Path to Genocide: Essays on Launching the Final Solution</w:t>
      </w:r>
      <w:r>
        <w:t xml:space="preserve"> (Cambridge, 1992), Chapter 1.</w:t>
      </w:r>
    </w:p>
    <w:p w14:paraId="1F0830E0" w14:textId="062B3F4D" w:rsidR="003B6D43" w:rsidRDefault="003B6D43" w:rsidP="003B6D43">
      <w:r>
        <w:t xml:space="preserve">Robert </w:t>
      </w:r>
      <w:proofErr w:type="spellStart"/>
      <w:r>
        <w:t>Gellately</w:t>
      </w:r>
      <w:proofErr w:type="spellEnd"/>
      <w:r>
        <w:t xml:space="preserve">, ‘The Third Reich, the Holocaust, and Visions of Serial Genocide’ in Robert </w:t>
      </w:r>
      <w:proofErr w:type="spellStart"/>
      <w:r>
        <w:t>Gellately</w:t>
      </w:r>
      <w:proofErr w:type="spellEnd"/>
      <w:r>
        <w:t xml:space="preserve"> and Ben Kiernan (eds.), ‘ </w:t>
      </w:r>
      <w:r>
        <w:rPr>
          <w:i/>
          <w:iCs/>
        </w:rPr>
        <w:t xml:space="preserve">The Specter of Genocide: Mass Murder in Historical Perspective </w:t>
      </w:r>
      <w:r>
        <w:t>(Cambridge, 2003), pp. 241-263.</w:t>
      </w:r>
    </w:p>
    <w:p w14:paraId="6B63FFAB" w14:textId="77777777" w:rsidR="003B6D43" w:rsidRPr="003B6D43" w:rsidRDefault="003B6D43" w:rsidP="003B6D43">
      <w:pPr>
        <w:spacing w:before="100" w:beforeAutospacing="1" w:after="120"/>
        <w:jc w:val="both"/>
        <w:rPr>
          <w:rFonts w:asciiTheme="majorHAnsi" w:hAnsiTheme="majorHAnsi"/>
        </w:rPr>
      </w:pPr>
      <w:r>
        <w:rPr>
          <w:rFonts w:asciiTheme="majorHAnsi" w:hAnsiTheme="majorHAnsi"/>
          <w:lang w:val="en-US"/>
        </w:rPr>
        <w:t xml:space="preserve">Watch: Doris Bergen, ‘Step by Step: Phases of the Holocaust’: </w:t>
      </w:r>
      <w:hyperlink r:id="rId16" w:history="1">
        <w:r>
          <w:rPr>
            <w:rStyle w:val="Hyperlink"/>
          </w:rPr>
          <w:t>Step By Step: Phases of the Holocaust | Facing History and Ourselves</w:t>
        </w:r>
      </w:hyperlink>
      <w:r>
        <w:rPr>
          <w:rFonts w:asciiTheme="majorHAnsi" w:hAnsiTheme="majorHAnsi"/>
        </w:rPr>
        <w:t xml:space="preserve"> </w:t>
      </w:r>
    </w:p>
    <w:p w14:paraId="1580059C" w14:textId="77777777" w:rsidR="003B6D43" w:rsidRDefault="003B6D43" w:rsidP="003B6D43"/>
    <w:p w14:paraId="530CE677" w14:textId="06D7E5B4" w:rsidR="003B6D43" w:rsidRDefault="003B6D43" w:rsidP="003B6D43">
      <w:pPr>
        <w:pStyle w:val="Heading3"/>
      </w:pPr>
      <w:r>
        <w:t>Further reading</w:t>
      </w:r>
    </w:p>
    <w:p w14:paraId="4B0C1A9E" w14:textId="109AF35F" w:rsidR="003B6D43" w:rsidRDefault="003B6D43" w:rsidP="003B6D43">
      <w:r w:rsidRPr="003B6D43">
        <w:t xml:space="preserve">Omer Bartov, </w:t>
      </w:r>
      <w:r w:rsidRPr="003B6D43">
        <w:rPr>
          <w:i/>
          <w:iCs/>
        </w:rPr>
        <w:t>Germany’s War and th</w:t>
      </w:r>
      <w:r>
        <w:rPr>
          <w:i/>
          <w:iCs/>
        </w:rPr>
        <w:t xml:space="preserve">e Holocaust: Disputed Histories </w:t>
      </w:r>
      <w:r>
        <w:t>(2003), Introduction.</w:t>
      </w:r>
    </w:p>
    <w:p w14:paraId="4294927E" w14:textId="25614649" w:rsidR="003B6D43" w:rsidRPr="003B6D43" w:rsidRDefault="003B6D43" w:rsidP="003B6D43">
      <w:r>
        <w:t xml:space="preserve">John Connelly, ‘Nazis and Slavs: From Racial Theory to Racist Practice’, </w:t>
      </w:r>
      <w:r>
        <w:rPr>
          <w:i/>
          <w:iCs/>
        </w:rPr>
        <w:t xml:space="preserve">Central European History, </w:t>
      </w:r>
      <w:r>
        <w:t>32:1 (1999), 1-33.</w:t>
      </w:r>
    </w:p>
    <w:p w14:paraId="3B449A9F" w14:textId="1ED210E6" w:rsidR="003B6D43" w:rsidRDefault="003B6D43" w:rsidP="003B6D43">
      <w:r>
        <w:t xml:space="preserve">Robert </w:t>
      </w:r>
      <w:proofErr w:type="spellStart"/>
      <w:r>
        <w:t>Gellately</w:t>
      </w:r>
      <w:proofErr w:type="spellEnd"/>
      <w:r>
        <w:t xml:space="preserve">, </w:t>
      </w:r>
      <w:r>
        <w:rPr>
          <w:i/>
          <w:iCs/>
        </w:rPr>
        <w:t xml:space="preserve">Backing Hitler: Consent and Coercion in Nazi Germany </w:t>
      </w:r>
      <w:r>
        <w:t>(Oxford, 2001).</w:t>
      </w:r>
    </w:p>
    <w:p w14:paraId="535623CA" w14:textId="2CE93AA2" w:rsidR="003B6D43" w:rsidRDefault="003B6D43" w:rsidP="003B6D43">
      <w:r>
        <w:t xml:space="preserve">Christian Gerlach, ‘The Wannsee Conference, the Fate of German Jews, and Hitler’s Decision in Principle to Exterminate All European Jews’, </w:t>
      </w:r>
      <w:r>
        <w:rPr>
          <w:i/>
          <w:iCs/>
        </w:rPr>
        <w:t xml:space="preserve">Journal of Modern History </w:t>
      </w:r>
      <w:r>
        <w:t>7:4 (1998), 759-812.</w:t>
      </w:r>
    </w:p>
    <w:p w14:paraId="5704BFAB" w14:textId="06E4A685" w:rsidR="00DB6B9B" w:rsidRPr="00DB6B9B" w:rsidRDefault="00DB6B9B" w:rsidP="003B6D43">
      <w:r>
        <w:t xml:space="preserve">Peter Hayes (ed.), </w:t>
      </w:r>
      <w:r>
        <w:rPr>
          <w:i/>
          <w:iCs/>
        </w:rPr>
        <w:t xml:space="preserve">How Was It Possible?: A Holocaust Reader </w:t>
      </w:r>
      <w:r>
        <w:t>(University of Nebraska Press, 2015).</w:t>
      </w:r>
    </w:p>
    <w:p w14:paraId="2EA8B7C6" w14:textId="4014FC1F" w:rsidR="003B6D43" w:rsidRPr="003B6D43" w:rsidRDefault="003B6D43" w:rsidP="003B6D43">
      <w:r>
        <w:t xml:space="preserve">Jeffrey Herf, ‘The “Jewish War”: Goebbels and the Antisemitic Campaigns of the Nazi Propaganda Ministry’, </w:t>
      </w:r>
      <w:r>
        <w:rPr>
          <w:i/>
          <w:iCs/>
        </w:rPr>
        <w:t xml:space="preserve">Holocaust and Genocide Studies </w:t>
      </w:r>
      <w:r>
        <w:t>19:1 (2005), 51-80.</w:t>
      </w:r>
    </w:p>
    <w:p w14:paraId="6C46E217" w14:textId="296A63BF" w:rsidR="003B6D43" w:rsidRDefault="003B6D43" w:rsidP="003B6D43">
      <w:r>
        <w:t xml:space="preserve">Raul Hilberg, </w:t>
      </w:r>
      <w:r>
        <w:rPr>
          <w:i/>
          <w:iCs/>
        </w:rPr>
        <w:t xml:space="preserve">The Destruction of the European Jews </w:t>
      </w:r>
      <w:r>
        <w:t>(2003).</w:t>
      </w:r>
    </w:p>
    <w:p w14:paraId="0E0BAB38" w14:textId="420F0198" w:rsidR="003B6D43" w:rsidRPr="007036D9" w:rsidRDefault="003B6D43" w:rsidP="003B6D43">
      <w:pPr>
        <w:rPr>
          <w:lang w:val="fr-FR"/>
        </w:rPr>
      </w:pPr>
      <w:r w:rsidRPr="007036D9">
        <w:rPr>
          <w:lang w:val="fr-FR"/>
        </w:rPr>
        <w:t xml:space="preserve">Adam Jones, </w:t>
      </w:r>
      <w:proofErr w:type="spellStart"/>
      <w:r w:rsidRPr="007036D9">
        <w:rPr>
          <w:i/>
          <w:iCs/>
          <w:lang w:val="fr-FR"/>
        </w:rPr>
        <w:t>Genocide</w:t>
      </w:r>
      <w:proofErr w:type="spellEnd"/>
      <w:r w:rsidRPr="007036D9">
        <w:rPr>
          <w:i/>
          <w:iCs/>
          <w:lang w:val="fr-FR"/>
        </w:rPr>
        <w:t xml:space="preserve">: A </w:t>
      </w:r>
      <w:proofErr w:type="spellStart"/>
      <w:r w:rsidRPr="007036D9">
        <w:rPr>
          <w:i/>
          <w:iCs/>
          <w:lang w:val="fr-FR"/>
        </w:rPr>
        <w:t>Comprehensive</w:t>
      </w:r>
      <w:proofErr w:type="spellEnd"/>
      <w:r w:rsidRPr="007036D9">
        <w:rPr>
          <w:i/>
          <w:iCs/>
          <w:lang w:val="fr-FR"/>
        </w:rPr>
        <w:t xml:space="preserve"> Introduction</w:t>
      </w:r>
      <w:r w:rsidRPr="007036D9">
        <w:rPr>
          <w:lang w:val="fr-FR"/>
        </w:rPr>
        <w:t xml:space="preserve">, </w:t>
      </w:r>
      <w:proofErr w:type="spellStart"/>
      <w:r w:rsidRPr="007036D9">
        <w:rPr>
          <w:lang w:val="fr-FR"/>
        </w:rPr>
        <w:t>Chapter</w:t>
      </w:r>
      <w:proofErr w:type="spellEnd"/>
      <w:r w:rsidRPr="007036D9">
        <w:rPr>
          <w:lang w:val="fr-FR"/>
        </w:rPr>
        <w:t xml:space="preserve"> 6 </w:t>
      </w:r>
    </w:p>
    <w:p w14:paraId="33D2B945" w14:textId="7E1F7B5A" w:rsidR="003B6D43" w:rsidRPr="003B6D43" w:rsidRDefault="003B6D43" w:rsidP="003B6D43">
      <w:r>
        <w:t xml:space="preserve">Marion Kaplan, </w:t>
      </w:r>
      <w:r>
        <w:rPr>
          <w:i/>
          <w:iCs/>
        </w:rPr>
        <w:t xml:space="preserve">Between Dignity and Despair: Jewish Life in Nazi Germany </w:t>
      </w:r>
      <w:r>
        <w:t>(Oxford, 1999).</w:t>
      </w:r>
    </w:p>
    <w:p w14:paraId="7CBE87C8" w14:textId="31BA069B" w:rsidR="003B6D43" w:rsidRDefault="003B6D43" w:rsidP="003B6D43">
      <w:r>
        <w:t xml:space="preserve">Timothy Snyder, ‘The Causes of the Holocaust’, </w:t>
      </w:r>
      <w:r>
        <w:rPr>
          <w:i/>
          <w:iCs/>
        </w:rPr>
        <w:t xml:space="preserve">Contemporary European History, </w:t>
      </w:r>
      <w:r>
        <w:t xml:space="preserve">21:2 (2012), 149-168. </w:t>
      </w:r>
      <w:hyperlink r:id="rId17" w:history="1">
        <w:r>
          <w:rPr>
            <w:rStyle w:val="Hyperlink"/>
          </w:rPr>
          <w:t>ceh1200009a (cuni.cz)</w:t>
        </w:r>
      </w:hyperlink>
    </w:p>
    <w:p w14:paraId="1F4E8B1C" w14:textId="2053878D" w:rsidR="003B6D43" w:rsidRDefault="003B6D43" w:rsidP="003B6D43">
      <w:r>
        <w:t xml:space="preserve">Tom Lawson, </w:t>
      </w:r>
      <w:r>
        <w:rPr>
          <w:i/>
          <w:iCs/>
        </w:rPr>
        <w:t xml:space="preserve">Debates on the Holocaust </w:t>
      </w:r>
      <w:r>
        <w:t>(Manchester, 2010), Chapter 4.</w:t>
      </w:r>
    </w:p>
    <w:p w14:paraId="7DCDEDB6" w14:textId="29EE8970" w:rsidR="003B6D43" w:rsidRPr="003B6D43" w:rsidRDefault="003B6D43" w:rsidP="003B6D43">
      <w:r>
        <w:t xml:space="preserve">Donald </w:t>
      </w:r>
      <w:proofErr w:type="spellStart"/>
      <w:r>
        <w:t>Niewyk</w:t>
      </w:r>
      <w:proofErr w:type="spellEnd"/>
      <w:r>
        <w:t xml:space="preserve"> and Francis Nicosia, </w:t>
      </w:r>
      <w:r>
        <w:rPr>
          <w:i/>
          <w:iCs/>
        </w:rPr>
        <w:t xml:space="preserve">The Columbia Guide to the Holocaust </w:t>
      </w:r>
      <w:r>
        <w:t>(New York, 2000), pp. 53-82.</w:t>
      </w:r>
    </w:p>
    <w:p w14:paraId="39267F41" w14:textId="70B9B027" w:rsidR="003B6D43" w:rsidRDefault="003B6D43" w:rsidP="003B6D43">
      <w:pPr>
        <w:pStyle w:val="Heading2"/>
      </w:pPr>
      <w:r>
        <w:t>Week 5: Ordinary Killers? Holocaust Perpetrators</w:t>
      </w:r>
    </w:p>
    <w:p w14:paraId="2D4D23D6" w14:textId="6A68E559" w:rsidR="003B6D43" w:rsidRDefault="003B6D43" w:rsidP="003B6D43">
      <w:r>
        <w:t>We will now turn from examining the mechanisms, ideologies, power structures and decision-making processes that underpin genocides, to the thorny issue of genocide perpetration. This class will examine the motivations of individual killers, exploring the question of what turns ordinary people into genocidal murderers?</w:t>
      </w:r>
    </w:p>
    <w:p w14:paraId="2FEFBD7A" w14:textId="6D5EBA06" w:rsidR="003B6D43" w:rsidRDefault="003B6D43" w:rsidP="003B6D43">
      <w:pPr>
        <w:pStyle w:val="Heading3"/>
      </w:pPr>
      <w:r>
        <w:t>Asynchronous task for assignment preparation:</w:t>
      </w:r>
    </w:p>
    <w:p w14:paraId="1085E163" w14:textId="7A8CFBBD" w:rsidR="003B6D43" w:rsidRDefault="003B6D43" w:rsidP="003B6D43">
      <w:pPr>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Pick a primary source. Share as much information about it as you can find. Who is the author? When was it created (during or after the event)? What is the format/material of the primary sources? Where is it stored/how did you access it? Was it edited/altered? Was it translated?</w:t>
      </w:r>
    </w:p>
    <w:p w14:paraId="27D14E34" w14:textId="2A2BF3C1" w:rsidR="003B6D43" w:rsidRDefault="003B6D43" w:rsidP="003B6D43">
      <w:pPr>
        <w:pStyle w:val="Heading3"/>
      </w:pPr>
      <w:r>
        <w:lastRenderedPageBreak/>
        <w:t>Seminar reading</w:t>
      </w:r>
    </w:p>
    <w:p w14:paraId="07C1471C" w14:textId="5DFBE0A7" w:rsidR="003B6D43" w:rsidRPr="003B6D43" w:rsidRDefault="003B6D43" w:rsidP="003B6D43">
      <w:r>
        <w:t xml:space="preserve">Christopher R. Browning, </w:t>
      </w:r>
      <w:r>
        <w:rPr>
          <w:i/>
          <w:iCs/>
        </w:rPr>
        <w:t xml:space="preserve">Ordinary Men: Reserve Police Battalion 101 and the Final Solution in Poland </w:t>
      </w:r>
      <w:r>
        <w:t xml:space="preserve">(New York, 1992), </w:t>
      </w:r>
    </w:p>
    <w:p w14:paraId="0329ABAB" w14:textId="63060C3A" w:rsidR="003B6D43" w:rsidRDefault="003B6D43" w:rsidP="003B6D43">
      <w:r>
        <w:t xml:space="preserve">Tom Lawson, </w:t>
      </w:r>
      <w:r>
        <w:rPr>
          <w:i/>
          <w:iCs/>
        </w:rPr>
        <w:t xml:space="preserve">Debates on the Holocaust </w:t>
      </w:r>
      <w:r>
        <w:t>(Manchester, 2010), Chapter 6.</w:t>
      </w:r>
    </w:p>
    <w:p w14:paraId="4EE3ACC6" w14:textId="36B50D5C" w:rsidR="003B6D43" w:rsidRPr="003B6D43" w:rsidRDefault="003B6D43" w:rsidP="003B6D43">
      <w:pPr>
        <w:pStyle w:val="Heading3"/>
      </w:pPr>
      <w:r>
        <w:t>Further reading</w:t>
      </w:r>
    </w:p>
    <w:p w14:paraId="4625A214" w14:textId="77777777" w:rsidR="003B6D43" w:rsidRDefault="003B6D43" w:rsidP="003B6D43">
      <w:r w:rsidRPr="003B6D43">
        <w:t xml:space="preserve">Natalia </w:t>
      </w:r>
      <w:proofErr w:type="spellStart"/>
      <w:r w:rsidRPr="003B6D43">
        <w:t>Aleksiun</w:t>
      </w:r>
      <w:proofErr w:type="spellEnd"/>
      <w:r w:rsidRPr="003B6D43">
        <w:t>, ‘On Humanizing Victims a</w:t>
      </w:r>
      <w:r>
        <w:t xml:space="preserve">nd Perpetrators of the Holocaust in Eastern Europe’, </w:t>
      </w:r>
      <w:r>
        <w:rPr>
          <w:i/>
          <w:iCs/>
        </w:rPr>
        <w:t xml:space="preserve">Journal of Genocide Research, </w:t>
      </w:r>
      <w:r>
        <w:t xml:space="preserve">20:4 (2018), </w:t>
      </w:r>
    </w:p>
    <w:p w14:paraId="3D837DFC" w14:textId="2AF5A67A" w:rsidR="003B6D43" w:rsidRDefault="003B6D43" w:rsidP="003B6D43">
      <w:r w:rsidRPr="003B6D43">
        <w:t xml:space="preserve">Omer Bartov, </w:t>
      </w:r>
      <w:r w:rsidRPr="003B6D43">
        <w:rPr>
          <w:i/>
          <w:iCs/>
        </w:rPr>
        <w:t>Germany’s War and th</w:t>
      </w:r>
      <w:r>
        <w:rPr>
          <w:i/>
          <w:iCs/>
        </w:rPr>
        <w:t xml:space="preserve">e Holocaust: Disputed Histories </w:t>
      </w:r>
      <w:r>
        <w:t>(2003), Chapter 6.</w:t>
      </w:r>
    </w:p>
    <w:p w14:paraId="76E5D591" w14:textId="5E9E2857" w:rsidR="003B6D43" w:rsidRDefault="003B6D43" w:rsidP="003B6D43">
      <w:r>
        <w:t xml:space="preserve">Donald Bloxham, </w:t>
      </w:r>
      <w:r>
        <w:rPr>
          <w:i/>
          <w:iCs/>
        </w:rPr>
        <w:t xml:space="preserve">The Final Solution: A Genocide </w:t>
      </w:r>
      <w:r>
        <w:t>(Oxford, 2009), Chapter 7.</w:t>
      </w:r>
    </w:p>
    <w:p w14:paraId="354813E9" w14:textId="71A923F4" w:rsidR="003B6D43" w:rsidRDefault="003B6D43" w:rsidP="003B6D43">
      <w:r>
        <w:t xml:space="preserve">Christopher R. Browning, ‘Problem Solvers’ in Peter Hayes and John K. Roth (eds.), </w:t>
      </w:r>
      <w:r w:rsidRPr="003B6D43">
        <w:t xml:space="preserve"> </w:t>
      </w:r>
      <w:r w:rsidRPr="003B6D43">
        <w:rPr>
          <w:i/>
          <w:iCs/>
        </w:rPr>
        <w:t>The</w:t>
      </w:r>
      <w:r>
        <w:rPr>
          <w:i/>
          <w:iCs/>
        </w:rPr>
        <w:t xml:space="preserve"> Oxford Handbook of Holocaust Studies </w:t>
      </w:r>
      <w:r>
        <w:t>(Oxford, 2010), pp. 128-141.</w:t>
      </w:r>
    </w:p>
    <w:p w14:paraId="5C3EA34E" w14:textId="7981A2C8" w:rsidR="0026160A" w:rsidRDefault="0026160A" w:rsidP="0026160A">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1</w:t>
      </w:r>
      <w:r w:rsidR="001352FB">
        <w:t>0.</w:t>
      </w:r>
    </w:p>
    <w:p w14:paraId="75A0BD8D" w14:textId="42ECBEB4" w:rsidR="003B6D43" w:rsidRDefault="003B6D43" w:rsidP="003B6D43">
      <w:r w:rsidRPr="003B6D43">
        <w:t>Paul A. Levine, ‘On-Lookers’ i</w:t>
      </w:r>
      <w:r>
        <w:t xml:space="preserve">n Peter Hayes and John K. Roth (eds.), </w:t>
      </w:r>
      <w:r w:rsidRPr="003B6D43">
        <w:t xml:space="preserve"> </w:t>
      </w:r>
      <w:r w:rsidRPr="003B6D43">
        <w:rPr>
          <w:i/>
          <w:iCs/>
        </w:rPr>
        <w:t>The</w:t>
      </w:r>
      <w:r>
        <w:rPr>
          <w:i/>
          <w:iCs/>
        </w:rPr>
        <w:t xml:space="preserve"> Oxford Handbook of Holocaust Studies </w:t>
      </w:r>
      <w:r>
        <w:t>(Oxford, 2010), 156-169.</w:t>
      </w:r>
    </w:p>
    <w:p w14:paraId="5A06C593" w14:textId="6E794465" w:rsidR="00FC2CCA" w:rsidRPr="003E1128" w:rsidRDefault="00FC2CCA" w:rsidP="003B6D43">
      <w:r>
        <w:t>Michael Mann, ‘Were the Perpetrators of Genocide “Ordinary Men” or “Real Nazis”? Results from Fifteen Hundred Biographies</w:t>
      </w:r>
      <w:r w:rsidR="003E1128">
        <w:t xml:space="preserve">’, </w:t>
      </w:r>
      <w:r w:rsidR="003E1128">
        <w:rPr>
          <w:i/>
          <w:iCs/>
        </w:rPr>
        <w:t xml:space="preserve">Holocaust and Genocide Studies </w:t>
      </w:r>
      <w:r w:rsidR="003E1128">
        <w:t>14:3 (2000), 331-366.</w:t>
      </w:r>
    </w:p>
    <w:p w14:paraId="6982FF09" w14:textId="3076611B" w:rsidR="003B6D43" w:rsidRDefault="003B6D43" w:rsidP="003B6D43">
      <w:r>
        <w:t xml:space="preserve">Donald </w:t>
      </w:r>
      <w:proofErr w:type="spellStart"/>
      <w:r>
        <w:t>Niewyk</w:t>
      </w:r>
      <w:proofErr w:type="spellEnd"/>
      <w:r>
        <w:t xml:space="preserve"> and Francis Nicosia, </w:t>
      </w:r>
      <w:r>
        <w:rPr>
          <w:i/>
          <w:iCs/>
        </w:rPr>
        <w:t xml:space="preserve">The Columbia Guide to the Holocaust </w:t>
      </w:r>
      <w:r>
        <w:t>(New York, 2000), pp. 83-96.</w:t>
      </w:r>
    </w:p>
    <w:p w14:paraId="02CF7C49" w14:textId="7162EE2A" w:rsidR="00E24B50" w:rsidRPr="00E24B50" w:rsidRDefault="00E24B50" w:rsidP="003B6D43">
      <w:r w:rsidRPr="00E24B50">
        <w:t xml:space="preserve">Richard Rechtman, </w:t>
      </w:r>
      <w:r w:rsidRPr="00E24B50">
        <w:rPr>
          <w:i/>
          <w:iCs/>
        </w:rPr>
        <w:t>Living in Deat</w:t>
      </w:r>
      <w:r>
        <w:rPr>
          <w:i/>
          <w:iCs/>
        </w:rPr>
        <w:t xml:space="preserve">h: Genocide and its Functionaries </w:t>
      </w:r>
      <w:r>
        <w:t>(Fordham University Press, 2021).</w:t>
      </w:r>
    </w:p>
    <w:p w14:paraId="15D6C99A" w14:textId="77777777" w:rsidR="003B6D43" w:rsidRDefault="003B6D43" w:rsidP="003B6D43">
      <w:r>
        <w:t xml:space="preserve">Mark Roseman, ‘The Lives of Others – Amid the Deaths of Others: Biographical Approaches to Nazi Perpetrators’, </w:t>
      </w:r>
      <w:r>
        <w:rPr>
          <w:i/>
          <w:iCs/>
        </w:rPr>
        <w:t xml:space="preserve">Journal of Genocide Research, </w:t>
      </w:r>
      <w:r>
        <w:t>15:4 (2013), 443-461.</w:t>
      </w:r>
    </w:p>
    <w:p w14:paraId="0F2D6DB4" w14:textId="2C18C609" w:rsidR="00E83769" w:rsidRDefault="00E83769" w:rsidP="00E83769">
      <w:r>
        <w:t xml:space="preserve">Ervin Staub, ‘The Psychology of Bystanders, Perpetrators, and Heroic Helpers’ in Jennifer Heath and Ashraf Zahedi (eds.), </w:t>
      </w:r>
      <w:r>
        <w:rPr>
          <w:i/>
          <w:iCs/>
        </w:rPr>
        <w:t xml:space="preserve">Book of the Disappeared: The Quest for Transnational Justice </w:t>
      </w:r>
      <w:r>
        <w:t>(University of Michigan Press, 2023), pp. 306-326.</w:t>
      </w:r>
    </w:p>
    <w:p w14:paraId="0E9CD8F7" w14:textId="6F3F49B3" w:rsidR="003B6D43" w:rsidRDefault="003B6D43" w:rsidP="003B6D43">
      <w:r>
        <w:t xml:space="preserve">Edward B. Westermann, ‘Killers’ in Peter Hayes and John K. Roth (eds.), </w:t>
      </w:r>
      <w:r w:rsidRPr="003B6D43">
        <w:t xml:space="preserve"> </w:t>
      </w:r>
      <w:r w:rsidRPr="003B6D43">
        <w:rPr>
          <w:i/>
          <w:iCs/>
        </w:rPr>
        <w:t>The</w:t>
      </w:r>
      <w:r>
        <w:rPr>
          <w:i/>
          <w:iCs/>
        </w:rPr>
        <w:t xml:space="preserve"> Oxford Handbook of Holocaust Studies </w:t>
      </w:r>
      <w:r>
        <w:t>(Oxford, 2010), p. 141-155.</w:t>
      </w:r>
    </w:p>
    <w:p w14:paraId="01AB0174" w14:textId="77777777" w:rsidR="003B6D43" w:rsidRDefault="003B6D43" w:rsidP="003B6D43"/>
    <w:p w14:paraId="35AB7692" w14:textId="132031D2" w:rsidR="003B6D43" w:rsidRDefault="003B6D43" w:rsidP="003B6D43">
      <w:pPr>
        <w:pStyle w:val="Heading2"/>
      </w:pPr>
      <w:r>
        <w:lastRenderedPageBreak/>
        <w:t>Week 6: Holocaust Remembrance and Denial</w:t>
      </w:r>
    </w:p>
    <w:p w14:paraId="232634FF" w14:textId="77777777" w:rsidR="003B6D43" w:rsidRDefault="003B6D43" w:rsidP="003B6D43">
      <w:r>
        <w:t>Dan Stone, one of the leading historians of the Holocaust, refers to it as an ‘unfinished history’. The legacies of the Holocaust have reverberated across Europe, and the world, since the end of the Second World War. This seminar will examine the uses of Holocaust memory and its political meanings. It will also examine the politics of genocide denial.</w:t>
      </w:r>
    </w:p>
    <w:p w14:paraId="77B4DF2C" w14:textId="77777777" w:rsidR="003B6D43" w:rsidRDefault="003B6D43" w:rsidP="003B6D43">
      <w:r>
        <w:t>Key questions for our seminar:</w:t>
      </w:r>
    </w:p>
    <w:p w14:paraId="2AC63728" w14:textId="40FE0876" w:rsidR="003B6D43" w:rsidRDefault="003B6D43" w:rsidP="002D7BA2">
      <w:pPr>
        <w:pStyle w:val="ListParagraph"/>
        <w:numPr>
          <w:ilvl w:val="0"/>
          <w:numId w:val="4"/>
        </w:numPr>
      </w:pPr>
      <w:r>
        <w:t xml:space="preserve">Do we still (need to) remember the Holocaust today? </w:t>
      </w:r>
    </w:p>
    <w:p w14:paraId="61D17471" w14:textId="6C7DFFE2" w:rsidR="003B6D43" w:rsidRDefault="003B6D43" w:rsidP="002D7BA2">
      <w:pPr>
        <w:pStyle w:val="ListParagraph"/>
        <w:numPr>
          <w:ilvl w:val="0"/>
          <w:numId w:val="4"/>
        </w:numPr>
      </w:pPr>
      <w:r>
        <w:t>How has the memory of the Holocaust been maintained and used since the Second World War?</w:t>
      </w:r>
    </w:p>
    <w:p w14:paraId="65715D03" w14:textId="1C384380" w:rsidR="003B6D43" w:rsidRDefault="003B6D43" w:rsidP="002D7BA2">
      <w:pPr>
        <w:pStyle w:val="ListParagraph"/>
        <w:numPr>
          <w:ilvl w:val="0"/>
          <w:numId w:val="4"/>
        </w:numPr>
      </w:pPr>
      <w:r>
        <w:t xml:space="preserve">Why do some people deny that the Holocaust happened? </w:t>
      </w:r>
    </w:p>
    <w:p w14:paraId="5F692525" w14:textId="0522E754" w:rsidR="003B6D43" w:rsidRDefault="003B6D43" w:rsidP="002D7BA2">
      <w:pPr>
        <w:pStyle w:val="ListParagraph"/>
        <w:numPr>
          <w:ilvl w:val="0"/>
          <w:numId w:val="4"/>
        </w:numPr>
      </w:pPr>
      <w:r>
        <w:t>What are the dangers of the misuses of history?</w:t>
      </w:r>
    </w:p>
    <w:p w14:paraId="4A3C86EF" w14:textId="628B31E5" w:rsidR="003B6D43" w:rsidRPr="007036D9" w:rsidRDefault="003B6D43" w:rsidP="003B6D43">
      <w:pPr>
        <w:pStyle w:val="Heading3"/>
      </w:pPr>
      <w:r w:rsidRPr="007036D9">
        <w:t>Seminar Reading</w:t>
      </w:r>
    </w:p>
    <w:p w14:paraId="3F9E2985" w14:textId="0DD7C384" w:rsidR="003B6D43" w:rsidRDefault="003B6D43" w:rsidP="003B6D43">
      <w:r w:rsidRPr="003B6D43">
        <w:t xml:space="preserve">Janek </w:t>
      </w:r>
      <w:proofErr w:type="spellStart"/>
      <w:r w:rsidRPr="003B6D43">
        <w:t>Gryta</w:t>
      </w:r>
      <w:proofErr w:type="spellEnd"/>
      <w:r w:rsidRPr="003B6D43">
        <w:t>, ‘Generational Succession, Culture, and Pol</w:t>
      </w:r>
      <w:r>
        <w:t xml:space="preserve">itics: The Shaping of Euro-Atlantic Sites of Memory’, </w:t>
      </w:r>
      <w:r>
        <w:rPr>
          <w:i/>
          <w:iCs/>
        </w:rPr>
        <w:t xml:space="preserve">Memory Studies </w:t>
      </w:r>
      <w:r>
        <w:t>13:6 (2019), 988-1003.</w:t>
      </w:r>
    </w:p>
    <w:p w14:paraId="3EB2795B" w14:textId="779A6561" w:rsidR="003B6D43" w:rsidRDefault="003B6D43" w:rsidP="003B6D43">
      <w:r w:rsidRPr="003B6D43">
        <w:t>Deborah Lipstadt, ‘Denial’ in</w:t>
      </w:r>
      <w:r>
        <w:t xml:space="preserve"> Peter Hayes and John K. Roth (eds.), </w:t>
      </w:r>
      <w:r w:rsidRPr="003B6D43">
        <w:t xml:space="preserve"> </w:t>
      </w:r>
      <w:r w:rsidRPr="003B6D43">
        <w:rPr>
          <w:i/>
          <w:iCs/>
        </w:rPr>
        <w:t>The</w:t>
      </w:r>
      <w:r>
        <w:rPr>
          <w:i/>
          <w:iCs/>
        </w:rPr>
        <w:t xml:space="preserve"> Oxford Handbook of Holocaust Studies </w:t>
      </w:r>
      <w:r>
        <w:t>(Oxford, 2010), pp. 560-574.</w:t>
      </w:r>
    </w:p>
    <w:p w14:paraId="3A7BA5B6" w14:textId="119F7633" w:rsidR="003B6D43" w:rsidRDefault="003B6D43" w:rsidP="003B6D43">
      <w:pPr>
        <w:pStyle w:val="Heading3"/>
      </w:pPr>
      <w:r>
        <w:t>Further Reading</w:t>
      </w:r>
    </w:p>
    <w:p w14:paraId="2157C55E" w14:textId="77777777" w:rsidR="004361C8" w:rsidRDefault="004361C8" w:rsidP="003B6D43">
      <w:r>
        <w:t xml:space="preserve">Gilbert Achcar, ‘Assessing Holocaust Denial in Western and Arab Contexts’, </w:t>
      </w:r>
      <w:r>
        <w:rPr>
          <w:i/>
          <w:iCs/>
        </w:rPr>
        <w:t xml:space="preserve">Journal of Palestine Studies </w:t>
      </w:r>
      <w:r>
        <w:t>41:1 (2011), 82-95.</w:t>
      </w:r>
    </w:p>
    <w:p w14:paraId="6E603B76" w14:textId="5ABECD62" w:rsidR="00B56E86" w:rsidRPr="00B56E86" w:rsidRDefault="00B56E86" w:rsidP="003B6D43">
      <w:r>
        <w:t xml:space="preserve">Rebecca Clifford, </w:t>
      </w:r>
      <w:r>
        <w:rPr>
          <w:i/>
          <w:iCs/>
        </w:rPr>
        <w:t xml:space="preserve">Commemorating the Holocaust: The Dilemmas of Remembrance in France and Italy </w:t>
      </w:r>
      <w:r>
        <w:t>(Oxford University Press, 2013).</w:t>
      </w:r>
    </w:p>
    <w:p w14:paraId="16D134E2" w14:textId="5B212365" w:rsidR="003B6D43" w:rsidRDefault="003B6D43" w:rsidP="003B6D43">
      <w:r>
        <w:t xml:space="preserve">Manfred Gerstenfeld, ‘The Multiple Distortions of Holocaust Memory’, </w:t>
      </w:r>
      <w:r>
        <w:rPr>
          <w:i/>
          <w:iCs/>
        </w:rPr>
        <w:t xml:space="preserve">Jewish Political Studies Review </w:t>
      </w:r>
      <w:r>
        <w:t>19:3 (2007), 35-55.</w:t>
      </w:r>
    </w:p>
    <w:p w14:paraId="7C8674C7" w14:textId="41678A4A" w:rsidR="00F101A8" w:rsidRDefault="00F101A8" w:rsidP="00F101A8">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14.</w:t>
      </w:r>
    </w:p>
    <w:p w14:paraId="2A69BEF2" w14:textId="2A234252" w:rsidR="005F2D1E" w:rsidRDefault="005F2D1E" w:rsidP="005F2D1E">
      <w:r>
        <w:t xml:space="preserve">Eva Kovacs, ‘Limits of Universalization: The European Memory Sites of Genocide’, </w:t>
      </w:r>
      <w:r>
        <w:rPr>
          <w:i/>
          <w:iCs/>
        </w:rPr>
        <w:t xml:space="preserve">Journal of Genocide Research </w:t>
      </w:r>
      <w:r>
        <w:t>20:4 (2018), 490-509.</w:t>
      </w:r>
    </w:p>
    <w:p w14:paraId="1614F1C4" w14:textId="347F43C8" w:rsidR="00000E70" w:rsidRDefault="00000E70" w:rsidP="00000E70">
      <w:proofErr w:type="spellStart"/>
      <w:r>
        <w:t>Uli</w:t>
      </w:r>
      <w:proofErr w:type="spellEnd"/>
      <w:r>
        <w:t xml:space="preserve"> Linke, ‘Archives of Violence: The Holocaust and the German Politics of Memory’, in Alexander Laban Hinton (ed.), </w:t>
      </w:r>
      <w:r>
        <w:rPr>
          <w:i/>
          <w:iCs/>
        </w:rPr>
        <w:t xml:space="preserve">Annihilating Difference: The Anthropology of Genocide </w:t>
      </w:r>
      <w:r>
        <w:t>(University of California Press, 2002), pp. 229-271.</w:t>
      </w:r>
    </w:p>
    <w:p w14:paraId="2B2173FA" w14:textId="04EF5D8F" w:rsidR="00F453DD" w:rsidRDefault="00F453DD" w:rsidP="005F2D1E">
      <w:r w:rsidRPr="00F453DD">
        <w:t>Deborah Lipstadt, ‘Holocaust Denial: An Antisemitic Fant</w:t>
      </w:r>
      <w:r>
        <w:t xml:space="preserve">asy’, </w:t>
      </w:r>
      <w:r>
        <w:rPr>
          <w:i/>
          <w:iCs/>
        </w:rPr>
        <w:t xml:space="preserve">Modern Judaism </w:t>
      </w:r>
      <w:r>
        <w:t>40:1 (2020), pp. 71-86.</w:t>
      </w:r>
    </w:p>
    <w:p w14:paraId="0FE9E189" w14:textId="38A54C7B" w:rsidR="000772CA" w:rsidRDefault="000772CA" w:rsidP="005F2D1E">
      <w:r w:rsidRPr="000772CA">
        <w:lastRenderedPageBreak/>
        <w:t xml:space="preserve">Robert Jan van Pelt, </w:t>
      </w:r>
      <w:r w:rsidRPr="000772CA">
        <w:rPr>
          <w:i/>
          <w:iCs/>
        </w:rPr>
        <w:t>The Case</w:t>
      </w:r>
      <w:r>
        <w:rPr>
          <w:i/>
          <w:iCs/>
        </w:rPr>
        <w:t xml:space="preserve"> for Auschwitz: Evidence from the Irving Trial </w:t>
      </w:r>
      <w:r>
        <w:t>(Indiana University Press, 2016).</w:t>
      </w:r>
    </w:p>
    <w:p w14:paraId="1074C3AA" w14:textId="561C5512" w:rsidR="00374D4D" w:rsidRDefault="00374D4D" w:rsidP="005F2D1E">
      <w:r>
        <w:t xml:space="preserve">Michael Shermer and Alex Grobman (eds.), </w:t>
      </w:r>
      <w:r>
        <w:rPr>
          <w:i/>
          <w:iCs/>
        </w:rPr>
        <w:t xml:space="preserve">Denying History: Who Says the Holocaust Never Happened and Why Do They Say It? </w:t>
      </w:r>
      <w:r>
        <w:t>(University of California Press, 2009).</w:t>
      </w:r>
    </w:p>
    <w:p w14:paraId="293C8917" w14:textId="13C8C66E" w:rsidR="004F4C93" w:rsidRPr="00374D4D" w:rsidRDefault="004F4C93" w:rsidP="005F2D1E">
      <w:r>
        <w:t xml:space="preserve">Amy Sodaro, </w:t>
      </w:r>
      <w:r w:rsidRPr="00157730">
        <w:rPr>
          <w:i/>
          <w:iCs/>
        </w:rPr>
        <w:t>Exhibiting Atrocity: Memorial Museums and the Politics of Past Violence</w:t>
      </w:r>
      <w:r w:rsidR="00157730">
        <w:t xml:space="preserve"> (Rutgers University Press, 2018), Chapter 1&amp;2.</w:t>
      </w:r>
    </w:p>
    <w:p w14:paraId="1064477B" w14:textId="58C9FAE0" w:rsidR="003B6D43" w:rsidRPr="003B6D43" w:rsidRDefault="003B6D43" w:rsidP="003B6D43">
      <w:r w:rsidRPr="003B6D43">
        <w:t xml:space="preserve">Robert S. Wistrich, </w:t>
      </w:r>
      <w:r w:rsidRPr="003B6D43">
        <w:rPr>
          <w:i/>
          <w:iCs/>
        </w:rPr>
        <w:t>Holocaust Denial: The Politic</w:t>
      </w:r>
      <w:r>
        <w:rPr>
          <w:i/>
          <w:iCs/>
        </w:rPr>
        <w:t xml:space="preserve">s of Perfidy </w:t>
      </w:r>
      <w:r>
        <w:t>(De Gruyter, 2012).</w:t>
      </w:r>
    </w:p>
    <w:p w14:paraId="12C0FFCB" w14:textId="32C6FC7E" w:rsidR="003B6D43" w:rsidRDefault="003B6D43" w:rsidP="003B6D43">
      <w:r>
        <w:t xml:space="preserve">James E. Young, ‘Memorials and Museums’ in Peter Hayes and John K. Roth (eds.), </w:t>
      </w:r>
      <w:r w:rsidRPr="003B6D43">
        <w:t xml:space="preserve"> </w:t>
      </w:r>
      <w:r w:rsidRPr="003B6D43">
        <w:rPr>
          <w:i/>
          <w:iCs/>
        </w:rPr>
        <w:t>The</w:t>
      </w:r>
      <w:r>
        <w:rPr>
          <w:i/>
          <w:iCs/>
        </w:rPr>
        <w:t xml:space="preserve"> Oxford Handbook of Holocaust Studies </w:t>
      </w:r>
      <w:r>
        <w:t>(Oxford, 2010), pp. 590-506.</w:t>
      </w:r>
    </w:p>
    <w:p w14:paraId="75AE655B" w14:textId="05491CE8" w:rsidR="00F36E4A" w:rsidRPr="00F36E4A" w:rsidRDefault="00F36E4A" w:rsidP="003B6D43">
      <w:r>
        <w:t xml:space="preserve">James E. Young (ed.), </w:t>
      </w:r>
      <w:r>
        <w:rPr>
          <w:i/>
          <w:iCs/>
        </w:rPr>
        <w:t xml:space="preserve">The Art of Memory: Holocaust Memorials in History </w:t>
      </w:r>
      <w:r>
        <w:t>(Prestel, 1994</w:t>
      </w:r>
    </w:p>
    <w:p w14:paraId="7065624B" w14:textId="77777777" w:rsidR="003B6D43" w:rsidRPr="003B6D43" w:rsidRDefault="003B6D43" w:rsidP="003B6D43"/>
    <w:p w14:paraId="32317DAC" w14:textId="6F328057" w:rsidR="003B6D43" w:rsidRDefault="003B6D43" w:rsidP="003B6D43">
      <w:pPr>
        <w:pStyle w:val="Heading2"/>
      </w:pPr>
      <w:r>
        <w:t>Week 7: Stalin’s Genocide: The Holodomor</w:t>
      </w:r>
    </w:p>
    <w:p w14:paraId="7664A06D" w14:textId="77777777" w:rsidR="0058137A" w:rsidRPr="0058137A" w:rsidRDefault="0058137A" w:rsidP="0058137A">
      <w:p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58137A">
        <w:rPr>
          <w:rFonts w:ascii="Segoe UI" w:eastAsia="Times New Roman" w:hAnsi="Segoe UI" w:cs="Segoe UI"/>
          <w:color w:val="1D2125"/>
          <w:kern w:val="0"/>
          <w:sz w:val="23"/>
          <w:szCs w:val="23"/>
          <w14:ligatures w14:val="none"/>
        </w:rPr>
        <w:t>The Holodomor, or Ukrainian Famine, of 1932-1933 resulted in the loss of millions of Ukrainian lives. Whilst historians largely agree that the causes of the famine were man-made, contentious debates over its motivations continue.</w:t>
      </w:r>
    </w:p>
    <w:p w14:paraId="0D6B7AC0" w14:textId="77777777" w:rsidR="0058137A" w:rsidRPr="0058137A" w:rsidRDefault="0058137A" w:rsidP="0058137A">
      <w:p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58137A">
        <w:rPr>
          <w:rFonts w:ascii="Segoe UI" w:eastAsia="Times New Roman" w:hAnsi="Segoe UI" w:cs="Segoe UI"/>
          <w:color w:val="1D2125"/>
          <w:kern w:val="0"/>
          <w:sz w:val="23"/>
          <w:szCs w:val="23"/>
          <w14:ligatures w14:val="none"/>
        </w:rPr>
        <w:t>Key questions for our seminar:</w:t>
      </w:r>
    </w:p>
    <w:p w14:paraId="6F50C2AE" w14:textId="77777777" w:rsidR="0058137A" w:rsidRPr="0058137A" w:rsidRDefault="0058137A" w:rsidP="0058137A">
      <w:pPr>
        <w:numPr>
          <w:ilvl w:val="0"/>
          <w:numId w:val="9"/>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58137A">
        <w:rPr>
          <w:rFonts w:ascii="Segoe UI" w:eastAsia="Times New Roman" w:hAnsi="Segoe UI" w:cs="Segoe UI"/>
          <w:color w:val="1D2125"/>
          <w:kern w:val="0"/>
          <w:sz w:val="23"/>
          <w:szCs w:val="23"/>
          <w14:ligatures w14:val="none"/>
        </w:rPr>
        <w:t>Did the Holodomor constitute a genocide?</w:t>
      </w:r>
    </w:p>
    <w:p w14:paraId="0849907D" w14:textId="77777777" w:rsidR="0058137A" w:rsidRPr="0058137A" w:rsidRDefault="0058137A" w:rsidP="0058137A">
      <w:pPr>
        <w:numPr>
          <w:ilvl w:val="0"/>
          <w:numId w:val="9"/>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58137A">
        <w:rPr>
          <w:rFonts w:ascii="Segoe UI" w:eastAsia="Times New Roman" w:hAnsi="Segoe UI" w:cs="Segoe UI"/>
          <w:color w:val="1D2125"/>
          <w:kern w:val="0"/>
          <w:sz w:val="23"/>
          <w:szCs w:val="23"/>
          <w14:ligatures w14:val="none"/>
        </w:rPr>
        <w:t>Was it a deliberate action perpetrated by Stalin to crush Ukrainian resistance, or a by-product of the Soviet policy of collectivisation of agriculture? Or something in-between?</w:t>
      </w:r>
    </w:p>
    <w:p w14:paraId="3237741E" w14:textId="13ACC0A8" w:rsidR="003B6D43" w:rsidRPr="003B6D43" w:rsidRDefault="003B6D43" w:rsidP="003B6D43">
      <w:pPr>
        <w:pStyle w:val="Heading3"/>
      </w:pPr>
      <w:r>
        <w:t>Seminar reading</w:t>
      </w:r>
    </w:p>
    <w:p w14:paraId="340C781F" w14:textId="00C3F3D0" w:rsidR="003B6D43" w:rsidRDefault="003B6D43" w:rsidP="003B6D43">
      <w:r>
        <w:t xml:space="preserve">Timothy Snyder, </w:t>
      </w:r>
      <w:r>
        <w:rPr>
          <w:i/>
          <w:iCs/>
        </w:rPr>
        <w:t xml:space="preserve">Bloodlands: Europe Between Hitler and Stalin </w:t>
      </w:r>
      <w:r>
        <w:t>(Basic Books, 2010), Chapter 1 ‘The Soviet Famines’.</w:t>
      </w:r>
    </w:p>
    <w:p w14:paraId="5BD19744" w14:textId="77777777" w:rsidR="00B30F4C" w:rsidRDefault="00B30F4C" w:rsidP="00B30F4C">
      <w:r>
        <w:t xml:space="preserve">Y. Bilinsky, ‘Was the Ukrainian Famine of 1932-1933 Genocide? </w:t>
      </w:r>
      <w:r>
        <w:rPr>
          <w:i/>
          <w:iCs/>
        </w:rPr>
        <w:t xml:space="preserve">Journal of Genocide Research </w:t>
      </w:r>
      <w:r>
        <w:t>1:2 (1999).</w:t>
      </w:r>
    </w:p>
    <w:p w14:paraId="71844701" w14:textId="696C2C95" w:rsidR="00DC66E2" w:rsidRDefault="00DC66E2" w:rsidP="003B6D43">
      <w:pPr>
        <w:pStyle w:val="Heading3"/>
      </w:pPr>
      <w:r w:rsidRPr="003B6D43">
        <w:t> </w:t>
      </w:r>
      <w:r w:rsidR="003B6D43">
        <w:t>Further reading</w:t>
      </w:r>
    </w:p>
    <w:p w14:paraId="08A64DFB" w14:textId="20D6B88B" w:rsidR="00A85C75" w:rsidRDefault="00B30717" w:rsidP="00A85C75">
      <w:r>
        <w:t xml:space="preserve">Nicolas Dreyer, ‘Genocide, Holodomor and Holocaust Discourse as Echo of Historical Injury and as Rhetorical Radicalization in the Russian-Ukrainian Conflict of 2013-18’, </w:t>
      </w:r>
      <w:r>
        <w:rPr>
          <w:i/>
          <w:iCs/>
        </w:rPr>
        <w:t xml:space="preserve">Journal of Genocide Research, </w:t>
      </w:r>
      <w:r>
        <w:t>20:4 (2018), 545-564.</w:t>
      </w:r>
    </w:p>
    <w:p w14:paraId="0DC26DA8" w14:textId="7913506D" w:rsidR="00A85C75" w:rsidRPr="00A85C75" w:rsidRDefault="00A85C75" w:rsidP="00A85C75">
      <w:r>
        <w:t xml:space="preserve">R. W. Davies and Stephen G. Wheatcroft, ‘Stalin and the Soviet Famine of 1932-33: A Reply to Ellman’, </w:t>
      </w:r>
      <w:r>
        <w:rPr>
          <w:i/>
          <w:iCs/>
        </w:rPr>
        <w:t xml:space="preserve">Europe-Asia Studies </w:t>
      </w:r>
      <w:r>
        <w:t>58:4 (2006), 625-633.</w:t>
      </w:r>
    </w:p>
    <w:p w14:paraId="71B50465" w14:textId="756BB51B" w:rsidR="005F20B8" w:rsidRDefault="005F20B8" w:rsidP="00B30717">
      <w:r>
        <w:t xml:space="preserve">Michael Ellman, ‘The Role of Leadership Perceptions and of Intent in the Soviet Famine of 1931-1934’, </w:t>
      </w:r>
      <w:r>
        <w:rPr>
          <w:i/>
          <w:iCs/>
        </w:rPr>
        <w:t xml:space="preserve">Europe-Asia Studies </w:t>
      </w:r>
      <w:r>
        <w:t>57:6 (2005), 823-841.</w:t>
      </w:r>
    </w:p>
    <w:p w14:paraId="4DF985D8" w14:textId="43386AA0" w:rsidR="00A85C75" w:rsidRPr="00A85C75" w:rsidRDefault="00A85C75" w:rsidP="00B30717">
      <w:r>
        <w:lastRenderedPageBreak/>
        <w:t xml:space="preserve">Michael Ellman, ‘Stalin and the Soviet Famine of 1932-33 Revisited’, </w:t>
      </w:r>
      <w:r>
        <w:rPr>
          <w:i/>
          <w:iCs/>
        </w:rPr>
        <w:t xml:space="preserve">Europe-Asia Studies </w:t>
      </w:r>
      <w:r>
        <w:t>59:4 (2007), 663-693.</w:t>
      </w:r>
    </w:p>
    <w:p w14:paraId="5224A8E1" w14:textId="45DF7EDA" w:rsidR="001352FB" w:rsidRDefault="001352FB" w:rsidP="001352FB">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5.</w:t>
      </w:r>
    </w:p>
    <w:p w14:paraId="0DF99471" w14:textId="77777777" w:rsidR="00B30717" w:rsidRPr="00256F39" w:rsidRDefault="00B30717" w:rsidP="00B30717">
      <w:r>
        <w:t xml:space="preserve">Georgiy </w:t>
      </w:r>
      <w:proofErr w:type="spellStart"/>
      <w:r>
        <w:t>Kasianov</w:t>
      </w:r>
      <w:proofErr w:type="spellEnd"/>
      <w:r>
        <w:t xml:space="preserve">, ‘Holodomor and the Holocaust in Ukraine as Cultural Memory: Comparison, Competition, Interaction’, </w:t>
      </w:r>
      <w:r>
        <w:rPr>
          <w:i/>
          <w:iCs/>
        </w:rPr>
        <w:t xml:space="preserve">Journal of Genocide Research </w:t>
      </w:r>
      <w:r>
        <w:t>24:2 (2022), 216-227</w:t>
      </w:r>
    </w:p>
    <w:p w14:paraId="3AC0700B" w14:textId="77777777" w:rsidR="00B30717" w:rsidRDefault="00B30717" w:rsidP="00B30717">
      <w:r>
        <w:t xml:space="preserve">Oksana Kis, ‘Women’s Experience of the Holodomor: Challenges and Ambiguities of Motherhood’, </w:t>
      </w:r>
      <w:r>
        <w:rPr>
          <w:i/>
          <w:iCs/>
        </w:rPr>
        <w:t xml:space="preserve">Journal of Genocide Research </w:t>
      </w:r>
      <w:r>
        <w:t>23:4 (2021), 527-546.</w:t>
      </w:r>
    </w:p>
    <w:p w14:paraId="03972A4B" w14:textId="77777777" w:rsidR="00B30717" w:rsidRDefault="00B30717" w:rsidP="00B30717">
      <w:r>
        <w:t xml:space="preserve">Natalia </w:t>
      </w:r>
      <w:proofErr w:type="spellStart"/>
      <w:r>
        <w:t>Kuzovova</w:t>
      </w:r>
      <w:proofErr w:type="spellEnd"/>
      <w:r>
        <w:t xml:space="preserve">, ‘Childhood During the Holodomor, 1932-1933 in Ukraine (in the South of Ukraine)’, </w:t>
      </w:r>
      <w:r>
        <w:rPr>
          <w:i/>
          <w:iCs/>
        </w:rPr>
        <w:t xml:space="preserve">Journal of Family History </w:t>
      </w:r>
      <w:r>
        <w:t>47:1 (2022), 59-77.</w:t>
      </w:r>
    </w:p>
    <w:p w14:paraId="2A16F278" w14:textId="1FF1EA8F" w:rsidR="003B6D43" w:rsidRDefault="003B6D43" w:rsidP="003B6D43">
      <w:r>
        <w:t xml:space="preserve">James E. Mace, ‘Soviet Man-Made Famine in Ukraine’ in Samuel Totten and William S. Parsons (eds.), </w:t>
      </w:r>
      <w:r>
        <w:rPr>
          <w:i/>
          <w:iCs/>
        </w:rPr>
        <w:t xml:space="preserve">Century of Genocide: Critical Essays and Eyewitness Accounts, </w:t>
      </w:r>
      <w:r>
        <w:t>(New York, 2009), pp. 78-102.</w:t>
      </w:r>
    </w:p>
    <w:p w14:paraId="64465127" w14:textId="4A8B9BE1" w:rsidR="00B30717" w:rsidRDefault="00B30717" w:rsidP="00B30717">
      <w:r w:rsidRPr="003B6D43">
        <w:t xml:space="preserve">Mykola </w:t>
      </w:r>
      <w:proofErr w:type="spellStart"/>
      <w:r w:rsidRPr="003B6D43">
        <w:t>Makhortykh</w:t>
      </w:r>
      <w:proofErr w:type="spellEnd"/>
      <w:r w:rsidRPr="003B6D43">
        <w:t>, Aleksandra Urman, and Roberto Ul</w:t>
      </w:r>
      <w:r>
        <w:t xml:space="preserve">loa, ‘Memory, Counter-Memory and Denialism: How Search Engines Circulate Information About the Holodomor-Related Memory Wars’, </w:t>
      </w:r>
      <w:r>
        <w:rPr>
          <w:i/>
          <w:iCs/>
        </w:rPr>
        <w:t xml:space="preserve">Memory Studies </w:t>
      </w:r>
      <w:r>
        <w:t>15:6 (2022), 1330-1345.</w:t>
      </w:r>
    </w:p>
    <w:p w14:paraId="1CE040E2" w14:textId="6B32DD6E" w:rsidR="00BB3BBD" w:rsidRPr="00BB3BBD" w:rsidRDefault="00BB3BBD" w:rsidP="00CF4649">
      <w:r w:rsidRPr="00BB3BBD">
        <w:t xml:space="preserve">Rebekah Moore, </w:t>
      </w:r>
      <w:r w:rsidR="00CF4649">
        <w:t>‘</w:t>
      </w:r>
      <w:r w:rsidRPr="00BB3BBD">
        <w:t>“A Holocaust the</w:t>
      </w:r>
      <w:r>
        <w:t xml:space="preserve"> West Forgot”? Reflections on Genocide Narratives of the Ukrainian Holodomor’</w:t>
      </w:r>
      <w:r w:rsidR="00CF4649">
        <w:t xml:space="preserve"> in Karen Auerbach (ed.), </w:t>
      </w:r>
      <w:r w:rsidR="00CF4649">
        <w:rPr>
          <w:i/>
          <w:iCs/>
        </w:rPr>
        <w:t xml:space="preserve">Aftermath: Genocide, Memory and History </w:t>
      </w:r>
      <w:r w:rsidR="00CF4649">
        <w:t>(Monash University Publishing, 2015), pp. 48-62.</w:t>
      </w:r>
    </w:p>
    <w:p w14:paraId="504C0E08" w14:textId="660381E2" w:rsidR="003B6D43" w:rsidRDefault="003B6D43" w:rsidP="003B6D43">
      <w:r w:rsidRPr="003B6D43">
        <w:t xml:space="preserve">Norman M. Naimark, </w:t>
      </w:r>
      <w:r w:rsidRPr="003B6D43">
        <w:rPr>
          <w:i/>
          <w:iCs/>
        </w:rPr>
        <w:t xml:space="preserve">Stalin’s Genocides, </w:t>
      </w:r>
      <w:r>
        <w:t xml:space="preserve">(Princeton University Press, 2010), </w:t>
      </w:r>
      <w:r w:rsidRPr="003B6D43">
        <w:t>Chapter 4, ‘T</w:t>
      </w:r>
      <w:r>
        <w:t>he Holodomor’.</w:t>
      </w:r>
    </w:p>
    <w:p w14:paraId="43162D40" w14:textId="100EAA70" w:rsidR="003B6D43" w:rsidRDefault="003B6D43" w:rsidP="003B6D43">
      <w:r w:rsidRPr="003B6D43">
        <w:t>A. J. Motyl, ‘Deleting the</w:t>
      </w:r>
      <w:r>
        <w:t xml:space="preserve"> Holodomor’, </w:t>
      </w:r>
      <w:r>
        <w:rPr>
          <w:i/>
          <w:iCs/>
        </w:rPr>
        <w:t xml:space="preserve">World Affairs </w:t>
      </w:r>
      <w:r>
        <w:t>173:3 (2010), 25-34.</w:t>
      </w:r>
    </w:p>
    <w:p w14:paraId="540FEB90" w14:textId="1A626AC4" w:rsidR="003B6D43" w:rsidRDefault="003B6D43" w:rsidP="003B6D43">
      <w:r w:rsidRPr="003B6D43">
        <w:t>Rebekah Moore, ‘ “A Crime Agains</w:t>
      </w:r>
      <w:r>
        <w:t xml:space="preserve">t Humanity Arguably Without Parallel in European History”: Genocide and the “Politics” of Victimhood in Western Narratives of the Ukrainian </w:t>
      </w:r>
      <w:r>
        <w:rPr>
          <w:i/>
          <w:iCs/>
        </w:rPr>
        <w:t xml:space="preserve">Holodomor’, Australian Journal of Politics and History, </w:t>
      </w:r>
      <w:r>
        <w:t>58:3 (2012), 367-379.</w:t>
      </w:r>
    </w:p>
    <w:p w14:paraId="192B621D" w14:textId="505A3B05" w:rsidR="00486EEE" w:rsidRPr="00486EEE" w:rsidRDefault="00486EEE" w:rsidP="003B6D43">
      <w:r w:rsidRPr="00486EEE">
        <w:t>Dominik J. Schaller, ‘Introduction: New Per</w:t>
      </w:r>
      <w:r>
        <w:t xml:space="preserve">spectives on Soviet Mass Violence’, </w:t>
      </w:r>
      <w:r>
        <w:rPr>
          <w:i/>
          <w:iCs/>
        </w:rPr>
        <w:t xml:space="preserve">Journal of Genocide Research </w:t>
      </w:r>
      <w:r w:rsidR="008C318B">
        <w:t>11:2-3 (2009), 205-212.</w:t>
      </w:r>
    </w:p>
    <w:p w14:paraId="08C738AC" w14:textId="77777777" w:rsidR="00B30F4C" w:rsidRPr="003B6D43" w:rsidRDefault="00B30F4C" w:rsidP="00B30F4C">
      <w:r w:rsidRPr="003B6D43">
        <w:t xml:space="preserve">Benjamin A. Valentino, </w:t>
      </w:r>
      <w:r w:rsidRPr="003B6D43">
        <w:rPr>
          <w:i/>
          <w:iCs/>
        </w:rPr>
        <w:t>Final Solutions: Mass Killing and</w:t>
      </w:r>
      <w:r>
        <w:rPr>
          <w:i/>
          <w:iCs/>
        </w:rPr>
        <w:t xml:space="preserve"> Genocide in the 20</w:t>
      </w:r>
      <w:r w:rsidRPr="003B6D43">
        <w:rPr>
          <w:i/>
          <w:iCs/>
          <w:vertAlign w:val="superscript"/>
        </w:rPr>
        <w:t>th</w:t>
      </w:r>
      <w:r>
        <w:rPr>
          <w:i/>
          <w:iCs/>
        </w:rPr>
        <w:t xml:space="preserve"> Century </w:t>
      </w:r>
      <w:r>
        <w:t>(Cornell University Press, 2004), chapter 4.</w:t>
      </w:r>
    </w:p>
    <w:p w14:paraId="193C8E2F" w14:textId="22C81BAA" w:rsidR="003B6D43" w:rsidRDefault="003B6D43" w:rsidP="003B6D43">
      <w:r>
        <w:t xml:space="preserve">F. </w:t>
      </w:r>
      <w:proofErr w:type="spellStart"/>
      <w:r>
        <w:t>Wemheuer</w:t>
      </w:r>
      <w:proofErr w:type="spellEnd"/>
      <w:r>
        <w:t xml:space="preserve">, ‘Regime Changes of Memory: Creating the Official History of the Ukrainian and Chinese Famines Under State Socialism and After the Cold War’, </w:t>
      </w:r>
      <w:r>
        <w:rPr>
          <w:i/>
          <w:iCs/>
        </w:rPr>
        <w:t xml:space="preserve">Kritika: Explorations in Russian and Eurasian History </w:t>
      </w:r>
      <w:r>
        <w:t>10:1 (2009), 31-59.</w:t>
      </w:r>
    </w:p>
    <w:p w14:paraId="09F589FB" w14:textId="4DC2E433" w:rsidR="000F627F" w:rsidRPr="000F627F" w:rsidRDefault="000F627F" w:rsidP="003B6D43">
      <w:r w:rsidRPr="000F627F">
        <w:lastRenderedPageBreak/>
        <w:t xml:space="preserve">Oleh </w:t>
      </w:r>
      <w:proofErr w:type="spellStart"/>
      <w:r w:rsidRPr="000F627F">
        <w:t>Wolowyna</w:t>
      </w:r>
      <w:proofErr w:type="spellEnd"/>
      <w:r w:rsidRPr="000F627F">
        <w:t>, ‘A Demographic Fra</w:t>
      </w:r>
      <w:r>
        <w:t xml:space="preserve">mework for the 1932-1934 Famine in the Soviet Union’, </w:t>
      </w:r>
      <w:r>
        <w:rPr>
          <w:i/>
          <w:iCs/>
        </w:rPr>
        <w:t xml:space="preserve">Journal of Genocide Research </w:t>
      </w:r>
      <w:r>
        <w:t xml:space="preserve">23:4 (2021), </w:t>
      </w:r>
      <w:r w:rsidR="003E006B">
        <w:t>501-526.</w:t>
      </w:r>
    </w:p>
    <w:p w14:paraId="6ECAC054" w14:textId="2660B2F3" w:rsidR="003B6D43" w:rsidRDefault="003B6D43" w:rsidP="003B6D43">
      <w:pPr>
        <w:pStyle w:val="Heading2"/>
      </w:pPr>
      <w:r>
        <w:t xml:space="preserve">Week 8: </w:t>
      </w:r>
      <w:r w:rsidR="00F855A5">
        <w:t xml:space="preserve">The </w:t>
      </w:r>
      <w:r w:rsidR="005A0967">
        <w:t>Cambodia</w:t>
      </w:r>
      <w:r w:rsidR="00F855A5">
        <w:t>n Auto-Genocide</w:t>
      </w:r>
    </w:p>
    <w:p w14:paraId="393BD6BA" w14:textId="77777777" w:rsidR="00B073E3" w:rsidRPr="00B073E3" w:rsidRDefault="00B073E3" w:rsidP="00B073E3">
      <w:p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B073E3">
        <w:rPr>
          <w:rFonts w:ascii="Segoe UI" w:eastAsia="Times New Roman" w:hAnsi="Segoe UI" w:cs="Segoe UI"/>
          <w:color w:val="1D2125"/>
          <w:kern w:val="0"/>
          <w:sz w:val="23"/>
          <w:szCs w:val="23"/>
          <w14:ligatures w14:val="none"/>
        </w:rPr>
        <w:t>Violence in Cambodia, perpetrated by the Khmer Rouge regime under Pol Pot from 1975 to 1979, resulted in the deaths of 1.5 to 2 million people through forced labour, starvation, and torture.  Despite the large-scale killing, many genocide scholars believe that this period of Cambodian history do not qualify as a genocide under the UN Convention, given that most of the victims were members of the Khmer ethnic group. Some scholars have instead suggested the term 'auto-genocide'. We'll be re-examining definitions of genocide in the light of the Cambodian case, and considering the issues it raises for international law. We'll also be thinking about issues of memory and justice after mass killing. </w:t>
      </w:r>
    </w:p>
    <w:p w14:paraId="47A97E74" w14:textId="77777777" w:rsidR="00B073E3" w:rsidRPr="00B073E3" w:rsidRDefault="00B073E3" w:rsidP="00B073E3">
      <w:p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B073E3">
        <w:rPr>
          <w:rFonts w:ascii="Segoe UI" w:eastAsia="Times New Roman" w:hAnsi="Segoe UI" w:cs="Segoe UI"/>
          <w:color w:val="1D2125"/>
          <w:kern w:val="0"/>
          <w:sz w:val="23"/>
          <w:szCs w:val="23"/>
          <w14:ligatures w14:val="none"/>
        </w:rPr>
        <w:t>Key questions for our seminar:</w:t>
      </w:r>
    </w:p>
    <w:p w14:paraId="4C64FCA9" w14:textId="77777777" w:rsidR="00B073E3" w:rsidRPr="00B073E3" w:rsidRDefault="00B073E3" w:rsidP="00B073E3">
      <w:pPr>
        <w:numPr>
          <w:ilvl w:val="0"/>
          <w:numId w:val="10"/>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B073E3">
        <w:rPr>
          <w:rFonts w:ascii="Segoe UI" w:eastAsia="Times New Roman" w:hAnsi="Segoe UI" w:cs="Segoe UI"/>
          <w:color w:val="1D2125"/>
          <w:kern w:val="0"/>
          <w:sz w:val="23"/>
          <w:szCs w:val="23"/>
          <w14:ligatures w14:val="none"/>
        </w:rPr>
        <w:t>Was the Cambodian violence a 'genocide'?</w:t>
      </w:r>
    </w:p>
    <w:p w14:paraId="593DB509" w14:textId="77777777" w:rsidR="00B073E3" w:rsidRPr="00B073E3" w:rsidRDefault="00B073E3" w:rsidP="00B073E3">
      <w:pPr>
        <w:numPr>
          <w:ilvl w:val="0"/>
          <w:numId w:val="10"/>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B073E3">
        <w:rPr>
          <w:rFonts w:ascii="Segoe UI" w:eastAsia="Times New Roman" w:hAnsi="Segoe UI" w:cs="Segoe UI"/>
          <w:color w:val="1D2125"/>
          <w:kern w:val="0"/>
          <w:sz w:val="23"/>
          <w:szCs w:val="23"/>
          <w14:ligatures w14:val="none"/>
        </w:rPr>
        <w:t>Is 'auto-genocide' a useful concept? </w:t>
      </w:r>
    </w:p>
    <w:p w14:paraId="6028D695" w14:textId="16663CE2" w:rsidR="00B073E3" w:rsidRPr="00B073E3" w:rsidRDefault="00B073E3" w:rsidP="00B073E3">
      <w:pPr>
        <w:numPr>
          <w:ilvl w:val="0"/>
          <w:numId w:val="10"/>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B073E3">
        <w:rPr>
          <w:rFonts w:ascii="Segoe UI" w:eastAsia="Times New Roman" w:hAnsi="Segoe UI" w:cs="Segoe UI"/>
          <w:color w:val="1D2125"/>
          <w:kern w:val="0"/>
          <w:sz w:val="23"/>
          <w:szCs w:val="23"/>
          <w14:ligatures w14:val="none"/>
        </w:rPr>
        <w:t>What legal issues were raised by the Cambodian case</w:t>
      </w:r>
    </w:p>
    <w:p w14:paraId="26033612" w14:textId="711482A0" w:rsidR="00236003" w:rsidRDefault="00236003" w:rsidP="00236003">
      <w:pPr>
        <w:pStyle w:val="Heading3"/>
      </w:pPr>
      <w:r>
        <w:t>Seminar Reading</w:t>
      </w:r>
    </w:p>
    <w:p w14:paraId="2345986F" w14:textId="0E54D993" w:rsidR="003A747F" w:rsidRDefault="003A747F" w:rsidP="00236003">
      <w:r w:rsidRPr="006F3802">
        <w:t xml:space="preserve">Ben Kiernan, </w:t>
      </w:r>
      <w:r w:rsidR="006F3802" w:rsidRPr="006F3802">
        <w:t xml:space="preserve"> ‘The Cambodian Genocide 1975</w:t>
      </w:r>
      <w:r w:rsidR="006F3802">
        <w:t xml:space="preserve">-1979’ in Samuel Totten and William S. Parsons (eds.), </w:t>
      </w:r>
      <w:r w:rsidR="006F3802">
        <w:rPr>
          <w:i/>
          <w:iCs/>
        </w:rPr>
        <w:t xml:space="preserve">Century of Genocide: Critical Essays and Eyewitness Accounts, </w:t>
      </w:r>
      <w:r w:rsidR="006F3802">
        <w:t xml:space="preserve">(New York, 2009), pp. </w:t>
      </w:r>
      <w:r w:rsidR="00531C1B">
        <w:t>311.</w:t>
      </w:r>
    </w:p>
    <w:p w14:paraId="2174346C" w14:textId="44A590F2" w:rsidR="000870DC" w:rsidRPr="000870DC" w:rsidRDefault="000870DC" w:rsidP="00236003">
      <w:r>
        <w:t xml:space="preserve">Alexander Laban Hinton, ‘Why Did You Kill? The Cambodian Genocide and the Dark Side of Face and Honour’, </w:t>
      </w:r>
      <w:r>
        <w:rPr>
          <w:i/>
          <w:iCs/>
        </w:rPr>
        <w:t xml:space="preserve">Journal of Asian Studies </w:t>
      </w:r>
      <w:r w:rsidR="00192453">
        <w:t>2:57 (1998), 93-122.</w:t>
      </w:r>
    </w:p>
    <w:p w14:paraId="2B10C767" w14:textId="0C75AFCF" w:rsidR="00E33CBE" w:rsidRDefault="00E33CBE" w:rsidP="00E33CBE">
      <w:pPr>
        <w:rPr>
          <w:rStyle w:val="Hyperlink"/>
        </w:rPr>
      </w:pPr>
      <w:r>
        <w:t xml:space="preserve">Film: </w:t>
      </w:r>
      <w:r>
        <w:rPr>
          <w:i/>
          <w:iCs/>
        </w:rPr>
        <w:t xml:space="preserve">Survive: In the Heart of the Khmer Rouge Madness </w:t>
      </w:r>
      <w:r>
        <w:t xml:space="preserve">(2009) </w:t>
      </w:r>
      <w:hyperlink r:id="rId18" w:history="1">
        <w:r>
          <w:rPr>
            <w:rStyle w:val="Hyperlink"/>
          </w:rPr>
          <w:t>Survive : in the heart of the Khmer Rouge madness - University of Wales Trinity Saint David (uwtsd.ac.uk)</w:t>
        </w:r>
      </w:hyperlink>
    </w:p>
    <w:p w14:paraId="0A779672" w14:textId="2523DE79" w:rsidR="00752EFD" w:rsidRDefault="00752EFD" w:rsidP="00752EFD">
      <w:pPr>
        <w:pStyle w:val="Heading3"/>
      </w:pPr>
      <w:r>
        <w:t>Further Reading</w:t>
      </w:r>
    </w:p>
    <w:p w14:paraId="153BE558" w14:textId="77777777" w:rsidR="003872D2" w:rsidRDefault="003872D2" w:rsidP="00000E70">
      <w:r>
        <w:t xml:space="preserve">David P. Chandler, </w:t>
      </w:r>
      <w:r>
        <w:rPr>
          <w:i/>
          <w:iCs/>
        </w:rPr>
        <w:t xml:space="preserve">The Tragedy of Cambodian History: Politics, War, and Revolution Since 1945 </w:t>
      </w:r>
      <w:r>
        <w:t>(Yale University Press, 1991).</w:t>
      </w:r>
    </w:p>
    <w:p w14:paraId="12250C2A" w14:textId="5B3ED9F1" w:rsidR="00000E70" w:rsidRDefault="00000E70" w:rsidP="00000E70">
      <w:r>
        <w:t xml:space="preserve">May Ebihara and Judy Ledgerwood, ‘Aftermaths of Genocide: Cambodian Villagers’ in Alexander Laban Hinton (ed.), </w:t>
      </w:r>
      <w:r>
        <w:rPr>
          <w:i/>
          <w:iCs/>
        </w:rPr>
        <w:t xml:space="preserve">Annihilating Difference: The Anthropology of Genocide </w:t>
      </w:r>
      <w:r>
        <w:t>(University of California Press, 2002), pp. 272-291.</w:t>
      </w:r>
    </w:p>
    <w:p w14:paraId="5A4122BA" w14:textId="1620FDCC" w:rsidR="00985C32" w:rsidRDefault="00985C32" w:rsidP="00985C32">
      <w:r w:rsidRPr="00985C32">
        <w:t>Rachel Hughes, ‘The Ab</w:t>
      </w:r>
      <w:r>
        <w:t xml:space="preserve">ject Artefacts of Memory: Photographs from Cambodia’s Genocide’, </w:t>
      </w:r>
      <w:r>
        <w:rPr>
          <w:i/>
          <w:iCs/>
        </w:rPr>
        <w:t xml:space="preserve">Medica, Culture &amp; Society, </w:t>
      </w:r>
      <w:r>
        <w:t>25:1 (2003), 23-44.</w:t>
      </w:r>
    </w:p>
    <w:p w14:paraId="2224A76F" w14:textId="13E01BD6" w:rsidR="00257179" w:rsidRPr="00985C32" w:rsidRDefault="00257179" w:rsidP="00257179">
      <w:r>
        <w:t xml:space="preserve">Rachel P. Jacobs, ‘Married by the Revolution: Forced Marriage as a Strategy of Control in Khmer Rouge Cambodia’, </w:t>
      </w:r>
      <w:r>
        <w:rPr>
          <w:i/>
          <w:iCs/>
        </w:rPr>
        <w:t xml:space="preserve">Journal of Genocide Research </w:t>
      </w:r>
      <w:r>
        <w:t>24:3 (2022), 357-379.</w:t>
      </w:r>
    </w:p>
    <w:p w14:paraId="066737E1" w14:textId="128BA426" w:rsidR="001352FB" w:rsidRDefault="001352FB" w:rsidP="00000E70">
      <w:r w:rsidRPr="00985C32">
        <w:lastRenderedPageBreak/>
        <w:t xml:space="preserve">Adam Jones, </w:t>
      </w:r>
      <w:r w:rsidRPr="00985C32">
        <w:rPr>
          <w:i/>
          <w:iCs/>
        </w:rPr>
        <w:t xml:space="preserve">Genocide: A Comprehensive Introduction </w:t>
      </w:r>
      <w:r w:rsidRPr="00985C32">
        <w:t xml:space="preserve">(2nd. ed.) </w:t>
      </w:r>
      <w:r w:rsidRPr="00985C32">
        <w:rPr>
          <w:i/>
          <w:iCs/>
        </w:rPr>
        <w:t xml:space="preserve"> </w:t>
      </w:r>
      <w:r w:rsidRPr="00097690">
        <w:t>(</w:t>
      </w:r>
      <w:r>
        <w:t xml:space="preserve">Abingdon, 2011), Chapter </w:t>
      </w:r>
      <w:r w:rsidR="00676F17">
        <w:t>7.</w:t>
      </w:r>
    </w:p>
    <w:p w14:paraId="7B1512C1" w14:textId="1BEE9D08" w:rsidR="00A80160" w:rsidRDefault="00A80160" w:rsidP="00000E70">
      <w:r w:rsidRPr="00A80160">
        <w:t xml:space="preserve">Ben Kiernan, </w:t>
      </w:r>
      <w:r w:rsidRPr="00A80160">
        <w:rPr>
          <w:i/>
          <w:iCs/>
        </w:rPr>
        <w:t>The Pol Pot Regim</w:t>
      </w:r>
      <w:r>
        <w:rPr>
          <w:i/>
          <w:iCs/>
        </w:rPr>
        <w:t xml:space="preserve">e: Race, Power, and Genocide in Cambodia under the Khmer Rouge, 1975-1979 </w:t>
      </w:r>
      <w:r>
        <w:t>(Yale University Press, 2008).</w:t>
      </w:r>
    </w:p>
    <w:p w14:paraId="6ED50117" w14:textId="77777777" w:rsidR="006F3802" w:rsidRDefault="006F3802" w:rsidP="006F3802">
      <w:r w:rsidRPr="003545B0">
        <w:t xml:space="preserve">Ben Kiernan, ‘Myth, Nationalism and Genocide’, </w:t>
      </w:r>
      <w:r w:rsidRPr="003545B0">
        <w:rPr>
          <w:i/>
          <w:iCs/>
        </w:rPr>
        <w:t>Journal of Genocide Resea</w:t>
      </w:r>
      <w:r>
        <w:rPr>
          <w:i/>
          <w:iCs/>
        </w:rPr>
        <w:t xml:space="preserve">rch </w:t>
      </w:r>
      <w:r>
        <w:t>3:2 (2001), 187-206.</w:t>
      </w:r>
    </w:p>
    <w:p w14:paraId="1F99849D" w14:textId="14EFADAE" w:rsidR="00977A08" w:rsidRPr="00977A08" w:rsidRDefault="00977A08" w:rsidP="00000E70">
      <w:r w:rsidRPr="00977A08">
        <w:t>Edward Kissi, ‘Genocide in Cambodia and Ethi</w:t>
      </w:r>
      <w:r>
        <w:t xml:space="preserve">opia’, in Robert </w:t>
      </w:r>
      <w:proofErr w:type="spellStart"/>
      <w:r>
        <w:t>Gellately</w:t>
      </w:r>
      <w:proofErr w:type="spellEnd"/>
      <w:r>
        <w:t xml:space="preserve"> and Ben Kiernan (eds.), ‘ </w:t>
      </w:r>
      <w:r>
        <w:rPr>
          <w:i/>
          <w:iCs/>
        </w:rPr>
        <w:t xml:space="preserve">The Specter of Genocide: Mass Murder in Historical Perspective </w:t>
      </w:r>
      <w:r>
        <w:t>(Cambridge, 2003), pp.</w:t>
      </w:r>
      <w:r w:rsidR="00322CC5">
        <w:t xml:space="preserve"> 307-323.</w:t>
      </w:r>
    </w:p>
    <w:p w14:paraId="39C27FFB" w14:textId="77777777" w:rsidR="0046565D" w:rsidRDefault="0046565D" w:rsidP="00000E70">
      <w:r>
        <w:t xml:space="preserve">Alexander Laban Hinton, </w:t>
      </w:r>
      <w:r>
        <w:rPr>
          <w:i/>
          <w:iCs/>
        </w:rPr>
        <w:t xml:space="preserve">Why Did They Kill? Cambodia in the Shadow of Genocide </w:t>
      </w:r>
      <w:r>
        <w:t>(University of California Press, 2004).</w:t>
      </w:r>
    </w:p>
    <w:p w14:paraId="56A7CDC1" w14:textId="23EC4291" w:rsidR="000D0234" w:rsidRDefault="000D0234" w:rsidP="00000E70">
      <w:r w:rsidRPr="000D0234">
        <w:t>Alexander Laban Hinton, ‘Genocide and th</w:t>
      </w:r>
      <w:r>
        <w:t xml:space="preserve">e Politics of Memory in Cambodia’, in Alexander Laban Hinton, Thomas La Pointe and Douglas Irvin-Erickson (eds.), </w:t>
      </w:r>
      <w:r>
        <w:rPr>
          <w:i/>
          <w:iCs/>
        </w:rPr>
        <w:t xml:space="preserve">Hidden Genocides: Power, Knowledge, Memory </w:t>
      </w:r>
      <w:r>
        <w:t>(Rutgers University Press, 2014), pp. 149-169.</w:t>
      </w:r>
    </w:p>
    <w:p w14:paraId="37309B7D" w14:textId="4D08D85B" w:rsidR="00F202A8" w:rsidRDefault="00F202A8" w:rsidP="00000E70">
      <w:r>
        <w:t xml:space="preserve">Alexander Laban Hinton, </w:t>
      </w:r>
      <w:r>
        <w:rPr>
          <w:i/>
          <w:iCs/>
        </w:rPr>
        <w:t xml:space="preserve">Man or Monster? The Trial of a Khmer Rouge Torturer </w:t>
      </w:r>
      <w:r>
        <w:t>(Duke University Press, 2016).</w:t>
      </w:r>
    </w:p>
    <w:p w14:paraId="18A5644A" w14:textId="77789080" w:rsidR="008321D7" w:rsidRPr="008321D7" w:rsidRDefault="008321D7" w:rsidP="00000E70">
      <w:r w:rsidRPr="008321D7">
        <w:t xml:space="preserve">Henri </w:t>
      </w:r>
      <w:proofErr w:type="spellStart"/>
      <w:r w:rsidRPr="008321D7">
        <w:t>Locard</w:t>
      </w:r>
      <w:proofErr w:type="spellEnd"/>
      <w:r w:rsidRPr="008321D7">
        <w:t>, ‘State Violence in Democratic Kampuchea (1975-1979) and R</w:t>
      </w:r>
      <w:r>
        <w:t xml:space="preserve">etribution (1979-2004), </w:t>
      </w:r>
      <w:r>
        <w:rPr>
          <w:i/>
          <w:iCs/>
        </w:rPr>
        <w:t xml:space="preserve">European Review of History </w:t>
      </w:r>
      <w:r>
        <w:t>12:1 (2005), 121-143.</w:t>
      </w:r>
    </w:p>
    <w:p w14:paraId="1A349DD1" w14:textId="77777777" w:rsidR="005426A4" w:rsidRDefault="005426A4" w:rsidP="00000E70">
      <w:r>
        <w:t xml:space="preserve">Peter Maguire, </w:t>
      </w:r>
      <w:r>
        <w:rPr>
          <w:i/>
          <w:iCs/>
        </w:rPr>
        <w:t xml:space="preserve">Facing Death in Cambodia </w:t>
      </w:r>
      <w:r>
        <w:t>(Columbia University Press, 2005).</w:t>
      </w:r>
    </w:p>
    <w:p w14:paraId="0858EEC0" w14:textId="0A5FD9D6" w:rsidR="00384646" w:rsidRDefault="00384646" w:rsidP="00000E70">
      <w:r>
        <w:t xml:space="preserve">Peter Manning, ‘Reconciliation and Perpetrator Memories in Cambodia’, </w:t>
      </w:r>
      <w:r>
        <w:rPr>
          <w:i/>
          <w:iCs/>
        </w:rPr>
        <w:t xml:space="preserve">International Journal of Transitional Justice </w:t>
      </w:r>
      <w:r>
        <w:t>9:3 (2015), 386-406.</w:t>
      </w:r>
    </w:p>
    <w:p w14:paraId="3D2CF5C9" w14:textId="4CDC1817" w:rsidR="00C52538" w:rsidRDefault="00C52538" w:rsidP="00000E70">
      <w:r>
        <w:t xml:space="preserve">Peter Manning, ‘Governing Memory: Justice, Reconciliation and Outreach at the Extraordinary Chambers in the Courts of Cambodia’, </w:t>
      </w:r>
      <w:r>
        <w:rPr>
          <w:i/>
          <w:iCs/>
        </w:rPr>
        <w:t xml:space="preserve">Memory Studies </w:t>
      </w:r>
      <w:r>
        <w:t xml:space="preserve">5:2 (2012), </w:t>
      </w:r>
      <w:r w:rsidR="009417E2">
        <w:t>165-181.</w:t>
      </w:r>
    </w:p>
    <w:p w14:paraId="260848F4" w14:textId="045F6184" w:rsidR="00257179" w:rsidRDefault="00257179" w:rsidP="00257179">
      <w:r>
        <w:t xml:space="preserve">Howard J. de Nike, John Quigley, Kenneth J. Robinson, Helen Jarvis, and Nereida Cross (eds.), </w:t>
      </w:r>
      <w:r>
        <w:rPr>
          <w:i/>
          <w:iCs/>
        </w:rPr>
        <w:t xml:space="preserve">Genocide in Cambodia: Documents from the trial of Pol Pot and Ieng Sary </w:t>
      </w:r>
      <w:r>
        <w:t>(University of Pennsylvania Press, 2000).</w:t>
      </w:r>
    </w:p>
    <w:p w14:paraId="0B3B98BB" w14:textId="39AD56B4" w:rsidR="009B7B19" w:rsidRPr="009B7B19" w:rsidRDefault="009B7B19" w:rsidP="00000E70">
      <w:r>
        <w:t xml:space="preserve">Phuong N. Pham, Mychelle </w:t>
      </w:r>
      <w:proofErr w:type="spellStart"/>
      <w:r>
        <w:t>Balthazard</w:t>
      </w:r>
      <w:proofErr w:type="spellEnd"/>
      <w:r>
        <w:t xml:space="preserve">, Niamh Gibbons and Patrick Vinck, ‘Perspectives on Memory, Forgiveness and Reconciliation in Cambodia’s Post-Khmer Rouge Society’, </w:t>
      </w:r>
      <w:r>
        <w:rPr>
          <w:i/>
          <w:iCs/>
        </w:rPr>
        <w:t xml:space="preserve">International Review of the Red Cross </w:t>
      </w:r>
      <w:r>
        <w:t>101 (2005), 125-149.</w:t>
      </w:r>
    </w:p>
    <w:p w14:paraId="1F8C7C51" w14:textId="3E6003B6" w:rsidR="00886086" w:rsidRDefault="00886086" w:rsidP="00886086">
      <w:r w:rsidRPr="00886086">
        <w:t>Toni Shapiro-Phim, ‘Dance, Music</w:t>
      </w:r>
      <w:r>
        <w:t xml:space="preserve">, and the Nature of Terror in Democratic Kampuchea’, in Alexander Laban Hinton (ed.), </w:t>
      </w:r>
      <w:r>
        <w:rPr>
          <w:i/>
          <w:iCs/>
        </w:rPr>
        <w:t xml:space="preserve">Annihilating Difference: The Anthropology of Genocide </w:t>
      </w:r>
      <w:r>
        <w:t>(University of California Press, 2002), pp. 179-193.</w:t>
      </w:r>
    </w:p>
    <w:p w14:paraId="2B34837A" w14:textId="40A2F33A" w:rsidR="00257179" w:rsidRDefault="00257179" w:rsidP="00257179">
      <w:r>
        <w:lastRenderedPageBreak/>
        <w:t xml:space="preserve">James A. Tyner and Melvin Edwards, ‘The Khmer Rouge Bureaucrats: Counting the Missing’ in Jennifer Heath and Ashraf Zahedi (eds.), </w:t>
      </w:r>
      <w:r>
        <w:rPr>
          <w:i/>
          <w:iCs/>
        </w:rPr>
        <w:t xml:space="preserve">Book of the Disappeared: The Quest for Transnational Justice </w:t>
      </w:r>
      <w:r>
        <w:t>(University of Michigan Press, 2023), pp. 214-233.</w:t>
      </w:r>
    </w:p>
    <w:p w14:paraId="76BE7E2E" w14:textId="104345B9" w:rsidR="005C65FF" w:rsidRDefault="005C65FF" w:rsidP="00886086">
      <w:r w:rsidRPr="005C65FF">
        <w:t xml:space="preserve">Benjamin A. Valentino, </w:t>
      </w:r>
      <w:r w:rsidRPr="005C65FF">
        <w:rPr>
          <w:i/>
          <w:iCs/>
        </w:rPr>
        <w:t>Final Solutions: Mass Killing and</w:t>
      </w:r>
      <w:r>
        <w:rPr>
          <w:i/>
          <w:iCs/>
        </w:rPr>
        <w:t xml:space="preserve"> Genocide in the 20</w:t>
      </w:r>
      <w:r w:rsidRPr="005C65FF">
        <w:rPr>
          <w:i/>
          <w:iCs/>
          <w:vertAlign w:val="superscript"/>
        </w:rPr>
        <w:t>th</w:t>
      </w:r>
      <w:r>
        <w:rPr>
          <w:i/>
          <w:iCs/>
        </w:rPr>
        <w:t xml:space="preserve"> Century </w:t>
      </w:r>
      <w:r>
        <w:t>(Cornell University Press, 2004), Chapter</w:t>
      </w:r>
      <w:r w:rsidR="0009692D">
        <w:t xml:space="preserve"> 4, ‘Communist Mass Killings: The Soviet Union, China, and Cambodia’, pp. 91-151.</w:t>
      </w:r>
    </w:p>
    <w:p w14:paraId="54E00A60" w14:textId="081AB26F" w:rsidR="00257179" w:rsidRPr="005C65FF" w:rsidRDefault="00257179" w:rsidP="00257179">
      <w:r>
        <w:t xml:space="preserve">Eric D. Weitz, </w:t>
      </w:r>
      <w:r>
        <w:rPr>
          <w:i/>
          <w:iCs/>
        </w:rPr>
        <w:t xml:space="preserve">A Century of Genocide: Utopias of Race and Nation </w:t>
      </w:r>
      <w:r>
        <w:t>(Princeton University Press, 2013), chapter 4.</w:t>
      </w:r>
    </w:p>
    <w:p w14:paraId="579FD092" w14:textId="3E5F1770" w:rsidR="002871F1" w:rsidRDefault="002871F1" w:rsidP="00886086">
      <w:r>
        <w:t xml:space="preserve">Timothy Williams, ‘Remembering and Silencing Complexity in Post-Genocide Memorialisation: Cambodia’s Tuol Sleng Genocide Museum’, </w:t>
      </w:r>
      <w:r>
        <w:rPr>
          <w:i/>
          <w:iCs/>
        </w:rPr>
        <w:t xml:space="preserve">Memory Studies </w:t>
      </w:r>
      <w:r>
        <w:t>15:1 (2022), 3-19.</w:t>
      </w:r>
    </w:p>
    <w:p w14:paraId="59A084B6" w14:textId="20BE21F1" w:rsidR="00257179" w:rsidRPr="007D62CB" w:rsidRDefault="00257179" w:rsidP="00257179">
      <w:r>
        <w:t xml:space="preserve">Ronnie </w:t>
      </w:r>
      <w:proofErr w:type="spellStart"/>
      <w:r>
        <w:t>Yimsut</w:t>
      </w:r>
      <w:proofErr w:type="spellEnd"/>
      <w:r>
        <w:t xml:space="preserve">, </w:t>
      </w:r>
      <w:r>
        <w:rPr>
          <w:i/>
          <w:iCs/>
        </w:rPr>
        <w:t xml:space="preserve">Facing the Khmer Rouge: A Cambodian Journey </w:t>
      </w:r>
      <w:r>
        <w:t>(Rutgers University Press, 2011).</w:t>
      </w:r>
    </w:p>
    <w:p w14:paraId="3A877914" w14:textId="1AFAFF42" w:rsidR="003B6D43" w:rsidRDefault="003B6D43" w:rsidP="003B6D43">
      <w:pPr>
        <w:pStyle w:val="Heading2"/>
      </w:pPr>
      <w:r w:rsidRPr="002871F1">
        <w:t>Week 9:</w:t>
      </w:r>
      <w:r w:rsidR="00F910C2" w:rsidRPr="002871F1">
        <w:t xml:space="preserve"> </w:t>
      </w:r>
      <w:r w:rsidR="00B36E37">
        <w:t xml:space="preserve">The Fall of Yugoslavia and the </w:t>
      </w:r>
      <w:r w:rsidR="00F910C2" w:rsidRPr="002871F1">
        <w:t>Bosnia</w:t>
      </w:r>
      <w:r w:rsidR="00B36E37">
        <w:t>n Genocide</w:t>
      </w:r>
    </w:p>
    <w:p w14:paraId="7DEB7E5B" w14:textId="77777777" w:rsidR="00293A3F" w:rsidRPr="00293A3F" w:rsidRDefault="00293A3F" w:rsidP="00293A3F">
      <w:p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293A3F">
        <w:rPr>
          <w:rFonts w:ascii="Segoe UI" w:eastAsia="Times New Roman" w:hAnsi="Segoe UI" w:cs="Segoe UI"/>
          <w:color w:val="1D2125"/>
          <w:kern w:val="0"/>
          <w:sz w:val="23"/>
          <w:szCs w:val="23"/>
          <w14:ligatures w14:val="none"/>
        </w:rPr>
        <w:t xml:space="preserve">The Bosnian genocide, which </w:t>
      </w:r>
      <w:proofErr w:type="spellStart"/>
      <w:r w:rsidRPr="00293A3F">
        <w:rPr>
          <w:rFonts w:ascii="Segoe UI" w:eastAsia="Times New Roman" w:hAnsi="Segoe UI" w:cs="Segoe UI"/>
          <w:color w:val="1D2125"/>
          <w:kern w:val="0"/>
          <w:sz w:val="23"/>
          <w:szCs w:val="23"/>
          <w14:ligatures w14:val="none"/>
        </w:rPr>
        <w:t>occured</w:t>
      </w:r>
      <w:proofErr w:type="spellEnd"/>
      <w:r w:rsidRPr="00293A3F">
        <w:rPr>
          <w:rFonts w:ascii="Segoe UI" w:eastAsia="Times New Roman" w:hAnsi="Segoe UI" w:cs="Segoe UI"/>
          <w:color w:val="1D2125"/>
          <w:kern w:val="0"/>
          <w:sz w:val="23"/>
          <w:szCs w:val="23"/>
          <w14:ligatures w14:val="none"/>
        </w:rPr>
        <w:t xml:space="preserve"> during the Bosnian War of 1992-1995, resulted in the deaths of between 25,000 and 33,000 </w:t>
      </w:r>
      <w:proofErr w:type="spellStart"/>
      <w:r w:rsidRPr="00293A3F">
        <w:rPr>
          <w:rFonts w:ascii="Segoe UI" w:eastAsia="Times New Roman" w:hAnsi="Segoe UI" w:cs="Segoe UI"/>
          <w:color w:val="1D2125"/>
          <w:kern w:val="0"/>
          <w:sz w:val="23"/>
          <w:szCs w:val="23"/>
          <w14:ligatures w14:val="none"/>
        </w:rPr>
        <w:t>Bosniaks</w:t>
      </w:r>
      <w:proofErr w:type="spellEnd"/>
      <w:r w:rsidRPr="00293A3F">
        <w:rPr>
          <w:rFonts w:ascii="Segoe UI" w:eastAsia="Times New Roman" w:hAnsi="Segoe UI" w:cs="Segoe UI"/>
          <w:color w:val="1D2125"/>
          <w:kern w:val="0"/>
          <w:sz w:val="23"/>
          <w:szCs w:val="23"/>
          <w14:ligatures w14:val="none"/>
        </w:rPr>
        <w:t xml:space="preserve"> (Bosnian Muslims), Bosnian Croats, and other non-Serbs, as well as mass displacements and widespread genocidal sexual violence. We will investigate the reasons for the slow response of the international community to these mass killings, as well as exploring the concept of 'ethnic cleansing' in more depth.</w:t>
      </w:r>
    </w:p>
    <w:p w14:paraId="4E5B52C8" w14:textId="77777777" w:rsidR="00293A3F" w:rsidRPr="00293A3F" w:rsidRDefault="00293A3F" w:rsidP="00293A3F">
      <w:p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293A3F">
        <w:rPr>
          <w:rFonts w:ascii="Segoe UI" w:eastAsia="Times New Roman" w:hAnsi="Segoe UI" w:cs="Segoe UI"/>
          <w:color w:val="1D2125"/>
          <w:kern w:val="0"/>
          <w:sz w:val="23"/>
          <w:szCs w:val="23"/>
          <w14:ligatures w14:val="none"/>
        </w:rPr>
        <w:t>Key questions for our seminar:</w:t>
      </w:r>
    </w:p>
    <w:p w14:paraId="2083A7E3" w14:textId="77777777" w:rsidR="00293A3F" w:rsidRPr="00293A3F" w:rsidRDefault="00293A3F" w:rsidP="00293A3F">
      <w:pPr>
        <w:numPr>
          <w:ilvl w:val="0"/>
          <w:numId w:val="11"/>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293A3F">
        <w:rPr>
          <w:rFonts w:ascii="Segoe UI" w:eastAsia="Times New Roman" w:hAnsi="Segoe UI" w:cs="Segoe UI"/>
          <w:color w:val="1D2125"/>
          <w:kern w:val="0"/>
          <w:sz w:val="23"/>
          <w:szCs w:val="23"/>
          <w14:ligatures w14:val="none"/>
        </w:rPr>
        <w:t>Why was the international community so slow to respond? </w:t>
      </w:r>
    </w:p>
    <w:p w14:paraId="75CC7226" w14:textId="77777777" w:rsidR="00293A3F" w:rsidRPr="00293A3F" w:rsidRDefault="00293A3F" w:rsidP="00293A3F">
      <w:pPr>
        <w:numPr>
          <w:ilvl w:val="0"/>
          <w:numId w:val="11"/>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293A3F">
        <w:rPr>
          <w:rFonts w:ascii="Segoe UI" w:eastAsia="Times New Roman" w:hAnsi="Segoe UI" w:cs="Segoe UI"/>
          <w:color w:val="1D2125"/>
          <w:kern w:val="0"/>
          <w:sz w:val="23"/>
          <w:szCs w:val="23"/>
          <w14:ligatures w14:val="none"/>
        </w:rPr>
        <w:t>What eventually pushed the international community to intervene?</w:t>
      </w:r>
    </w:p>
    <w:p w14:paraId="13CCBB66" w14:textId="231B2ACC" w:rsidR="00293A3F" w:rsidRPr="00293A3F" w:rsidRDefault="00293A3F" w:rsidP="00293A3F">
      <w:pPr>
        <w:numPr>
          <w:ilvl w:val="0"/>
          <w:numId w:val="11"/>
        </w:numPr>
        <w:shd w:val="clear" w:color="auto" w:fill="FFFFFF"/>
        <w:spacing w:before="100" w:beforeAutospacing="1" w:after="100" w:afterAutospacing="1" w:line="240" w:lineRule="auto"/>
        <w:rPr>
          <w:rFonts w:ascii="Segoe UI" w:eastAsia="Times New Roman" w:hAnsi="Segoe UI" w:cs="Segoe UI"/>
          <w:color w:val="1D2125"/>
          <w:kern w:val="0"/>
          <w:sz w:val="23"/>
          <w:szCs w:val="23"/>
          <w14:ligatures w14:val="none"/>
        </w:rPr>
      </w:pPr>
      <w:r w:rsidRPr="00293A3F">
        <w:rPr>
          <w:rFonts w:ascii="Segoe UI" w:eastAsia="Times New Roman" w:hAnsi="Segoe UI" w:cs="Segoe UI"/>
          <w:color w:val="1D2125"/>
          <w:kern w:val="0"/>
          <w:sz w:val="23"/>
          <w:szCs w:val="23"/>
          <w14:ligatures w14:val="none"/>
        </w:rPr>
        <w:t>How useful is the concept of 'ethnic cleansing' in this case?</w:t>
      </w:r>
    </w:p>
    <w:p w14:paraId="1A710115" w14:textId="7D3198E8" w:rsidR="00841FA6" w:rsidRDefault="00841FA6" w:rsidP="001245D7">
      <w:pPr>
        <w:pStyle w:val="Heading3"/>
      </w:pPr>
      <w:r>
        <w:t>Seminar reading:</w:t>
      </w:r>
    </w:p>
    <w:p w14:paraId="77BC3ADC" w14:textId="77777777" w:rsidR="00841FA6" w:rsidRDefault="00841FA6" w:rsidP="00841FA6">
      <w:r>
        <w:t xml:space="preserve">Jacques Semelin, ‘Analysis of a Mass Crime: Ethnic Cleansing in the Former Yugoslavia, 1991-1999’, in Robert </w:t>
      </w:r>
      <w:proofErr w:type="spellStart"/>
      <w:r>
        <w:t>Gellately</w:t>
      </w:r>
      <w:proofErr w:type="spellEnd"/>
      <w:r>
        <w:t xml:space="preserve"> and Ben Kiernan (eds.), ‘ </w:t>
      </w:r>
      <w:r>
        <w:rPr>
          <w:i/>
          <w:iCs/>
        </w:rPr>
        <w:t xml:space="preserve">The Specter of Genocide: Mass Murder in Historical Perspective </w:t>
      </w:r>
      <w:r>
        <w:t>(Cambridge, 2003), pp. 353-370.</w:t>
      </w:r>
    </w:p>
    <w:p w14:paraId="62FEA7E1" w14:textId="77777777" w:rsidR="001245D7" w:rsidRDefault="001245D7" w:rsidP="001245D7">
      <w:r>
        <w:t xml:space="preserve">Eric D. Weitz, </w:t>
      </w:r>
      <w:r>
        <w:rPr>
          <w:i/>
          <w:iCs/>
        </w:rPr>
        <w:t xml:space="preserve">A Century of Genocide: Utopias of Race and Nation </w:t>
      </w:r>
      <w:r>
        <w:t>(Princeton University Press, 2013), chapter 5.</w:t>
      </w:r>
    </w:p>
    <w:p w14:paraId="02751A0D" w14:textId="1B30DF61" w:rsidR="00F070FE" w:rsidRPr="00F070FE" w:rsidRDefault="00F070FE" w:rsidP="001245D7">
      <w:r>
        <w:t xml:space="preserve">Film: </w:t>
      </w:r>
      <w:r>
        <w:rPr>
          <w:i/>
          <w:iCs/>
        </w:rPr>
        <w:t xml:space="preserve">We Are All Neighbours </w:t>
      </w:r>
      <w:r>
        <w:t>(</w:t>
      </w:r>
      <w:r w:rsidR="008B221E">
        <w:t>1993).</w:t>
      </w:r>
    </w:p>
    <w:p w14:paraId="10F6B15B" w14:textId="263A7865" w:rsidR="001245D7" w:rsidRDefault="001245D7" w:rsidP="001245D7">
      <w:pPr>
        <w:pStyle w:val="Heading3"/>
      </w:pPr>
      <w:r>
        <w:t>Further reading:</w:t>
      </w:r>
    </w:p>
    <w:p w14:paraId="2BBC034D" w14:textId="77777777" w:rsidR="00397ACD" w:rsidRDefault="00397ACD" w:rsidP="008D1F29">
      <w:r>
        <w:t xml:space="preserve">Beverly Allen, </w:t>
      </w:r>
      <w:r>
        <w:rPr>
          <w:i/>
          <w:iCs/>
        </w:rPr>
        <w:t xml:space="preserve">Rape Warfare: The Hidden Genocide in Bosnia-Herzegovina and Croatia </w:t>
      </w:r>
      <w:r>
        <w:t>(University of Minnesota Press, 1996).</w:t>
      </w:r>
    </w:p>
    <w:p w14:paraId="0D158134" w14:textId="7A731365" w:rsidR="00AF02A1" w:rsidRDefault="00AF02A1" w:rsidP="008D1F29">
      <w:r>
        <w:lastRenderedPageBreak/>
        <w:t xml:space="preserve">Pascale Bos, ‘Feminists Interpreting the Politics of Wartime Rape: Berlin, 1945; Yugoslavia, 1992-1993’, </w:t>
      </w:r>
      <w:r>
        <w:rPr>
          <w:i/>
          <w:iCs/>
        </w:rPr>
        <w:t xml:space="preserve">Signs: Journal of Women in Culture and Society </w:t>
      </w:r>
      <w:r>
        <w:t>31:4 (2006), 995-1025.</w:t>
      </w:r>
    </w:p>
    <w:p w14:paraId="2FC9CB80" w14:textId="096BF152" w:rsidR="008D1F29" w:rsidRDefault="008D1F29" w:rsidP="008D1F29">
      <w:r w:rsidRPr="0025460C">
        <w:t xml:space="preserve">Tone Bringa, ‘Averted Gaze: Genocide in Bosnia-Herzegovina, 1992-1995’, in </w:t>
      </w:r>
      <w:r>
        <w:t xml:space="preserve">Alexander Laban Hinton (ed.), </w:t>
      </w:r>
      <w:r>
        <w:rPr>
          <w:i/>
          <w:iCs/>
        </w:rPr>
        <w:t xml:space="preserve">Annihilating Difference: The Anthropology of Genocide </w:t>
      </w:r>
      <w:r>
        <w:t>(University of California Press, 2002), pp. 194-226.</w:t>
      </w:r>
    </w:p>
    <w:p w14:paraId="730C4785" w14:textId="144BEA13" w:rsidR="005D32A8" w:rsidRDefault="005D32A8" w:rsidP="008D1F29">
      <w:r>
        <w:t xml:space="preserve">David Campbell, </w:t>
      </w:r>
      <w:r>
        <w:rPr>
          <w:i/>
          <w:iCs/>
        </w:rPr>
        <w:t xml:space="preserve">National Deconstruction: Violence, Identity, and Justice in Bosnia </w:t>
      </w:r>
      <w:r>
        <w:t>(University of Minnesota Press, 1998).</w:t>
      </w:r>
    </w:p>
    <w:p w14:paraId="3699F038" w14:textId="44535CC1" w:rsidR="00EB24E1" w:rsidRDefault="00EB24E1" w:rsidP="00EB24E1">
      <w:r>
        <w:t xml:space="preserve">Cathie Carmichael, ‘Violence and ethnic boundary maintenance in Bosnia in the 1990s’, </w:t>
      </w:r>
      <w:r>
        <w:rPr>
          <w:i/>
          <w:iCs/>
        </w:rPr>
        <w:t xml:space="preserve">Journal of Genocide Research </w:t>
      </w:r>
      <w:r>
        <w:t>(2006), 8:3, 283-293.</w:t>
      </w:r>
    </w:p>
    <w:p w14:paraId="1D85BFDD" w14:textId="21376B09" w:rsidR="009A51D7" w:rsidRPr="009A51D7" w:rsidRDefault="009A51D7" w:rsidP="00EB24E1">
      <w:r>
        <w:t xml:space="preserve">Janine Natalya Clark, ‘Genocide, War Crimes and the Conflict in Bosnia: Understanding the Perpetrators’, </w:t>
      </w:r>
      <w:r>
        <w:rPr>
          <w:i/>
          <w:iCs/>
        </w:rPr>
        <w:t xml:space="preserve">Journal of Genocide Research </w:t>
      </w:r>
      <w:r>
        <w:t xml:space="preserve">11:4 (2009), </w:t>
      </w:r>
      <w:r w:rsidR="00957C62">
        <w:t>421-445.</w:t>
      </w:r>
    </w:p>
    <w:p w14:paraId="28509A44" w14:textId="0E83F4CE" w:rsidR="007037CD" w:rsidRDefault="007037CD" w:rsidP="008D1F29">
      <w:r>
        <w:t xml:space="preserve">Thomas Cushman and Stjepan Mestrovic, </w:t>
      </w:r>
      <w:r>
        <w:rPr>
          <w:i/>
          <w:iCs/>
        </w:rPr>
        <w:t xml:space="preserve">This Time We Knew: Western Responses to Genocide in Bosnia </w:t>
      </w:r>
      <w:r>
        <w:t>(New York University Press, 1996).</w:t>
      </w:r>
    </w:p>
    <w:p w14:paraId="16EFED77" w14:textId="0C5C2458" w:rsidR="008B148A" w:rsidRPr="00C23D03" w:rsidRDefault="008B148A" w:rsidP="008D1F29">
      <w:r w:rsidRPr="008B148A">
        <w:t>Bette Denich, ‘Dismembering Yugoslavia: Nationalist Ideologies and th</w:t>
      </w:r>
      <w:r>
        <w:t>e Symbolic Revival of Genocide’</w:t>
      </w:r>
      <w:r w:rsidR="00C23D03">
        <w:t xml:space="preserve">, </w:t>
      </w:r>
      <w:r w:rsidR="00C23D03">
        <w:rPr>
          <w:i/>
          <w:iCs/>
        </w:rPr>
        <w:t xml:space="preserve">American Ethnologist </w:t>
      </w:r>
      <w:r w:rsidR="00C23D03">
        <w:t>21:2 (1994), 367-390.</w:t>
      </w:r>
    </w:p>
    <w:p w14:paraId="626C81CB" w14:textId="4E048F4D" w:rsidR="00841FA6" w:rsidRDefault="00BB0EDA" w:rsidP="00841FA6">
      <w:r>
        <w:t xml:space="preserve">V. P. Gagnon, </w:t>
      </w:r>
      <w:r>
        <w:rPr>
          <w:i/>
          <w:iCs/>
        </w:rPr>
        <w:t xml:space="preserve">The Myth of Ethnic War: Serbia and Croatia in the 1990s </w:t>
      </w:r>
      <w:r>
        <w:t>(Cornell University Press, 2004).</w:t>
      </w:r>
    </w:p>
    <w:p w14:paraId="56AE253A" w14:textId="4D8C6D40" w:rsidR="00CC22A5" w:rsidRPr="00CC22A5" w:rsidRDefault="00CC22A5" w:rsidP="00841FA6">
      <w:r w:rsidRPr="00CC22A5">
        <w:t>Marko Atilla Hoare, ‘Genocide in the Former Yugoslavia: A Critique of Left Rev</w:t>
      </w:r>
      <w:r>
        <w:t xml:space="preserve">isionism’s Denial’, </w:t>
      </w:r>
      <w:r>
        <w:rPr>
          <w:i/>
          <w:iCs/>
        </w:rPr>
        <w:t xml:space="preserve">Journal of Genocide Research, </w:t>
      </w:r>
      <w:r>
        <w:t xml:space="preserve">5:4 (2003), </w:t>
      </w:r>
      <w:r w:rsidR="00FC4FC0">
        <w:t>543-563.</w:t>
      </w:r>
    </w:p>
    <w:p w14:paraId="21021FA3" w14:textId="6C8E8700" w:rsidR="00F910C2" w:rsidRDefault="00F910C2" w:rsidP="00F910C2">
      <w:r>
        <w:t xml:space="preserve">Jessie Barton </w:t>
      </w:r>
      <w:proofErr w:type="spellStart"/>
      <w:r>
        <w:t>Hronesova</w:t>
      </w:r>
      <w:proofErr w:type="spellEnd"/>
      <w:r>
        <w:t xml:space="preserve">, ‘The 2021 Memory Law in Bosnia and Herzegovina: Reconciliation or Polarization?’ </w:t>
      </w:r>
      <w:r>
        <w:rPr>
          <w:i/>
          <w:iCs/>
        </w:rPr>
        <w:t xml:space="preserve">Journal of Genocide Research </w:t>
      </w:r>
      <w:r w:rsidR="00154D67">
        <w:t>(2023)</w:t>
      </w:r>
    </w:p>
    <w:p w14:paraId="01C4B5BB" w14:textId="1A60B9E7" w:rsidR="00676F17" w:rsidRDefault="00676F17" w:rsidP="00676F17">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8.</w:t>
      </w:r>
    </w:p>
    <w:p w14:paraId="3E6F2BCE" w14:textId="7BD1C815" w:rsidR="00C97F1A" w:rsidRDefault="00C97F1A" w:rsidP="00676F17">
      <w:r w:rsidRPr="00C97F1A">
        <w:t>Alexander Korb, ‘Homogenizing Southeastern Europe, 1912-9</w:t>
      </w:r>
      <w:r>
        <w:t xml:space="preserve">9: Ethnic Cleansing in the Balkans Revisited’, </w:t>
      </w:r>
      <w:r>
        <w:rPr>
          <w:i/>
          <w:iCs/>
        </w:rPr>
        <w:t xml:space="preserve">Journal of Genocide Research </w:t>
      </w:r>
      <w:r>
        <w:t>18:4 (2016), 377-387.</w:t>
      </w:r>
    </w:p>
    <w:p w14:paraId="5A5A3630" w14:textId="6F290CE7" w:rsidR="009065B5" w:rsidRPr="009065B5" w:rsidRDefault="009065B5" w:rsidP="00676F17">
      <w:r>
        <w:t xml:space="preserve">Selma </w:t>
      </w:r>
      <w:proofErr w:type="spellStart"/>
      <w:r>
        <w:t>Leydesdorff</w:t>
      </w:r>
      <w:proofErr w:type="spellEnd"/>
      <w:r>
        <w:t xml:space="preserve"> and Kay Richardson, </w:t>
      </w:r>
      <w:r>
        <w:rPr>
          <w:i/>
          <w:iCs/>
        </w:rPr>
        <w:t xml:space="preserve">Surviving the Bosnian Genocide: The Women of Srebrenica Speak </w:t>
      </w:r>
      <w:r>
        <w:t>(Indiana University Press, 2011).</w:t>
      </w:r>
    </w:p>
    <w:p w14:paraId="7FA7FE92" w14:textId="4F4E21FD" w:rsidR="00EB24E1" w:rsidRDefault="00EB24E1" w:rsidP="00676F17">
      <w:r w:rsidRPr="00EB24E1">
        <w:t>Ben Lieberman, ‘Nationalist Narratives, Violence Between Neig</w:t>
      </w:r>
      <w:r>
        <w:t xml:space="preserve">hbours and Ethnic Cleansing in Bosnia-Hercegovina: A Case of Cognitive Dissonance?’, </w:t>
      </w:r>
      <w:r>
        <w:rPr>
          <w:i/>
          <w:iCs/>
        </w:rPr>
        <w:t xml:space="preserve">Journal of Genocide Research </w:t>
      </w:r>
      <w:r>
        <w:t>(2006), 8:3, 295-309.</w:t>
      </w:r>
    </w:p>
    <w:p w14:paraId="16BD1D60" w14:textId="02BDC4E2" w:rsidR="00EB24E1" w:rsidRDefault="00EB24E1" w:rsidP="00676F17">
      <w:r w:rsidRPr="00EB24E1">
        <w:t xml:space="preserve">Paul B. Miller, ‘Contested Memories: </w:t>
      </w:r>
      <w:r>
        <w:t xml:space="preserve">The Bosnian Genocide in Serb and Muslim Minds’, </w:t>
      </w:r>
      <w:r>
        <w:rPr>
          <w:i/>
          <w:iCs/>
        </w:rPr>
        <w:t xml:space="preserve">Journal of Genocide Research </w:t>
      </w:r>
      <w:r>
        <w:t>(2006), 8:3, 311-324.</w:t>
      </w:r>
    </w:p>
    <w:p w14:paraId="5840313E" w14:textId="35AF11E8" w:rsidR="00DB7D39" w:rsidRPr="00DB7D39" w:rsidRDefault="00DB7D39" w:rsidP="00676F17">
      <w:r>
        <w:lastRenderedPageBreak/>
        <w:t xml:space="preserve">Anthony </w:t>
      </w:r>
      <w:proofErr w:type="spellStart"/>
      <w:r>
        <w:t>Oberschall</w:t>
      </w:r>
      <w:proofErr w:type="spellEnd"/>
      <w:r>
        <w:t xml:space="preserve">, ‘The Manipulation of Ethnicity: From Ethnic Cooperation to Violence and War in Yugoslavia’, </w:t>
      </w:r>
      <w:r>
        <w:rPr>
          <w:i/>
          <w:iCs/>
        </w:rPr>
        <w:t xml:space="preserve">Ethnic and Racial Studies </w:t>
      </w:r>
      <w:r>
        <w:t xml:space="preserve">23:6 (2000), </w:t>
      </w:r>
      <w:r w:rsidR="00B35704">
        <w:t>982-1001.</w:t>
      </w:r>
    </w:p>
    <w:p w14:paraId="6C6B0C4E" w14:textId="6EA4D457" w:rsidR="003F4E9B" w:rsidRDefault="003F4E9B" w:rsidP="00676F17">
      <w:r w:rsidRPr="003F4E9B">
        <w:t xml:space="preserve">Peter Ronayne, ‘Genocide in Kosovo’, </w:t>
      </w:r>
      <w:r w:rsidRPr="003F4E9B">
        <w:rPr>
          <w:i/>
          <w:iCs/>
        </w:rPr>
        <w:t>Hum</w:t>
      </w:r>
      <w:r>
        <w:rPr>
          <w:i/>
          <w:iCs/>
        </w:rPr>
        <w:t xml:space="preserve">an Rights Review </w:t>
      </w:r>
      <w:r w:rsidR="000635FF">
        <w:t>5:4 (2004), 57-71.</w:t>
      </w:r>
    </w:p>
    <w:p w14:paraId="1087E032" w14:textId="45F089D2" w:rsidR="00DE6ECB" w:rsidRPr="00204043" w:rsidRDefault="00DE6ECB" w:rsidP="00676F17">
      <w:r>
        <w:t xml:space="preserve">Patricia A. </w:t>
      </w:r>
      <w:proofErr w:type="spellStart"/>
      <w:r>
        <w:t>Weitsman</w:t>
      </w:r>
      <w:proofErr w:type="spellEnd"/>
      <w:r>
        <w:t xml:space="preserve">, ‘The Politics </w:t>
      </w:r>
      <w:r w:rsidR="00204043">
        <w:t xml:space="preserve">of Identity and Sexual Violence: A Review of Bosnia and Rwanda’, </w:t>
      </w:r>
      <w:r w:rsidR="00204043">
        <w:rPr>
          <w:i/>
          <w:iCs/>
        </w:rPr>
        <w:t xml:space="preserve">Human Rights Quarterly, </w:t>
      </w:r>
      <w:r w:rsidR="00204043">
        <w:t>30:3 (2008), 561-578.</w:t>
      </w:r>
    </w:p>
    <w:p w14:paraId="1F1CFA66" w14:textId="490E4B04" w:rsidR="003B6D43" w:rsidRDefault="003B6D43" w:rsidP="003B6D43">
      <w:pPr>
        <w:pStyle w:val="Heading2"/>
      </w:pPr>
      <w:r w:rsidRPr="00DE6ECB">
        <w:t>Week 10:</w:t>
      </w:r>
      <w:r w:rsidR="00676F17" w:rsidRPr="00DE6ECB">
        <w:t xml:space="preserve"> Rwanda</w:t>
      </w:r>
      <w:r w:rsidR="00B36E37">
        <w:t>: Gender and Genocide</w:t>
      </w:r>
    </w:p>
    <w:p w14:paraId="5AEAF19A" w14:textId="7A1B85DB" w:rsidR="00293A3F" w:rsidRDefault="00293A3F" w:rsidP="00293A3F">
      <w:r>
        <w:t>For our final week of study, we’ll be examining the Rwandan Genocide Against the Tutsi</w:t>
      </w:r>
      <w:r w:rsidR="0011314E">
        <w:t xml:space="preserve"> of 1994, which resulted in the deaths of up to one million people over just one hundred days</w:t>
      </w:r>
      <w:r w:rsidR="00964B5A">
        <w:t xml:space="preserve"> while the international community largely looked on</w:t>
      </w:r>
      <w:r w:rsidR="0011314E">
        <w:t>. For this week, we’ll focus on the causes of the genocide, before paying special attention to the role of gender in how the genocide played out, looking at the roles of women as victims, perpetrators, and peacemakers.</w:t>
      </w:r>
    </w:p>
    <w:p w14:paraId="2C893AD7" w14:textId="4CA42B60" w:rsidR="00964B5A" w:rsidRDefault="00964B5A" w:rsidP="00293A3F">
      <w:r>
        <w:t>Key questions for our seminar:</w:t>
      </w:r>
    </w:p>
    <w:p w14:paraId="74912D8A" w14:textId="1BD783F0" w:rsidR="00964B5A" w:rsidRDefault="00964B5A" w:rsidP="00D07901">
      <w:pPr>
        <w:pStyle w:val="ListParagraph"/>
        <w:numPr>
          <w:ilvl w:val="0"/>
          <w:numId w:val="12"/>
        </w:numPr>
      </w:pPr>
      <w:r>
        <w:t>What were the causes of the Rwandan genocide?</w:t>
      </w:r>
    </w:p>
    <w:p w14:paraId="34287E96" w14:textId="39555233" w:rsidR="00964B5A" w:rsidRDefault="00964B5A" w:rsidP="00D07901">
      <w:pPr>
        <w:pStyle w:val="ListParagraph"/>
        <w:numPr>
          <w:ilvl w:val="0"/>
          <w:numId w:val="12"/>
        </w:numPr>
      </w:pPr>
      <w:r>
        <w:t>What was the role of gender in how the genocide was carried out?</w:t>
      </w:r>
    </w:p>
    <w:p w14:paraId="1DAB7065" w14:textId="6CB7CDD2" w:rsidR="00D07901" w:rsidRPr="00293A3F" w:rsidRDefault="00D07901" w:rsidP="00D07901">
      <w:pPr>
        <w:pStyle w:val="ListParagraph"/>
        <w:numPr>
          <w:ilvl w:val="0"/>
          <w:numId w:val="12"/>
        </w:numPr>
      </w:pPr>
      <w:r>
        <w:t>What roles did women play in the genocide?</w:t>
      </w:r>
    </w:p>
    <w:p w14:paraId="6BE55680" w14:textId="77777777" w:rsidR="00BF1FD7" w:rsidRDefault="00BF1FD7" w:rsidP="00D07901">
      <w:pPr>
        <w:pStyle w:val="Heading3"/>
      </w:pPr>
      <w:r w:rsidRPr="00752EFD">
        <w:rPr>
          <w:rStyle w:val="Heading3Char"/>
        </w:rPr>
        <w:t>Seminar reading</w:t>
      </w:r>
      <w:r>
        <w:t>:</w:t>
      </w:r>
    </w:p>
    <w:p w14:paraId="706F0DDB" w14:textId="08C8DB6A" w:rsidR="003E523E" w:rsidRDefault="003E523E" w:rsidP="00676F17">
      <w:r>
        <w:t xml:space="preserve">Helen </w:t>
      </w:r>
      <w:proofErr w:type="spellStart"/>
      <w:r>
        <w:t>Hintjens</w:t>
      </w:r>
      <w:proofErr w:type="spellEnd"/>
      <w:r>
        <w:t xml:space="preserve">, </w:t>
      </w:r>
      <w:r w:rsidR="001B0076">
        <w:t xml:space="preserve">‘Explaining the 1994 Genocide in Rwanda’, </w:t>
      </w:r>
      <w:r w:rsidR="001B0076">
        <w:rPr>
          <w:i/>
          <w:iCs/>
        </w:rPr>
        <w:t xml:space="preserve">Journal of Modern African Studies </w:t>
      </w:r>
      <w:r w:rsidR="001B0076">
        <w:t>37:2 (1999), pp.241-286.</w:t>
      </w:r>
    </w:p>
    <w:p w14:paraId="5BE049A6" w14:textId="77777777" w:rsidR="00B36E37" w:rsidRDefault="00B36E37" w:rsidP="00B36E37">
      <w:r>
        <w:t xml:space="preserve">Adam Jones, ‘Gender and Genocide in Rwanda’, </w:t>
      </w:r>
      <w:r>
        <w:rPr>
          <w:i/>
          <w:iCs/>
        </w:rPr>
        <w:t xml:space="preserve">Journal of Genocide Research </w:t>
      </w:r>
      <w:r>
        <w:t>4:1 (2002), 65-94.</w:t>
      </w:r>
    </w:p>
    <w:p w14:paraId="715B07FA" w14:textId="77777777" w:rsidR="00BC1FD3" w:rsidRPr="00F910C2" w:rsidRDefault="00BC1FD3" w:rsidP="00BC1FD3">
      <w:r>
        <w:t>Primary source:</w:t>
      </w:r>
      <w:r w:rsidRPr="007652DF">
        <w:t xml:space="preserve"> </w:t>
      </w:r>
      <w:hyperlink r:id="rId19" w:history="1">
        <w:r>
          <w:rPr>
            <w:rStyle w:val="Hyperlink"/>
          </w:rPr>
          <w:t>Leave None to Tell the Story: Genocide in Rwanda | HRW</w:t>
        </w:r>
      </w:hyperlink>
    </w:p>
    <w:p w14:paraId="6D00477A" w14:textId="0F505999" w:rsidR="00752EFD" w:rsidRPr="00355232" w:rsidRDefault="00752EFD" w:rsidP="00752EFD">
      <w:pPr>
        <w:pStyle w:val="Heading3"/>
      </w:pPr>
      <w:r>
        <w:t>Further reading:</w:t>
      </w:r>
    </w:p>
    <w:p w14:paraId="3977887A" w14:textId="77777777" w:rsidR="00111AFA" w:rsidRDefault="007B68B0" w:rsidP="00111AFA">
      <w:r>
        <w:t xml:space="preserve">Howard Adelman and Astri Suhrke (eds.), </w:t>
      </w:r>
      <w:r>
        <w:rPr>
          <w:i/>
          <w:iCs/>
        </w:rPr>
        <w:t xml:space="preserve">The Path of </w:t>
      </w:r>
      <w:r w:rsidR="00111AFA">
        <w:rPr>
          <w:i/>
          <w:iCs/>
        </w:rPr>
        <w:t xml:space="preserve">a Genocide: The Rwanda Crisis from Uganda to Zaire </w:t>
      </w:r>
      <w:r w:rsidR="00111AFA">
        <w:t xml:space="preserve">(Transaction, 1999), especially chapter by </w:t>
      </w:r>
      <w:proofErr w:type="spellStart"/>
      <w:r w:rsidR="00111AFA">
        <w:t>Kakwenzire</w:t>
      </w:r>
      <w:proofErr w:type="spellEnd"/>
      <w:r w:rsidR="00111AFA">
        <w:t xml:space="preserve"> and Kamukama.</w:t>
      </w:r>
    </w:p>
    <w:p w14:paraId="21D8CC14" w14:textId="243FAA5D" w:rsidR="00BB3BBD" w:rsidRDefault="002B5CF5" w:rsidP="00111AFA">
      <w:r>
        <w:t xml:space="preserve">Kimberly Allar, ‘Setting the Picture Straight: The Ordinary Women of Nazi Germany and Rwanda Who Participated in Genocide’, in </w:t>
      </w:r>
      <w:r w:rsidR="00302270">
        <w:t xml:space="preserve">Karen Auerbach (ed.), </w:t>
      </w:r>
      <w:r w:rsidR="00302270">
        <w:rPr>
          <w:i/>
          <w:iCs/>
        </w:rPr>
        <w:t xml:space="preserve">Aftermath: Genocide, Memory and History </w:t>
      </w:r>
      <w:r w:rsidR="00302270">
        <w:t xml:space="preserve">(Monash University Publishing, 2015), pp. </w:t>
      </w:r>
      <w:r w:rsidR="00BB3BBD">
        <w:t>21-47.</w:t>
      </w:r>
    </w:p>
    <w:p w14:paraId="61F5D780" w14:textId="1FB9F83D" w:rsidR="007F7772" w:rsidRPr="007F7772" w:rsidRDefault="007F7772" w:rsidP="00676F17">
      <w:r>
        <w:t xml:space="preserve">Erin K. Baines, ‘Body Politics and the Rwandan Crisis’, </w:t>
      </w:r>
      <w:r>
        <w:rPr>
          <w:i/>
          <w:iCs/>
        </w:rPr>
        <w:t xml:space="preserve">Third World Quarterly </w:t>
      </w:r>
      <w:r>
        <w:t>24:3 (2003), 479-493.</w:t>
      </w:r>
    </w:p>
    <w:p w14:paraId="7586C4F7" w14:textId="2F31BAD2" w:rsidR="00767957" w:rsidRDefault="00767957" w:rsidP="00676F17">
      <w:r>
        <w:t xml:space="preserve">Phillip Drew, Bruce Oswald, Robert McLaughlin and Jeremy Farrall (eds.), </w:t>
      </w:r>
      <w:r>
        <w:rPr>
          <w:i/>
          <w:iCs/>
        </w:rPr>
        <w:t xml:space="preserve">Rwanda Revisited: Genocide, Civil War, and the Transformation of International Law </w:t>
      </w:r>
      <w:r>
        <w:t>(Brill, 2021).</w:t>
      </w:r>
    </w:p>
    <w:p w14:paraId="6C3A45FC" w14:textId="72130CF7" w:rsidR="00032F49" w:rsidRPr="00032F49" w:rsidRDefault="00032F49" w:rsidP="00676F17">
      <w:r w:rsidRPr="00032F49">
        <w:lastRenderedPageBreak/>
        <w:t xml:space="preserve">Luke Fletcher, ‘Turning </w:t>
      </w:r>
      <w:r w:rsidRPr="00032F49">
        <w:rPr>
          <w:i/>
          <w:iCs/>
        </w:rPr>
        <w:t xml:space="preserve">Interahamwe: </w:t>
      </w:r>
      <w:r w:rsidRPr="00032F49">
        <w:t>Individual a</w:t>
      </w:r>
      <w:r>
        <w:t xml:space="preserve">nd Community Choices in the Rwandan Genocide’, </w:t>
      </w:r>
      <w:r>
        <w:rPr>
          <w:i/>
          <w:iCs/>
        </w:rPr>
        <w:t xml:space="preserve">Journal of Genocide Research </w:t>
      </w:r>
      <w:r>
        <w:t>9:1 (2007).</w:t>
      </w:r>
    </w:p>
    <w:p w14:paraId="724CE5B4" w14:textId="43FDDA73" w:rsidR="00A01E04" w:rsidRDefault="00A01E04" w:rsidP="00676F17">
      <w:r w:rsidRPr="00A01E04">
        <w:t xml:space="preserve">Lee Ann Fujii, </w:t>
      </w:r>
      <w:r w:rsidRPr="00A01E04">
        <w:rPr>
          <w:i/>
          <w:iCs/>
        </w:rPr>
        <w:t>Killing Neighbour</w:t>
      </w:r>
      <w:r>
        <w:rPr>
          <w:i/>
          <w:iCs/>
        </w:rPr>
        <w:t xml:space="preserve">s: Webs of Violence in Rwanda </w:t>
      </w:r>
      <w:r>
        <w:t>(Cornell University Press, 2009).</w:t>
      </w:r>
    </w:p>
    <w:p w14:paraId="32FB322F" w14:textId="273CB124" w:rsidR="00F7482E" w:rsidRDefault="00F7482E" w:rsidP="00676F17">
      <w:r w:rsidRPr="00F7482E">
        <w:t>Lee Ann Fujii, ‘Transforming the Mo</w:t>
      </w:r>
      <w:r>
        <w:t xml:space="preserve">ral Landscape: The Diffusion of a Genocidal Norm in Rwanda’, </w:t>
      </w:r>
      <w:r>
        <w:rPr>
          <w:i/>
          <w:iCs/>
        </w:rPr>
        <w:t xml:space="preserve">Journal of Genocide Research </w:t>
      </w:r>
      <w:r>
        <w:t>6:1 (2004)</w:t>
      </w:r>
      <w:r w:rsidR="00B67530">
        <w:t>.</w:t>
      </w:r>
    </w:p>
    <w:p w14:paraId="04033849" w14:textId="2BD68C7E" w:rsidR="006F3639" w:rsidRPr="006F3639" w:rsidRDefault="006F3639" w:rsidP="00676F17">
      <w:r>
        <w:t xml:space="preserve">Lee Ann Fujii, ‘The Power of Local Ties: Popular Participation in the Rwandan Genocide’, </w:t>
      </w:r>
      <w:r>
        <w:rPr>
          <w:i/>
          <w:iCs/>
        </w:rPr>
        <w:t xml:space="preserve">Security Studies </w:t>
      </w:r>
      <w:r>
        <w:t>17:3 (2008), 568-597.</w:t>
      </w:r>
    </w:p>
    <w:p w14:paraId="3BB5D410" w14:textId="0CD7F20A" w:rsidR="00FE366B" w:rsidRPr="005C5895" w:rsidRDefault="00FE366B" w:rsidP="00676F17">
      <w:r w:rsidRPr="008F5C74">
        <w:t xml:space="preserve">Erin Jessee, ‘Commemorating Genocide in Rwanda’ in </w:t>
      </w:r>
      <w:r w:rsidR="008F5C74" w:rsidRPr="008F5C74">
        <w:t xml:space="preserve">Guy </w:t>
      </w:r>
      <w:proofErr w:type="spellStart"/>
      <w:r w:rsidR="008F5C74" w:rsidRPr="008F5C74">
        <w:t>Elcheroth</w:t>
      </w:r>
      <w:proofErr w:type="spellEnd"/>
      <w:r w:rsidR="008F5C74" w:rsidRPr="008F5C74">
        <w:t xml:space="preserve"> and</w:t>
      </w:r>
      <w:r w:rsidR="008F5C74">
        <w:t xml:space="preserve"> </w:t>
      </w:r>
      <w:proofErr w:type="spellStart"/>
      <w:r w:rsidR="008F5C74">
        <w:t>Neloufer</w:t>
      </w:r>
      <w:proofErr w:type="spellEnd"/>
      <w:r w:rsidR="008F5C74">
        <w:t xml:space="preserve"> de Mel (eds.), </w:t>
      </w:r>
      <w:r w:rsidR="008F5C74">
        <w:rPr>
          <w:i/>
          <w:iCs/>
        </w:rPr>
        <w:t xml:space="preserve">In the Shadow of Transitional Justice: </w:t>
      </w:r>
      <w:r w:rsidR="005C5895">
        <w:rPr>
          <w:i/>
          <w:iCs/>
        </w:rPr>
        <w:t xml:space="preserve">Cross-national Perspectives on the Transformative Potential of Remembrance </w:t>
      </w:r>
      <w:r w:rsidR="005C5895">
        <w:t>(</w:t>
      </w:r>
      <w:r w:rsidR="00C07248">
        <w:t>Routledge, 2022), pp. 35-50.</w:t>
      </w:r>
    </w:p>
    <w:p w14:paraId="7DEA13C2" w14:textId="724C55DC" w:rsidR="00676F17" w:rsidRDefault="00676F17" w:rsidP="00676F17">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9.</w:t>
      </w:r>
    </w:p>
    <w:p w14:paraId="24914BA9" w14:textId="28C4AC6F" w:rsidR="00083F1D" w:rsidRPr="00083F1D" w:rsidRDefault="00083F1D" w:rsidP="00676F17">
      <w:r>
        <w:t xml:space="preserve">Rhian Elinor Keyse, ‘“A Very Sensitive Rwandan Woman”: Sexual Violence, History, and Gendered Narratives in the Trial of Pauline </w:t>
      </w:r>
      <w:proofErr w:type="spellStart"/>
      <w:r>
        <w:t>Nyiramasuhuko</w:t>
      </w:r>
      <w:proofErr w:type="spellEnd"/>
      <w:r>
        <w:t xml:space="preserve"> at the International Criminal Tribunal for Rwanda, 2001-2011’, </w:t>
      </w:r>
      <w:r>
        <w:rPr>
          <w:i/>
          <w:iCs/>
        </w:rPr>
        <w:t xml:space="preserve">Women’s History Review </w:t>
      </w:r>
      <w:r>
        <w:t>32:7 (2023), 1015-1039.</w:t>
      </w:r>
    </w:p>
    <w:p w14:paraId="7B3083CE" w14:textId="7C0B86B3" w:rsidR="00C61DC4" w:rsidRPr="00C61DC4" w:rsidRDefault="00C61DC4" w:rsidP="00676F17">
      <w:r>
        <w:t xml:space="preserve">René Lemarchand, ‘Disconnecting the Threads: Rwanda and the Holocaust Reconsidered’, </w:t>
      </w:r>
      <w:r>
        <w:rPr>
          <w:i/>
          <w:iCs/>
        </w:rPr>
        <w:t xml:space="preserve">Journal of Genocide Research </w:t>
      </w:r>
      <w:r>
        <w:t>4 (2002), pp.</w:t>
      </w:r>
      <w:r w:rsidR="00D94CD0">
        <w:t>499-518.</w:t>
      </w:r>
    </w:p>
    <w:p w14:paraId="01BF2F06" w14:textId="1F51DD89" w:rsidR="00BC1FD3" w:rsidRDefault="00BC1FD3" w:rsidP="00676F17">
      <w:r>
        <w:t xml:space="preserve">Timothy Longman, ‘Twenty Years After </w:t>
      </w:r>
      <w:r>
        <w:rPr>
          <w:i/>
          <w:iCs/>
        </w:rPr>
        <w:t xml:space="preserve">Leave None To Tell The Story, </w:t>
      </w:r>
      <w:r>
        <w:t xml:space="preserve">What Do We Now Know About the Genocide of the Tutsi in Rwanda’, </w:t>
      </w:r>
      <w:r>
        <w:rPr>
          <w:i/>
          <w:iCs/>
        </w:rPr>
        <w:t xml:space="preserve">Journal of Humanitarian Affairs </w:t>
      </w:r>
      <w:r>
        <w:t>2:2 (2020), 40-47.</w:t>
      </w:r>
    </w:p>
    <w:p w14:paraId="3F1C6F5E" w14:textId="19F5AE7B" w:rsidR="005374D9" w:rsidRDefault="005374D9" w:rsidP="00676F17">
      <w:r>
        <w:t xml:space="preserve">Timothy Longman, ‘Christian Churches and Genocide in Rwanda’ in Omer Bartov and Phyllis Mack (eds.), </w:t>
      </w:r>
      <w:r>
        <w:rPr>
          <w:i/>
          <w:iCs/>
        </w:rPr>
        <w:t xml:space="preserve">In God’s Name: Genocide and Religion in the Twentieth Century </w:t>
      </w:r>
      <w:r>
        <w:t>(2010), pp. 139-160</w:t>
      </w:r>
    </w:p>
    <w:p w14:paraId="35C4C086" w14:textId="77777777" w:rsidR="002D7BA2" w:rsidRDefault="002D7BA2" w:rsidP="002D7BA2">
      <w:r>
        <w:t xml:space="preserve">Mahmood Mamdani, </w:t>
      </w:r>
      <w:r>
        <w:rPr>
          <w:i/>
          <w:iCs/>
        </w:rPr>
        <w:t xml:space="preserve">When Victims Become Killers: Colonialism, Nativism, and the Genocide in Rwanda </w:t>
      </w:r>
      <w:r>
        <w:t>(Princeton University Press, 2001), Introduction.</w:t>
      </w:r>
    </w:p>
    <w:p w14:paraId="61CE319B" w14:textId="7C3E5DA4" w:rsidR="00BF1FD7" w:rsidRDefault="000466FB" w:rsidP="00BF1FD7">
      <w:r>
        <w:t xml:space="preserve">Paul </w:t>
      </w:r>
      <w:proofErr w:type="spellStart"/>
      <w:r>
        <w:t>Magnarella</w:t>
      </w:r>
      <w:proofErr w:type="spellEnd"/>
      <w:r>
        <w:t xml:space="preserve">, ‘Recent Developments in the International Law of Genocide: An Anthropological Perspective on the International Criminal Tribunal for Rwanda’ in Alexander Laban Hinton (ed.), </w:t>
      </w:r>
      <w:r>
        <w:rPr>
          <w:i/>
          <w:iCs/>
        </w:rPr>
        <w:t xml:space="preserve">Annihilating Difference: The Anthropology of Genocide </w:t>
      </w:r>
      <w:r>
        <w:t>(University of California Press, 2002), pp. 310-322.</w:t>
      </w:r>
    </w:p>
    <w:p w14:paraId="31468091" w14:textId="33FEA105" w:rsidR="00322CC5" w:rsidRPr="00322CC5" w:rsidRDefault="00322CC5" w:rsidP="000466FB">
      <w:r w:rsidRPr="00322CC5">
        <w:t>Robert Melson, ‘Modern Genocide in Rwanda: Ideology, Revolution, War, and Mass Mur</w:t>
      </w:r>
      <w:r>
        <w:t xml:space="preserve">der in an African State’, in Robert </w:t>
      </w:r>
      <w:proofErr w:type="spellStart"/>
      <w:r>
        <w:t>Gellately</w:t>
      </w:r>
      <w:proofErr w:type="spellEnd"/>
      <w:r>
        <w:t xml:space="preserve"> and Ben Kiernan (eds.), ‘ </w:t>
      </w:r>
      <w:r>
        <w:rPr>
          <w:i/>
          <w:iCs/>
        </w:rPr>
        <w:t xml:space="preserve">The Specter of Genocide: Mass Murder in Historical Perspective </w:t>
      </w:r>
      <w:r>
        <w:t>(Cambridge, 2003), pp.</w:t>
      </w:r>
      <w:r w:rsidR="00A6267A">
        <w:t>325-338.</w:t>
      </w:r>
    </w:p>
    <w:p w14:paraId="4F35476E" w14:textId="23F0EB1F" w:rsidR="003D23EF" w:rsidRDefault="003D23EF" w:rsidP="000466FB">
      <w:r>
        <w:t xml:space="preserve">Donald E. Miller, </w:t>
      </w:r>
      <w:r>
        <w:rPr>
          <w:i/>
          <w:iCs/>
        </w:rPr>
        <w:t xml:space="preserve">Becoming Human Again: An Oral History of the Rwanda Genocide Against the Tutsi </w:t>
      </w:r>
      <w:r>
        <w:t>(</w:t>
      </w:r>
      <w:r w:rsidR="00294336">
        <w:t>University of California Press, 2020).</w:t>
      </w:r>
    </w:p>
    <w:p w14:paraId="7EAC5969" w14:textId="146E3DF1" w:rsidR="00032F49" w:rsidRPr="003B4A32" w:rsidRDefault="00032F49" w:rsidP="000466FB">
      <w:r w:rsidRPr="00032F49">
        <w:lastRenderedPageBreak/>
        <w:t xml:space="preserve">Charles </w:t>
      </w:r>
      <w:proofErr w:type="spellStart"/>
      <w:r w:rsidRPr="00032F49">
        <w:t>Mironko</w:t>
      </w:r>
      <w:proofErr w:type="spellEnd"/>
      <w:r w:rsidRPr="00032F49">
        <w:t>, ‘</w:t>
      </w:r>
      <w:proofErr w:type="spellStart"/>
      <w:r w:rsidRPr="00032F49">
        <w:rPr>
          <w:i/>
          <w:iCs/>
        </w:rPr>
        <w:t>Igitero</w:t>
      </w:r>
      <w:proofErr w:type="spellEnd"/>
      <w:r w:rsidRPr="00032F49">
        <w:rPr>
          <w:i/>
          <w:iCs/>
        </w:rPr>
        <w:t xml:space="preserve">: </w:t>
      </w:r>
      <w:r w:rsidRPr="00032F49">
        <w:t>Means and Motive in the Rwandan Genocide’</w:t>
      </w:r>
      <w:r>
        <w:t xml:space="preserve"> in </w:t>
      </w:r>
      <w:r>
        <w:rPr>
          <w:i/>
          <w:iCs/>
        </w:rPr>
        <w:t xml:space="preserve">Journal of Genocide Research </w:t>
      </w:r>
      <w:r w:rsidR="003B4A32">
        <w:t>6:1 (2004).</w:t>
      </w:r>
    </w:p>
    <w:p w14:paraId="33179C32" w14:textId="0263678A" w:rsidR="001757CF" w:rsidRDefault="001757CF" w:rsidP="000466FB">
      <w:r>
        <w:t xml:space="preserve">David </w:t>
      </w:r>
      <w:proofErr w:type="spellStart"/>
      <w:r>
        <w:t>Mwambari</w:t>
      </w:r>
      <w:proofErr w:type="spellEnd"/>
      <w:r>
        <w:t xml:space="preserve">, </w:t>
      </w:r>
      <w:r>
        <w:rPr>
          <w:i/>
          <w:iCs/>
        </w:rPr>
        <w:t xml:space="preserve">Navigating Cultural Memory: Commemoration and Narrative in </w:t>
      </w:r>
      <w:proofErr w:type="spellStart"/>
      <w:r>
        <w:rPr>
          <w:i/>
          <w:iCs/>
        </w:rPr>
        <w:t>Postgenocide</w:t>
      </w:r>
      <w:proofErr w:type="spellEnd"/>
      <w:r>
        <w:rPr>
          <w:i/>
          <w:iCs/>
        </w:rPr>
        <w:t xml:space="preserve"> Rwanda </w:t>
      </w:r>
      <w:r>
        <w:t>(Oxford University Press, 2023).</w:t>
      </w:r>
    </w:p>
    <w:p w14:paraId="4D4262A1" w14:textId="387E7E25" w:rsidR="00B67530" w:rsidRPr="00B67530" w:rsidRDefault="00B67530" w:rsidP="000466FB">
      <w:r w:rsidRPr="00B67530">
        <w:t xml:space="preserve">Lisa </w:t>
      </w:r>
      <w:proofErr w:type="spellStart"/>
      <w:r w:rsidRPr="00B67530">
        <w:t>Sharlach</w:t>
      </w:r>
      <w:proofErr w:type="spellEnd"/>
      <w:r w:rsidRPr="00B67530">
        <w:t>, ‘Gender and Genocide in Rwanda: Women a</w:t>
      </w:r>
      <w:r>
        <w:t xml:space="preserve">s Agents and Objects of Genocide’, </w:t>
      </w:r>
      <w:r>
        <w:rPr>
          <w:i/>
          <w:iCs/>
        </w:rPr>
        <w:t xml:space="preserve">Journal of Genocide Research, </w:t>
      </w:r>
      <w:r>
        <w:t>1:3 (1999).</w:t>
      </w:r>
    </w:p>
    <w:p w14:paraId="1BA6813F" w14:textId="472F0B8B" w:rsidR="00992F47" w:rsidRDefault="00157730" w:rsidP="00992F47">
      <w:r>
        <w:t xml:space="preserve">Amy Sodaro, </w:t>
      </w:r>
      <w:r w:rsidRPr="00157730">
        <w:rPr>
          <w:i/>
          <w:iCs/>
        </w:rPr>
        <w:t>Exhibiting Atrocity: Memorial Museums and the Politics of Past Violence</w:t>
      </w:r>
      <w:r>
        <w:t xml:space="preserve"> (Rutgers University Press, 2018), Chapter </w:t>
      </w:r>
      <w:r w:rsidR="00451528">
        <w:t>4.</w:t>
      </w:r>
    </w:p>
    <w:p w14:paraId="766C9D12" w14:textId="22ED8322" w:rsidR="00480253" w:rsidRDefault="00480253" w:rsidP="00992F47">
      <w:r>
        <w:t xml:space="preserve">Gregory H. Stanton, ‘Could the Rwandan Genocide Have Been Prevented?’, </w:t>
      </w:r>
      <w:r>
        <w:rPr>
          <w:i/>
          <w:iCs/>
        </w:rPr>
        <w:t xml:space="preserve">Journal of Genocide Research </w:t>
      </w:r>
      <w:r>
        <w:t>6:2 (2004), 211-228.</w:t>
      </w:r>
    </w:p>
    <w:p w14:paraId="4AFEE4FD" w14:textId="13CE06D4" w:rsidR="00992F47" w:rsidRDefault="00992F47" w:rsidP="00992F47">
      <w:r>
        <w:t xml:space="preserve">Izabela </w:t>
      </w:r>
      <w:proofErr w:type="spellStart"/>
      <w:r>
        <w:t>Steflja</w:t>
      </w:r>
      <w:proofErr w:type="spellEnd"/>
      <w:r>
        <w:t xml:space="preserve">, ‘Professional Women as Perpetrators: A Conversation with Valérie, “Rwanda’s Voice of Death”, </w:t>
      </w:r>
      <w:r>
        <w:rPr>
          <w:i/>
          <w:iCs/>
        </w:rPr>
        <w:t xml:space="preserve">Journal of Genocide Research </w:t>
      </w:r>
      <w:r w:rsidR="00A6077C">
        <w:t>(2024).</w:t>
      </w:r>
    </w:p>
    <w:p w14:paraId="5839CBD7" w14:textId="1BBD9076" w:rsidR="005D4CFB" w:rsidRDefault="005D4CFB" w:rsidP="00992F47">
      <w:r>
        <w:t xml:space="preserve">Scott Straus, ‘The Limits of a Genocide Lens: Violence Against Rwandans in the 1990s’, </w:t>
      </w:r>
      <w:r>
        <w:rPr>
          <w:i/>
          <w:iCs/>
        </w:rPr>
        <w:t xml:space="preserve">Journal of Genocide Research </w:t>
      </w:r>
      <w:r>
        <w:t>21:4 (2019).</w:t>
      </w:r>
    </w:p>
    <w:p w14:paraId="70C2AF7E" w14:textId="0F568CD9" w:rsidR="00405F9E" w:rsidRDefault="00405F9E" w:rsidP="00992F47">
      <w:r>
        <w:t xml:space="preserve">Scott Straus, ‘How Many Perpetrators Were There in the Rwandan Genocide? An Estimate’, </w:t>
      </w:r>
      <w:r>
        <w:rPr>
          <w:i/>
          <w:iCs/>
        </w:rPr>
        <w:t xml:space="preserve">Journal of Genocide Research </w:t>
      </w:r>
      <w:r>
        <w:t>6:1 (2004).</w:t>
      </w:r>
    </w:p>
    <w:p w14:paraId="1E7442F5" w14:textId="444C2335" w:rsidR="003A0F17" w:rsidRDefault="003A0F17" w:rsidP="003A0F17">
      <w:r>
        <w:t xml:space="preserve">Scott Straus, </w:t>
      </w:r>
      <w:r>
        <w:rPr>
          <w:i/>
          <w:iCs/>
        </w:rPr>
        <w:t xml:space="preserve">The Order of Genocide: Race, Power, and War in Rwanda </w:t>
      </w:r>
      <w:r>
        <w:t>(Cornell University Press, 2006).</w:t>
      </w:r>
    </w:p>
    <w:p w14:paraId="14F11F5C" w14:textId="18381D0E" w:rsidR="009D46B1" w:rsidRPr="009D46B1" w:rsidRDefault="009D46B1" w:rsidP="003A0F17">
      <w:r>
        <w:t xml:space="preserve">Scott Straus, ‘What Is The Relationship Between Hate Radio and Violence? Rethinking Rwanda’s “Radio Machete”’, </w:t>
      </w:r>
      <w:r>
        <w:rPr>
          <w:i/>
          <w:iCs/>
        </w:rPr>
        <w:t xml:space="preserve">Politics &amp; Society </w:t>
      </w:r>
      <w:r>
        <w:t>35:4 (2007), 609-637.</w:t>
      </w:r>
    </w:p>
    <w:p w14:paraId="5E9AB29D" w14:textId="1642BE26" w:rsidR="001A2B31" w:rsidRDefault="001A2B31" w:rsidP="00676F17">
      <w:r>
        <w:t xml:space="preserve">Christopher C. Taylor, ‘The Cultural Face of Terror in the Rwandan Genocide of 1994’ in </w:t>
      </w:r>
      <w:r w:rsidR="00427662">
        <w:t xml:space="preserve">Alexander Laban Hinton (ed.), </w:t>
      </w:r>
      <w:r w:rsidR="00427662">
        <w:rPr>
          <w:i/>
          <w:iCs/>
        </w:rPr>
        <w:t xml:space="preserve">Annihilating Difference: The Anthropology of Genocide </w:t>
      </w:r>
      <w:r w:rsidR="00427662">
        <w:t xml:space="preserve">(University of California Press, 2002), pp. </w:t>
      </w:r>
      <w:r w:rsidR="00886086">
        <w:t>137-178.</w:t>
      </w:r>
    </w:p>
    <w:p w14:paraId="5717C8B7" w14:textId="06ECA683" w:rsidR="001925C6" w:rsidRDefault="001925C6" w:rsidP="00676F17">
      <w:r>
        <w:t xml:space="preserve">Christopher C. Taylor, ‘A Gendered Genocide: Tutsi Women and Hutu Extremists in the 1994 Rwanda Genocide’, </w:t>
      </w:r>
      <w:r w:rsidR="00EA11D0">
        <w:rPr>
          <w:i/>
          <w:iCs/>
        </w:rPr>
        <w:t xml:space="preserve">Political and Legal Anthropology Review </w:t>
      </w:r>
      <w:r w:rsidR="00EA11D0">
        <w:t>22:1 (1999), 42-54.</w:t>
      </w:r>
    </w:p>
    <w:p w14:paraId="5CC15234" w14:textId="2D0720EA" w:rsidR="009D46B1" w:rsidRDefault="009D46B1" w:rsidP="009D46B1">
      <w:r>
        <w:t xml:space="preserve">Allan Thompson (ed.), </w:t>
      </w:r>
      <w:r>
        <w:rPr>
          <w:i/>
          <w:iCs/>
        </w:rPr>
        <w:t xml:space="preserve">The Media and the Rwanda Genocide </w:t>
      </w:r>
      <w:r>
        <w:t>(Pluto Press, 2007).</w:t>
      </w:r>
    </w:p>
    <w:p w14:paraId="38DC3A75" w14:textId="6F9CEE60" w:rsidR="00DC193A" w:rsidRPr="00DC193A" w:rsidRDefault="00DC193A" w:rsidP="00676F17">
      <w:r w:rsidRPr="00DC193A">
        <w:t xml:space="preserve">Peter </w:t>
      </w:r>
      <w:proofErr w:type="spellStart"/>
      <w:r w:rsidRPr="00DC193A">
        <w:t>Uvin</w:t>
      </w:r>
      <w:proofErr w:type="spellEnd"/>
      <w:r w:rsidRPr="00DC193A">
        <w:t>, ‘Prejudice, Crisis, and G</w:t>
      </w:r>
      <w:r>
        <w:t xml:space="preserve">enocide in Rwanda’, </w:t>
      </w:r>
      <w:r>
        <w:rPr>
          <w:i/>
          <w:iCs/>
        </w:rPr>
        <w:t xml:space="preserve">African Studies Review </w:t>
      </w:r>
      <w:r>
        <w:t>40:2 (1997), 91-115.</w:t>
      </w:r>
    </w:p>
    <w:p w14:paraId="63F4CE08" w14:textId="1B63EC33" w:rsidR="000608FB" w:rsidRDefault="000608FB" w:rsidP="00676F17">
      <w:r w:rsidRPr="000608FB">
        <w:t>Stephanie Wolfe, Matthew Kane, and Tawi</w:t>
      </w:r>
      <w:r>
        <w:t xml:space="preserve">a Ansah (eds.), </w:t>
      </w:r>
      <w:r>
        <w:rPr>
          <w:i/>
          <w:iCs/>
        </w:rPr>
        <w:t xml:space="preserve">In the Shadow of Genocide: Justice and Memory Within Rwanda </w:t>
      </w:r>
      <w:r>
        <w:t>(Routledge, 2022).</w:t>
      </w:r>
    </w:p>
    <w:p w14:paraId="394A3347" w14:textId="65B1A04C" w:rsidR="00A6077C" w:rsidRPr="00A6077C" w:rsidRDefault="00A6077C" w:rsidP="00676F17">
      <w:r>
        <w:t xml:space="preserve">Eugenia Zorbas, ‘What does Reconciliation After Genocide Mean? Public Transcripts and Hidden Transcripts in Post-Genocide Rwanda’, </w:t>
      </w:r>
      <w:r>
        <w:rPr>
          <w:i/>
          <w:iCs/>
        </w:rPr>
        <w:t xml:space="preserve">Journal of Genocide Research </w:t>
      </w:r>
      <w:r>
        <w:t xml:space="preserve">11:1 (2009), </w:t>
      </w:r>
      <w:r w:rsidR="008E4DB9">
        <w:t>127-147.</w:t>
      </w:r>
    </w:p>
    <w:p w14:paraId="78197379" w14:textId="77777777" w:rsidR="00DC66E2" w:rsidRPr="00097690" w:rsidRDefault="00DC66E2" w:rsidP="00097690"/>
    <w:sectPr w:rsidR="00DC66E2" w:rsidRPr="000976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DB927" w14:textId="77777777" w:rsidR="00214CEC" w:rsidRDefault="00214CEC" w:rsidP="006F3639">
      <w:pPr>
        <w:spacing w:after="0" w:line="240" w:lineRule="auto"/>
      </w:pPr>
      <w:r>
        <w:separator/>
      </w:r>
    </w:p>
  </w:endnote>
  <w:endnote w:type="continuationSeparator" w:id="0">
    <w:p w14:paraId="1586EA92" w14:textId="77777777" w:rsidR="00214CEC" w:rsidRDefault="00214CEC" w:rsidP="006F3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DE4DE2" w14:textId="77777777" w:rsidR="00214CEC" w:rsidRDefault="00214CEC" w:rsidP="006F3639">
      <w:pPr>
        <w:spacing w:after="0" w:line="240" w:lineRule="auto"/>
      </w:pPr>
      <w:r>
        <w:separator/>
      </w:r>
    </w:p>
  </w:footnote>
  <w:footnote w:type="continuationSeparator" w:id="0">
    <w:p w14:paraId="7AFC3323" w14:textId="77777777" w:rsidR="00214CEC" w:rsidRDefault="00214CEC" w:rsidP="006F3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A08C0"/>
    <w:multiLevelType w:val="hybridMultilevel"/>
    <w:tmpl w:val="D7FE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33F05"/>
    <w:multiLevelType w:val="hybridMultilevel"/>
    <w:tmpl w:val="5C9E87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77E97"/>
    <w:multiLevelType w:val="hybridMultilevel"/>
    <w:tmpl w:val="A210CC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A35AFA"/>
    <w:multiLevelType w:val="multilevel"/>
    <w:tmpl w:val="07F0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6F27B1"/>
    <w:multiLevelType w:val="multilevel"/>
    <w:tmpl w:val="CA0C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5A12E3"/>
    <w:multiLevelType w:val="multilevel"/>
    <w:tmpl w:val="6F48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00597E"/>
    <w:multiLevelType w:val="multilevel"/>
    <w:tmpl w:val="EC7E41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891102"/>
    <w:multiLevelType w:val="hybridMultilevel"/>
    <w:tmpl w:val="4CCA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A19F2"/>
    <w:multiLevelType w:val="hybridMultilevel"/>
    <w:tmpl w:val="185A8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3646E5"/>
    <w:multiLevelType w:val="multilevel"/>
    <w:tmpl w:val="040ED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F30118"/>
    <w:multiLevelType w:val="hybridMultilevel"/>
    <w:tmpl w:val="27508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F8084B"/>
    <w:multiLevelType w:val="hybridMultilevel"/>
    <w:tmpl w:val="9C34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3277118">
    <w:abstractNumId w:val="1"/>
  </w:num>
  <w:num w:numId="2" w16cid:durableId="364524589">
    <w:abstractNumId w:val="2"/>
  </w:num>
  <w:num w:numId="3" w16cid:durableId="1331054891">
    <w:abstractNumId w:val="6"/>
  </w:num>
  <w:num w:numId="4" w16cid:durableId="1852648907">
    <w:abstractNumId w:val="10"/>
  </w:num>
  <w:num w:numId="5" w16cid:durableId="422260416">
    <w:abstractNumId w:val="9"/>
  </w:num>
  <w:num w:numId="6" w16cid:durableId="2143306705">
    <w:abstractNumId w:val="11"/>
  </w:num>
  <w:num w:numId="7" w16cid:durableId="1331905332">
    <w:abstractNumId w:val="8"/>
  </w:num>
  <w:num w:numId="8" w16cid:durableId="438916209">
    <w:abstractNumId w:val="7"/>
  </w:num>
  <w:num w:numId="9" w16cid:durableId="357973595">
    <w:abstractNumId w:val="5"/>
  </w:num>
  <w:num w:numId="10" w16cid:durableId="654339574">
    <w:abstractNumId w:val="3"/>
  </w:num>
  <w:num w:numId="11" w16cid:durableId="1953786160">
    <w:abstractNumId w:val="4"/>
  </w:num>
  <w:num w:numId="12" w16cid:durableId="142357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97690"/>
    <w:rsid w:val="00000E70"/>
    <w:rsid w:val="00005223"/>
    <w:rsid w:val="00032F49"/>
    <w:rsid w:val="00037CB8"/>
    <w:rsid w:val="000466FB"/>
    <w:rsid w:val="000608FB"/>
    <w:rsid w:val="000632B7"/>
    <w:rsid w:val="000635FF"/>
    <w:rsid w:val="000772CA"/>
    <w:rsid w:val="000774B3"/>
    <w:rsid w:val="0008212E"/>
    <w:rsid w:val="00083F1D"/>
    <w:rsid w:val="000870DC"/>
    <w:rsid w:val="0009692D"/>
    <w:rsid w:val="00097690"/>
    <w:rsid w:val="000D0234"/>
    <w:rsid w:val="000D671E"/>
    <w:rsid w:val="000D6A4F"/>
    <w:rsid w:val="000D7265"/>
    <w:rsid w:val="000F627F"/>
    <w:rsid w:val="00105220"/>
    <w:rsid w:val="00111AFA"/>
    <w:rsid w:val="0011314E"/>
    <w:rsid w:val="001245D7"/>
    <w:rsid w:val="001352FB"/>
    <w:rsid w:val="00154D67"/>
    <w:rsid w:val="00157730"/>
    <w:rsid w:val="001757CF"/>
    <w:rsid w:val="0018682A"/>
    <w:rsid w:val="00192453"/>
    <w:rsid w:val="001925C6"/>
    <w:rsid w:val="001A2B31"/>
    <w:rsid w:val="001B0076"/>
    <w:rsid w:val="001E6AF7"/>
    <w:rsid w:val="00201498"/>
    <w:rsid w:val="00204043"/>
    <w:rsid w:val="00214CEC"/>
    <w:rsid w:val="00236003"/>
    <w:rsid w:val="0025460C"/>
    <w:rsid w:val="00256F39"/>
    <w:rsid w:val="00257179"/>
    <w:rsid w:val="0026160A"/>
    <w:rsid w:val="002871F1"/>
    <w:rsid w:val="00293A3F"/>
    <w:rsid w:val="00294336"/>
    <w:rsid w:val="002B5CF5"/>
    <w:rsid w:val="002D7BA2"/>
    <w:rsid w:val="00302270"/>
    <w:rsid w:val="00322CC5"/>
    <w:rsid w:val="003545B0"/>
    <w:rsid w:val="00355232"/>
    <w:rsid w:val="00374D4D"/>
    <w:rsid w:val="00384646"/>
    <w:rsid w:val="003872D2"/>
    <w:rsid w:val="00397ACD"/>
    <w:rsid w:val="003A0F17"/>
    <w:rsid w:val="003A1031"/>
    <w:rsid w:val="003A747F"/>
    <w:rsid w:val="003B4A32"/>
    <w:rsid w:val="003B6292"/>
    <w:rsid w:val="003B6D43"/>
    <w:rsid w:val="003D23EF"/>
    <w:rsid w:val="003D50B9"/>
    <w:rsid w:val="003E006B"/>
    <w:rsid w:val="003E1128"/>
    <w:rsid w:val="003E523E"/>
    <w:rsid w:val="003F38B5"/>
    <w:rsid w:val="003F4E9B"/>
    <w:rsid w:val="00404735"/>
    <w:rsid w:val="00405F9E"/>
    <w:rsid w:val="00427662"/>
    <w:rsid w:val="004361C8"/>
    <w:rsid w:val="00451528"/>
    <w:rsid w:val="0046565D"/>
    <w:rsid w:val="00480253"/>
    <w:rsid w:val="00486EEE"/>
    <w:rsid w:val="004D48DA"/>
    <w:rsid w:val="004F4C93"/>
    <w:rsid w:val="00531C1B"/>
    <w:rsid w:val="005322E8"/>
    <w:rsid w:val="005374D9"/>
    <w:rsid w:val="005426A4"/>
    <w:rsid w:val="0057480A"/>
    <w:rsid w:val="0058137A"/>
    <w:rsid w:val="00592D4D"/>
    <w:rsid w:val="005A0967"/>
    <w:rsid w:val="005C5895"/>
    <w:rsid w:val="005C65FF"/>
    <w:rsid w:val="005D32A8"/>
    <w:rsid w:val="005D4CFB"/>
    <w:rsid w:val="005F20B8"/>
    <w:rsid w:val="005F2D1E"/>
    <w:rsid w:val="00616209"/>
    <w:rsid w:val="00655F87"/>
    <w:rsid w:val="006727C6"/>
    <w:rsid w:val="00672C65"/>
    <w:rsid w:val="00676F17"/>
    <w:rsid w:val="006C4B99"/>
    <w:rsid w:val="006F3639"/>
    <w:rsid w:val="006F3802"/>
    <w:rsid w:val="007036D9"/>
    <w:rsid w:val="007037CD"/>
    <w:rsid w:val="00752EFD"/>
    <w:rsid w:val="007652DF"/>
    <w:rsid w:val="00767957"/>
    <w:rsid w:val="007B68B0"/>
    <w:rsid w:val="007D62CB"/>
    <w:rsid w:val="007F013D"/>
    <w:rsid w:val="007F64A2"/>
    <w:rsid w:val="007F7772"/>
    <w:rsid w:val="008321D7"/>
    <w:rsid w:val="00841FA6"/>
    <w:rsid w:val="00886086"/>
    <w:rsid w:val="008B148A"/>
    <w:rsid w:val="008B221E"/>
    <w:rsid w:val="008C318B"/>
    <w:rsid w:val="008D1F29"/>
    <w:rsid w:val="008E4DB9"/>
    <w:rsid w:val="008F5C74"/>
    <w:rsid w:val="009065B5"/>
    <w:rsid w:val="009417E2"/>
    <w:rsid w:val="0094463B"/>
    <w:rsid w:val="00957C62"/>
    <w:rsid w:val="00964B5A"/>
    <w:rsid w:val="00977A08"/>
    <w:rsid w:val="00985C32"/>
    <w:rsid w:val="00992F47"/>
    <w:rsid w:val="009962C5"/>
    <w:rsid w:val="009A51D7"/>
    <w:rsid w:val="009B7B19"/>
    <w:rsid w:val="009D46B1"/>
    <w:rsid w:val="00A01E04"/>
    <w:rsid w:val="00A4786F"/>
    <w:rsid w:val="00A5135A"/>
    <w:rsid w:val="00A6077C"/>
    <w:rsid w:val="00A6267A"/>
    <w:rsid w:val="00A80160"/>
    <w:rsid w:val="00A85C75"/>
    <w:rsid w:val="00AB6562"/>
    <w:rsid w:val="00AF02A1"/>
    <w:rsid w:val="00AF5206"/>
    <w:rsid w:val="00B073E3"/>
    <w:rsid w:val="00B07718"/>
    <w:rsid w:val="00B30717"/>
    <w:rsid w:val="00B30F4C"/>
    <w:rsid w:val="00B35704"/>
    <w:rsid w:val="00B36E37"/>
    <w:rsid w:val="00B56E86"/>
    <w:rsid w:val="00B67530"/>
    <w:rsid w:val="00B745BB"/>
    <w:rsid w:val="00B934B4"/>
    <w:rsid w:val="00BB0EDA"/>
    <w:rsid w:val="00BB3BBD"/>
    <w:rsid w:val="00BC1FD3"/>
    <w:rsid w:val="00BC51EC"/>
    <w:rsid w:val="00BF1FD7"/>
    <w:rsid w:val="00C07248"/>
    <w:rsid w:val="00C23D03"/>
    <w:rsid w:val="00C52538"/>
    <w:rsid w:val="00C61DC4"/>
    <w:rsid w:val="00C97F1A"/>
    <w:rsid w:val="00CC22A5"/>
    <w:rsid w:val="00CF4649"/>
    <w:rsid w:val="00D07901"/>
    <w:rsid w:val="00D94CD0"/>
    <w:rsid w:val="00DB6B9B"/>
    <w:rsid w:val="00DB7D39"/>
    <w:rsid w:val="00DC193A"/>
    <w:rsid w:val="00DC66E2"/>
    <w:rsid w:val="00DE6ECB"/>
    <w:rsid w:val="00E24B50"/>
    <w:rsid w:val="00E333B8"/>
    <w:rsid w:val="00E33CBE"/>
    <w:rsid w:val="00E83769"/>
    <w:rsid w:val="00EA11D0"/>
    <w:rsid w:val="00EB24E1"/>
    <w:rsid w:val="00EE64ED"/>
    <w:rsid w:val="00F070FE"/>
    <w:rsid w:val="00F101A8"/>
    <w:rsid w:val="00F202A8"/>
    <w:rsid w:val="00F36E4A"/>
    <w:rsid w:val="00F453DD"/>
    <w:rsid w:val="00F7482E"/>
    <w:rsid w:val="00F855A5"/>
    <w:rsid w:val="00F910C2"/>
    <w:rsid w:val="00FC2CCA"/>
    <w:rsid w:val="00FC4FC0"/>
    <w:rsid w:val="00FE3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2DBA8"/>
  <w15:docId w15:val="{28C3E3D6-448E-4C97-8553-E09DC5217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7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7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7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7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7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7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7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7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7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7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690"/>
    <w:rPr>
      <w:rFonts w:eastAsiaTheme="majorEastAsia" w:cstheme="majorBidi"/>
      <w:color w:val="272727" w:themeColor="text1" w:themeTint="D8"/>
    </w:rPr>
  </w:style>
  <w:style w:type="paragraph" w:styleId="Title">
    <w:name w:val="Title"/>
    <w:basedOn w:val="Normal"/>
    <w:next w:val="Normal"/>
    <w:link w:val="TitleChar"/>
    <w:uiPriority w:val="10"/>
    <w:qFormat/>
    <w:rsid w:val="00097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6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690"/>
    <w:pPr>
      <w:spacing w:before="160"/>
      <w:jc w:val="center"/>
    </w:pPr>
    <w:rPr>
      <w:i/>
      <w:iCs/>
      <w:color w:val="404040" w:themeColor="text1" w:themeTint="BF"/>
    </w:rPr>
  </w:style>
  <w:style w:type="character" w:customStyle="1" w:styleId="QuoteChar">
    <w:name w:val="Quote Char"/>
    <w:basedOn w:val="DefaultParagraphFont"/>
    <w:link w:val="Quote"/>
    <w:uiPriority w:val="29"/>
    <w:rsid w:val="00097690"/>
    <w:rPr>
      <w:i/>
      <w:iCs/>
      <w:color w:val="404040" w:themeColor="text1" w:themeTint="BF"/>
    </w:rPr>
  </w:style>
  <w:style w:type="paragraph" w:styleId="ListParagraph">
    <w:name w:val="List Paragraph"/>
    <w:basedOn w:val="Normal"/>
    <w:uiPriority w:val="34"/>
    <w:qFormat/>
    <w:rsid w:val="00097690"/>
    <w:pPr>
      <w:ind w:left="720"/>
      <w:contextualSpacing/>
    </w:pPr>
  </w:style>
  <w:style w:type="character" w:styleId="IntenseEmphasis">
    <w:name w:val="Intense Emphasis"/>
    <w:basedOn w:val="DefaultParagraphFont"/>
    <w:uiPriority w:val="21"/>
    <w:qFormat/>
    <w:rsid w:val="00097690"/>
    <w:rPr>
      <w:i/>
      <w:iCs/>
      <w:color w:val="0F4761" w:themeColor="accent1" w:themeShade="BF"/>
    </w:rPr>
  </w:style>
  <w:style w:type="paragraph" w:styleId="IntenseQuote">
    <w:name w:val="Intense Quote"/>
    <w:basedOn w:val="Normal"/>
    <w:next w:val="Normal"/>
    <w:link w:val="IntenseQuoteChar"/>
    <w:uiPriority w:val="30"/>
    <w:qFormat/>
    <w:rsid w:val="000976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7690"/>
    <w:rPr>
      <w:i/>
      <w:iCs/>
      <w:color w:val="0F4761" w:themeColor="accent1" w:themeShade="BF"/>
    </w:rPr>
  </w:style>
  <w:style w:type="character" w:styleId="IntenseReference">
    <w:name w:val="Intense Reference"/>
    <w:basedOn w:val="DefaultParagraphFont"/>
    <w:uiPriority w:val="32"/>
    <w:qFormat/>
    <w:rsid w:val="00097690"/>
    <w:rPr>
      <w:b/>
      <w:bCs/>
      <w:smallCaps/>
      <w:color w:val="0F4761" w:themeColor="accent1" w:themeShade="BF"/>
      <w:spacing w:val="5"/>
    </w:rPr>
  </w:style>
  <w:style w:type="paragraph" w:styleId="NormalWeb">
    <w:name w:val="Normal (Web)"/>
    <w:basedOn w:val="Normal"/>
    <w:uiPriority w:val="99"/>
    <w:semiHidden/>
    <w:unhideWhenUsed/>
    <w:rsid w:val="00DC66E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C66E2"/>
    <w:rPr>
      <w:b/>
      <w:bCs/>
    </w:rPr>
  </w:style>
  <w:style w:type="character" w:styleId="Hyperlink">
    <w:name w:val="Hyperlink"/>
    <w:basedOn w:val="DefaultParagraphFont"/>
    <w:uiPriority w:val="99"/>
    <w:semiHidden/>
    <w:unhideWhenUsed/>
    <w:rsid w:val="003B6D43"/>
    <w:rPr>
      <w:color w:val="467886"/>
      <w:u w:val="single"/>
    </w:rPr>
  </w:style>
  <w:style w:type="paragraph" w:customStyle="1" w:styleId="xmsonormal">
    <w:name w:val="x_msonormal"/>
    <w:basedOn w:val="Normal"/>
    <w:rsid w:val="003B6D43"/>
    <w:pPr>
      <w:spacing w:line="276" w:lineRule="auto"/>
    </w:pPr>
    <w:rPr>
      <w:rFonts w:ascii="Aptos" w:hAnsi="Aptos" w:cs="Aptos"/>
      <w:kern w:val="0"/>
    </w:rPr>
  </w:style>
  <w:style w:type="paragraph" w:customStyle="1" w:styleId="xmsolistparagraph">
    <w:name w:val="x_msolistparagraph"/>
    <w:basedOn w:val="Normal"/>
    <w:rsid w:val="003B6D43"/>
    <w:pPr>
      <w:spacing w:line="276" w:lineRule="auto"/>
      <w:ind w:left="720"/>
    </w:pPr>
    <w:rPr>
      <w:rFonts w:ascii="Aptos" w:hAnsi="Aptos" w:cs="Aptos"/>
      <w:kern w:val="0"/>
    </w:rPr>
  </w:style>
  <w:style w:type="character" w:styleId="FollowedHyperlink">
    <w:name w:val="FollowedHyperlink"/>
    <w:basedOn w:val="DefaultParagraphFont"/>
    <w:uiPriority w:val="99"/>
    <w:semiHidden/>
    <w:unhideWhenUsed/>
    <w:rsid w:val="003B6D43"/>
    <w:rPr>
      <w:color w:val="96607D" w:themeColor="followedHyperlink"/>
      <w:u w:val="single"/>
    </w:rPr>
  </w:style>
  <w:style w:type="paragraph" w:styleId="Header">
    <w:name w:val="header"/>
    <w:basedOn w:val="Normal"/>
    <w:link w:val="HeaderChar"/>
    <w:uiPriority w:val="99"/>
    <w:unhideWhenUsed/>
    <w:rsid w:val="006F3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639"/>
  </w:style>
  <w:style w:type="paragraph" w:styleId="Footer">
    <w:name w:val="footer"/>
    <w:basedOn w:val="Normal"/>
    <w:link w:val="FooterChar"/>
    <w:uiPriority w:val="99"/>
    <w:unhideWhenUsed/>
    <w:rsid w:val="006F3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7331363">
      <w:bodyDiv w:val="1"/>
      <w:marLeft w:val="0"/>
      <w:marRight w:val="0"/>
      <w:marTop w:val="0"/>
      <w:marBottom w:val="0"/>
      <w:divBdr>
        <w:top w:val="none" w:sz="0" w:space="0" w:color="auto"/>
        <w:left w:val="none" w:sz="0" w:space="0" w:color="auto"/>
        <w:bottom w:val="none" w:sz="0" w:space="0" w:color="auto"/>
        <w:right w:val="none" w:sz="0" w:space="0" w:color="auto"/>
      </w:divBdr>
    </w:div>
    <w:div w:id="668211156">
      <w:bodyDiv w:val="1"/>
      <w:marLeft w:val="0"/>
      <w:marRight w:val="0"/>
      <w:marTop w:val="0"/>
      <w:marBottom w:val="0"/>
      <w:divBdr>
        <w:top w:val="none" w:sz="0" w:space="0" w:color="auto"/>
        <w:left w:val="none" w:sz="0" w:space="0" w:color="auto"/>
        <w:bottom w:val="none" w:sz="0" w:space="0" w:color="auto"/>
        <w:right w:val="none" w:sz="0" w:space="0" w:color="auto"/>
      </w:divBdr>
    </w:div>
    <w:div w:id="1073039664">
      <w:bodyDiv w:val="1"/>
      <w:marLeft w:val="0"/>
      <w:marRight w:val="0"/>
      <w:marTop w:val="0"/>
      <w:marBottom w:val="0"/>
      <w:divBdr>
        <w:top w:val="none" w:sz="0" w:space="0" w:color="auto"/>
        <w:left w:val="none" w:sz="0" w:space="0" w:color="auto"/>
        <w:bottom w:val="none" w:sz="0" w:space="0" w:color="auto"/>
        <w:right w:val="none" w:sz="0" w:space="0" w:color="auto"/>
      </w:divBdr>
    </w:div>
    <w:div w:id="1129468302">
      <w:bodyDiv w:val="1"/>
      <w:marLeft w:val="0"/>
      <w:marRight w:val="0"/>
      <w:marTop w:val="0"/>
      <w:marBottom w:val="0"/>
      <w:divBdr>
        <w:top w:val="none" w:sz="0" w:space="0" w:color="auto"/>
        <w:left w:val="none" w:sz="0" w:space="0" w:color="auto"/>
        <w:bottom w:val="none" w:sz="0" w:space="0" w:color="auto"/>
        <w:right w:val="none" w:sz="0" w:space="0" w:color="auto"/>
      </w:divBdr>
    </w:div>
    <w:div w:id="1191914271">
      <w:bodyDiv w:val="1"/>
      <w:marLeft w:val="0"/>
      <w:marRight w:val="0"/>
      <w:marTop w:val="0"/>
      <w:marBottom w:val="0"/>
      <w:divBdr>
        <w:top w:val="none" w:sz="0" w:space="0" w:color="auto"/>
        <w:left w:val="none" w:sz="0" w:space="0" w:color="auto"/>
        <w:bottom w:val="none" w:sz="0" w:space="0" w:color="auto"/>
        <w:right w:val="none" w:sz="0" w:space="0" w:color="auto"/>
      </w:divBdr>
    </w:div>
    <w:div w:id="1618442847">
      <w:bodyDiv w:val="1"/>
      <w:marLeft w:val="0"/>
      <w:marRight w:val="0"/>
      <w:marTop w:val="0"/>
      <w:marBottom w:val="0"/>
      <w:divBdr>
        <w:top w:val="none" w:sz="0" w:space="0" w:color="auto"/>
        <w:left w:val="none" w:sz="0" w:space="0" w:color="auto"/>
        <w:bottom w:val="none" w:sz="0" w:space="0" w:color="auto"/>
        <w:right w:val="none" w:sz="0" w:space="0" w:color="auto"/>
      </w:divBdr>
    </w:div>
    <w:div w:id="2001300952">
      <w:bodyDiv w:val="1"/>
      <w:marLeft w:val="0"/>
      <w:marRight w:val="0"/>
      <w:marTop w:val="0"/>
      <w:marBottom w:val="0"/>
      <w:divBdr>
        <w:top w:val="none" w:sz="0" w:space="0" w:color="auto"/>
        <w:left w:val="none" w:sz="0" w:space="0" w:color="auto"/>
        <w:bottom w:val="none" w:sz="0" w:space="0" w:color="auto"/>
        <w:right w:val="none" w:sz="0" w:space="0" w:color="auto"/>
      </w:divBdr>
    </w:div>
    <w:div w:id="2096708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n.org%2Fen%2Fgenocideprevention%2Fgenocide.shtml&amp;data=05%7C02%7Cr.keyse%40uwtsd.ac.uk%7Ccf6c83fc384d45454ce408dc89fe0665%7C4e0f11f9046e45059cb8db2152311e21%7C0%7C0%7C638536971360588784%7CUnknown%7CTWFpbGZsb3d8eyJWIjoiMC4wLjAwMDAiLCJQIjoiV2luMzIiLCJBTiI6Ik1haWwiLCJXVCI6Mn0%3D%7C0%7C%7C%7C&amp;sdata=YbM%2Bhn74O5OKcDZe31EGd8DArp%2BiD7lsceQHHf15wl4%3D&amp;reserved=0" TargetMode="External"/><Relationship Id="rId13" Type="http://schemas.openxmlformats.org/officeDocument/2006/relationships/hyperlink" Target="https://www.youtube.com/watch?v=Rbon6HqzjEI" TargetMode="External"/><Relationship Id="rId18" Type="http://schemas.openxmlformats.org/officeDocument/2006/relationships/hyperlink" Target="https://librarysearch.uwtsd.ac.uk/discovery/fulldisplay?docid=alma99100398901802421&amp;context=L&amp;vid=44WHELF_UWTSD:44WHELF_UWTSD_VU1&amp;lang=en&amp;search_scope=MyInst_and_CI&amp;adaptor=Local%20Search%20Engine&amp;tab=Everything&amp;query=any,contains,cambodia%20memory&amp;offset=2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ur01.safelinks.protection.outlook.com/?url=https%3A%2F%2Fen.wikipedia.org%2Fwiki%2FGenocide&amp;data=05%7C02%7Cr.keyse%40uwtsd.ac.uk%7Ccf6c83fc384d45454ce408dc89fe0665%7C4e0f11f9046e45059cb8db2152311e21%7C0%7C0%7C638536971360577902%7CUnknown%7CTWFpbGZsb3d8eyJWIjoiMC4wLjAwMDAiLCJQIjoiV2luMzIiLCJBTiI6Ik1haWwiLCJXVCI6Mn0%3D%7C0%7C%7C%7C&amp;sdata=vWjwday60Q4zfb3dwxHPKYcqqFuH0yOj6YXNIPBh%2F7A%3D&amp;reserved=0" TargetMode="External"/><Relationship Id="rId12" Type="http://schemas.openxmlformats.org/officeDocument/2006/relationships/hyperlink" Target="https://www.ssoar.info/ssoar/bitstream/handle/document/10549/ssoar-afrspectrum-2005-2-kundrus-from_the_herero_to_the.pdf?sequence=1&amp;isAllowed=y&amp;lnkname=ssoar-afrspectrum-2005-2-kundrus-from_the_herero_to_the.pdf" TargetMode="External"/><Relationship Id="rId17" Type="http://schemas.openxmlformats.org/officeDocument/2006/relationships/hyperlink" Target="https://dl1.cuni.cz/pluginfile.php/829680/mod_resource/content/0/causes_of_the_holocaust%20snyder%20bloolands%20as%20european%20history%20UES%20Snyder.pdf" TargetMode="External"/><Relationship Id="rId2" Type="http://schemas.openxmlformats.org/officeDocument/2006/relationships/styles" Target="styles.xml"/><Relationship Id="rId16" Type="http://schemas.openxmlformats.org/officeDocument/2006/relationships/hyperlink" Target="https://www.facinghistory.org/resource-library/video/step-step-phases-holocaus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genocidewatch.com%2F&amp;data=05%7C02%7Cr.keyse%40uwtsd.ac.uk%7Ccf6c83fc384d45454ce408dc89fe0665%7C4e0f11f9046e45059cb8db2152311e21%7C0%7C0%7C638536971360610082%7CUnknown%7CTWFpbGZsb3d8eyJWIjoiMC4wLjAwMDAiLCJQIjoiV2luMzIiLCJBTiI6Ik1haWwiLCJXVCI6Mn0%3D%7C0%7C%7C%7C&amp;sdata=WEwRnA8LJPlxs6Nkh23c0PrjAKpQNtwbMP1EqWFRry0%3D&amp;reserved=0" TargetMode="External"/><Relationship Id="rId5" Type="http://schemas.openxmlformats.org/officeDocument/2006/relationships/footnotes" Target="footnotes.xml"/><Relationship Id="rId15" Type="http://schemas.openxmlformats.org/officeDocument/2006/relationships/hyperlink" Target="https://www.scielo.org.za/pdf/kronos/v34n1/v34n1a14.pdf" TargetMode="External"/><Relationship Id="rId10" Type="http://schemas.openxmlformats.org/officeDocument/2006/relationships/hyperlink" Target="https://eur01.safelinks.protection.outlook.com/?url=https%3A%2F%2Fwww.aljazeera.com%2Fopinions%2F2024%2F6%2F2%2Fit-is-not-ethnic-cleansing-it-is-genocide&amp;data=05%7C02%7Cr.keyse%40uwtsd.ac.uk%7Ccf6c83fc384d45454ce408dc89fe0665%7C4e0f11f9046e45059cb8db2152311e21%7C0%7C0%7C638536971360604069%7CUnknown%7CTWFpbGZsb3d8eyJWIjoiMC4wLjAwMDAiLCJQIjoiV2luMzIiLCJBTiI6Ik1haWwiLCJXVCI6Mn0%3D%7C0%7C%7C%7C&amp;sdata=hzQBhTbTAMecjk7TC8ngeDpD7g4pevVMTKr4tWtFlKo%3D&amp;reserved=0" TargetMode="External"/><Relationship Id="rId19" Type="http://schemas.openxmlformats.org/officeDocument/2006/relationships/hyperlink" Target="https://www.hrw.org/report/1999/03/01/leave-none-tell-story/genocide-rwanda"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shmm.org%2Fgenocide-prevention%2Flearn-about-genocide-and-other-mass-atrocities%2Fwhat-is-genocide&amp;data=05%7C02%7Cr.keyse%40uwtsd.ac.uk%7Ccf6c83fc384d45454ce408dc89fe0665%7C4e0f11f9046e45059cb8db2152311e21%7C0%7C0%7C638536971360596336%7CUnknown%7CTWFpbGZsb3d8eyJWIjoiMC4wLjAwMDAiLCJQIjoiV2luMzIiLCJBTiI6Ik1haWwiLCJXVCI6Mn0%3D%7C0%7C%7C%7C&amp;sdata=H0vfu3Txa6vmaSKQW13Lf21vnOojBRaIdjJzE7sYG%2FQ%3D&amp;reserved=0" TargetMode="External"/><Relationship Id="rId14" Type="http://schemas.openxmlformats.org/officeDocument/2006/relationships/hyperlink" Target="https://wellcomecollection.org/works/sxfn6ba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6017</Words>
  <Characters>34301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2</cp:revision>
  <dcterms:created xsi:type="dcterms:W3CDTF">2024-07-05T09:06:00Z</dcterms:created>
  <dcterms:modified xsi:type="dcterms:W3CDTF">2024-07-05T09:06:00Z</dcterms:modified>
</cp:coreProperties>
</file>