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0362A" w14:textId="77777777" w:rsidR="0018229F" w:rsidRPr="00C93DBA" w:rsidRDefault="0018229F" w:rsidP="003B62D3">
      <w:pPr>
        <w:spacing w:line="360" w:lineRule="auto"/>
        <w:rPr>
          <w:rFonts w:ascii="Arial" w:hAnsi="Arial" w:cs="Arial"/>
          <w:b/>
          <w:bCs/>
        </w:rPr>
      </w:pPr>
      <w:r w:rsidRPr="00C93DBA">
        <w:rPr>
          <w:rFonts w:ascii="Arial" w:hAnsi="Arial" w:cs="Arial"/>
          <w:b/>
          <w:bCs/>
          <w:noProof/>
        </w:rPr>
        <w:drawing>
          <wp:inline distT="0" distB="0" distL="0" distR="0" wp14:anchorId="0F2A29B3" wp14:editId="5F8E7B50">
            <wp:extent cx="2931907" cy="973393"/>
            <wp:effectExtent l="0" t="0" r="1905" b="0"/>
            <wp:docPr id="2115890940"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90940" name="Picture 4"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5050" cy="981077"/>
                    </a:xfrm>
                    <a:prstGeom prst="rect">
                      <a:avLst/>
                    </a:prstGeom>
                    <a:noFill/>
                    <a:ln>
                      <a:noFill/>
                    </a:ln>
                  </pic:spPr>
                </pic:pic>
              </a:graphicData>
            </a:graphic>
          </wp:inline>
        </w:drawing>
      </w:r>
    </w:p>
    <w:p w14:paraId="2B4ADF59" w14:textId="77777777" w:rsidR="0018229F" w:rsidRPr="00C93DBA" w:rsidRDefault="0018229F" w:rsidP="003B62D3">
      <w:pPr>
        <w:spacing w:line="360" w:lineRule="auto"/>
        <w:jc w:val="center"/>
        <w:rPr>
          <w:rFonts w:ascii="Arial" w:hAnsi="Arial" w:cs="Arial"/>
          <w:b/>
          <w:bCs/>
        </w:rPr>
      </w:pPr>
    </w:p>
    <w:p w14:paraId="726716FF" w14:textId="77777777" w:rsidR="0018229F" w:rsidRPr="00C93DBA" w:rsidRDefault="0018229F" w:rsidP="003B62D3">
      <w:pPr>
        <w:spacing w:line="360" w:lineRule="auto"/>
        <w:rPr>
          <w:rFonts w:ascii="Arial" w:hAnsi="Arial" w:cs="Arial"/>
          <w:b/>
          <w:bCs/>
          <w:sz w:val="40"/>
          <w:szCs w:val="40"/>
        </w:rPr>
      </w:pPr>
      <w:r w:rsidRPr="00C93DBA">
        <w:rPr>
          <w:rFonts w:ascii="Arial" w:hAnsi="Arial" w:cs="Arial"/>
          <w:noProof/>
        </w:rPr>
        <w:drawing>
          <wp:anchor distT="0" distB="0" distL="114300" distR="114300" simplePos="0" relativeHeight="251659264" behindDoc="0" locked="0" layoutInCell="1" allowOverlap="1" wp14:anchorId="781D8A3F" wp14:editId="204D7917">
            <wp:simplePos x="0" y="0"/>
            <wp:positionH relativeFrom="column">
              <wp:posOffset>1973179</wp:posOffset>
            </wp:positionH>
            <wp:positionV relativeFrom="paragraph">
              <wp:posOffset>2109537</wp:posOffset>
            </wp:positionV>
            <wp:extent cx="1152525" cy="1536700"/>
            <wp:effectExtent l="0" t="0" r="9525" b="6350"/>
            <wp:wrapTopAndBottom/>
            <wp:docPr id="1197168370" name="Picture 3" descr="A screen shot of a smart wa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68370" name="Picture 3" descr="A screen shot of a smart watch&#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536700"/>
                    </a:xfrm>
                    <a:prstGeom prst="rect">
                      <a:avLst/>
                    </a:prstGeom>
                    <a:noFill/>
                    <a:ln>
                      <a:noFill/>
                    </a:ln>
                  </pic:spPr>
                </pic:pic>
              </a:graphicData>
            </a:graphic>
          </wp:anchor>
        </w:drawing>
      </w:r>
      <w:r w:rsidRPr="00C93DBA">
        <w:rPr>
          <w:rFonts w:ascii="Arial" w:hAnsi="Arial" w:cs="Arial"/>
          <w:b/>
          <w:bCs/>
          <w:sz w:val="40"/>
          <w:szCs w:val="40"/>
        </w:rPr>
        <w:t>Blood Pressure Smart Watch with Air Pump Air Bag, Voice Broadcast, Data Sharing, 2.06" AMOLED Fitness Tracker, 24/7 Heart Rate/Blood Oxygen/Sleep, SOS Button, Answer/Make Call.</w:t>
      </w:r>
    </w:p>
    <w:p w14:paraId="77EA2148" w14:textId="77777777" w:rsidR="0018229F" w:rsidRPr="00C93DBA" w:rsidRDefault="0018229F" w:rsidP="003B62D3">
      <w:pPr>
        <w:spacing w:line="360" w:lineRule="auto"/>
        <w:rPr>
          <w:rFonts w:ascii="Arial" w:hAnsi="Arial" w:cs="Arial"/>
          <w:b/>
          <w:bCs/>
          <w:sz w:val="22"/>
          <w:szCs w:val="22"/>
        </w:rPr>
      </w:pPr>
    </w:p>
    <w:p w14:paraId="6C0BAFAE" w14:textId="77777777" w:rsidR="0018229F" w:rsidRPr="00C93DBA" w:rsidRDefault="0018229F" w:rsidP="003B62D3">
      <w:pPr>
        <w:spacing w:line="360" w:lineRule="auto"/>
        <w:rPr>
          <w:rFonts w:ascii="Arial" w:hAnsi="Arial" w:cs="Arial"/>
          <w:b/>
          <w:bCs/>
          <w:sz w:val="28"/>
          <w:szCs w:val="28"/>
        </w:rPr>
      </w:pPr>
      <w:r w:rsidRPr="00C93DBA">
        <w:rPr>
          <w:rFonts w:ascii="Arial" w:hAnsi="Arial" w:cs="Arial"/>
          <w:b/>
          <w:bCs/>
          <w:sz w:val="28"/>
          <w:szCs w:val="28"/>
        </w:rPr>
        <w:t xml:space="preserve">BA (Hons) Leadership and Management </w:t>
      </w:r>
    </w:p>
    <w:p w14:paraId="175F8F0A" w14:textId="77777777" w:rsidR="0018229F" w:rsidRPr="00C93DBA" w:rsidRDefault="0018229F" w:rsidP="003B62D3">
      <w:pPr>
        <w:spacing w:line="360" w:lineRule="auto"/>
        <w:rPr>
          <w:rFonts w:ascii="Arial" w:hAnsi="Arial" w:cs="Arial"/>
          <w:b/>
          <w:bCs/>
          <w:sz w:val="28"/>
          <w:szCs w:val="28"/>
        </w:rPr>
      </w:pPr>
      <w:r w:rsidRPr="00C93DBA">
        <w:rPr>
          <w:rFonts w:ascii="Arial" w:hAnsi="Arial" w:cs="Arial"/>
          <w:sz w:val="28"/>
          <w:szCs w:val="28"/>
        </w:rPr>
        <w:t>Student Name</w:t>
      </w:r>
      <w:r w:rsidRPr="00C93DBA">
        <w:rPr>
          <w:rFonts w:ascii="Arial" w:hAnsi="Arial" w:cs="Arial"/>
          <w:b/>
          <w:bCs/>
          <w:i/>
          <w:iCs/>
          <w:sz w:val="28"/>
          <w:szCs w:val="28"/>
        </w:rPr>
        <w:t xml:space="preserve">: </w:t>
      </w:r>
      <w:r w:rsidRPr="00C93DBA">
        <w:rPr>
          <w:rFonts w:ascii="Arial" w:hAnsi="Arial" w:cs="Arial"/>
          <w:b/>
          <w:bCs/>
          <w:sz w:val="28"/>
          <w:szCs w:val="28"/>
        </w:rPr>
        <w:t>Tatyana Ivanova</w:t>
      </w:r>
    </w:p>
    <w:p w14:paraId="47FF2A9B" w14:textId="77777777" w:rsidR="0018229F" w:rsidRPr="00C93DBA" w:rsidRDefault="0018229F" w:rsidP="003B62D3">
      <w:pPr>
        <w:spacing w:line="360" w:lineRule="auto"/>
        <w:rPr>
          <w:rFonts w:ascii="Arial" w:hAnsi="Arial" w:cs="Arial"/>
          <w:b/>
          <w:bCs/>
          <w:i/>
          <w:iCs/>
          <w:sz w:val="28"/>
          <w:szCs w:val="28"/>
        </w:rPr>
      </w:pPr>
      <w:r w:rsidRPr="00C93DBA">
        <w:rPr>
          <w:rFonts w:ascii="Arial" w:hAnsi="Arial" w:cs="Arial"/>
          <w:sz w:val="28"/>
          <w:szCs w:val="28"/>
        </w:rPr>
        <w:t>Student Number:</w:t>
      </w:r>
      <w:r w:rsidRPr="00C93DBA">
        <w:rPr>
          <w:rFonts w:ascii="Arial" w:hAnsi="Arial" w:cs="Arial"/>
          <w:b/>
          <w:bCs/>
          <w:sz w:val="28"/>
          <w:szCs w:val="28"/>
        </w:rPr>
        <w:t>2412523</w:t>
      </w:r>
    </w:p>
    <w:p w14:paraId="23124A16" w14:textId="77777777" w:rsidR="0018229F" w:rsidRPr="00C93DBA" w:rsidRDefault="0018229F" w:rsidP="003B62D3">
      <w:pPr>
        <w:spacing w:line="360" w:lineRule="auto"/>
        <w:rPr>
          <w:rFonts w:ascii="Arial" w:hAnsi="Arial" w:cs="Arial"/>
          <w:b/>
          <w:bCs/>
          <w:i/>
          <w:iCs/>
          <w:sz w:val="28"/>
          <w:szCs w:val="28"/>
        </w:rPr>
      </w:pPr>
      <w:r w:rsidRPr="00C93DBA">
        <w:rPr>
          <w:rFonts w:ascii="Arial" w:hAnsi="Arial" w:cs="Arial"/>
          <w:sz w:val="28"/>
          <w:szCs w:val="28"/>
        </w:rPr>
        <w:t>Course Name:</w:t>
      </w:r>
      <w:r w:rsidRPr="00C93DBA">
        <w:rPr>
          <w:rFonts w:ascii="Arial" w:hAnsi="Arial" w:cs="Arial"/>
          <w:b/>
          <w:bCs/>
          <w:i/>
          <w:iCs/>
          <w:sz w:val="28"/>
          <w:szCs w:val="28"/>
        </w:rPr>
        <w:t xml:space="preserve"> </w:t>
      </w:r>
      <w:r w:rsidRPr="00C93DBA">
        <w:rPr>
          <w:rFonts w:ascii="Arial" w:hAnsi="Arial" w:cs="Arial"/>
          <w:b/>
          <w:bCs/>
          <w:sz w:val="28"/>
          <w:szCs w:val="28"/>
        </w:rPr>
        <w:t>Understanding and Engaging stakeholders LCLM5001</w:t>
      </w:r>
    </w:p>
    <w:p w14:paraId="0FB0F64D" w14:textId="77777777" w:rsidR="0018229F" w:rsidRPr="00C93DBA" w:rsidRDefault="0018229F" w:rsidP="003B62D3">
      <w:pPr>
        <w:spacing w:line="360" w:lineRule="auto"/>
        <w:rPr>
          <w:rFonts w:ascii="Arial" w:hAnsi="Arial" w:cs="Arial"/>
          <w:b/>
          <w:bCs/>
          <w:i/>
          <w:iCs/>
          <w:sz w:val="28"/>
          <w:szCs w:val="28"/>
        </w:rPr>
      </w:pPr>
      <w:r w:rsidRPr="00C93DBA">
        <w:rPr>
          <w:rFonts w:ascii="Arial" w:hAnsi="Arial" w:cs="Arial"/>
          <w:sz w:val="28"/>
          <w:szCs w:val="28"/>
        </w:rPr>
        <w:t>Lecturer Name:</w:t>
      </w:r>
      <w:r w:rsidRPr="00C93DBA">
        <w:rPr>
          <w:rFonts w:ascii="Arial" w:hAnsi="Arial" w:cs="Arial"/>
          <w:b/>
          <w:bCs/>
          <w:i/>
          <w:iCs/>
          <w:sz w:val="28"/>
          <w:szCs w:val="28"/>
        </w:rPr>
        <w:t xml:space="preserve"> </w:t>
      </w:r>
      <w:r w:rsidRPr="00C93DBA">
        <w:rPr>
          <w:rFonts w:ascii="Arial" w:hAnsi="Arial" w:cs="Arial"/>
          <w:b/>
          <w:bCs/>
          <w:sz w:val="28"/>
          <w:szCs w:val="28"/>
        </w:rPr>
        <w:t>Sukhpreet Grewal</w:t>
      </w:r>
      <w:r w:rsidRPr="00C93DBA">
        <w:rPr>
          <w:rFonts w:ascii="Arial" w:hAnsi="Arial" w:cs="Arial"/>
          <w:b/>
          <w:bCs/>
          <w:i/>
          <w:iCs/>
          <w:sz w:val="28"/>
          <w:szCs w:val="28"/>
        </w:rPr>
        <w:t xml:space="preserve"> </w:t>
      </w:r>
    </w:p>
    <w:p w14:paraId="12E5A651" w14:textId="77777777" w:rsidR="0018229F" w:rsidRDefault="0018229F" w:rsidP="003B62D3">
      <w:pPr>
        <w:spacing w:line="360" w:lineRule="auto"/>
        <w:rPr>
          <w:rFonts w:ascii="Arial" w:hAnsi="Arial" w:cs="Arial"/>
          <w:b/>
          <w:bCs/>
          <w:sz w:val="28"/>
          <w:szCs w:val="28"/>
        </w:rPr>
      </w:pPr>
      <w:r w:rsidRPr="00C93DBA">
        <w:rPr>
          <w:rFonts w:ascii="Arial" w:hAnsi="Arial" w:cs="Arial"/>
          <w:sz w:val="28"/>
          <w:szCs w:val="28"/>
        </w:rPr>
        <w:t>Session:</w:t>
      </w:r>
      <w:r w:rsidRPr="00C93DBA">
        <w:rPr>
          <w:rFonts w:ascii="Arial" w:hAnsi="Arial" w:cs="Arial"/>
          <w:b/>
          <w:bCs/>
          <w:i/>
          <w:iCs/>
          <w:sz w:val="28"/>
          <w:szCs w:val="28"/>
        </w:rPr>
        <w:t xml:space="preserve"> </w:t>
      </w:r>
      <w:r w:rsidRPr="00C93DBA">
        <w:rPr>
          <w:rFonts w:ascii="Arial" w:hAnsi="Arial" w:cs="Arial"/>
          <w:b/>
          <w:bCs/>
          <w:sz w:val="28"/>
          <w:szCs w:val="28"/>
        </w:rPr>
        <w:t xml:space="preserve">December 2025 </w:t>
      </w:r>
    </w:p>
    <w:p w14:paraId="2F125A2D" w14:textId="77777777" w:rsidR="006E6E54" w:rsidRPr="00E125FB" w:rsidRDefault="006E6E54" w:rsidP="003B62D3">
      <w:pPr>
        <w:spacing w:line="360" w:lineRule="auto"/>
        <w:rPr>
          <w:rFonts w:ascii="Arial" w:hAnsi="Arial" w:cs="Arial"/>
        </w:rPr>
      </w:pPr>
    </w:p>
    <w:p w14:paraId="7D9AB346" w14:textId="77777777" w:rsidR="006E6E54" w:rsidRPr="00E125FB" w:rsidRDefault="006E6E54" w:rsidP="003B62D3">
      <w:pPr>
        <w:spacing w:line="360" w:lineRule="auto"/>
        <w:rPr>
          <w:rFonts w:ascii="Arial" w:hAnsi="Arial" w:cs="Arial"/>
        </w:rPr>
      </w:pPr>
    </w:p>
    <w:p w14:paraId="52CD3618" w14:textId="0F2403BD" w:rsidR="006E6E54" w:rsidRPr="00E125FB" w:rsidRDefault="00CA271A" w:rsidP="003B62D3">
      <w:pPr>
        <w:pStyle w:val="Heading1"/>
        <w:spacing w:line="360" w:lineRule="auto"/>
      </w:pPr>
      <w:r w:rsidRPr="00E125FB">
        <w:lastRenderedPageBreak/>
        <w:t>TABLE CONTENT</w:t>
      </w:r>
    </w:p>
    <w:p w14:paraId="45384673" w14:textId="77777777" w:rsidR="00CA271A" w:rsidRPr="00E125FB" w:rsidRDefault="00CA271A" w:rsidP="003B62D3">
      <w:pPr>
        <w:spacing w:line="360" w:lineRule="auto"/>
        <w:rPr>
          <w:rFonts w:ascii="Arial" w:hAnsi="Arial" w:cs="Arial"/>
        </w:rPr>
      </w:pPr>
    </w:p>
    <w:p w14:paraId="45DD6D6F" w14:textId="1BD1E01A" w:rsidR="00EB582D" w:rsidRPr="00EB582D" w:rsidRDefault="00EB582D" w:rsidP="00EB582D">
      <w:pPr>
        <w:pStyle w:val="Heading2"/>
        <w:spacing w:line="360" w:lineRule="auto"/>
        <w:rPr>
          <w:rFonts w:ascii="Arial" w:hAnsi="Arial" w:cs="Arial"/>
          <w:sz w:val="24"/>
          <w:szCs w:val="24"/>
        </w:rPr>
      </w:pPr>
      <w:r>
        <w:rPr>
          <w:rFonts w:ascii="Arial" w:hAnsi="Arial" w:cs="Arial"/>
          <w:b/>
          <w:bCs/>
          <w:sz w:val="24"/>
          <w:szCs w:val="24"/>
        </w:rPr>
        <w:t xml:space="preserve">1. </w:t>
      </w:r>
      <w:r w:rsidR="005A04A6" w:rsidRPr="008B4C9A">
        <w:rPr>
          <w:rFonts w:ascii="Arial" w:hAnsi="Arial" w:cs="Arial"/>
          <w:b/>
          <w:bCs/>
          <w:sz w:val="24"/>
          <w:szCs w:val="24"/>
        </w:rPr>
        <w:t>Introduction</w:t>
      </w:r>
      <w:r>
        <w:rPr>
          <w:rFonts w:ascii="Arial" w:hAnsi="Arial" w:cs="Arial"/>
          <w:b/>
          <w:bCs/>
          <w:sz w:val="24"/>
          <w:szCs w:val="24"/>
        </w:rPr>
        <w:t xml:space="preserve">  </w:t>
      </w:r>
      <w:r w:rsidR="00112851" w:rsidRPr="008B4C9A">
        <w:rPr>
          <w:rFonts w:ascii="Arial" w:hAnsi="Arial" w:cs="Arial"/>
          <w:sz w:val="24"/>
          <w:szCs w:val="24"/>
        </w:rPr>
        <w:t xml:space="preserve">and </w:t>
      </w:r>
      <w:r w:rsidR="00112851" w:rsidRPr="00EB582D">
        <w:rPr>
          <w:rFonts w:ascii="Arial" w:hAnsi="Arial" w:cs="Arial"/>
          <w:b/>
          <w:bCs/>
          <w:sz w:val="24"/>
          <w:szCs w:val="24"/>
        </w:rPr>
        <w:t>Project Context</w:t>
      </w:r>
    </w:p>
    <w:p w14:paraId="1F12158C" w14:textId="339A9EA2" w:rsidR="005A04A6" w:rsidRPr="00E125FB" w:rsidRDefault="00E125FB" w:rsidP="003B62D3">
      <w:pPr>
        <w:spacing w:line="360" w:lineRule="auto"/>
        <w:rPr>
          <w:rFonts w:ascii="Arial" w:hAnsi="Arial" w:cs="Arial"/>
        </w:rPr>
      </w:pPr>
      <w:r>
        <w:rPr>
          <w:rFonts w:ascii="Arial" w:hAnsi="Arial" w:cs="Arial"/>
        </w:rPr>
        <w:t>1.1.</w:t>
      </w:r>
      <w:r w:rsidR="00557BB1" w:rsidRPr="00E125FB">
        <w:rPr>
          <w:rFonts w:ascii="Arial" w:hAnsi="Arial" w:cs="Arial"/>
        </w:rPr>
        <w:t>Company Overview: Well Tech UK</w:t>
      </w:r>
    </w:p>
    <w:p w14:paraId="5E7066FD" w14:textId="62B237B2" w:rsidR="00557BB1" w:rsidRPr="00E125FB" w:rsidRDefault="00E125FB" w:rsidP="003B62D3">
      <w:pPr>
        <w:spacing w:line="360" w:lineRule="auto"/>
        <w:rPr>
          <w:rFonts w:ascii="Arial" w:hAnsi="Arial" w:cs="Arial"/>
        </w:rPr>
      </w:pPr>
      <w:r>
        <w:rPr>
          <w:rFonts w:ascii="Arial" w:hAnsi="Arial" w:cs="Arial"/>
        </w:rPr>
        <w:t>1.2.</w:t>
      </w:r>
      <w:r w:rsidR="00557BB1" w:rsidRPr="00E125FB">
        <w:rPr>
          <w:rFonts w:ascii="Arial" w:hAnsi="Arial" w:cs="Arial"/>
        </w:rPr>
        <w:t>Project Outline and Project Manager Role</w:t>
      </w:r>
    </w:p>
    <w:p w14:paraId="231E7C02" w14:textId="3A1270FA" w:rsidR="00557BB1" w:rsidRPr="0061755D" w:rsidRDefault="00E42ED3" w:rsidP="003B62D3">
      <w:pPr>
        <w:pStyle w:val="ListParagraph"/>
        <w:spacing w:line="360" w:lineRule="auto"/>
        <w:ind w:left="0"/>
        <w:rPr>
          <w:rFonts w:ascii="Arial" w:hAnsi="Arial" w:cs="Arial"/>
          <w:b/>
          <w:bCs/>
        </w:rPr>
      </w:pPr>
      <w:r>
        <w:rPr>
          <w:rFonts w:ascii="Arial" w:hAnsi="Arial" w:cs="Arial"/>
          <w:b/>
          <w:bCs/>
        </w:rPr>
        <w:t xml:space="preserve">2. </w:t>
      </w:r>
      <w:r w:rsidR="00557BB1" w:rsidRPr="0061755D">
        <w:rPr>
          <w:rFonts w:ascii="Arial" w:hAnsi="Arial" w:cs="Arial"/>
          <w:b/>
          <w:bCs/>
        </w:rPr>
        <w:t>Strategic Planning and Situational Analysis</w:t>
      </w:r>
    </w:p>
    <w:p w14:paraId="300CD660" w14:textId="23748902" w:rsidR="00644D40" w:rsidRPr="00E125FB" w:rsidRDefault="00644D40" w:rsidP="003B62D3">
      <w:pPr>
        <w:spacing w:line="360" w:lineRule="auto"/>
        <w:rPr>
          <w:rFonts w:ascii="Arial" w:hAnsi="Arial" w:cs="Arial"/>
        </w:rPr>
      </w:pPr>
      <w:r w:rsidRPr="00E125FB">
        <w:rPr>
          <w:rFonts w:ascii="Arial" w:hAnsi="Arial" w:cs="Arial"/>
        </w:rPr>
        <w:t>2.1.</w:t>
      </w:r>
      <w:r w:rsidRPr="00E125FB">
        <w:rPr>
          <w:rFonts w:ascii="Arial" w:hAnsi="Arial" w:cs="Arial"/>
        </w:rPr>
        <w:t>SWOT Analysis of Well Tech UK and the Wearable Launch</w:t>
      </w:r>
    </w:p>
    <w:p w14:paraId="7643AD19" w14:textId="3D126346" w:rsidR="00644D40" w:rsidRPr="00E125FB" w:rsidRDefault="00644D40" w:rsidP="003B62D3">
      <w:pPr>
        <w:spacing w:line="360" w:lineRule="auto"/>
        <w:rPr>
          <w:rFonts w:ascii="Arial" w:hAnsi="Arial" w:cs="Arial"/>
        </w:rPr>
      </w:pPr>
      <w:r w:rsidRPr="00E125FB">
        <w:rPr>
          <w:rFonts w:ascii="Arial" w:hAnsi="Arial" w:cs="Arial"/>
        </w:rPr>
        <w:t>2.2.</w:t>
      </w:r>
      <w:r w:rsidRPr="005A04A6">
        <w:rPr>
          <w:rFonts w:ascii="Arial" w:hAnsi="Arial" w:cs="Arial"/>
        </w:rPr>
        <w:t>PESTLE Analysis and SMART Objectives</w:t>
      </w:r>
    </w:p>
    <w:p w14:paraId="669D4877" w14:textId="74012C27" w:rsidR="00644D40" w:rsidRPr="0061755D" w:rsidRDefault="00644D40" w:rsidP="003B62D3">
      <w:pPr>
        <w:spacing w:line="360" w:lineRule="auto"/>
        <w:rPr>
          <w:rFonts w:ascii="Arial" w:hAnsi="Arial" w:cs="Arial"/>
          <w:b/>
          <w:bCs/>
        </w:rPr>
      </w:pPr>
      <w:r w:rsidRPr="0061755D">
        <w:rPr>
          <w:rFonts w:ascii="Arial" w:hAnsi="Arial" w:cs="Arial"/>
          <w:b/>
          <w:bCs/>
        </w:rPr>
        <w:t>3.</w:t>
      </w:r>
      <w:r w:rsidR="005C6A99" w:rsidRPr="0061755D">
        <w:rPr>
          <w:rFonts w:ascii="Arial" w:hAnsi="Arial" w:cs="Arial"/>
          <w:b/>
          <w:bCs/>
        </w:rPr>
        <w:t xml:space="preserve"> </w:t>
      </w:r>
      <w:r w:rsidRPr="005A04A6">
        <w:rPr>
          <w:rFonts w:ascii="Arial" w:hAnsi="Arial" w:cs="Arial"/>
          <w:b/>
          <w:bCs/>
        </w:rPr>
        <w:t>Stakeholder Identification and Analysis</w:t>
      </w:r>
    </w:p>
    <w:p w14:paraId="77428061" w14:textId="79E174AB" w:rsidR="005C6A99" w:rsidRPr="00E125FB" w:rsidRDefault="005C6A99" w:rsidP="003B62D3">
      <w:pPr>
        <w:spacing w:line="360" w:lineRule="auto"/>
        <w:rPr>
          <w:rFonts w:ascii="Arial" w:hAnsi="Arial" w:cs="Arial"/>
        </w:rPr>
      </w:pPr>
      <w:r w:rsidRPr="00E125FB">
        <w:rPr>
          <w:rFonts w:ascii="Arial" w:hAnsi="Arial" w:cs="Arial"/>
        </w:rPr>
        <w:t>3.1.</w:t>
      </w:r>
      <w:r w:rsidRPr="005A04A6">
        <w:rPr>
          <w:rFonts w:ascii="Arial" w:hAnsi="Arial" w:cs="Arial"/>
        </w:rPr>
        <w:t>Key Internal Stakeholders</w:t>
      </w:r>
    </w:p>
    <w:p w14:paraId="610A51FA" w14:textId="46E9D920" w:rsidR="005A22B2" w:rsidRDefault="005A22B2" w:rsidP="003B62D3">
      <w:pPr>
        <w:spacing w:line="360" w:lineRule="auto"/>
        <w:rPr>
          <w:rFonts w:ascii="Arial" w:hAnsi="Arial" w:cs="Arial"/>
        </w:rPr>
      </w:pPr>
      <w:r w:rsidRPr="00E125FB">
        <w:rPr>
          <w:rFonts w:ascii="Arial" w:hAnsi="Arial" w:cs="Arial"/>
        </w:rPr>
        <w:t>3.2.</w:t>
      </w:r>
      <w:r w:rsidRPr="005A04A6">
        <w:rPr>
          <w:rFonts w:ascii="Arial" w:hAnsi="Arial" w:cs="Arial"/>
        </w:rPr>
        <w:t>Key External Stakeholders</w:t>
      </w:r>
    </w:p>
    <w:p w14:paraId="0E0798EB" w14:textId="145815AC" w:rsidR="00BC5891" w:rsidRPr="00D134BE" w:rsidRDefault="00035282" w:rsidP="00D134BE">
      <w:pPr>
        <w:pStyle w:val="Heading3"/>
        <w:spacing w:line="360" w:lineRule="auto"/>
        <w:rPr>
          <w:rFonts w:ascii="Arial" w:hAnsi="Arial" w:cs="Arial"/>
          <w:color w:val="auto"/>
          <w:sz w:val="24"/>
          <w:szCs w:val="24"/>
        </w:rPr>
      </w:pPr>
      <w:r w:rsidRPr="00D134BE">
        <w:rPr>
          <w:rFonts w:ascii="Arial" w:hAnsi="Arial" w:cs="Arial"/>
          <w:color w:val="auto"/>
          <w:sz w:val="24"/>
          <w:szCs w:val="24"/>
        </w:rPr>
        <w:t>3.3 SMART Objectives for the 'Veritas' Launch</w:t>
      </w:r>
    </w:p>
    <w:p w14:paraId="5EAAEAC1" w14:textId="74087934" w:rsidR="005A22B2" w:rsidRPr="0061755D" w:rsidRDefault="005A22B2" w:rsidP="003B62D3">
      <w:pPr>
        <w:spacing w:line="360" w:lineRule="auto"/>
        <w:rPr>
          <w:rFonts w:ascii="Arial" w:hAnsi="Arial" w:cs="Arial"/>
          <w:b/>
          <w:bCs/>
        </w:rPr>
      </w:pPr>
      <w:r w:rsidRPr="0061755D">
        <w:rPr>
          <w:rFonts w:ascii="Arial" w:hAnsi="Arial" w:cs="Arial"/>
          <w:b/>
          <w:bCs/>
        </w:rPr>
        <w:t>4.</w:t>
      </w:r>
      <w:r w:rsidR="0061755D" w:rsidRPr="0061755D">
        <w:rPr>
          <w:rFonts w:ascii="Arial" w:hAnsi="Arial" w:cs="Arial"/>
          <w:b/>
          <w:bCs/>
        </w:rPr>
        <w:t xml:space="preserve"> </w:t>
      </w:r>
      <w:r w:rsidRPr="005A04A6">
        <w:rPr>
          <w:rFonts w:ascii="Arial" w:hAnsi="Arial" w:cs="Arial"/>
          <w:b/>
          <w:bCs/>
        </w:rPr>
        <w:t>Roles, Responsibilities, Benefits, and Challenges</w:t>
      </w:r>
    </w:p>
    <w:p w14:paraId="5DB7605E" w14:textId="118116F2" w:rsidR="005A22B2" w:rsidRPr="00E125FB" w:rsidRDefault="005A22B2" w:rsidP="003B62D3">
      <w:pPr>
        <w:spacing w:line="360" w:lineRule="auto"/>
        <w:rPr>
          <w:rFonts w:ascii="Arial" w:hAnsi="Arial" w:cs="Arial"/>
        </w:rPr>
      </w:pPr>
      <w:r w:rsidRPr="00E125FB">
        <w:rPr>
          <w:rFonts w:ascii="Arial" w:hAnsi="Arial" w:cs="Arial"/>
        </w:rPr>
        <w:t>4.1.</w:t>
      </w:r>
      <w:r w:rsidRPr="005A04A6">
        <w:rPr>
          <w:rFonts w:ascii="Arial" w:hAnsi="Arial" w:cs="Arial"/>
        </w:rPr>
        <w:t>Analysis of Stakeholder Value and Risk</w:t>
      </w:r>
    </w:p>
    <w:p w14:paraId="3495611B" w14:textId="46A3AC7D" w:rsidR="005A22B2" w:rsidRPr="00E125FB" w:rsidRDefault="005A22B2" w:rsidP="003B62D3">
      <w:pPr>
        <w:spacing w:line="360" w:lineRule="auto"/>
        <w:rPr>
          <w:rFonts w:ascii="Arial" w:hAnsi="Arial" w:cs="Arial"/>
        </w:rPr>
      </w:pPr>
      <w:r w:rsidRPr="00E125FB">
        <w:rPr>
          <w:rFonts w:ascii="Arial" w:hAnsi="Arial" w:cs="Arial"/>
        </w:rPr>
        <w:t>4.2.</w:t>
      </w:r>
      <w:r w:rsidRPr="005A04A6">
        <w:rPr>
          <w:rFonts w:ascii="Arial" w:hAnsi="Arial" w:cs="Arial"/>
        </w:rPr>
        <w:t>Application of Stakeholder Salience Principles</w:t>
      </w:r>
    </w:p>
    <w:p w14:paraId="480E8032" w14:textId="4C847B5D" w:rsidR="005A22B2" w:rsidRPr="0061755D" w:rsidRDefault="005A22B2" w:rsidP="003B62D3">
      <w:pPr>
        <w:spacing w:line="360" w:lineRule="auto"/>
        <w:rPr>
          <w:rFonts w:ascii="Arial" w:hAnsi="Arial" w:cs="Arial"/>
          <w:b/>
          <w:bCs/>
        </w:rPr>
      </w:pPr>
      <w:r w:rsidRPr="0061755D">
        <w:rPr>
          <w:rFonts w:ascii="Arial" w:hAnsi="Arial" w:cs="Arial"/>
          <w:b/>
          <w:bCs/>
        </w:rPr>
        <w:t>5.</w:t>
      </w:r>
      <w:r w:rsidR="0061755D" w:rsidRPr="0061755D">
        <w:rPr>
          <w:rFonts w:ascii="Arial" w:hAnsi="Arial" w:cs="Arial"/>
          <w:b/>
          <w:bCs/>
        </w:rPr>
        <w:t xml:space="preserve"> </w:t>
      </w:r>
      <w:r w:rsidRPr="005A04A6">
        <w:rPr>
          <w:rFonts w:ascii="Arial" w:hAnsi="Arial" w:cs="Arial"/>
          <w:b/>
          <w:bCs/>
        </w:rPr>
        <w:t>Stakeholder Engagement Frameworks and Models</w:t>
      </w:r>
    </w:p>
    <w:p w14:paraId="3CB06810" w14:textId="7ACC2CCA" w:rsidR="005A22B2" w:rsidRPr="00E125FB" w:rsidRDefault="005A22B2" w:rsidP="003B62D3">
      <w:pPr>
        <w:spacing w:line="360" w:lineRule="auto"/>
        <w:rPr>
          <w:rFonts w:ascii="Arial" w:hAnsi="Arial" w:cs="Arial"/>
        </w:rPr>
      </w:pPr>
      <w:r w:rsidRPr="00E125FB">
        <w:rPr>
          <w:rFonts w:ascii="Arial" w:hAnsi="Arial" w:cs="Arial"/>
        </w:rPr>
        <w:t>5.1.</w:t>
      </w:r>
      <w:r w:rsidRPr="005A04A6">
        <w:rPr>
          <w:rFonts w:ascii="Arial" w:hAnsi="Arial" w:cs="Arial"/>
        </w:rPr>
        <w:t>Stakeholder Power/Interest Matrix</w:t>
      </w:r>
    </w:p>
    <w:p w14:paraId="5EEA0000" w14:textId="01214445" w:rsidR="005A22B2" w:rsidRPr="00E125FB" w:rsidRDefault="005A22B2" w:rsidP="003B62D3">
      <w:pPr>
        <w:spacing w:line="360" w:lineRule="auto"/>
        <w:rPr>
          <w:rFonts w:ascii="Arial" w:hAnsi="Arial" w:cs="Arial"/>
        </w:rPr>
      </w:pPr>
      <w:r w:rsidRPr="00E125FB">
        <w:rPr>
          <w:rFonts w:ascii="Arial" w:hAnsi="Arial" w:cs="Arial"/>
        </w:rPr>
        <w:t>5.2.</w:t>
      </w:r>
      <w:r w:rsidRPr="005A04A6">
        <w:rPr>
          <w:rFonts w:ascii="Arial" w:hAnsi="Arial" w:cs="Arial"/>
        </w:rPr>
        <w:t>Stakeholder Engagement Plan</w:t>
      </w:r>
    </w:p>
    <w:p w14:paraId="0C152EC2" w14:textId="449885AD" w:rsidR="005A22B2" w:rsidRPr="00E125FB" w:rsidRDefault="005A22B2" w:rsidP="003B62D3">
      <w:pPr>
        <w:spacing w:line="360" w:lineRule="auto"/>
        <w:rPr>
          <w:rFonts w:ascii="Arial" w:hAnsi="Arial" w:cs="Arial"/>
        </w:rPr>
      </w:pPr>
      <w:r w:rsidRPr="00E125FB">
        <w:rPr>
          <w:rFonts w:ascii="Arial" w:hAnsi="Arial" w:cs="Arial"/>
        </w:rPr>
        <w:t>5.3.</w:t>
      </w:r>
      <w:r w:rsidRPr="005A04A6">
        <w:rPr>
          <w:rFonts w:ascii="Arial" w:hAnsi="Arial" w:cs="Arial"/>
        </w:rPr>
        <w:t>Communication Plan</w:t>
      </w:r>
    </w:p>
    <w:p w14:paraId="688D23E3" w14:textId="7F619680" w:rsidR="005A22B2" w:rsidRPr="00E125FB" w:rsidRDefault="005A22B2" w:rsidP="003B62D3">
      <w:pPr>
        <w:spacing w:line="360" w:lineRule="auto"/>
        <w:rPr>
          <w:rFonts w:ascii="Arial" w:hAnsi="Arial" w:cs="Arial"/>
        </w:rPr>
      </w:pPr>
      <w:r w:rsidRPr="00E125FB">
        <w:rPr>
          <w:rFonts w:ascii="Arial" w:hAnsi="Arial" w:cs="Arial"/>
        </w:rPr>
        <w:t>5.4.</w:t>
      </w:r>
      <w:r w:rsidRPr="005A04A6">
        <w:rPr>
          <w:rFonts w:ascii="Arial" w:hAnsi="Arial" w:cs="Arial"/>
        </w:rPr>
        <w:t>RACI Matrix for Core Deliverables</w:t>
      </w:r>
    </w:p>
    <w:p w14:paraId="34237D12" w14:textId="0B7FC7F8" w:rsidR="005A22B2" w:rsidRPr="0061755D" w:rsidRDefault="005A22B2" w:rsidP="003B62D3">
      <w:pPr>
        <w:spacing w:line="360" w:lineRule="auto"/>
        <w:rPr>
          <w:rFonts w:ascii="Arial" w:hAnsi="Arial" w:cs="Arial"/>
          <w:b/>
          <w:bCs/>
        </w:rPr>
      </w:pPr>
      <w:r w:rsidRPr="0061755D">
        <w:rPr>
          <w:rFonts w:ascii="Arial" w:hAnsi="Arial" w:cs="Arial"/>
          <w:b/>
          <w:bCs/>
        </w:rPr>
        <w:t>6.</w:t>
      </w:r>
      <w:r w:rsidR="0061755D" w:rsidRPr="0061755D">
        <w:rPr>
          <w:rFonts w:ascii="Arial" w:hAnsi="Arial" w:cs="Arial"/>
          <w:b/>
          <w:bCs/>
        </w:rPr>
        <w:t xml:space="preserve"> </w:t>
      </w:r>
      <w:r w:rsidRPr="005A04A6">
        <w:rPr>
          <w:rFonts w:ascii="Arial" w:hAnsi="Arial" w:cs="Arial"/>
          <w:b/>
          <w:bCs/>
        </w:rPr>
        <w:t>The Stakeholder Engagement Process and Conflict Management</w:t>
      </w:r>
    </w:p>
    <w:p w14:paraId="320F3167" w14:textId="38DEB8D6" w:rsidR="005A22B2" w:rsidRPr="00E125FB" w:rsidRDefault="005A22B2" w:rsidP="003B62D3">
      <w:pPr>
        <w:spacing w:line="360" w:lineRule="auto"/>
        <w:rPr>
          <w:rFonts w:ascii="Arial" w:hAnsi="Arial" w:cs="Arial"/>
        </w:rPr>
      </w:pPr>
      <w:r w:rsidRPr="00E125FB">
        <w:rPr>
          <w:rFonts w:ascii="Arial" w:hAnsi="Arial" w:cs="Arial"/>
        </w:rPr>
        <w:t>6.1.</w:t>
      </w:r>
      <w:r w:rsidRPr="005A04A6">
        <w:rPr>
          <w:rFonts w:ascii="Arial" w:hAnsi="Arial" w:cs="Arial"/>
        </w:rPr>
        <w:t>Project Manager's Engagement Process</w:t>
      </w:r>
    </w:p>
    <w:p w14:paraId="7F2D1DE8" w14:textId="2BF9E2D2" w:rsidR="005A22B2" w:rsidRDefault="005A22B2" w:rsidP="003B62D3">
      <w:pPr>
        <w:spacing w:line="360" w:lineRule="auto"/>
        <w:rPr>
          <w:rFonts w:ascii="Arial" w:hAnsi="Arial" w:cs="Arial"/>
        </w:rPr>
      </w:pPr>
      <w:r w:rsidRPr="00E125FB">
        <w:rPr>
          <w:rFonts w:ascii="Arial" w:hAnsi="Arial" w:cs="Arial"/>
        </w:rPr>
        <w:t>6.2.</w:t>
      </w:r>
      <w:r w:rsidRPr="005A04A6">
        <w:rPr>
          <w:rFonts w:ascii="Arial" w:hAnsi="Arial" w:cs="Arial"/>
        </w:rPr>
        <w:t>Conflict Management using the 4C's Model: Communication, Coordination, Cooperation, and Collaboration</w:t>
      </w:r>
    </w:p>
    <w:p w14:paraId="63F0E680" w14:textId="77777777" w:rsidR="00521E1A" w:rsidRDefault="004F15C1" w:rsidP="00521E1A">
      <w:pPr>
        <w:spacing w:line="360" w:lineRule="auto"/>
        <w:rPr>
          <w:rFonts w:ascii="Arial" w:hAnsi="Arial" w:cs="Arial"/>
          <w:b/>
          <w:bCs/>
        </w:rPr>
      </w:pPr>
      <w:r>
        <w:rPr>
          <w:rFonts w:ascii="Arial" w:hAnsi="Arial" w:cs="Arial"/>
        </w:rPr>
        <w:lastRenderedPageBreak/>
        <w:t xml:space="preserve">7. </w:t>
      </w:r>
      <w:r w:rsidRPr="004F15C1">
        <w:rPr>
          <w:rFonts w:ascii="Arial" w:hAnsi="Arial" w:cs="Arial"/>
          <w:b/>
          <w:bCs/>
        </w:rPr>
        <w:t xml:space="preserve">Project Management Plan: 'Veritas' Health Wearable </w:t>
      </w:r>
    </w:p>
    <w:p w14:paraId="1F4E9711" w14:textId="351E3C02" w:rsidR="002A30E3" w:rsidRPr="00876DA4" w:rsidRDefault="002A30E3" w:rsidP="00521E1A">
      <w:pPr>
        <w:spacing w:line="360" w:lineRule="auto"/>
        <w:rPr>
          <w:rFonts w:ascii="Arial" w:hAnsi="Arial" w:cs="Arial"/>
          <w:b/>
          <w:bCs/>
        </w:rPr>
      </w:pPr>
      <w:r w:rsidRPr="00876DA4">
        <w:rPr>
          <w:rFonts w:ascii="Arial" w:hAnsi="Arial" w:cs="Arial"/>
          <w:b/>
          <w:bCs/>
        </w:rPr>
        <w:t>8. Impact Evaluation and Recommendations</w:t>
      </w:r>
    </w:p>
    <w:p w14:paraId="35306120" w14:textId="77777777" w:rsidR="00521E1A" w:rsidRDefault="008C2EC2" w:rsidP="00521E1A">
      <w:pPr>
        <w:pStyle w:val="Heading2"/>
        <w:spacing w:line="360" w:lineRule="auto"/>
        <w:rPr>
          <w:color w:val="auto"/>
          <w:sz w:val="24"/>
          <w:szCs w:val="24"/>
        </w:rPr>
      </w:pPr>
      <w:r w:rsidRPr="00876DA4">
        <w:rPr>
          <w:color w:val="auto"/>
          <w:sz w:val="24"/>
          <w:szCs w:val="24"/>
        </w:rPr>
        <w:t>8.1 Evaluating the Impact on Business Performance</w:t>
      </w:r>
    </w:p>
    <w:p w14:paraId="24EC16BA" w14:textId="6DC4A057" w:rsidR="008C2EC2" w:rsidRPr="00D134BE" w:rsidRDefault="00521E1A" w:rsidP="00D134BE">
      <w:pPr>
        <w:pStyle w:val="Heading2"/>
        <w:spacing w:line="360" w:lineRule="auto"/>
        <w:rPr>
          <w:color w:val="auto"/>
          <w:sz w:val="24"/>
          <w:szCs w:val="24"/>
        </w:rPr>
      </w:pPr>
      <w:r w:rsidRPr="00521E1A">
        <w:rPr>
          <w:rFonts w:ascii="Arial" w:hAnsi="Arial" w:cs="Arial"/>
          <w:color w:val="auto"/>
          <w:sz w:val="24"/>
          <w:szCs w:val="24"/>
        </w:rPr>
        <w:t>8.2.Recommendations for Future Stakeholder Engagement</w:t>
      </w:r>
    </w:p>
    <w:p w14:paraId="38F7FF2E" w14:textId="677536FA" w:rsidR="00241CB7" w:rsidRPr="00E125FB" w:rsidRDefault="004C63B1" w:rsidP="003B62D3">
      <w:pPr>
        <w:spacing w:line="360" w:lineRule="auto"/>
        <w:rPr>
          <w:rFonts w:ascii="Arial" w:hAnsi="Arial" w:cs="Arial"/>
        </w:rPr>
      </w:pPr>
      <w:r>
        <w:rPr>
          <w:rFonts w:ascii="Arial" w:hAnsi="Arial" w:cs="Arial"/>
        </w:rPr>
        <w:t>9.</w:t>
      </w:r>
      <w:r w:rsidR="0061755D">
        <w:rPr>
          <w:rFonts w:ascii="Arial" w:hAnsi="Arial" w:cs="Arial"/>
        </w:rPr>
        <w:t xml:space="preserve"> </w:t>
      </w:r>
      <w:r w:rsidR="00E125FB" w:rsidRPr="005A04A6">
        <w:rPr>
          <w:rFonts w:ascii="Arial" w:hAnsi="Arial" w:cs="Arial"/>
          <w:b/>
          <w:bCs/>
        </w:rPr>
        <w:t>Conclusion</w:t>
      </w:r>
    </w:p>
    <w:p w14:paraId="58061EC1" w14:textId="723C808B" w:rsidR="00E125FB" w:rsidRPr="00E125FB" w:rsidRDefault="004C63B1" w:rsidP="003B62D3">
      <w:pPr>
        <w:spacing w:line="360" w:lineRule="auto"/>
        <w:rPr>
          <w:rFonts w:ascii="Arial" w:hAnsi="Arial" w:cs="Arial"/>
        </w:rPr>
      </w:pPr>
      <w:r>
        <w:rPr>
          <w:rFonts w:ascii="Arial" w:hAnsi="Arial" w:cs="Arial"/>
        </w:rPr>
        <w:t>10</w:t>
      </w:r>
      <w:r w:rsidR="00E125FB" w:rsidRPr="00E125FB">
        <w:rPr>
          <w:rFonts w:ascii="Arial" w:hAnsi="Arial" w:cs="Arial"/>
        </w:rPr>
        <w:t xml:space="preserve">. </w:t>
      </w:r>
      <w:r w:rsidR="00E125FB" w:rsidRPr="0061755D">
        <w:rPr>
          <w:rFonts w:ascii="Arial" w:hAnsi="Arial" w:cs="Arial"/>
          <w:b/>
          <w:bCs/>
        </w:rPr>
        <w:t>Reference</w:t>
      </w:r>
      <w:r w:rsidR="00E125FB" w:rsidRPr="00E125FB">
        <w:rPr>
          <w:rFonts w:ascii="Arial" w:hAnsi="Arial" w:cs="Arial"/>
        </w:rPr>
        <w:t xml:space="preserve"> </w:t>
      </w:r>
    </w:p>
    <w:p w14:paraId="2A5399FD" w14:textId="77777777" w:rsidR="005A22B2" w:rsidRDefault="005A22B2" w:rsidP="003B62D3">
      <w:pPr>
        <w:spacing w:line="360" w:lineRule="auto"/>
        <w:rPr>
          <w:rFonts w:ascii="Arial" w:hAnsi="Arial" w:cs="Arial"/>
          <w:b/>
          <w:bCs/>
          <w:sz w:val="28"/>
          <w:szCs w:val="28"/>
        </w:rPr>
      </w:pPr>
    </w:p>
    <w:p w14:paraId="53176BB5" w14:textId="77777777" w:rsidR="005A22B2" w:rsidRDefault="005A22B2" w:rsidP="003B62D3">
      <w:pPr>
        <w:spacing w:line="360" w:lineRule="auto"/>
        <w:rPr>
          <w:rFonts w:ascii="Arial" w:hAnsi="Arial" w:cs="Arial"/>
          <w:b/>
          <w:bCs/>
          <w:sz w:val="28"/>
          <w:szCs w:val="28"/>
        </w:rPr>
      </w:pPr>
    </w:p>
    <w:p w14:paraId="0A6E5A46" w14:textId="77777777" w:rsidR="00E03670" w:rsidRDefault="00E03670" w:rsidP="003B62D3">
      <w:pPr>
        <w:spacing w:line="360" w:lineRule="auto"/>
        <w:rPr>
          <w:rFonts w:ascii="Arial" w:hAnsi="Arial" w:cs="Arial"/>
          <w:b/>
          <w:bCs/>
          <w:sz w:val="28"/>
          <w:szCs w:val="28"/>
        </w:rPr>
      </w:pPr>
    </w:p>
    <w:p w14:paraId="2C8B7800" w14:textId="77777777" w:rsidR="00CC7C92" w:rsidRDefault="00CC7C92" w:rsidP="003B62D3">
      <w:pPr>
        <w:spacing w:line="360" w:lineRule="auto"/>
        <w:rPr>
          <w:rFonts w:ascii="Arial" w:hAnsi="Arial" w:cs="Arial"/>
          <w:b/>
          <w:bCs/>
          <w:sz w:val="28"/>
          <w:szCs w:val="28"/>
        </w:rPr>
      </w:pPr>
    </w:p>
    <w:p w14:paraId="34B59A3A" w14:textId="77777777" w:rsidR="00E03670" w:rsidRDefault="00E03670" w:rsidP="003B62D3">
      <w:pPr>
        <w:spacing w:line="360" w:lineRule="auto"/>
        <w:rPr>
          <w:rFonts w:ascii="Arial" w:hAnsi="Arial" w:cs="Arial"/>
          <w:b/>
          <w:bCs/>
          <w:sz w:val="28"/>
          <w:szCs w:val="28"/>
        </w:rPr>
      </w:pPr>
    </w:p>
    <w:p w14:paraId="7F708C31" w14:textId="77777777" w:rsidR="00E03670" w:rsidRDefault="00E03670" w:rsidP="003B62D3">
      <w:pPr>
        <w:spacing w:line="360" w:lineRule="auto"/>
        <w:rPr>
          <w:rFonts w:ascii="Arial" w:hAnsi="Arial" w:cs="Arial"/>
          <w:b/>
          <w:bCs/>
          <w:sz w:val="28"/>
          <w:szCs w:val="28"/>
        </w:rPr>
      </w:pPr>
    </w:p>
    <w:p w14:paraId="12714E25" w14:textId="77777777" w:rsidR="00E03670" w:rsidRDefault="00E03670" w:rsidP="003B62D3">
      <w:pPr>
        <w:spacing w:line="360" w:lineRule="auto"/>
        <w:rPr>
          <w:rFonts w:ascii="Arial" w:hAnsi="Arial" w:cs="Arial"/>
          <w:b/>
          <w:bCs/>
          <w:sz w:val="28"/>
          <w:szCs w:val="28"/>
        </w:rPr>
      </w:pPr>
    </w:p>
    <w:p w14:paraId="7CD54768" w14:textId="77777777" w:rsidR="00E03670" w:rsidRDefault="00E03670" w:rsidP="003B62D3">
      <w:pPr>
        <w:spacing w:line="360" w:lineRule="auto"/>
        <w:rPr>
          <w:rFonts w:ascii="Arial" w:hAnsi="Arial" w:cs="Arial"/>
          <w:b/>
          <w:bCs/>
          <w:sz w:val="28"/>
          <w:szCs w:val="28"/>
        </w:rPr>
      </w:pPr>
    </w:p>
    <w:p w14:paraId="2302E732" w14:textId="77777777" w:rsidR="00E03670" w:rsidRDefault="00E03670" w:rsidP="003B62D3">
      <w:pPr>
        <w:spacing w:line="360" w:lineRule="auto"/>
        <w:rPr>
          <w:rFonts w:ascii="Arial" w:hAnsi="Arial" w:cs="Arial"/>
          <w:b/>
          <w:bCs/>
          <w:sz w:val="28"/>
          <w:szCs w:val="28"/>
        </w:rPr>
      </w:pPr>
    </w:p>
    <w:p w14:paraId="2219E700" w14:textId="77777777" w:rsidR="007036F3" w:rsidRDefault="007036F3" w:rsidP="003B62D3">
      <w:pPr>
        <w:spacing w:line="360" w:lineRule="auto"/>
        <w:rPr>
          <w:rFonts w:ascii="Arial" w:hAnsi="Arial" w:cs="Arial"/>
          <w:b/>
          <w:bCs/>
          <w:sz w:val="28"/>
          <w:szCs w:val="28"/>
        </w:rPr>
      </w:pPr>
    </w:p>
    <w:p w14:paraId="13E9D50F" w14:textId="77777777" w:rsidR="007036F3" w:rsidRDefault="007036F3" w:rsidP="003B62D3">
      <w:pPr>
        <w:spacing w:line="360" w:lineRule="auto"/>
        <w:rPr>
          <w:rFonts w:ascii="Arial" w:hAnsi="Arial" w:cs="Arial"/>
          <w:b/>
          <w:bCs/>
          <w:sz w:val="28"/>
          <w:szCs w:val="28"/>
        </w:rPr>
      </w:pPr>
    </w:p>
    <w:p w14:paraId="5940A74D" w14:textId="77777777" w:rsidR="007036F3" w:rsidRDefault="007036F3" w:rsidP="003B62D3">
      <w:pPr>
        <w:spacing w:line="360" w:lineRule="auto"/>
        <w:rPr>
          <w:rFonts w:ascii="Arial" w:hAnsi="Arial" w:cs="Arial"/>
          <w:b/>
          <w:bCs/>
          <w:sz w:val="28"/>
          <w:szCs w:val="28"/>
        </w:rPr>
      </w:pPr>
    </w:p>
    <w:p w14:paraId="7AAE08E3" w14:textId="77777777" w:rsidR="007036F3" w:rsidRDefault="007036F3" w:rsidP="003B62D3">
      <w:pPr>
        <w:spacing w:line="360" w:lineRule="auto"/>
        <w:rPr>
          <w:rFonts w:ascii="Arial" w:hAnsi="Arial" w:cs="Arial"/>
          <w:b/>
          <w:bCs/>
          <w:sz w:val="28"/>
          <w:szCs w:val="28"/>
        </w:rPr>
      </w:pPr>
    </w:p>
    <w:p w14:paraId="38E415F6" w14:textId="77777777" w:rsidR="007036F3" w:rsidRDefault="007036F3" w:rsidP="003B62D3">
      <w:pPr>
        <w:spacing w:line="360" w:lineRule="auto"/>
        <w:rPr>
          <w:rFonts w:ascii="Arial" w:hAnsi="Arial" w:cs="Arial"/>
          <w:b/>
          <w:bCs/>
          <w:sz w:val="28"/>
          <w:szCs w:val="28"/>
        </w:rPr>
      </w:pPr>
    </w:p>
    <w:p w14:paraId="13D8C971" w14:textId="77777777" w:rsidR="007036F3" w:rsidRDefault="007036F3" w:rsidP="003B62D3">
      <w:pPr>
        <w:spacing w:line="360" w:lineRule="auto"/>
        <w:rPr>
          <w:rFonts w:ascii="Arial" w:hAnsi="Arial" w:cs="Arial"/>
          <w:b/>
          <w:bCs/>
          <w:sz w:val="28"/>
          <w:szCs w:val="28"/>
        </w:rPr>
      </w:pPr>
    </w:p>
    <w:p w14:paraId="18E49886" w14:textId="2C9F648E" w:rsidR="007036F3" w:rsidRDefault="007036F3" w:rsidP="003B62D3">
      <w:pPr>
        <w:spacing w:line="360" w:lineRule="auto"/>
        <w:rPr>
          <w:rFonts w:ascii="Arial" w:hAnsi="Arial" w:cs="Arial"/>
          <w:b/>
          <w:bCs/>
          <w:sz w:val="28"/>
          <w:szCs w:val="28"/>
        </w:rPr>
      </w:pPr>
    </w:p>
    <w:p w14:paraId="70DD7456" w14:textId="77777777" w:rsidR="00E03670" w:rsidRDefault="00E03670" w:rsidP="003B62D3">
      <w:pPr>
        <w:spacing w:line="360" w:lineRule="auto"/>
        <w:rPr>
          <w:rFonts w:ascii="Arial" w:hAnsi="Arial" w:cs="Arial"/>
          <w:b/>
          <w:bCs/>
          <w:sz w:val="28"/>
          <w:szCs w:val="28"/>
        </w:rPr>
      </w:pPr>
    </w:p>
    <w:p w14:paraId="375C1DCD" w14:textId="77777777" w:rsidR="00A9505D" w:rsidRPr="00367542" w:rsidRDefault="00A9505D" w:rsidP="003B62D3">
      <w:pPr>
        <w:pStyle w:val="Heading1"/>
        <w:spacing w:line="360" w:lineRule="auto"/>
        <w:jc w:val="center"/>
        <w:rPr>
          <w:rFonts w:ascii="Arial" w:hAnsi="Arial" w:cs="Arial"/>
        </w:rPr>
      </w:pPr>
      <w:r w:rsidRPr="00367542">
        <w:rPr>
          <w:rFonts w:ascii="Arial" w:hAnsi="Arial" w:cs="Arial"/>
        </w:rPr>
        <w:t>Executive Summary</w:t>
      </w:r>
    </w:p>
    <w:p w14:paraId="63F013D1" w14:textId="77777777" w:rsidR="00A9505D" w:rsidRPr="00367542" w:rsidRDefault="00A9505D" w:rsidP="003B62D3">
      <w:pPr>
        <w:spacing w:line="360" w:lineRule="auto"/>
        <w:rPr>
          <w:rFonts w:ascii="Arial" w:hAnsi="Arial" w:cs="Arial"/>
          <w:b/>
          <w:bCs/>
        </w:rPr>
      </w:pPr>
      <w:r w:rsidRPr="00480B9F">
        <w:rPr>
          <w:rFonts w:ascii="Arial" w:hAnsi="Arial" w:cs="Arial"/>
        </w:rPr>
        <w:t>This report outlines the project management strategy for the launch of 'Veritas', a new health-monitoring smartwatch from Dyson HealthTech, which tracks heart rate, blood oxygen, uric acid, and sleep patterns. The critical success factor for this high-stakes project is effective stakeholder engagement. This document provides a situational analysis of Dyson HealthTech using the SWOT and PESTLE frameworks and establishes clear</w:t>
      </w:r>
      <w:r w:rsidRPr="00367542">
        <w:rPr>
          <w:rFonts w:ascii="Arial" w:hAnsi="Arial" w:cs="Arial"/>
          <w:b/>
          <w:bCs/>
        </w:rPr>
        <w:t xml:space="preserve"> </w:t>
      </w:r>
      <w:r w:rsidRPr="006C183E">
        <w:rPr>
          <w:rFonts w:ascii="Arial" w:hAnsi="Arial" w:cs="Arial"/>
        </w:rPr>
        <w:t>SMART objectives for the launch. It subsequently identifies key internal and external stakeholders—from the Product Development Team to the NHS—and outlines a rigorous engagement process. Key models, including the Power/Interest Matrix and RACI, are introduced to define influence and responsibilities. The report critically explains how the Project Manager will use the 4C's model (Communication, Coordination, Cooperation, and Collaboration) to proactively manage conflict and ensure a cohesive approach, ultimately evaluating the positive impact of sustained engagement on business performance and providing robust recommendations for future practice.</w:t>
      </w:r>
    </w:p>
    <w:p w14:paraId="0C352AAC" w14:textId="77777777" w:rsidR="00A9505D" w:rsidRPr="00367542" w:rsidRDefault="00A9505D" w:rsidP="003B62D3">
      <w:pPr>
        <w:pStyle w:val="Heading2"/>
        <w:spacing w:line="360" w:lineRule="auto"/>
        <w:jc w:val="center"/>
        <w:rPr>
          <w:rFonts w:ascii="Arial" w:hAnsi="Arial" w:cs="Arial"/>
        </w:rPr>
      </w:pPr>
      <w:r w:rsidRPr="00367542">
        <w:rPr>
          <w:rFonts w:ascii="Arial" w:hAnsi="Arial" w:cs="Arial"/>
        </w:rPr>
        <w:t xml:space="preserve">1. </w:t>
      </w:r>
      <w:r w:rsidRPr="00B27B23">
        <w:rPr>
          <w:rFonts w:ascii="Arial" w:hAnsi="Arial" w:cs="Arial"/>
          <w:sz w:val="40"/>
          <w:szCs w:val="40"/>
        </w:rPr>
        <w:t>Introduction and Project Context</w:t>
      </w:r>
    </w:p>
    <w:p w14:paraId="6EB2B19E" w14:textId="77777777" w:rsidR="00A9505D" w:rsidRPr="00367542" w:rsidRDefault="00A9505D" w:rsidP="003B62D3">
      <w:pPr>
        <w:pStyle w:val="Heading3"/>
        <w:spacing w:line="360" w:lineRule="auto"/>
        <w:rPr>
          <w:rFonts w:ascii="Arial" w:hAnsi="Arial" w:cs="Arial"/>
        </w:rPr>
      </w:pPr>
      <w:r w:rsidRPr="00367542">
        <w:rPr>
          <w:rFonts w:ascii="Arial" w:hAnsi="Arial" w:cs="Arial"/>
        </w:rPr>
        <w:t>1.1 Introduction of Dyson HealthTech</w:t>
      </w:r>
    </w:p>
    <w:p w14:paraId="5854EFE3" w14:textId="77777777" w:rsidR="00A9505D" w:rsidRPr="006C183E" w:rsidRDefault="00A9505D" w:rsidP="003B62D3">
      <w:pPr>
        <w:spacing w:line="360" w:lineRule="auto"/>
        <w:rPr>
          <w:rFonts w:ascii="Arial" w:hAnsi="Arial" w:cs="Arial"/>
        </w:rPr>
      </w:pPr>
      <w:r w:rsidRPr="006C183E">
        <w:rPr>
          <w:rFonts w:ascii="Arial" w:hAnsi="Arial" w:cs="Arial"/>
        </w:rPr>
        <w:t xml:space="preserve">Dyson HealthTech is a strategic division of the renowned UK-based technology company, Dyson, focusing on advanced personal health and diagnostic devices. The organisation, headquartered in Malmsbury, Wiltshire, operates globally but maintains significant research, development, and operational activities in the United Kingdom. Dyson HealthTech leverages the parent company’s reputation for design excellence, intellectual property, and disruptive technology, aiming to transition from consumer electronics to premium, data-driven healthcare solutions. Its operational activities span hardware engineering, proprietary software development, and the provision of secure data services, positioning it as a key player in the nascent 'Quantified Self' market (Ashcroft, 2017). The company's size, backed by Dyson's infrastructure, </w:t>
      </w:r>
      <w:r>
        <w:rPr>
          <w:rFonts w:ascii="Arial" w:hAnsi="Arial" w:cs="Arial"/>
        </w:rPr>
        <w:t>enables it to undertake complex, high-investment projects that meet</w:t>
      </w:r>
      <w:r w:rsidRPr="006C183E">
        <w:rPr>
          <w:rFonts w:ascii="Arial" w:hAnsi="Arial" w:cs="Arial"/>
        </w:rPr>
        <w:t xml:space="preserve"> strict quality and compliance standards (Dyson Annual Report, 2024).</w:t>
      </w:r>
    </w:p>
    <w:p w14:paraId="4D83AA1C" w14:textId="77777777" w:rsidR="00A9505D" w:rsidRPr="00367542" w:rsidRDefault="00A9505D" w:rsidP="003B62D3">
      <w:pPr>
        <w:pStyle w:val="Heading3"/>
        <w:spacing w:line="360" w:lineRule="auto"/>
        <w:rPr>
          <w:rFonts w:ascii="Arial" w:hAnsi="Arial" w:cs="Arial"/>
        </w:rPr>
      </w:pPr>
      <w:r w:rsidRPr="00367542">
        <w:rPr>
          <w:rFonts w:ascii="Arial" w:hAnsi="Arial" w:cs="Arial"/>
        </w:rPr>
        <w:lastRenderedPageBreak/>
        <w:t>1.2 Project Overview: The 'Veritas' Smartwatch Launch</w:t>
      </w:r>
    </w:p>
    <w:p w14:paraId="4F21DB6C" w14:textId="77777777" w:rsidR="00A9505D" w:rsidRPr="00231356" w:rsidRDefault="00A9505D" w:rsidP="003B62D3">
      <w:pPr>
        <w:spacing w:line="360" w:lineRule="auto"/>
        <w:rPr>
          <w:rFonts w:ascii="Arial" w:hAnsi="Arial" w:cs="Arial"/>
        </w:rPr>
      </w:pPr>
      <w:r w:rsidRPr="00231356">
        <w:rPr>
          <w:rFonts w:ascii="Arial" w:hAnsi="Arial" w:cs="Arial"/>
        </w:rPr>
        <w:t>The project is the development and launch of the 'Veritas' health smartwatch, a device designed to provide advanced, continuous, non-invasive health monitoring, specifically tracking ECG, PPG (Heart Rate), Blood Pressure, Blood Oxygen, Uric Acid, and Sleep patterns. The product aims to appeal to both the proactive consumer and potential medical applications. With a six-month deadline until consumer availability, the Project Manager's primary responsibility is to synchronise complex technical development, medical certification, and market preparation. Success hinges on robust stakeholder engagement to harness their expertise, manage expectations, mitigate risks, and ensure alignment across all departments to meet the critical launch date.</w:t>
      </w:r>
    </w:p>
    <w:p w14:paraId="4BA486F7" w14:textId="77777777" w:rsidR="00537C23" w:rsidRPr="00B27B23" w:rsidRDefault="00537C23" w:rsidP="00B27B23">
      <w:pPr>
        <w:spacing w:line="360" w:lineRule="auto"/>
        <w:jc w:val="center"/>
        <w:rPr>
          <w:rFonts w:ascii="Arial" w:hAnsi="Arial" w:cs="Arial"/>
          <w:b/>
          <w:bCs/>
          <w:sz w:val="40"/>
          <w:szCs w:val="40"/>
        </w:rPr>
      </w:pPr>
    </w:p>
    <w:p w14:paraId="40806B84" w14:textId="711064DF" w:rsidR="00106791" w:rsidRPr="00B27B23" w:rsidRDefault="00106791" w:rsidP="00B27B23">
      <w:pPr>
        <w:pStyle w:val="Heading1"/>
        <w:spacing w:line="360" w:lineRule="auto"/>
        <w:jc w:val="center"/>
      </w:pPr>
      <w:r w:rsidRPr="00B27B23">
        <w:t>2.</w:t>
      </w:r>
      <w:r w:rsidR="000B67D0" w:rsidRPr="00B27B23">
        <w:t xml:space="preserve"> </w:t>
      </w:r>
      <w:r w:rsidRPr="00B27B23">
        <w:t>Strategic Planning and Situational Analysis</w:t>
      </w:r>
    </w:p>
    <w:p w14:paraId="19A977CE" w14:textId="77777777" w:rsidR="00106791" w:rsidRDefault="00106791" w:rsidP="003B62D3">
      <w:pPr>
        <w:pStyle w:val="Heading3"/>
        <w:spacing w:line="360" w:lineRule="auto"/>
        <w:rPr>
          <w:rFonts w:ascii="Arial" w:hAnsi="Arial" w:cs="Arial"/>
        </w:rPr>
      </w:pPr>
      <w:r>
        <w:rPr>
          <w:rFonts w:ascii="Arial" w:hAnsi="Arial" w:cs="Arial"/>
        </w:rPr>
        <w:t>2</w:t>
      </w:r>
      <w:r w:rsidRPr="00367542">
        <w:rPr>
          <w:rFonts w:ascii="Arial" w:hAnsi="Arial" w:cs="Arial"/>
        </w:rPr>
        <w:t>.1 SWOT Analysis for Dyson HealthTech</w:t>
      </w:r>
    </w:p>
    <w:p w14:paraId="1565CCF1" w14:textId="77777777" w:rsidR="00106791" w:rsidRDefault="00106791" w:rsidP="003B62D3">
      <w:pPr>
        <w:spacing w:line="360" w:lineRule="auto"/>
      </w:pPr>
      <w:r w:rsidRPr="00077E1E">
        <w:t>external pressures.</w:t>
      </w:r>
    </w:p>
    <w:tbl>
      <w:tblPr>
        <w:tblStyle w:val="GridTable1Light-Accent6"/>
        <w:tblW w:w="0" w:type="auto"/>
        <w:tblLook w:val="04A0" w:firstRow="1" w:lastRow="0" w:firstColumn="1" w:lastColumn="0" w:noHBand="0" w:noVBand="1"/>
      </w:tblPr>
      <w:tblGrid>
        <w:gridCol w:w="4508"/>
        <w:gridCol w:w="4508"/>
      </w:tblGrid>
      <w:tr w:rsidR="00106791" w14:paraId="32032D26"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73E861" w14:textId="77777777" w:rsidR="00106791" w:rsidRDefault="00106791" w:rsidP="003B62D3">
            <w:pPr>
              <w:spacing w:line="360" w:lineRule="auto"/>
            </w:pPr>
            <w:r w:rsidRPr="00077E1E">
              <w:t>Factor</w:t>
            </w:r>
          </w:p>
        </w:tc>
        <w:tc>
          <w:tcPr>
            <w:tcW w:w="4508" w:type="dxa"/>
          </w:tcPr>
          <w:p w14:paraId="62A6BF3B" w14:textId="77777777" w:rsidR="00106791" w:rsidRDefault="00106791"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 xml:space="preserve">Description and </w:t>
            </w:r>
            <w:r>
              <w:t>Implications</w:t>
            </w:r>
            <w:r w:rsidRPr="00077E1E">
              <w:t xml:space="preserve"> for the Smart Watch Launch</w:t>
            </w:r>
          </w:p>
        </w:tc>
      </w:tr>
      <w:tr w:rsidR="00106791" w14:paraId="7CBD5448"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3EE7E82A" w14:textId="77777777" w:rsidR="00106791" w:rsidRDefault="00106791" w:rsidP="003B62D3">
            <w:pPr>
              <w:spacing w:line="360" w:lineRule="auto"/>
            </w:pPr>
            <w:r w:rsidRPr="00077E1E">
              <w:t>S (Strengths)</w:t>
            </w:r>
          </w:p>
        </w:tc>
        <w:tc>
          <w:tcPr>
            <w:tcW w:w="4508" w:type="dxa"/>
          </w:tcPr>
          <w:p w14:paraId="61C27988"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Clinical Credibility and Quality:</w:t>
            </w:r>
            <w:r w:rsidRPr="00077E1E">
              <w:t xml:space="preserve"> Owen Mumford possesses a long-standing reputation for manufacturing high-precision, reliable medical devices. This is a massive advantage over consumer tech brands when launching a regulated BP monitor, </w:t>
            </w:r>
            <w:r>
              <w:t>as it builds</w:t>
            </w:r>
            <w:r w:rsidRPr="00077E1E">
              <w:t xml:space="preserve"> immediate trust with healthcare professionals and consumers. </w:t>
            </w:r>
            <w:r w:rsidRPr="00077E1E">
              <w:rPr>
                <w:b/>
                <w:bCs/>
              </w:rPr>
              <w:t>Regulatory Expertise:</w:t>
            </w:r>
            <w:r w:rsidRPr="00077E1E">
              <w:t xml:space="preserve"> The existing Regulatory Affairs team is </w:t>
            </w:r>
            <w:r>
              <w:t xml:space="preserve">an </w:t>
            </w:r>
            <w:r w:rsidRPr="00077E1E">
              <w:t xml:space="preserve">expert in global medical device standards </w:t>
            </w:r>
            <w:r w:rsidRPr="00077E1E">
              <w:lastRenderedPageBreak/>
              <w:t xml:space="preserve">(ISO, CE marks), which is critical for the watch’s mandatory MHRA clearance. </w:t>
            </w:r>
            <w:r w:rsidRPr="00077E1E">
              <w:rPr>
                <w:b/>
                <w:bCs/>
              </w:rPr>
              <w:t>Established Supply Chain (Medical Grade):</w:t>
            </w:r>
            <w:r w:rsidRPr="00077E1E">
              <w:t xml:space="preserve"> Expertise in sourcing high-quality, reliable components, which is vital for the air-pump mechanism and sensor accuracy.</w:t>
            </w:r>
          </w:p>
        </w:tc>
      </w:tr>
      <w:tr w:rsidR="00106791" w14:paraId="7DE2F63A"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0657545B" w14:textId="77777777" w:rsidR="00106791" w:rsidRDefault="00106791" w:rsidP="003B62D3">
            <w:pPr>
              <w:spacing w:line="360" w:lineRule="auto"/>
            </w:pPr>
            <w:r w:rsidRPr="00077E1E">
              <w:lastRenderedPageBreak/>
              <w:t>W (Weaknesses)</w:t>
            </w:r>
          </w:p>
        </w:tc>
        <w:tc>
          <w:tcPr>
            <w:tcW w:w="4508" w:type="dxa"/>
          </w:tcPr>
          <w:p w14:paraId="5F4BE6D2"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Limited Consumer Electronics Experience:</w:t>
            </w:r>
            <w:r w:rsidRPr="00077E1E">
              <w:t xml:space="preserve"> The company lacks deep experience in consumer-facing software (apps, cloud platforms), design aesthetics</w:t>
            </w:r>
            <w:r>
              <w:t>,</w:t>
            </w:r>
            <w:r w:rsidRPr="00077E1E">
              <w:t xml:space="preserve"> </w:t>
            </w:r>
            <w:r>
              <w:t>everyday wearables</w:t>
            </w:r>
            <w:r w:rsidRPr="00077E1E">
              <w:t xml:space="preserve">, and fast-paced firmware development. This creates reliance on new, potentially inexperienced, external contractors. </w:t>
            </w:r>
            <w:r w:rsidRPr="00077E1E">
              <w:rPr>
                <w:b/>
                <w:bCs/>
              </w:rPr>
              <w:t>Internal Silos:</w:t>
            </w:r>
            <w:r w:rsidRPr="00077E1E">
              <w:t xml:space="preserve"> Traditional medical device development often involves sequential phases. The six-month timeline demands highly integrated, agile work, which may clash with existing </w:t>
            </w:r>
            <w:r>
              <w:t>organisational</w:t>
            </w:r>
            <w:r w:rsidRPr="00077E1E">
              <w:t xml:space="preserve"> structures and slow down cross-functional coordination. </w:t>
            </w:r>
            <w:r w:rsidRPr="00077E1E">
              <w:rPr>
                <w:b/>
                <w:bCs/>
              </w:rPr>
              <w:t>Data Security Infrastructure:</w:t>
            </w:r>
            <w:r w:rsidRPr="00077E1E">
              <w:t xml:space="preserve"> Handling vast amounts of sensitive patient data requires robust, new infrastructure compliant with GDPR, potentially creating unforeseen delays and costs.</w:t>
            </w:r>
          </w:p>
        </w:tc>
      </w:tr>
      <w:tr w:rsidR="00106791" w14:paraId="1EDBAFEF"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070D1D83" w14:textId="77777777" w:rsidR="00106791" w:rsidRDefault="00106791" w:rsidP="003B62D3">
            <w:pPr>
              <w:spacing w:line="360" w:lineRule="auto"/>
            </w:pPr>
            <w:r w:rsidRPr="00077E1E">
              <w:t>O (Opportunities)</w:t>
            </w:r>
          </w:p>
        </w:tc>
        <w:tc>
          <w:tcPr>
            <w:tcW w:w="4508" w:type="dxa"/>
          </w:tcPr>
          <w:p w14:paraId="1D31E99B"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Growing Remote Patient Monitoring (RPM):</w:t>
            </w:r>
            <w:r w:rsidRPr="00077E1E">
              <w:t xml:space="preserve"> The global shift towards telehealth and remote diagnostics, accelerated by recent events, presents a </w:t>
            </w:r>
            <w:r w:rsidRPr="00077E1E">
              <w:lastRenderedPageBreak/>
              <w:t xml:space="preserve">massive market for accurate home BP devices that can share data. </w:t>
            </w:r>
            <w:r w:rsidRPr="00077E1E">
              <w:rPr>
                <w:b/>
                <w:bCs/>
              </w:rPr>
              <w:t>NHS Integration:</w:t>
            </w:r>
            <w:r w:rsidRPr="00077E1E">
              <w:t xml:space="preserve"> Potential for the watch data to integrate with NHS patient records (with proper security), opening up large-scale, institutional sales. </w:t>
            </w:r>
            <w:r w:rsidRPr="00077E1E">
              <w:rPr>
                <w:b/>
                <w:bCs/>
              </w:rPr>
              <w:t>Value Proposition Differentiation:</w:t>
            </w:r>
            <w:r w:rsidRPr="00077E1E">
              <w:t xml:space="preserve"> The air-pump mechanism offers a genuinely novel, clinically validated method for non-cuff-based BP monitoring, distinguishing it </w:t>
            </w:r>
            <w:r>
              <w:t>from competitors' optical-only sensors</w:t>
            </w:r>
            <w:r w:rsidRPr="00077E1E">
              <w:t>.</w:t>
            </w:r>
          </w:p>
        </w:tc>
      </w:tr>
      <w:tr w:rsidR="00106791" w14:paraId="65C5008D"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6CF92862" w14:textId="77777777" w:rsidR="00106791" w:rsidRDefault="00106791" w:rsidP="003B62D3">
            <w:pPr>
              <w:spacing w:line="360" w:lineRule="auto"/>
            </w:pPr>
            <w:r w:rsidRPr="00077E1E">
              <w:lastRenderedPageBreak/>
              <w:t>T (Threats)</w:t>
            </w:r>
          </w:p>
        </w:tc>
        <w:tc>
          <w:tcPr>
            <w:tcW w:w="4508" w:type="dxa"/>
          </w:tcPr>
          <w:p w14:paraId="2D8F1929"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Regulatory Delays:</w:t>
            </w:r>
            <w:r w:rsidRPr="00077E1E">
              <w:t xml:space="preserve"> The most significant threat is </w:t>
            </w:r>
            <w:r>
              <w:t>failure to obtain MHRA regulatory clearance within the 6-month</w:t>
            </w:r>
            <w:r w:rsidRPr="00077E1E">
              <w:t xml:space="preserve"> window due to incomplete clinical data or technical documentation. </w:t>
            </w:r>
            <w:r w:rsidRPr="00077E1E">
              <w:rPr>
                <w:b/>
                <w:bCs/>
              </w:rPr>
              <w:t>Competition from Tech Giants:</w:t>
            </w:r>
            <w:r w:rsidRPr="00077E1E">
              <w:t xml:space="preserve"> Existing market dominance by brands like Apple and Samsung, which possess superior brand recognition, software ecosystems, and marketing budgets in the consumer space. </w:t>
            </w:r>
            <w:r w:rsidRPr="00077E1E">
              <w:rPr>
                <w:b/>
                <w:bCs/>
              </w:rPr>
              <w:t>Intellectual Property (IP) Risk:</w:t>
            </w:r>
            <w:r w:rsidRPr="00077E1E">
              <w:t xml:space="preserve"> Rapid advances in sensor technology mean that novel features may quickly be copied or superseded by competitors, leading to a shortened competitive lifespan. </w:t>
            </w:r>
            <w:r w:rsidRPr="00077E1E">
              <w:rPr>
                <w:b/>
                <w:bCs/>
              </w:rPr>
              <w:t>Cybersecurity Breaches:</w:t>
            </w:r>
            <w:r w:rsidRPr="00077E1E">
              <w:t xml:space="preserve"> A data breach involving patient health records (PHR) would severely damage </w:t>
            </w:r>
            <w:r w:rsidRPr="00077E1E">
              <w:lastRenderedPageBreak/>
              <w:t>brand trust and incur massive fines under GDPR.</w:t>
            </w:r>
          </w:p>
        </w:tc>
      </w:tr>
    </w:tbl>
    <w:p w14:paraId="7B190169" w14:textId="77777777" w:rsidR="00106791" w:rsidRDefault="00106791" w:rsidP="003B62D3">
      <w:pPr>
        <w:pStyle w:val="Heading3"/>
        <w:spacing w:line="360" w:lineRule="auto"/>
        <w:rPr>
          <w:rFonts w:ascii="Arial" w:hAnsi="Arial" w:cs="Arial"/>
        </w:rPr>
      </w:pPr>
    </w:p>
    <w:p w14:paraId="09581DD9" w14:textId="711B8E07" w:rsidR="00106791" w:rsidRDefault="000B67D0" w:rsidP="003B62D3">
      <w:pPr>
        <w:pStyle w:val="Heading3"/>
        <w:spacing w:line="360" w:lineRule="auto"/>
        <w:rPr>
          <w:rFonts w:ascii="Arial" w:hAnsi="Arial" w:cs="Arial"/>
        </w:rPr>
      </w:pPr>
      <w:r>
        <w:rPr>
          <w:rFonts w:ascii="Arial" w:hAnsi="Arial" w:cs="Arial"/>
        </w:rPr>
        <w:t>2</w:t>
      </w:r>
      <w:r w:rsidR="00106791" w:rsidRPr="00367542">
        <w:rPr>
          <w:rFonts w:ascii="Arial" w:hAnsi="Arial" w:cs="Arial"/>
        </w:rPr>
        <w:t>.2 PESTLE Analysis: External Environment</w:t>
      </w:r>
    </w:p>
    <w:tbl>
      <w:tblPr>
        <w:tblStyle w:val="GridTable6ColourfulAccent2"/>
        <w:tblW w:w="0" w:type="auto"/>
        <w:tblLook w:val="04A0" w:firstRow="1" w:lastRow="0" w:firstColumn="1" w:lastColumn="0" w:noHBand="0" w:noVBand="1"/>
      </w:tblPr>
      <w:tblGrid>
        <w:gridCol w:w="4508"/>
        <w:gridCol w:w="4508"/>
      </w:tblGrid>
      <w:tr w:rsidR="00106791" w14:paraId="1D377866"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47DB552" w14:textId="77777777" w:rsidR="00106791" w:rsidRDefault="00106791" w:rsidP="003B62D3">
            <w:pPr>
              <w:spacing w:line="360" w:lineRule="auto"/>
              <w:rPr>
                <w:b w:val="0"/>
                <w:bCs w:val="0"/>
              </w:rPr>
            </w:pPr>
            <w:r w:rsidRPr="00077E1E">
              <w:t>Factor</w:t>
            </w:r>
          </w:p>
        </w:tc>
        <w:tc>
          <w:tcPr>
            <w:tcW w:w="4508" w:type="dxa"/>
          </w:tcPr>
          <w:p w14:paraId="35A1DA10" w14:textId="77777777" w:rsidR="00106791" w:rsidRDefault="00106791" w:rsidP="003B62D3">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077E1E">
              <w:t>Impact on Smart Watch Launch</w:t>
            </w:r>
          </w:p>
        </w:tc>
      </w:tr>
      <w:tr w:rsidR="00106791" w14:paraId="62861E2F"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1299B3" w14:textId="77777777" w:rsidR="00106791" w:rsidRDefault="00106791" w:rsidP="003B62D3">
            <w:pPr>
              <w:spacing w:line="360" w:lineRule="auto"/>
              <w:rPr>
                <w:b w:val="0"/>
                <w:bCs w:val="0"/>
              </w:rPr>
            </w:pPr>
            <w:r w:rsidRPr="00077E1E">
              <w:t>P (Political)</w:t>
            </w:r>
          </w:p>
        </w:tc>
        <w:tc>
          <w:tcPr>
            <w:tcW w:w="4508" w:type="dxa"/>
          </w:tcPr>
          <w:p w14:paraId="089F4E29" w14:textId="77777777" w:rsidR="00106791" w:rsidRDefault="0010679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t>Government promotion of telehealth and NHS digital transformation provides a supportive environment. Changes in trade policy (</w:t>
            </w:r>
            <w:r>
              <w:t xml:space="preserve">such as </w:t>
            </w:r>
            <w:r w:rsidRPr="00077E1E">
              <w:t>Brexit) can affect component sourcing costs.</w:t>
            </w:r>
          </w:p>
        </w:tc>
      </w:tr>
      <w:tr w:rsidR="00106791" w14:paraId="7AEFAFA8"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4E40E01E" w14:textId="77777777" w:rsidR="00106791" w:rsidRDefault="00106791" w:rsidP="003B62D3">
            <w:pPr>
              <w:spacing w:line="360" w:lineRule="auto"/>
              <w:rPr>
                <w:b w:val="0"/>
                <w:bCs w:val="0"/>
              </w:rPr>
            </w:pPr>
            <w:r w:rsidRPr="00077E1E">
              <w:t>E (Economic)</w:t>
            </w:r>
          </w:p>
        </w:tc>
        <w:tc>
          <w:tcPr>
            <w:tcW w:w="4508" w:type="dxa"/>
          </w:tcPr>
          <w:p w14:paraId="29E2C015"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t>High inflation and cost-of-living pressures could reduce consumer willingness to pay a premium price for a medical-grade device compared to cheaper fitness trackers.</w:t>
            </w:r>
          </w:p>
        </w:tc>
      </w:tr>
      <w:tr w:rsidR="00106791" w14:paraId="42767E08"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32AB8D" w14:textId="77777777" w:rsidR="00106791" w:rsidRDefault="00106791" w:rsidP="003B62D3">
            <w:pPr>
              <w:spacing w:line="360" w:lineRule="auto"/>
              <w:rPr>
                <w:b w:val="0"/>
                <w:bCs w:val="0"/>
              </w:rPr>
            </w:pPr>
            <w:r w:rsidRPr="00077E1E">
              <w:t>S (Social)</w:t>
            </w:r>
          </w:p>
        </w:tc>
        <w:tc>
          <w:tcPr>
            <w:tcW w:w="4508" w:type="dxa"/>
          </w:tcPr>
          <w:p w14:paraId="2AEC333D" w14:textId="77777777" w:rsidR="00106791" w:rsidRDefault="0010679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t xml:space="preserve">Increasing health consciousness and demand for self-monitoring tools. </w:t>
            </w:r>
            <w:r>
              <w:t>There is excellent</w:t>
            </w:r>
            <w:r w:rsidRPr="00077E1E">
              <w:t xml:space="preserve"> public concern regarding data privacy and the security of health records.</w:t>
            </w:r>
          </w:p>
        </w:tc>
      </w:tr>
      <w:tr w:rsidR="00106791" w14:paraId="26ACB1BF"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56CDCEB3" w14:textId="77777777" w:rsidR="00106791" w:rsidRDefault="00106791" w:rsidP="003B62D3">
            <w:pPr>
              <w:spacing w:line="360" w:lineRule="auto"/>
              <w:rPr>
                <w:b w:val="0"/>
                <w:bCs w:val="0"/>
              </w:rPr>
            </w:pPr>
            <w:r w:rsidRPr="00077E1E">
              <w:t>T (Technological)</w:t>
            </w:r>
          </w:p>
        </w:tc>
        <w:tc>
          <w:tcPr>
            <w:tcW w:w="4508" w:type="dxa"/>
          </w:tcPr>
          <w:p w14:paraId="307F820B"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t>Rapid pace of sensor development; the watch must be future-proofed. Reliance on securing reliable, high-density batteries and stable Bluetooth/Wi-Fi connectivity.</w:t>
            </w:r>
          </w:p>
        </w:tc>
      </w:tr>
      <w:tr w:rsidR="00106791" w14:paraId="57EC36E1"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A2BA662" w14:textId="77777777" w:rsidR="00106791" w:rsidRDefault="00106791" w:rsidP="003B62D3">
            <w:pPr>
              <w:spacing w:line="360" w:lineRule="auto"/>
              <w:rPr>
                <w:b w:val="0"/>
                <w:bCs w:val="0"/>
              </w:rPr>
            </w:pPr>
            <w:r w:rsidRPr="00077E1E">
              <w:t>L (Legal)</w:t>
            </w:r>
          </w:p>
        </w:tc>
        <w:tc>
          <w:tcPr>
            <w:tcW w:w="4508" w:type="dxa"/>
          </w:tcPr>
          <w:p w14:paraId="079AC7B6" w14:textId="77777777" w:rsidR="00106791" w:rsidRDefault="0010679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Crucial:</w:t>
            </w:r>
            <w:r w:rsidRPr="00077E1E">
              <w:t xml:space="preserve"> Strict adherence to Medical Devices Regulations (MDR) and MHRA standards. Mandatory compliance with GDPR for handling patient health data.</w:t>
            </w:r>
          </w:p>
        </w:tc>
      </w:tr>
      <w:tr w:rsidR="00106791" w14:paraId="711BFD76"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1C02448F" w14:textId="77777777" w:rsidR="00106791" w:rsidRDefault="00106791" w:rsidP="003B62D3">
            <w:pPr>
              <w:spacing w:line="360" w:lineRule="auto"/>
              <w:rPr>
                <w:b w:val="0"/>
                <w:bCs w:val="0"/>
              </w:rPr>
            </w:pPr>
            <w:r w:rsidRPr="00077E1E">
              <w:lastRenderedPageBreak/>
              <w:t>E (Environmental)</w:t>
            </w:r>
          </w:p>
        </w:tc>
        <w:tc>
          <w:tcPr>
            <w:tcW w:w="4508" w:type="dxa"/>
          </w:tcPr>
          <w:p w14:paraId="1E0CEE3B" w14:textId="77777777" w:rsidR="00106791" w:rsidRDefault="0010679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t>Need to ensure sustainable sourcing of components and ethical disposal/recycling protocols for a battery-powered consumer electronic device.</w:t>
            </w:r>
          </w:p>
        </w:tc>
      </w:tr>
    </w:tbl>
    <w:p w14:paraId="01746BE2" w14:textId="72B66525" w:rsidR="001041AC" w:rsidRPr="001041AC" w:rsidRDefault="001041AC" w:rsidP="000E5289">
      <w:pPr>
        <w:pStyle w:val="Heading1"/>
        <w:tabs>
          <w:tab w:val="left" w:pos="2601"/>
        </w:tabs>
        <w:spacing w:line="360" w:lineRule="auto"/>
      </w:pPr>
    </w:p>
    <w:p w14:paraId="1B4F1598" w14:textId="4626C072" w:rsidR="000B67D0" w:rsidRPr="00EA708D" w:rsidRDefault="00BA13AD" w:rsidP="00B27B23">
      <w:pPr>
        <w:pStyle w:val="Heading1"/>
        <w:spacing w:line="360" w:lineRule="auto"/>
        <w:jc w:val="center"/>
      </w:pPr>
      <w:r>
        <w:t xml:space="preserve">3. </w:t>
      </w:r>
      <w:r w:rsidR="000B67D0" w:rsidRPr="00EA708D">
        <w:t>Stakeholder Identification and Analysis</w:t>
      </w:r>
    </w:p>
    <w:p w14:paraId="696BB540" w14:textId="77777777" w:rsidR="00CC5151" w:rsidRPr="00CC5151" w:rsidRDefault="00CC5151" w:rsidP="003B62D3">
      <w:pPr>
        <w:pStyle w:val="ListParagraph"/>
        <w:spacing w:line="360" w:lineRule="auto"/>
        <w:ind w:left="0"/>
        <w:rPr>
          <w:rFonts w:ascii="Arial" w:hAnsi="Arial" w:cs="Arial"/>
        </w:rPr>
      </w:pPr>
      <w:r w:rsidRPr="00CC5151">
        <w:rPr>
          <w:rFonts w:ascii="Arial" w:hAnsi="Arial" w:cs="Arial"/>
        </w:rPr>
        <w:t>The success of the 'Veritas' launch within the demanding six-month timeline is directly proportional to the Project Manager's ability to identify and strategically engage all relevant internal and external parties. Stakeholders are defined as individuals, groups, or organisations who may affect, be affected by, or perceive themselves to be affected by a decision, activity, or outcome of the project (Project Management Institute, 2021). The stakeholders are categorised below, based on their direct involvement and influence on the HealthTech product lifecycle and launch strategy.</w:t>
      </w:r>
    </w:p>
    <w:tbl>
      <w:tblPr>
        <w:tblStyle w:val="GridTable4-Accent1"/>
        <w:tblW w:w="0" w:type="auto"/>
        <w:tblLook w:val="04A0" w:firstRow="1" w:lastRow="0" w:firstColumn="1" w:lastColumn="0" w:noHBand="0" w:noVBand="1"/>
      </w:tblPr>
      <w:tblGrid>
        <w:gridCol w:w="3005"/>
        <w:gridCol w:w="3005"/>
        <w:gridCol w:w="3006"/>
      </w:tblGrid>
      <w:tr w:rsidR="00CC5151" w14:paraId="10CFDAAE"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415487E" w14:textId="77777777" w:rsidR="00CC5151" w:rsidRDefault="00CC5151" w:rsidP="003B62D3">
            <w:pPr>
              <w:spacing w:line="360" w:lineRule="auto"/>
            </w:pPr>
            <w:r w:rsidRPr="00077E1E">
              <w:t>Category</w:t>
            </w:r>
          </w:p>
        </w:tc>
        <w:tc>
          <w:tcPr>
            <w:tcW w:w="3005" w:type="dxa"/>
          </w:tcPr>
          <w:p w14:paraId="1F8AE75C" w14:textId="77777777" w:rsidR="00CC5151" w:rsidRDefault="00CC5151"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Key Stakeholder Group</w:t>
            </w:r>
          </w:p>
        </w:tc>
        <w:tc>
          <w:tcPr>
            <w:tcW w:w="3006" w:type="dxa"/>
          </w:tcPr>
          <w:p w14:paraId="2EDA893E" w14:textId="77777777" w:rsidR="00CC5151" w:rsidRDefault="00CC5151"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Rationale for Importance</w:t>
            </w:r>
          </w:p>
        </w:tc>
      </w:tr>
      <w:tr w:rsidR="00CC5151" w14:paraId="7FF15A4C" w14:textId="77777777" w:rsidTr="00FA72D0">
        <w:trPr>
          <w:cnfStyle w:val="000000100000" w:firstRow="0" w:lastRow="0" w:firstColumn="0" w:lastColumn="0" w:oddVBand="0" w:evenVBand="0" w:oddHBand="1" w:evenHBand="0" w:firstRowFirstColumn="0" w:firstRowLastColumn="0" w:lastRowFirstColumn="0" w:lastRowLastColumn="0"/>
          <w:trHeight w:val="2093"/>
        </w:trPr>
        <w:tc>
          <w:tcPr>
            <w:cnfStyle w:val="001000000000" w:firstRow="0" w:lastRow="0" w:firstColumn="1" w:lastColumn="0" w:oddVBand="0" w:evenVBand="0" w:oddHBand="0" w:evenHBand="0" w:firstRowFirstColumn="0" w:firstRowLastColumn="0" w:lastRowFirstColumn="0" w:lastRowLastColumn="0"/>
            <w:tcW w:w="3005" w:type="dxa"/>
          </w:tcPr>
          <w:p w14:paraId="1104FFCF" w14:textId="77777777" w:rsidR="00CC5151" w:rsidRDefault="00CC5151" w:rsidP="003B62D3">
            <w:pPr>
              <w:spacing w:line="360" w:lineRule="auto"/>
            </w:pPr>
            <w:r w:rsidRPr="00077E1E">
              <w:t>Internal</w:t>
            </w:r>
          </w:p>
        </w:tc>
        <w:tc>
          <w:tcPr>
            <w:tcW w:w="3005" w:type="dxa"/>
          </w:tcPr>
          <w:p w14:paraId="07D65D54"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rPr>
                <w:b/>
                <w:bCs/>
              </w:rPr>
              <w:t>Senior Management/Sponsor</w:t>
            </w:r>
          </w:p>
        </w:tc>
        <w:tc>
          <w:tcPr>
            <w:tcW w:w="3006" w:type="dxa"/>
          </w:tcPr>
          <w:p w14:paraId="45C70AAD"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Provide funding, strategic direction, and ultimate accountability for the project’s success</w:t>
            </w:r>
            <w:r>
              <w:t>: high</w:t>
            </w:r>
            <w:r w:rsidRPr="00077E1E">
              <w:t xml:space="preserve"> Power/High Interest.</w:t>
            </w:r>
          </w:p>
        </w:tc>
      </w:tr>
      <w:tr w:rsidR="00CC5151" w14:paraId="0774E353" w14:textId="77777777" w:rsidTr="00FA72D0">
        <w:trPr>
          <w:trHeight w:val="1399"/>
        </w:trPr>
        <w:tc>
          <w:tcPr>
            <w:cnfStyle w:val="001000000000" w:firstRow="0" w:lastRow="0" w:firstColumn="1" w:lastColumn="0" w:oddVBand="0" w:evenVBand="0" w:oddHBand="0" w:evenHBand="0" w:firstRowFirstColumn="0" w:firstRowLastColumn="0" w:lastRowFirstColumn="0" w:lastRowLastColumn="0"/>
            <w:tcW w:w="3005" w:type="dxa"/>
          </w:tcPr>
          <w:p w14:paraId="69221270" w14:textId="77777777" w:rsidR="00CC5151" w:rsidRDefault="00CC5151" w:rsidP="003B62D3">
            <w:pPr>
              <w:spacing w:line="360" w:lineRule="auto"/>
            </w:pPr>
          </w:p>
        </w:tc>
        <w:tc>
          <w:tcPr>
            <w:tcW w:w="3005" w:type="dxa"/>
          </w:tcPr>
          <w:p w14:paraId="5B2A4434" w14:textId="77777777" w:rsidR="00CC5151"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Product Development Team (R&amp;D, Engineering)</w:t>
            </w:r>
          </w:p>
        </w:tc>
        <w:tc>
          <w:tcPr>
            <w:tcW w:w="3006" w:type="dxa"/>
          </w:tcPr>
          <w:p w14:paraId="7F875FD8" w14:textId="77777777" w:rsidR="00CC5151"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Responsible for design, firmware, and hardware integration (air pump, sensors). Accountable for product quality and technical specifications.</w:t>
            </w:r>
          </w:p>
        </w:tc>
      </w:tr>
      <w:tr w:rsidR="00CC5151" w14:paraId="7E2B9270"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2A419263" w14:textId="77777777" w:rsidR="00CC5151" w:rsidRDefault="00CC5151" w:rsidP="003B62D3">
            <w:pPr>
              <w:spacing w:line="360" w:lineRule="auto"/>
            </w:pPr>
          </w:p>
        </w:tc>
        <w:tc>
          <w:tcPr>
            <w:tcW w:w="3005" w:type="dxa"/>
          </w:tcPr>
          <w:p w14:paraId="3099B263"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rPr>
                <w:b/>
                <w:bCs/>
              </w:rPr>
              <w:t>Regulatory Affairs &amp; Quality Assurance (QA)</w:t>
            </w:r>
          </w:p>
        </w:tc>
        <w:tc>
          <w:tcPr>
            <w:tcW w:w="3006" w:type="dxa"/>
          </w:tcPr>
          <w:p w14:paraId="135D5250" w14:textId="77777777" w:rsidR="00CC5151"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Critical gatekeepers</w:t>
            </w:r>
            <w:r>
              <w:t xml:space="preserve"> are</w:t>
            </w:r>
            <w:r w:rsidRPr="00077E1E">
              <w:t xml:space="preserve"> responsible for collecting evidence and submitting documentation </w:t>
            </w:r>
            <w:r>
              <w:t xml:space="preserve">to the MHRA for </w:t>
            </w:r>
            <w:r w:rsidRPr="00077E1E">
              <w:t>approval</w:t>
            </w:r>
            <w:r>
              <w:t>: high</w:t>
            </w:r>
            <w:r w:rsidRPr="00077E1E">
              <w:t xml:space="preserve"> Power/High Interest.</w:t>
            </w:r>
          </w:p>
        </w:tc>
      </w:tr>
      <w:tr w:rsidR="00CC5151" w14:paraId="5713A7F6"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689DC88C" w14:textId="77777777" w:rsidR="00CC5151" w:rsidRDefault="00CC5151" w:rsidP="003B62D3">
            <w:pPr>
              <w:spacing w:line="360" w:lineRule="auto"/>
            </w:pPr>
          </w:p>
        </w:tc>
        <w:tc>
          <w:tcPr>
            <w:tcW w:w="3005" w:type="dxa"/>
          </w:tcPr>
          <w:p w14:paraId="0823986D"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Marketing &amp; Sales</w:t>
            </w:r>
          </w:p>
        </w:tc>
        <w:tc>
          <w:tcPr>
            <w:tcW w:w="3006" w:type="dxa"/>
          </w:tcPr>
          <w:p w14:paraId="589B40D9"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Responsible for market research, messaging, pricing, distribution strategy, and achieving commercial targets post-launch.</w:t>
            </w:r>
          </w:p>
        </w:tc>
      </w:tr>
      <w:tr w:rsidR="00CC5151" w14:paraId="1D985EE1"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281F6E1F" w14:textId="77777777" w:rsidR="00CC5151" w:rsidRDefault="00CC5151" w:rsidP="003B62D3">
            <w:pPr>
              <w:spacing w:line="360" w:lineRule="auto"/>
            </w:pPr>
          </w:p>
        </w:tc>
        <w:tc>
          <w:tcPr>
            <w:tcW w:w="3005" w:type="dxa"/>
          </w:tcPr>
          <w:p w14:paraId="58D0685D"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IT &amp; Data Security Team</w:t>
            </w:r>
          </w:p>
        </w:tc>
        <w:tc>
          <w:tcPr>
            <w:tcW w:w="3006" w:type="dxa"/>
          </w:tcPr>
          <w:p w14:paraId="4E408E1A"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Responsible for setting up the secure cloud environment, ensuring GDPR compliance, and integrating the SOS/data sharing features.</w:t>
            </w:r>
          </w:p>
        </w:tc>
      </w:tr>
      <w:tr w:rsidR="00CC5151" w14:paraId="0A10DD67"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797C92A2" w14:textId="77777777" w:rsidR="00CC5151" w:rsidRDefault="00CC5151" w:rsidP="003B62D3">
            <w:pPr>
              <w:spacing w:line="360" w:lineRule="auto"/>
            </w:pPr>
            <w:r w:rsidRPr="00077E1E">
              <w:t>External</w:t>
            </w:r>
          </w:p>
        </w:tc>
        <w:tc>
          <w:tcPr>
            <w:tcW w:w="3005" w:type="dxa"/>
          </w:tcPr>
          <w:p w14:paraId="3B125A32"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MHRA (Medicines and Healthcare products Regulatory Agency)</w:t>
            </w:r>
          </w:p>
        </w:tc>
        <w:tc>
          <w:tcPr>
            <w:tcW w:w="3006" w:type="dxa"/>
          </w:tcPr>
          <w:p w14:paraId="4A1B080E"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 xml:space="preserve">Holds ultimate </w:t>
            </w:r>
            <w:r w:rsidRPr="00077E1E">
              <w:rPr>
                <w:b/>
                <w:bCs/>
              </w:rPr>
              <w:t>Power</w:t>
            </w:r>
            <w:r w:rsidRPr="00077E1E">
              <w:t xml:space="preserve"> to approve or halt the launch; their requirements dictate the project timeline and technical deliverables.</w:t>
            </w:r>
          </w:p>
        </w:tc>
      </w:tr>
      <w:tr w:rsidR="00CC5151" w14:paraId="0708285E"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440A6380" w14:textId="77777777" w:rsidR="00CC5151" w:rsidRPr="00077E1E" w:rsidRDefault="00CC5151" w:rsidP="003B62D3">
            <w:pPr>
              <w:spacing w:line="360" w:lineRule="auto"/>
              <w:rPr>
                <w:b w:val="0"/>
                <w:bCs w:val="0"/>
              </w:rPr>
            </w:pPr>
          </w:p>
        </w:tc>
        <w:tc>
          <w:tcPr>
            <w:tcW w:w="3005" w:type="dxa"/>
          </w:tcPr>
          <w:p w14:paraId="5D981059"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Key Component Suppliers</w:t>
            </w:r>
          </w:p>
        </w:tc>
        <w:tc>
          <w:tcPr>
            <w:tcW w:w="3006" w:type="dxa"/>
          </w:tcPr>
          <w:p w14:paraId="2DB800EC"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rsidRPr="00077E1E">
              <w:t xml:space="preserve">Provide critical unique parts (e.g., air pump, specialised sensors). Any delay or quality </w:t>
            </w:r>
            <w:r>
              <w:t>issue halts</w:t>
            </w:r>
            <w:r w:rsidRPr="00077E1E">
              <w:t xml:space="preserve"> the project.</w:t>
            </w:r>
          </w:p>
        </w:tc>
      </w:tr>
      <w:tr w:rsidR="00CC5151" w14:paraId="6EBB0ACD"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5F014E53" w14:textId="77777777" w:rsidR="00CC5151" w:rsidRPr="00077E1E" w:rsidRDefault="00CC5151" w:rsidP="003B62D3">
            <w:pPr>
              <w:spacing w:line="360" w:lineRule="auto"/>
              <w:rPr>
                <w:b w:val="0"/>
                <w:bCs w:val="0"/>
              </w:rPr>
            </w:pPr>
          </w:p>
        </w:tc>
        <w:tc>
          <w:tcPr>
            <w:tcW w:w="3005" w:type="dxa"/>
          </w:tcPr>
          <w:p w14:paraId="5026BE7D"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Healthcare Professionals (GPs, Cardiologists)</w:t>
            </w:r>
          </w:p>
        </w:tc>
        <w:tc>
          <w:tcPr>
            <w:tcW w:w="3006" w:type="dxa"/>
          </w:tcPr>
          <w:p w14:paraId="7966904E"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 xml:space="preserve">Act as key opinion leaders (KOLs) and will determine clinical adoption. Their </w:t>
            </w:r>
            <w:r w:rsidRPr="00077E1E">
              <w:lastRenderedPageBreak/>
              <w:t>feedback is vital for the design.</w:t>
            </w:r>
          </w:p>
        </w:tc>
      </w:tr>
      <w:tr w:rsidR="00CC5151" w14:paraId="04D0F0F5" w14:textId="77777777" w:rsidTr="00FA72D0">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3005" w:type="dxa"/>
          </w:tcPr>
          <w:p w14:paraId="189A4E17" w14:textId="77777777" w:rsidR="00CC5151" w:rsidRPr="00077E1E" w:rsidRDefault="00CC5151" w:rsidP="003B62D3">
            <w:pPr>
              <w:spacing w:line="360" w:lineRule="auto"/>
              <w:rPr>
                <w:b w:val="0"/>
                <w:bCs w:val="0"/>
              </w:rPr>
            </w:pPr>
          </w:p>
        </w:tc>
        <w:tc>
          <w:tcPr>
            <w:tcW w:w="3005" w:type="dxa"/>
          </w:tcPr>
          <w:p w14:paraId="72B28652"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rPr>
                <w:b/>
                <w:bCs/>
              </w:rPr>
            </w:pPr>
            <w:r w:rsidRPr="00077E1E">
              <w:rPr>
                <w:b/>
                <w:bCs/>
              </w:rPr>
              <w:t>Consumers/Patients</w:t>
            </w:r>
          </w:p>
        </w:tc>
        <w:tc>
          <w:tcPr>
            <w:tcW w:w="3006" w:type="dxa"/>
          </w:tcPr>
          <w:p w14:paraId="45D7D9F2" w14:textId="77777777" w:rsidR="00CC5151" w:rsidRPr="00077E1E" w:rsidRDefault="00CC5151" w:rsidP="003B62D3">
            <w:pPr>
              <w:spacing w:line="360" w:lineRule="auto"/>
              <w:cnfStyle w:val="000000100000" w:firstRow="0" w:lastRow="0" w:firstColumn="0" w:lastColumn="0" w:oddVBand="0" w:evenVBand="0" w:oddHBand="1" w:evenHBand="0" w:firstRowFirstColumn="0" w:firstRowLastColumn="0" w:lastRowFirstColumn="0" w:lastRowLastColumn="0"/>
            </w:pPr>
            <w:r>
              <w:t>End-user</w:t>
            </w:r>
            <w:r w:rsidRPr="00077E1E">
              <w:t xml:space="preserve"> acceptance, usability feedback, and satisfaction determine commercial success.</w:t>
            </w:r>
          </w:p>
        </w:tc>
      </w:tr>
      <w:tr w:rsidR="00CC5151" w14:paraId="5221F468" w14:textId="77777777" w:rsidTr="00FA72D0">
        <w:trPr>
          <w:trHeight w:val="994"/>
        </w:trPr>
        <w:tc>
          <w:tcPr>
            <w:cnfStyle w:val="001000000000" w:firstRow="0" w:lastRow="0" w:firstColumn="1" w:lastColumn="0" w:oddVBand="0" w:evenVBand="0" w:oddHBand="0" w:evenHBand="0" w:firstRowFirstColumn="0" w:firstRowLastColumn="0" w:lastRowFirstColumn="0" w:lastRowLastColumn="0"/>
            <w:tcW w:w="3005" w:type="dxa"/>
          </w:tcPr>
          <w:p w14:paraId="5EB8AAE3" w14:textId="77777777" w:rsidR="00CC5151" w:rsidRPr="00077E1E" w:rsidRDefault="00CC5151" w:rsidP="003B62D3">
            <w:pPr>
              <w:spacing w:line="360" w:lineRule="auto"/>
              <w:rPr>
                <w:b w:val="0"/>
                <w:bCs w:val="0"/>
              </w:rPr>
            </w:pPr>
          </w:p>
        </w:tc>
        <w:tc>
          <w:tcPr>
            <w:tcW w:w="3005" w:type="dxa"/>
          </w:tcPr>
          <w:p w14:paraId="6D80B608"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t>Public/Media</w:t>
            </w:r>
          </w:p>
        </w:tc>
        <w:tc>
          <w:tcPr>
            <w:tcW w:w="3006" w:type="dxa"/>
          </w:tcPr>
          <w:p w14:paraId="7DD43C80" w14:textId="77777777" w:rsidR="00CC5151" w:rsidRPr="00077E1E" w:rsidRDefault="00CC5151"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Influence brand reputation and public perception of the device’s accuracy and security.</w:t>
            </w:r>
          </w:p>
        </w:tc>
      </w:tr>
    </w:tbl>
    <w:p w14:paraId="7BAA27FF" w14:textId="77777777" w:rsidR="00CC5151" w:rsidRDefault="00CC5151" w:rsidP="003B62D3">
      <w:pPr>
        <w:pStyle w:val="Heading2"/>
        <w:spacing w:line="360" w:lineRule="auto"/>
        <w:ind w:left="720"/>
        <w:rPr>
          <w:rFonts w:ascii="Arial" w:hAnsi="Arial" w:cs="Arial"/>
        </w:rPr>
      </w:pPr>
    </w:p>
    <w:p w14:paraId="67A199C5" w14:textId="77777777" w:rsidR="00473AE5" w:rsidRDefault="00473AE5" w:rsidP="003B62D3">
      <w:pPr>
        <w:pStyle w:val="Heading3"/>
        <w:spacing w:line="360" w:lineRule="auto"/>
        <w:rPr>
          <w:rFonts w:ascii="Arial" w:hAnsi="Arial" w:cs="Arial"/>
        </w:rPr>
      </w:pPr>
      <w:r>
        <w:rPr>
          <w:rFonts w:ascii="Arial" w:hAnsi="Arial" w:cs="Arial"/>
        </w:rPr>
        <w:t>3</w:t>
      </w:r>
      <w:r w:rsidRPr="00367542">
        <w:rPr>
          <w:rFonts w:ascii="Arial" w:hAnsi="Arial" w:cs="Arial"/>
        </w:rPr>
        <w:t>.3 SMART Objectives for the 'Veritas' Launch</w:t>
      </w:r>
    </w:p>
    <w:tbl>
      <w:tblPr>
        <w:tblStyle w:val="GridTable6ColourfulAccent1"/>
        <w:tblW w:w="9016" w:type="dxa"/>
        <w:tblLook w:val="04A0" w:firstRow="1" w:lastRow="0" w:firstColumn="1" w:lastColumn="0" w:noHBand="0" w:noVBand="1"/>
      </w:tblPr>
      <w:tblGrid>
        <w:gridCol w:w="4508"/>
        <w:gridCol w:w="4508"/>
      </w:tblGrid>
      <w:tr w:rsidR="00473AE5" w14:paraId="0D228E3C"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950D48" w14:textId="77777777" w:rsidR="00473AE5" w:rsidRDefault="00473AE5" w:rsidP="003B62D3">
            <w:pPr>
              <w:spacing w:line="360" w:lineRule="auto"/>
            </w:pPr>
            <w:r w:rsidRPr="00F21490">
              <w:t>Criteria</w:t>
            </w:r>
          </w:p>
        </w:tc>
        <w:tc>
          <w:tcPr>
            <w:tcW w:w="4508" w:type="dxa"/>
          </w:tcPr>
          <w:p w14:paraId="1A2B6085" w14:textId="77777777" w:rsidR="00473AE5" w:rsidRDefault="00473AE5" w:rsidP="003B62D3">
            <w:pPr>
              <w:spacing w:line="360" w:lineRule="auto"/>
              <w:cnfStyle w:val="100000000000" w:firstRow="1" w:lastRow="0" w:firstColumn="0" w:lastColumn="0" w:oddVBand="0" w:evenVBand="0" w:oddHBand="0" w:evenHBand="0" w:firstRowFirstColumn="0" w:firstRowLastColumn="0" w:lastRowFirstColumn="0" w:lastRowLastColumn="0"/>
            </w:pPr>
            <w:r w:rsidRPr="00F21490">
              <w:t>Objective Statement</w:t>
            </w:r>
          </w:p>
        </w:tc>
      </w:tr>
      <w:tr w:rsidR="00473AE5" w14:paraId="2F0D5E3A"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B744F4" w14:textId="77777777" w:rsidR="00473AE5" w:rsidRDefault="00473AE5" w:rsidP="003B62D3">
            <w:pPr>
              <w:spacing w:line="360" w:lineRule="auto"/>
            </w:pPr>
            <w:r w:rsidRPr="00F21490">
              <w:t>Specific</w:t>
            </w:r>
          </w:p>
        </w:tc>
        <w:tc>
          <w:tcPr>
            <w:tcW w:w="4508" w:type="dxa"/>
          </w:tcPr>
          <w:p w14:paraId="6EDCFE1C" w14:textId="77777777" w:rsidR="00473AE5" w:rsidRDefault="00473AE5" w:rsidP="003B62D3">
            <w:pPr>
              <w:spacing w:line="360" w:lineRule="auto"/>
              <w:cnfStyle w:val="000000100000" w:firstRow="0" w:lastRow="0" w:firstColumn="0" w:lastColumn="0" w:oddVBand="0" w:evenVBand="0" w:oddHBand="1" w:evenHBand="0" w:firstRowFirstColumn="0" w:firstRowLastColumn="0" w:lastRowFirstColumn="0" w:lastRowLastColumn="0"/>
            </w:pPr>
            <w:r w:rsidRPr="00F21490">
              <w:t>Successfully achieve UKCA regulatory approval for heart rate and SpO2 monitoring features by Month 5.</w:t>
            </w:r>
          </w:p>
        </w:tc>
      </w:tr>
      <w:tr w:rsidR="00473AE5" w14:paraId="2C49A509"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2EE4B0C3" w14:textId="77777777" w:rsidR="00473AE5" w:rsidRDefault="00473AE5" w:rsidP="003B62D3">
            <w:pPr>
              <w:spacing w:line="360" w:lineRule="auto"/>
            </w:pPr>
            <w:r w:rsidRPr="00F21490">
              <w:t>Measurable</w:t>
            </w:r>
          </w:p>
        </w:tc>
        <w:tc>
          <w:tcPr>
            <w:tcW w:w="4508" w:type="dxa"/>
          </w:tcPr>
          <w:p w14:paraId="165DEC94" w14:textId="77777777" w:rsidR="00473AE5" w:rsidRDefault="00473AE5" w:rsidP="003B62D3">
            <w:pPr>
              <w:spacing w:line="360" w:lineRule="auto"/>
              <w:cnfStyle w:val="000000000000" w:firstRow="0" w:lastRow="0" w:firstColumn="0" w:lastColumn="0" w:oddVBand="0" w:evenVBand="0" w:oddHBand="0" w:evenHBand="0" w:firstRowFirstColumn="0" w:firstRowLastColumn="0" w:lastRowFirstColumn="0" w:lastRowLastColumn="0"/>
            </w:pPr>
            <w:r w:rsidRPr="00F21490">
              <w:t>Achieve a minimum of 25,000 unit sales in the UK within the first quarter post-launch (Q1).</w:t>
            </w:r>
          </w:p>
        </w:tc>
      </w:tr>
      <w:tr w:rsidR="00473AE5" w14:paraId="0F9052E7"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4D17BF" w14:textId="77777777" w:rsidR="00473AE5" w:rsidRDefault="00473AE5" w:rsidP="003B62D3">
            <w:pPr>
              <w:spacing w:line="360" w:lineRule="auto"/>
            </w:pPr>
            <w:r w:rsidRPr="00F21490">
              <w:t>Achievable</w:t>
            </w:r>
          </w:p>
        </w:tc>
        <w:tc>
          <w:tcPr>
            <w:tcW w:w="4508" w:type="dxa"/>
          </w:tcPr>
          <w:p w14:paraId="4894CD2F" w14:textId="77777777" w:rsidR="00473AE5" w:rsidRDefault="00473AE5" w:rsidP="003B62D3">
            <w:pPr>
              <w:spacing w:line="360" w:lineRule="auto"/>
              <w:cnfStyle w:val="000000100000" w:firstRow="0" w:lastRow="0" w:firstColumn="0" w:lastColumn="0" w:oddVBand="0" w:evenVBand="0" w:oddHBand="1" w:evenHBand="0" w:firstRowFirstColumn="0" w:firstRowLastColumn="0" w:lastRowFirstColumn="0" w:lastRowLastColumn="0"/>
            </w:pPr>
            <w:r w:rsidRPr="00F21490">
              <w:t>Complete all necessary firmware, app development, and server stability testing to a 99.9% uptime standard before launch.</w:t>
            </w:r>
          </w:p>
        </w:tc>
      </w:tr>
      <w:tr w:rsidR="00473AE5" w14:paraId="6869D35D" w14:textId="77777777" w:rsidTr="00FA72D0">
        <w:tc>
          <w:tcPr>
            <w:cnfStyle w:val="001000000000" w:firstRow="0" w:lastRow="0" w:firstColumn="1" w:lastColumn="0" w:oddVBand="0" w:evenVBand="0" w:oddHBand="0" w:evenHBand="0" w:firstRowFirstColumn="0" w:firstRowLastColumn="0" w:lastRowFirstColumn="0" w:lastRowLastColumn="0"/>
            <w:tcW w:w="4508" w:type="dxa"/>
          </w:tcPr>
          <w:p w14:paraId="2EC91EB1" w14:textId="77777777" w:rsidR="00473AE5" w:rsidRDefault="00473AE5" w:rsidP="003B62D3">
            <w:pPr>
              <w:spacing w:line="360" w:lineRule="auto"/>
            </w:pPr>
            <w:r w:rsidRPr="00F21490">
              <w:t>Relevant</w:t>
            </w:r>
          </w:p>
        </w:tc>
        <w:tc>
          <w:tcPr>
            <w:tcW w:w="4508" w:type="dxa"/>
          </w:tcPr>
          <w:p w14:paraId="74AB3DAC" w14:textId="77777777" w:rsidR="00473AE5" w:rsidRDefault="00473AE5" w:rsidP="003B62D3">
            <w:pPr>
              <w:spacing w:line="360" w:lineRule="auto"/>
              <w:cnfStyle w:val="000000000000" w:firstRow="0" w:lastRow="0" w:firstColumn="0" w:lastColumn="0" w:oddVBand="0" w:evenVBand="0" w:oddHBand="0" w:evenHBand="0" w:firstRowFirstColumn="0" w:firstRowLastColumn="0" w:lastRowFirstColumn="0" w:lastRowLastColumn="0"/>
            </w:pPr>
            <w:r w:rsidRPr="00F21490">
              <w:t>Position Dyson HealthTech as a top-three brand in the UK premium health wearable market within 12 months.</w:t>
            </w:r>
          </w:p>
        </w:tc>
      </w:tr>
      <w:tr w:rsidR="00473AE5" w14:paraId="01286749"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DE7592" w14:textId="77777777" w:rsidR="00473AE5" w:rsidRDefault="00473AE5" w:rsidP="003B62D3">
            <w:pPr>
              <w:spacing w:line="360" w:lineRule="auto"/>
            </w:pPr>
            <w:r w:rsidRPr="00F21490">
              <w:t>Time-bound</w:t>
            </w:r>
          </w:p>
        </w:tc>
        <w:tc>
          <w:tcPr>
            <w:tcW w:w="4508" w:type="dxa"/>
          </w:tcPr>
          <w:p w14:paraId="77513342" w14:textId="77777777" w:rsidR="00473AE5" w:rsidRDefault="00473AE5" w:rsidP="003B62D3">
            <w:pPr>
              <w:spacing w:line="360" w:lineRule="auto"/>
              <w:cnfStyle w:val="000000100000" w:firstRow="0" w:lastRow="0" w:firstColumn="0" w:lastColumn="0" w:oddVBand="0" w:evenVBand="0" w:oddHBand="1" w:evenHBand="0" w:firstRowFirstColumn="0" w:firstRowLastColumn="0" w:lastRowFirstColumn="0" w:lastRowLastColumn="0"/>
            </w:pPr>
            <w:r w:rsidRPr="00F21490">
              <w:t>Launch the 'Veritas' product to consumers exactly six months from the project commencement date.</w:t>
            </w:r>
          </w:p>
        </w:tc>
      </w:tr>
    </w:tbl>
    <w:p w14:paraId="52DD99B6" w14:textId="77777777" w:rsidR="001041AC" w:rsidRDefault="001041AC" w:rsidP="00D6289A">
      <w:pPr>
        <w:spacing w:line="360" w:lineRule="auto"/>
        <w:jc w:val="both"/>
      </w:pPr>
    </w:p>
    <w:p w14:paraId="3FB27CC5" w14:textId="77777777" w:rsidR="001041AC" w:rsidRPr="00473AE5" w:rsidRDefault="001041AC" w:rsidP="003B62D3">
      <w:pPr>
        <w:spacing w:line="360" w:lineRule="auto"/>
      </w:pPr>
    </w:p>
    <w:p w14:paraId="3CAB2E7B" w14:textId="77777777" w:rsidR="005F6054" w:rsidRDefault="005F6054" w:rsidP="00D6289A">
      <w:pPr>
        <w:pStyle w:val="Heading1"/>
        <w:spacing w:line="360" w:lineRule="auto"/>
        <w:jc w:val="center"/>
      </w:pPr>
      <w:r w:rsidRPr="0061755D">
        <w:t xml:space="preserve">4. </w:t>
      </w:r>
      <w:r w:rsidRPr="005A04A6">
        <w:t>Roles, Responsibilities, Benefits, and Challenges</w:t>
      </w:r>
    </w:p>
    <w:p w14:paraId="4B9041BF" w14:textId="4A767C4C" w:rsidR="005F6054" w:rsidRDefault="005F6054" w:rsidP="003B62D3">
      <w:pPr>
        <w:spacing w:line="360" w:lineRule="auto"/>
        <w:rPr>
          <w:rFonts w:ascii="Arial" w:hAnsi="Arial" w:cs="Arial"/>
        </w:rPr>
      </w:pPr>
      <w:r w:rsidRPr="00CC0EAA">
        <w:rPr>
          <w:rFonts w:ascii="Arial" w:hAnsi="Arial" w:cs="Arial"/>
        </w:rPr>
        <w:t>Understanding the specific contributions and potential impediments of key stakeholders is crucial for tailoring an effective engagement strategy. This analysis ensures the Project Manager can proactively manage risks and leverage opportunities, aligning with the "Relational Lens" theory, which posits that project success is built on the quality and robustness of relationships (Ashcroft, 2017).</w:t>
      </w:r>
      <w:r>
        <w:rPr>
          <w:rFonts w:ascii="Arial" w:hAnsi="Arial" w:cs="Arial"/>
        </w:rPr>
        <w:t xml:space="preserve"> T</w:t>
      </w:r>
      <w:r w:rsidRPr="00D56F4B">
        <w:rPr>
          <w:rFonts w:ascii="Arial" w:hAnsi="Arial" w:cs="Arial"/>
        </w:rPr>
        <w:t>he main challenge for internal teams, such as the PDT, is time pressure and resource overload from the aggressive six-month timeline, which can lead to quality compromises. External stakeholders, such as the NHS, face challenges around trust and validation, requiring the Project Manager to demonstrate robust data integrity and compliance beyond standard consumer expectations.</w:t>
      </w:r>
    </w:p>
    <w:p w14:paraId="783726EF" w14:textId="77777777" w:rsidR="005F6054" w:rsidRPr="00C268A7" w:rsidRDefault="005F6054" w:rsidP="003B62D3">
      <w:pPr>
        <w:spacing w:line="360" w:lineRule="auto"/>
        <w:rPr>
          <w:rFonts w:ascii="Arial" w:hAnsi="Arial" w:cs="Arial"/>
        </w:rPr>
      </w:pPr>
    </w:p>
    <w:tbl>
      <w:tblPr>
        <w:tblStyle w:val="GridTable1Light-Accent1"/>
        <w:tblW w:w="0" w:type="auto"/>
        <w:tblLook w:val="04A0" w:firstRow="1" w:lastRow="0" w:firstColumn="1" w:lastColumn="0" w:noHBand="0" w:noVBand="1"/>
      </w:tblPr>
      <w:tblGrid>
        <w:gridCol w:w="2254"/>
        <w:gridCol w:w="2254"/>
        <w:gridCol w:w="2254"/>
        <w:gridCol w:w="2254"/>
      </w:tblGrid>
      <w:tr w:rsidR="005F6054" w14:paraId="74C122ED"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6DD83E6" w14:textId="77777777" w:rsidR="005F6054" w:rsidRDefault="005F6054" w:rsidP="003B62D3">
            <w:pPr>
              <w:spacing w:line="360" w:lineRule="auto"/>
            </w:pPr>
            <w:r w:rsidRPr="00077E1E">
              <w:t>Stakeholder Group</w:t>
            </w:r>
          </w:p>
        </w:tc>
        <w:tc>
          <w:tcPr>
            <w:tcW w:w="2254" w:type="dxa"/>
          </w:tcPr>
          <w:p w14:paraId="2B1A101B" w14:textId="77777777" w:rsidR="005F6054" w:rsidRDefault="005F6054"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Role &amp; Responsibility</w:t>
            </w:r>
          </w:p>
        </w:tc>
        <w:tc>
          <w:tcPr>
            <w:tcW w:w="2254" w:type="dxa"/>
          </w:tcPr>
          <w:p w14:paraId="21E8B7E6" w14:textId="77777777" w:rsidR="005F6054" w:rsidRDefault="005F6054"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Benefits to the Project</w:t>
            </w:r>
          </w:p>
        </w:tc>
        <w:tc>
          <w:tcPr>
            <w:tcW w:w="2254" w:type="dxa"/>
          </w:tcPr>
          <w:p w14:paraId="77E3AF18" w14:textId="77777777" w:rsidR="005F6054" w:rsidRDefault="005F6054" w:rsidP="003B62D3">
            <w:pPr>
              <w:spacing w:line="360" w:lineRule="auto"/>
              <w:cnfStyle w:val="100000000000" w:firstRow="1" w:lastRow="0" w:firstColumn="0" w:lastColumn="0" w:oddVBand="0" w:evenVBand="0" w:oddHBand="0" w:evenHBand="0" w:firstRowFirstColumn="0" w:firstRowLastColumn="0" w:lastRowFirstColumn="0" w:lastRowLastColumn="0"/>
            </w:pPr>
            <w:r w:rsidRPr="00077E1E">
              <w:t>Challenges Faced (Theories Applied)</w:t>
            </w:r>
          </w:p>
        </w:tc>
      </w:tr>
      <w:tr w:rsidR="005F6054" w14:paraId="30D8B94A"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3065DE00" w14:textId="77777777" w:rsidR="005F6054" w:rsidRDefault="005F6054" w:rsidP="003B62D3">
            <w:pPr>
              <w:spacing w:line="360" w:lineRule="auto"/>
            </w:pPr>
            <w:r w:rsidRPr="00077E1E">
              <w:t>Regulatory Affairs</w:t>
            </w:r>
          </w:p>
        </w:tc>
        <w:tc>
          <w:tcPr>
            <w:tcW w:w="2254" w:type="dxa"/>
          </w:tcPr>
          <w:p w14:paraId="4F02823C"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Responsible for all MHRA submissions, documentation, and compliance testing.</w:t>
            </w:r>
          </w:p>
        </w:tc>
        <w:tc>
          <w:tcPr>
            <w:tcW w:w="2254" w:type="dxa"/>
          </w:tcPr>
          <w:p w14:paraId="2E4B28A4"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Reduces legal risk; provides the essential approval needed for sales.</w:t>
            </w:r>
          </w:p>
        </w:tc>
        <w:tc>
          <w:tcPr>
            <w:tcW w:w="2254" w:type="dxa"/>
          </w:tcPr>
          <w:p w14:paraId="1462E430"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Inherently risk-averse; may conflict with Marketing on timelines. </w:t>
            </w:r>
            <w:r w:rsidRPr="00077E1E">
              <w:rPr>
                <w:b/>
                <w:bCs/>
              </w:rPr>
              <w:t>Theory:</w:t>
            </w:r>
            <w:r w:rsidRPr="00077E1E">
              <w:t xml:space="preserve"> </w:t>
            </w:r>
            <w:r w:rsidRPr="00077E1E">
              <w:rPr>
                <w:i/>
                <w:iCs/>
              </w:rPr>
              <w:t>Bureaucratic Theory</w:t>
            </w:r>
            <w:r w:rsidRPr="00077E1E">
              <w:t xml:space="preserve"> – adherence to rules can create inertia.</w:t>
            </w:r>
          </w:p>
        </w:tc>
      </w:tr>
      <w:tr w:rsidR="005F6054" w14:paraId="40D64C2C"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05491A09" w14:textId="77777777" w:rsidR="005F6054" w:rsidRDefault="005F6054" w:rsidP="003B62D3">
            <w:pPr>
              <w:spacing w:line="360" w:lineRule="auto"/>
            </w:pPr>
            <w:r w:rsidRPr="00077E1E">
              <w:t>Product Dev Team</w:t>
            </w:r>
          </w:p>
        </w:tc>
        <w:tc>
          <w:tcPr>
            <w:tcW w:w="2254" w:type="dxa"/>
          </w:tcPr>
          <w:p w14:paraId="6078900D"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 xml:space="preserve">Design, test, and integrate hardware and software </w:t>
            </w:r>
            <w:r w:rsidRPr="00077E1E">
              <w:lastRenderedPageBreak/>
              <w:t>components; fix bugs.</w:t>
            </w:r>
          </w:p>
        </w:tc>
        <w:tc>
          <w:tcPr>
            <w:tcW w:w="2254" w:type="dxa"/>
          </w:tcPr>
          <w:p w14:paraId="0C3B3930"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lastRenderedPageBreak/>
              <w:t>Deliver the core functional product that meets specifications.</w:t>
            </w:r>
          </w:p>
        </w:tc>
        <w:tc>
          <w:tcPr>
            <w:tcW w:w="2254" w:type="dxa"/>
          </w:tcPr>
          <w:p w14:paraId="570DA095"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Scope creep or technical integration complexity (e.g., </w:t>
            </w:r>
            <w:r w:rsidRPr="00077E1E">
              <w:lastRenderedPageBreak/>
              <w:t xml:space="preserve">getting the air pump/sensor data accurate). </w:t>
            </w:r>
            <w:r w:rsidRPr="00077E1E">
              <w:rPr>
                <w:b/>
                <w:bCs/>
              </w:rPr>
              <w:t>Theory:</w:t>
            </w:r>
            <w:r w:rsidRPr="00077E1E">
              <w:t xml:space="preserve"> </w:t>
            </w:r>
            <w:r w:rsidRPr="00077E1E">
              <w:rPr>
                <w:i/>
                <w:iCs/>
              </w:rPr>
              <w:t>Agency Theory</w:t>
            </w:r>
            <w:r w:rsidRPr="00077E1E">
              <w:t xml:space="preserve"> – conflict with Sponsor over resource use vs. quality.</w:t>
            </w:r>
          </w:p>
        </w:tc>
      </w:tr>
      <w:tr w:rsidR="005F6054" w14:paraId="604467BC"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7834F7DE" w14:textId="77777777" w:rsidR="005F6054" w:rsidRDefault="005F6054" w:rsidP="003B62D3">
            <w:pPr>
              <w:spacing w:line="360" w:lineRule="auto"/>
            </w:pPr>
            <w:r w:rsidRPr="00077E1E">
              <w:lastRenderedPageBreak/>
              <w:t>Marketing &amp; Sales</w:t>
            </w:r>
          </w:p>
        </w:tc>
        <w:tc>
          <w:tcPr>
            <w:tcW w:w="2254" w:type="dxa"/>
          </w:tcPr>
          <w:p w14:paraId="2315EF38"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Define consumer value proposition; create messaging; establish distribution channels.</w:t>
            </w:r>
          </w:p>
        </w:tc>
        <w:tc>
          <w:tcPr>
            <w:tcW w:w="2254" w:type="dxa"/>
          </w:tcPr>
          <w:p w14:paraId="1B86FCA8"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Achieve sales targets; provide critical market and competitor intelligence.</w:t>
            </w:r>
          </w:p>
        </w:tc>
        <w:tc>
          <w:tcPr>
            <w:tcW w:w="2254" w:type="dxa"/>
          </w:tcPr>
          <w:p w14:paraId="24976D2F"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Pressure for an early launch to beat competitors, potentially overriding QA or regulatory concerns. </w:t>
            </w:r>
            <w:r w:rsidRPr="00077E1E">
              <w:rPr>
                <w:b/>
                <w:bCs/>
              </w:rPr>
              <w:t>Theory:</w:t>
            </w:r>
            <w:r w:rsidRPr="00077E1E">
              <w:t xml:space="preserve"> </w:t>
            </w:r>
            <w:r w:rsidRPr="00077E1E">
              <w:rPr>
                <w:i/>
                <w:iCs/>
              </w:rPr>
              <w:t>Conflict Theory</w:t>
            </w:r>
            <w:r w:rsidRPr="00077E1E">
              <w:t xml:space="preserve"> – departmental interests (sales) clash with project quality (QA).</w:t>
            </w:r>
          </w:p>
        </w:tc>
      </w:tr>
      <w:tr w:rsidR="005F6054" w14:paraId="120B0256"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3B4C71F6" w14:textId="77777777" w:rsidR="005F6054" w:rsidRDefault="005F6054" w:rsidP="003B62D3">
            <w:pPr>
              <w:spacing w:line="360" w:lineRule="auto"/>
            </w:pPr>
            <w:r w:rsidRPr="00077E1E">
              <w:t>MHRA (Regulator)</w:t>
            </w:r>
          </w:p>
        </w:tc>
        <w:tc>
          <w:tcPr>
            <w:tcW w:w="2254" w:type="dxa"/>
          </w:tcPr>
          <w:p w14:paraId="7EBCBBF6"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Review and approve the device based on clinical evidence and quality standards.</w:t>
            </w:r>
          </w:p>
        </w:tc>
        <w:tc>
          <w:tcPr>
            <w:tcW w:w="2254" w:type="dxa"/>
          </w:tcPr>
          <w:p w14:paraId="2983C527"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Grants legal permission to operate and sell the device.</w:t>
            </w:r>
          </w:p>
        </w:tc>
        <w:tc>
          <w:tcPr>
            <w:tcW w:w="2254" w:type="dxa"/>
          </w:tcPr>
          <w:p w14:paraId="3F2F3B84" w14:textId="77777777" w:rsidR="005F6054"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rPr>
                <w:b/>
                <w:bCs/>
              </w:rPr>
              <w:t>Challenge:</w:t>
            </w:r>
            <w:r w:rsidRPr="00077E1E">
              <w:t xml:space="preserve"> Lack of transparency in </w:t>
            </w:r>
            <w:r>
              <w:t xml:space="preserve">the </w:t>
            </w:r>
            <w:r w:rsidRPr="00077E1E">
              <w:t xml:space="preserve">review process; can request unscheduled data that causes delays. </w:t>
            </w:r>
            <w:r w:rsidRPr="00077E1E">
              <w:rPr>
                <w:i/>
                <w:iCs/>
              </w:rPr>
              <w:t>External constraint.</w:t>
            </w:r>
          </w:p>
        </w:tc>
      </w:tr>
      <w:tr w:rsidR="005F6054" w14:paraId="11D12400" w14:textId="77777777" w:rsidTr="00FA72D0">
        <w:tc>
          <w:tcPr>
            <w:cnfStyle w:val="001000000000" w:firstRow="0" w:lastRow="0" w:firstColumn="1" w:lastColumn="0" w:oddVBand="0" w:evenVBand="0" w:oddHBand="0" w:evenHBand="0" w:firstRowFirstColumn="0" w:firstRowLastColumn="0" w:lastRowFirstColumn="0" w:lastRowLastColumn="0"/>
            <w:tcW w:w="2254" w:type="dxa"/>
          </w:tcPr>
          <w:p w14:paraId="4B654661" w14:textId="77777777" w:rsidR="005F6054" w:rsidRPr="00077E1E" w:rsidRDefault="005F6054" w:rsidP="003B62D3">
            <w:pPr>
              <w:spacing w:line="360" w:lineRule="auto"/>
              <w:rPr>
                <w:b w:val="0"/>
                <w:bCs w:val="0"/>
              </w:rPr>
            </w:pPr>
            <w:r w:rsidRPr="00077E1E">
              <w:t>Key Suppliers</w:t>
            </w:r>
          </w:p>
        </w:tc>
        <w:tc>
          <w:tcPr>
            <w:tcW w:w="2254" w:type="dxa"/>
          </w:tcPr>
          <w:p w14:paraId="0749C65E" w14:textId="77777777" w:rsidR="005F6054" w:rsidRPr="00077E1E"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t xml:space="preserve">Deliver high-quality, high-precision </w:t>
            </w:r>
            <w:r w:rsidRPr="00077E1E">
              <w:lastRenderedPageBreak/>
              <w:t>components (air pump, battery) on time.</w:t>
            </w:r>
          </w:p>
        </w:tc>
        <w:tc>
          <w:tcPr>
            <w:tcW w:w="2254" w:type="dxa"/>
          </w:tcPr>
          <w:p w14:paraId="344BB06F" w14:textId="77777777" w:rsidR="005F6054" w:rsidRPr="00077E1E"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pPr>
            <w:r w:rsidRPr="00077E1E">
              <w:lastRenderedPageBreak/>
              <w:t xml:space="preserve">Ensures product feasibility and </w:t>
            </w:r>
            <w:r w:rsidRPr="00077E1E">
              <w:lastRenderedPageBreak/>
              <w:t>manufacturing scalability.</w:t>
            </w:r>
          </w:p>
        </w:tc>
        <w:tc>
          <w:tcPr>
            <w:tcW w:w="2254" w:type="dxa"/>
          </w:tcPr>
          <w:p w14:paraId="56BC5336" w14:textId="77777777" w:rsidR="005F6054" w:rsidRPr="00077E1E" w:rsidRDefault="005F6054"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077E1E">
              <w:rPr>
                <w:b/>
                <w:bCs/>
              </w:rPr>
              <w:lastRenderedPageBreak/>
              <w:t>Challenge:</w:t>
            </w:r>
            <w:r w:rsidRPr="00077E1E">
              <w:t xml:space="preserve"> Single point of failure if they face </w:t>
            </w:r>
            <w:r w:rsidRPr="00077E1E">
              <w:lastRenderedPageBreak/>
              <w:t xml:space="preserve">manufacturing or logistics issues. </w:t>
            </w:r>
            <w:r w:rsidRPr="00077E1E">
              <w:rPr>
                <w:i/>
                <w:iCs/>
              </w:rPr>
              <w:t>Supply Chain Risk.</w:t>
            </w:r>
          </w:p>
        </w:tc>
      </w:tr>
    </w:tbl>
    <w:p w14:paraId="1F5EBE43" w14:textId="77777777" w:rsidR="005F6054" w:rsidRDefault="005F6054" w:rsidP="003B62D3">
      <w:pPr>
        <w:spacing w:line="360" w:lineRule="auto"/>
        <w:rPr>
          <w:rFonts w:ascii="Arial" w:hAnsi="Arial" w:cs="Arial"/>
        </w:rPr>
      </w:pPr>
    </w:p>
    <w:p w14:paraId="50958D50" w14:textId="77777777" w:rsidR="001041AC" w:rsidRPr="00D56F4B" w:rsidRDefault="001041AC" w:rsidP="003B62D3">
      <w:pPr>
        <w:spacing w:line="360" w:lineRule="auto"/>
        <w:rPr>
          <w:rFonts w:ascii="Arial" w:hAnsi="Arial" w:cs="Arial"/>
        </w:rPr>
      </w:pPr>
    </w:p>
    <w:p w14:paraId="2C645056" w14:textId="77777777" w:rsidR="00164AB2" w:rsidRPr="00B27B23" w:rsidRDefault="00164AB2" w:rsidP="003B62D3">
      <w:pPr>
        <w:pStyle w:val="Heading2"/>
        <w:spacing w:line="360" w:lineRule="auto"/>
        <w:jc w:val="center"/>
        <w:rPr>
          <w:rFonts w:ascii="Arial" w:hAnsi="Arial" w:cs="Arial"/>
          <w:sz w:val="40"/>
          <w:szCs w:val="40"/>
        </w:rPr>
      </w:pPr>
      <w:r w:rsidRPr="00B27B23">
        <w:rPr>
          <w:rFonts w:ascii="Arial" w:hAnsi="Arial" w:cs="Arial"/>
          <w:sz w:val="40"/>
          <w:szCs w:val="40"/>
        </w:rPr>
        <w:t>5. Stakeholder Engagement Frameworks and Models</w:t>
      </w:r>
    </w:p>
    <w:p w14:paraId="5E75B9DF" w14:textId="77777777" w:rsidR="00164AB2" w:rsidRPr="00367542" w:rsidRDefault="00164AB2" w:rsidP="003B62D3">
      <w:pPr>
        <w:pStyle w:val="Heading3"/>
        <w:spacing w:line="360" w:lineRule="auto"/>
        <w:rPr>
          <w:rFonts w:ascii="Arial" w:hAnsi="Arial" w:cs="Arial"/>
        </w:rPr>
      </w:pPr>
      <w:r w:rsidRPr="00367542">
        <w:rPr>
          <w:rFonts w:ascii="Arial" w:hAnsi="Arial" w:cs="Arial"/>
        </w:rPr>
        <w:t>5.1 Stakeholder Power/Interest Matrix</w:t>
      </w:r>
    </w:p>
    <w:p w14:paraId="65687773" w14:textId="77777777" w:rsidR="00164AB2" w:rsidRDefault="00164AB2" w:rsidP="003B62D3">
      <w:pPr>
        <w:spacing w:line="360" w:lineRule="auto"/>
        <w:rPr>
          <w:rFonts w:ascii="Arial" w:hAnsi="Arial" w:cs="Arial"/>
        </w:rPr>
      </w:pPr>
      <w:r w:rsidRPr="00D56F4B">
        <w:rPr>
          <w:rFonts w:ascii="Arial" w:hAnsi="Arial" w:cs="Arial"/>
        </w:rPr>
        <w:t>The Power/Interest Matrix (also known as the Mendelow Matrix) is the initial step in engagement planning. It categorises stakeholders based on their ability to impose their will (Power) and their concern about the project's outcome (Interest). This allows the Project Manager to prioritise engagement efforts (Savage et al., 1991).</w:t>
      </w:r>
    </w:p>
    <w:tbl>
      <w:tblPr>
        <w:tblStyle w:val="GridTable4-Accent2"/>
        <w:tblW w:w="0" w:type="auto"/>
        <w:tblLook w:val="04A0" w:firstRow="1" w:lastRow="0" w:firstColumn="1" w:lastColumn="0" w:noHBand="0" w:noVBand="1"/>
      </w:tblPr>
      <w:tblGrid>
        <w:gridCol w:w="3005"/>
        <w:gridCol w:w="3005"/>
        <w:gridCol w:w="3006"/>
      </w:tblGrid>
      <w:tr w:rsidR="00164AB2" w14:paraId="37CE73D0" w14:textId="77777777" w:rsidTr="00FA7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3BB7601" w14:textId="77777777" w:rsidR="00164AB2" w:rsidRDefault="00164AB2" w:rsidP="003B62D3">
            <w:pPr>
              <w:spacing w:line="360" w:lineRule="auto"/>
              <w:rPr>
                <w:rFonts w:ascii="Arial" w:hAnsi="Arial" w:cs="Arial"/>
              </w:rPr>
            </w:pPr>
            <w:r w:rsidRPr="00367542">
              <w:rPr>
                <w:rFonts w:ascii="Arial" w:hAnsi="Arial" w:cs="Arial"/>
              </w:rPr>
              <w:t>Quadrant</w:t>
            </w:r>
          </w:p>
        </w:tc>
        <w:tc>
          <w:tcPr>
            <w:tcW w:w="3005" w:type="dxa"/>
          </w:tcPr>
          <w:p w14:paraId="79AAEE89"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67542">
              <w:rPr>
                <w:rFonts w:ascii="Arial" w:hAnsi="Arial" w:cs="Arial"/>
              </w:rPr>
              <w:t>Stakeholder Example</w:t>
            </w:r>
          </w:p>
        </w:tc>
        <w:tc>
          <w:tcPr>
            <w:tcW w:w="3006" w:type="dxa"/>
          </w:tcPr>
          <w:p w14:paraId="2D8DE672"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67542">
              <w:rPr>
                <w:rFonts w:ascii="Arial" w:hAnsi="Arial" w:cs="Arial"/>
              </w:rPr>
              <w:t>Engagement Strategy</w:t>
            </w:r>
          </w:p>
        </w:tc>
      </w:tr>
      <w:tr w:rsidR="00164AB2" w14:paraId="61C3B745"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3DC896" w14:textId="77777777" w:rsidR="00164AB2" w:rsidRDefault="00164AB2" w:rsidP="003B62D3">
            <w:pPr>
              <w:spacing w:line="360" w:lineRule="auto"/>
              <w:rPr>
                <w:rFonts w:ascii="Arial" w:hAnsi="Arial" w:cs="Arial"/>
              </w:rPr>
            </w:pPr>
            <w:r w:rsidRPr="00367542">
              <w:rPr>
                <w:rFonts w:ascii="Arial" w:hAnsi="Arial" w:cs="Arial"/>
              </w:rPr>
              <w:t>High Power / High Interest (Manage Closely)</w:t>
            </w:r>
          </w:p>
        </w:tc>
        <w:tc>
          <w:tcPr>
            <w:tcW w:w="3005" w:type="dxa"/>
          </w:tcPr>
          <w:p w14:paraId="0B44C3B0"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Senior Management/Sponsor; Regulatory Team</w:t>
            </w:r>
          </w:p>
        </w:tc>
        <w:tc>
          <w:tcPr>
            <w:tcW w:w="3006" w:type="dxa"/>
          </w:tcPr>
          <w:p w14:paraId="6813FC52"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Requires active and frequent engagement, managing expectations, involving them in key decisions, and ensuring consistent reporting.</w:t>
            </w:r>
          </w:p>
        </w:tc>
      </w:tr>
      <w:tr w:rsidR="00164AB2" w14:paraId="2D7647C7" w14:textId="77777777" w:rsidTr="00FA72D0">
        <w:tc>
          <w:tcPr>
            <w:cnfStyle w:val="001000000000" w:firstRow="0" w:lastRow="0" w:firstColumn="1" w:lastColumn="0" w:oddVBand="0" w:evenVBand="0" w:oddHBand="0" w:evenHBand="0" w:firstRowFirstColumn="0" w:firstRowLastColumn="0" w:lastRowFirstColumn="0" w:lastRowLastColumn="0"/>
            <w:tcW w:w="3005" w:type="dxa"/>
          </w:tcPr>
          <w:p w14:paraId="2C5AB7F8" w14:textId="77777777" w:rsidR="00164AB2" w:rsidRDefault="00164AB2" w:rsidP="003B62D3">
            <w:pPr>
              <w:spacing w:line="360" w:lineRule="auto"/>
              <w:rPr>
                <w:rFonts w:ascii="Arial" w:hAnsi="Arial" w:cs="Arial"/>
              </w:rPr>
            </w:pPr>
            <w:r w:rsidRPr="00367542">
              <w:rPr>
                <w:rFonts w:ascii="Arial" w:hAnsi="Arial" w:cs="Arial"/>
              </w:rPr>
              <w:t>High Power / Low Interest (Keep Satisfied)</w:t>
            </w:r>
          </w:p>
        </w:tc>
        <w:tc>
          <w:tcPr>
            <w:tcW w:w="3005" w:type="dxa"/>
          </w:tcPr>
          <w:p w14:paraId="2F508022" w14:textId="77777777" w:rsidR="00164AB2"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Parent Company Board; IT Infrastructure</w:t>
            </w:r>
          </w:p>
        </w:tc>
        <w:tc>
          <w:tcPr>
            <w:tcW w:w="3006" w:type="dxa"/>
          </w:tcPr>
          <w:p w14:paraId="3E50666D" w14:textId="77777777" w:rsidR="00164AB2"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Requires enough work to keep them happy, ensuring their power is not used disruptively. Focus on summaries and major milestones, not daily details.</w:t>
            </w:r>
          </w:p>
        </w:tc>
      </w:tr>
      <w:tr w:rsidR="00164AB2" w14:paraId="4948A00E" w14:textId="77777777" w:rsidTr="00FA7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AC7184" w14:textId="77777777" w:rsidR="00164AB2" w:rsidRDefault="00164AB2" w:rsidP="003B62D3">
            <w:pPr>
              <w:spacing w:line="360" w:lineRule="auto"/>
              <w:rPr>
                <w:rFonts w:ascii="Arial" w:hAnsi="Arial" w:cs="Arial"/>
              </w:rPr>
            </w:pPr>
            <w:r w:rsidRPr="00367542">
              <w:rPr>
                <w:rFonts w:ascii="Arial" w:hAnsi="Arial" w:cs="Arial"/>
              </w:rPr>
              <w:t>Low Power / High Interest (Keep Informed)</w:t>
            </w:r>
          </w:p>
        </w:tc>
        <w:tc>
          <w:tcPr>
            <w:tcW w:w="3005" w:type="dxa"/>
          </w:tcPr>
          <w:p w14:paraId="4B8B8EB9"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Consumers/Users; Sales Department</w:t>
            </w:r>
          </w:p>
        </w:tc>
        <w:tc>
          <w:tcPr>
            <w:tcW w:w="3006" w:type="dxa"/>
          </w:tcPr>
          <w:p w14:paraId="43EF2AC5" w14:textId="77777777" w:rsidR="00164AB2"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56F4B">
              <w:rPr>
                <w:rFonts w:ascii="Arial" w:hAnsi="Arial" w:cs="Arial"/>
              </w:rPr>
              <w:t xml:space="preserve">Requires regular, proactive communication to mitigate any negative perceptions. Use broad, </w:t>
            </w:r>
            <w:r w:rsidRPr="00D56F4B">
              <w:rPr>
                <w:rFonts w:ascii="Arial" w:hAnsi="Arial" w:cs="Arial"/>
              </w:rPr>
              <w:lastRenderedPageBreak/>
              <w:t>accessible communication channels (newsletters, webinars).</w:t>
            </w:r>
          </w:p>
        </w:tc>
      </w:tr>
      <w:tr w:rsidR="00164AB2" w14:paraId="5741DEF7" w14:textId="77777777" w:rsidTr="00FA72D0">
        <w:tc>
          <w:tcPr>
            <w:cnfStyle w:val="001000000000" w:firstRow="0" w:lastRow="0" w:firstColumn="1" w:lastColumn="0" w:oddVBand="0" w:evenVBand="0" w:oddHBand="0" w:evenHBand="0" w:firstRowFirstColumn="0" w:firstRowLastColumn="0" w:lastRowFirstColumn="0" w:lastRowLastColumn="0"/>
            <w:tcW w:w="3005" w:type="dxa"/>
          </w:tcPr>
          <w:p w14:paraId="023126C9" w14:textId="77777777" w:rsidR="00164AB2" w:rsidRDefault="00164AB2" w:rsidP="003B62D3">
            <w:pPr>
              <w:spacing w:line="360" w:lineRule="auto"/>
              <w:rPr>
                <w:rFonts w:ascii="Arial" w:hAnsi="Arial" w:cs="Arial"/>
              </w:rPr>
            </w:pPr>
            <w:r w:rsidRPr="00367542">
              <w:rPr>
                <w:rFonts w:ascii="Arial" w:hAnsi="Arial" w:cs="Arial"/>
              </w:rPr>
              <w:lastRenderedPageBreak/>
              <w:t>Low Power / Low Interest (Monitor)</w:t>
            </w:r>
          </w:p>
        </w:tc>
        <w:tc>
          <w:tcPr>
            <w:tcW w:w="3005" w:type="dxa"/>
          </w:tcPr>
          <w:p w14:paraId="32A99D80" w14:textId="77777777" w:rsidR="00164AB2" w:rsidRPr="00C6559A"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it-IT"/>
              </w:rPr>
            </w:pPr>
            <w:r w:rsidRPr="00D56F4B">
              <w:rPr>
                <w:rFonts w:ascii="Arial" w:hAnsi="Arial" w:cs="Arial"/>
                <w:lang w:val="it-IT"/>
              </w:rPr>
              <w:t>General Public; Non-Core Competitors</w:t>
            </w:r>
          </w:p>
        </w:tc>
        <w:tc>
          <w:tcPr>
            <w:tcW w:w="3006" w:type="dxa"/>
          </w:tcPr>
          <w:p w14:paraId="300BFEFC" w14:textId="77777777" w:rsidR="00164AB2"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Requires minimal effort, such as monitoring social media/news for sentiment. Engagement is reactive only if their status changes.</w:t>
            </w:r>
          </w:p>
        </w:tc>
      </w:tr>
    </w:tbl>
    <w:p w14:paraId="15138645" w14:textId="77777777" w:rsidR="00164AB2" w:rsidRPr="00D56F4B" w:rsidRDefault="00164AB2" w:rsidP="003B62D3">
      <w:pPr>
        <w:spacing w:line="360" w:lineRule="auto"/>
        <w:rPr>
          <w:rFonts w:ascii="Arial" w:hAnsi="Arial" w:cs="Arial"/>
        </w:rPr>
      </w:pPr>
    </w:p>
    <w:p w14:paraId="2912C50F" w14:textId="77777777" w:rsidR="00164AB2" w:rsidRPr="00367542" w:rsidRDefault="00164AB2" w:rsidP="003B62D3">
      <w:pPr>
        <w:pStyle w:val="Heading3"/>
        <w:spacing w:line="360" w:lineRule="auto"/>
        <w:rPr>
          <w:rFonts w:ascii="Arial" w:hAnsi="Arial" w:cs="Arial"/>
        </w:rPr>
      </w:pPr>
      <w:r w:rsidRPr="00367542">
        <w:rPr>
          <w:rFonts w:ascii="Arial" w:hAnsi="Arial" w:cs="Arial"/>
        </w:rPr>
        <w:t>5.2 RACI Matrix (Responsibility Assignment)</w:t>
      </w:r>
    </w:p>
    <w:p w14:paraId="501E8892" w14:textId="77777777" w:rsidR="00164AB2" w:rsidRDefault="00164AB2" w:rsidP="003B62D3">
      <w:pPr>
        <w:spacing w:line="360" w:lineRule="auto"/>
        <w:rPr>
          <w:rFonts w:ascii="Arial" w:hAnsi="Arial" w:cs="Arial"/>
        </w:rPr>
      </w:pPr>
      <w:r w:rsidRPr="00D56F4B">
        <w:rPr>
          <w:rFonts w:ascii="Arial" w:hAnsi="Arial" w:cs="Arial"/>
        </w:rPr>
        <w:t>The RACI matrix clarifies roles and prevents conflict by defining who is Responsible, Accountable, Consulted, and Informed for key project deliverables. This ensures that no task is left without an owner (Responsible) and that apparent decision authority rests with the Accountable party.</w:t>
      </w:r>
    </w:p>
    <w:tbl>
      <w:tblPr>
        <w:tblStyle w:val="GridTable2"/>
        <w:tblW w:w="0" w:type="auto"/>
        <w:tblLook w:val="04A0" w:firstRow="1" w:lastRow="0" w:firstColumn="1" w:lastColumn="0" w:noHBand="0" w:noVBand="1"/>
      </w:tblPr>
      <w:tblGrid>
        <w:gridCol w:w="1617"/>
        <w:gridCol w:w="1380"/>
        <w:gridCol w:w="1486"/>
        <w:gridCol w:w="1451"/>
        <w:gridCol w:w="1683"/>
        <w:gridCol w:w="1409"/>
      </w:tblGrid>
      <w:tr w:rsidR="00164AB2" w14:paraId="70730414" w14:textId="77777777" w:rsidTr="00FC0738">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494" w:type="dxa"/>
          </w:tcPr>
          <w:p w14:paraId="3E6A24C0" w14:textId="77777777" w:rsidR="00164AB2" w:rsidRDefault="00164AB2" w:rsidP="003B62D3">
            <w:pPr>
              <w:spacing w:line="360" w:lineRule="auto"/>
              <w:rPr>
                <w:rFonts w:ascii="Arial" w:hAnsi="Arial" w:cs="Arial"/>
              </w:rPr>
            </w:pPr>
            <w:r w:rsidRPr="00D56F4B">
              <w:rPr>
                <w:rFonts w:ascii="Arial" w:hAnsi="Arial" w:cs="Arial"/>
              </w:rPr>
              <w:t>Deliverable</w:t>
            </w:r>
          </w:p>
        </w:tc>
        <w:tc>
          <w:tcPr>
            <w:tcW w:w="1460" w:type="dxa"/>
          </w:tcPr>
          <w:p w14:paraId="0910C02E"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Product Dev Team</w:t>
            </w:r>
          </w:p>
        </w:tc>
        <w:tc>
          <w:tcPr>
            <w:tcW w:w="1491" w:type="dxa"/>
          </w:tcPr>
          <w:p w14:paraId="62A963CC"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Regulatory Team</w:t>
            </w:r>
          </w:p>
        </w:tc>
        <w:tc>
          <w:tcPr>
            <w:tcW w:w="1482" w:type="dxa"/>
          </w:tcPr>
          <w:p w14:paraId="17668711"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Marketing &amp; Sales</w:t>
            </w:r>
          </w:p>
        </w:tc>
        <w:tc>
          <w:tcPr>
            <w:tcW w:w="1617" w:type="dxa"/>
          </w:tcPr>
          <w:p w14:paraId="5358579D"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Senior Management</w:t>
            </w:r>
          </w:p>
        </w:tc>
        <w:tc>
          <w:tcPr>
            <w:tcW w:w="1472" w:type="dxa"/>
          </w:tcPr>
          <w:p w14:paraId="7F2603F7" w14:textId="77777777" w:rsidR="00164AB2" w:rsidRDefault="00164AB2"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56F4B">
              <w:rPr>
                <w:rFonts w:ascii="Arial" w:hAnsi="Arial" w:cs="Arial"/>
              </w:rPr>
              <w:t>Project Manager</w:t>
            </w:r>
          </w:p>
        </w:tc>
      </w:tr>
      <w:tr w:rsidR="00164AB2" w14:paraId="2EAC8216"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tcPr>
          <w:p w14:paraId="07705C18" w14:textId="77777777" w:rsidR="00164AB2" w:rsidRDefault="00164AB2" w:rsidP="003B62D3">
            <w:pPr>
              <w:spacing w:line="360" w:lineRule="auto"/>
              <w:rPr>
                <w:rFonts w:ascii="Arial" w:hAnsi="Arial" w:cs="Arial"/>
              </w:rPr>
            </w:pPr>
            <w:r w:rsidRPr="00D56F4B">
              <w:rPr>
                <w:rFonts w:ascii="Arial" w:hAnsi="Arial" w:cs="Arial"/>
              </w:rPr>
              <w:t>UKCA Certification Submission</w:t>
            </w:r>
          </w:p>
        </w:tc>
        <w:tc>
          <w:tcPr>
            <w:tcW w:w="1460" w:type="dxa"/>
          </w:tcPr>
          <w:p w14:paraId="7C89BCB0"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c>
          <w:tcPr>
            <w:tcW w:w="1491" w:type="dxa"/>
          </w:tcPr>
          <w:p w14:paraId="4B18A013"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482" w:type="dxa"/>
          </w:tcPr>
          <w:p w14:paraId="0AC1E7BA"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617" w:type="dxa"/>
          </w:tcPr>
          <w:p w14:paraId="4BE3707C"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72" w:type="dxa"/>
          </w:tcPr>
          <w:p w14:paraId="6F5F1B70"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r>
      <w:tr w:rsidR="00164AB2" w14:paraId="14294E5C" w14:textId="77777777" w:rsidTr="00FC0738">
        <w:tc>
          <w:tcPr>
            <w:cnfStyle w:val="001000000000" w:firstRow="0" w:lastRow="0" w:firstColumn="1" w:lastColumn="0" w:oddVBand="0" w:evenVBand="0" w:oddHBand="0" w:evenHBand="0" w:firstRowFirstColumn="0" w:firstRowLastColumn="0" w:lastRowFirstColumn="0" w:lastRowLastColumn="0"/>
            <w:tcW w:w="1494" w:type="dxa"/>
          </w:tcPr>
          <w:p w14:paraId="2B075D23" w14:textId="6A2D387B" w:rsidR="00164AB2" w:rsidRDefault="00164AB2" w:rsidP="003B62D3">
            <w:pPr>
              <w:spacing w:line="360" w:lineRule="auto"/>
              <w:rPr>
                <w:rFonts w:ascii="Arial" w:hAnsi="Arial" w:cs="Arial"/>
              </w:rPr>
            </w:pPr>
            <w:r w:rsidRPr="00D56F4B">
              <w:rPr>
                <w:rFonts w:ascii="Arial" w:hAnsi="Arial" w:cs="Arial"/>
              </w:rPr>
              <w:t xml:space="preserve">App Feature </w:t>
            </w:r>
            <w:r w:rsidR="00DC4F91">
              <w:rPr>
                <w:rFonts w:ascii="Arial" w:hAnsi="Arial" w:cs="Arial"/>
              </w:rPr>
              <w:t>Lockdown</w:t>
            </w:r>
          </w:p>
        </w:tc>
        <w:tc>
          <w:tcPr>
            <w:tcW w:w="1460" w:type="dxa"/>
          </w:tcPr>
          <w:p w14:paraId="548CC4B5"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491" w:type="dxa"/>
          </w:tcPr>
          <w:p w14:paraId="3763280D"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c>
          <w:tcPr>
            <w:tcW w:w="1482" w:type="dxa"/>
          </w:tcPr>
          <w:p w14:paraId="72043B75"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c>
          <w:tcPr>
            <w:tcW w:w="1617" w:type="dxa"/>
          </w:tcPr>
          <w:p w14:paraId="2769F54F"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c>
          <w:tcPr>
            <w:tcW w:w="1472" w:type="dxa"/>
          </w:tcPr>
          <w:p w14:paraId="26F4B0A4"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r>
      <w:tr w:rsidR="00164AB2" w14:paraId="0AE9CA4C"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tcPr>
          <w:p w14:paraId="0FAFDD8A" w14:textId="77777777" w:rsidR="00164AB2" w:rsidRDefault="00164AB2" w:rsidP="003B62D3">
            <w:pPr>
              <w:spacing w:line="360" w:lineRule="auto"/>
              <w:rPr>
                <w:rFonts w:ascii="Arial" w:hAnsi="Arial" w:cs="Arial"/>
              </w:rPr>
            </w:pPr>
            <w:r w:rsidRPr="00D56F4B">
              <w:rPr>
                <w:rFonts w:ascii="Arial" w:hAnsi="Arial" w:cs="Arial"/>
              </w:rPr>
              <w:t>Q1 Sales Target Approval</w:t>
            </w:r>
          </w:p>
        </w:tc>
        <w:tc>
          <w:tcPr>
            <w:tcW w:w="1460" w:type="dxa"/>
          </w:tcPr>
          <w:p w14:paraId="68D2C0DC"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91" w:type="dxa"/>
          </w:tcPr>
          <w:p w14:paraId="783DADEE"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82" w:type="dxa"/>
          </w:tcPr>
          <w:p w14:paraId="714686E2"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617" w:type="dxa"/>
          </w:tcPr>
          <w:p w14:paraId="39B17D05"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c>
          <w:tcPr>
            <w:tcW w:w="1472" w:type="dxa"/>
          </w:tcPr>
          <w:p w14:paraId="6915F877" w14:textId="77777777" w:rsidR="00164AB2" w:rsidRPr="00AD0281" w:rsidRDefault="00164AB2"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r>
      <w:tr w:rsidR="00164AB2" w14:paraId="6A2E1B93" w14:textId="77777777" w:rsidTr="00FC0738">
        <w:tc>
          <w:tcPr>
            <w:cnfStyle w:val="001000000000" w:firstRow="0" w:lastRow="0" w:firstColumn="1" w:lastColumn="0" w:oddVBand="0" w:evenVBand="0" w:oddHBand="0" w:evenHBand="0" w:firstRowFirstColumn="0" w:firstRowLastColumn="0" w:lastRowFirstColumn="0" w:lastRowLastColumn="0"/>
            <w:tcW w:w="1494" w:type="dxa"/>
          </w:tcPr>
          <w:p w14:paraId="460269A6" w14:textId="77777777" w:rsidR="00164AB2" w:rsidRDefault="00164AB2" w:rsidP="003B62D3">
            <w:pPr>
              <w:spacing w:line="360" w:lineRule="auto"/>
              <w:rPr>
                <w:rFonts w:ascii="Arial" w:hAnsi="Arial" w:cs="Arial"/>
              </w:rPr>
            </w:pPr>
            <w:r w:rsidRPr="00D56F4B">
              <w:rPr>
                <w:rFonts w:ascii="Arial" w:hAnsi="Arial" w:cs="Arial"/>
              </w:rPr>
              <w:t>Clinical Pilot Data Integrity</w:t>
            </w:r>
          </w:p>
        </w:tc>
        <w:tc>
          <w:tcPr>
            <w:tcW w:w="1460" w:type="dxa"/>
          </w:tcPr>
          <w:p w14:paraId="659BED4E"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R</w:t>
            </w:r>
          </w:p>
        </w:tc>
        <w:tc>
          <w:tcPr>
            <w:tcW w:w="1491" w:type="dxa"/>
          </w:tcPr>
          <w:p w14:paraId="29EBA7AC"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A</w:t>
            </w:r>
          </w:p>
        </w:tc>
        <w:tc>
          <w:tcPr>
            <w:tcW w:w="1482" w:type="dxa"/>
          </w:tcPr>
          <w:p w14:paraId="508C3F42"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617" w:type="dxa"/>
          </w:tcPr>
          <w:p w14:paraId="2F63B5A6"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I</w:t>
            </w:r>
          </w:p>
        </w:tc>
        <w:tc>
          <w:tcPr>
            <w:tcW w:w="1472" w:type="dxa"/>
          </w:tcPr>
          <w:p w14:paraId="1F3C5FA6" w14:textId="77777777" w:rsidR="00164AB2" w:rsidRPr="00AD0281" w:rsidRDefault="00164AB2"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EE0000"/>
              </w:rPr>
            </w:pPr>
            <w:r w:rsidRPr="00AD0281">
              <w:rPr>
                <w:rFonts w:ascii="Arial" w:hAnsi="Arial" w:cs="Arial"/>
                <w:b/>
                <w:bCs/>
                <w:color w:val="EE0000"/>
              </w:rPr>
              <w:t>C</w:t>
            </w:r>
          </w:p>
        </w:tc>
      </w:tr>
    </w:tbl>
    <w:p w14:paraId="05E4C00E" w14:textId="77777777" w:rsidR="00164AB2" w:rsidRDefault="00164AB2" w:rsidP="003B62D3">
      <w:pPr>
        <w:pStyle w:val="Heading1"/>
        <w:spacing w:line="360" w:lineRule="auto"/>
        <w:rPr>
          <w:rFonts w:ascii="Arial" w:hAnsi="Arial" w:cs="Arial"/>
          <w:sz w:val="28"/>
          <w:szCs w:val="28"/>
        </w:rPr>
      </w:pPr>
    </w:p>
    <w:p w14:paraId="2DC957B0" w14:textId="77777777" w:rsidR="00EF2492" w:rsidRDefault="00EF2492" w:rsidP="00EF2492"/>
    <w:p w14:paraId="49762764" w14:textId="77777777" w:rsidR="00EF2492" w:rsidRDefault="00EF2492" w:rsidP="00EF2492"/>
    <w:p w14:paraId="180ABA38" w14:textId="77777777" w:rsidR="00EF2492" w:rsidRDefault="00EF2492" w:rsidP="00EF2492"/>
    <w:p w14:paraId="24A492F9" w14:textId="77777777" w:rsidR="00EF2492" w:rsidRDefault="00EF2492" w:rsidP="00EF2492"/>
    <w:p w14:paraId="1DA5C64A" w14:textId="77777777" w:rsidR="00EF2492" w:rsidRDefault="00EF2492" w:rsidP="00EF2492"/>
    <w:p w14:paraId="61339A85" w14:textId="77777777" w:rsidR="00EF2492" w:rsidRPr="00EF2492" w:rsidRDefault="00EF2492" w:rsidP="00EF2492"/>
    <w:p w14:paraId="40340A2B" w14:textId="77777777" w:rsidR="003C4B7C" w:rsidRPr="00B27B23" w:rsidRDefault="003C4B7C" w:rsidP="00B27B23">
      <w:pPr>
        <w:pStyle w:val="Heading1"/>
        <w:spacing w:line="360" w:lineRule="auto"/>
        <w:jc w:val="center"/>
        <w:rPr>
          <w:rFonts w:ascii="Arial" w:hAnsi="Arial" w:cs="Arial"/>
        </w:rPr>
      </w:pPr>
      <w:r w:rsidRPr="00B27B23">
        <w:rPr>
          <w:rFonts w:ascii="Arial" w:hAnsi="Arial" w:cs="Arial"/>
        </w:rPr>
        <w:t>6. The Stakeholder Engagement Process and Conflict Management</w:t>
      </w:r>
    </w:p>
    <w:p w14:paraId="03C22EF6" w14:textId="77777777" w:rsidR="005F6054" w:rsidRPr="005F6054" w:rsidRDefault="005F6054" w:rsidP="003B62D3">
      <w:pPr>
        <w:spacing w:line="360" w:lineRule="auto"/>
      </w:pPr>
    </w:p>
    <w:p w14:paraId="543C5202" w14:textId="77777777" w:rsidR="003C4B7C" w:rsidRPr="00D7285A" w:rsidRDefault="003C4B7C" w:rsidP="003B62D3">
      <w:pPr>
        <w:spacing w:line="360" w:lineRule="auto"/>
      </w:pPr>
      <w:r w:rsidRPr="00D7285A">
        <w:t>The Project Manager’s (PM) role in the six-month ‘Veritas’ launch involves active and deliberate relationship management across the four project phases, ensuring alignment and mitigating risk. The table below summarises the core engagement approaches based on the Power/Interest Matrix.</w:t>
      </w:r>
    </w:p>
    <w:p w14:paraId="2922F92F" w14:textId="77777777" w:rsidR="003C4B7C" w:rsidRDefault="003C4B7C" w:rsidP="003B62D3">
      <w:pPr>
        <w:pStyle w:val="Heading2"/>
        <w:spacing w:line="360" w:lineRule="auto"/>
      </w:pPr>
      <w:r w:rsidRPr="00D7285A">
        <w:t>6.1 Process of Active Stakeholder Engagement (Summary)</w:t>
      </w:r>
    </w:p>
    <w:tbl>
      <w:tblPr>
        <w:tblStyle w:val="GridTable4-Accent5"/>
        <w:tblW w:w="0" w:type="auto"/>
        <w:tblLook w:val="04A0" w:firstRow="1" w:lastRow="0" w:firstColumn="1" w:lastColumn="0" w:noHBand="0" w:noVBand="1"/>
      </w:tblPr>
      <w:tblGrid>
        <w:gridCol w:w="2254"/>
        <w:gridCol w:w="2254"/>
        <w:gridCol w:w="2254"/>
        <w:gridCol w:w="2254"/>
      </w:tblGrid>
      <w:tr w:rsidR="005F3782" w14:paraId="4C43A6DD" w14:textId="77777777" w:rsidTr="00FC0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8B9BF99" w14:textId="2AD3C8F2" w:rsidR="005F3782" w:rsidRDefault="005F3782" w:rsidP="003B62D3">
            <w:pPr>
              <w:spacing w:line="360" w:lineRule="auto"/>
            </w:pPr>
            <w:r w:rsidRPr="00D7285A">
              <w:t>PM Role/Action</w:t>
            </w:r>
          </w:p>
        </w:tc>
        <w:tc>
          <w:tcPr>
            <w:tcW w:w="2254" w:type="dxa"/>
          </w:tcPr>
          <w:p w14:paraId="68F83ECD" w14:textId="5C583D10" w:rsidR="005F3782" w:rsidRDefault="005F3782"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Stakeholder Group</w:t>
            </w:r>
          </w:p>
        </w:tc>
        <w:tc>
          <w:tcPr>
            <w:tcW w:w="2254" w:type="dxa"/>
          </w:tcPr>
          <w:p w14:paraId="168E1FBC" w14:textId="25487751" w:rsidR="005F3782" w:rsidRDefault="005F3782"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Engagement Approach</w:t>
            </w:r>
          </w:p>
        </w:tc>
        <w:tc>
          <w:tcPr>
            <w:tcW w:w="2254" w:type="dxa"/>
          </w:tcPr>
          <w:p w14:paraId="656419EE" w14:textId="16CF86C6" w:rsidR="005F3782" w:rsidRDefault="005F3782"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Objective/Benefit</w:t>
            </w:r>
          </w:p>
        </w:tc>
      </w:tr>
      <w:tr w:rsidR="005F3782" w14:paraId="0C2B9B4E"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A65393C" w14:textId="294A0810" w:rsidR="005F3782" w:rsidRDefault="005F3782" w:rsidP="003B62D3">
            <w:pPr>
              <w:spacing w:line="360" w:lineRule="auto"/>
            </w:pPr>
            <w:r w:rsidRPr="00D7285A">
              <w:t>Relationship Management</w:t>
            </w:r>
          </w:p>
        </w:tc>
        <w:tc>
          <w:tcPr>
            <w:tcW w:w="2254" w:type="dxa"/>
          </w:tcPr>
          <w:p w14:paraId="7851A18A" w14:textId="182425DB"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All Stakeholders</w:t>
            </w:r>
          </w:p>
        </w:tc>
        <w:tc>
          <w:tcPr>
            <w:tcW w:w="2254" w:type="dxa"/>
          </w:tcPr>
          <w:p w14:paraId="6EAF16CD" w14:textId="3DCD0672"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Across four project phases</w:t>
            </w:r>
          </w:p>
        </w:tc>
        <w:tc>
          <w:tcPr>
            <w:tcW w:w="2254" w:type="dxa"/>
          </w:tcPr>
          <w:p w14:paraId="4E0AB76C" w14:textId="7D7D0C9E"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Fundamental to launch success and project velocity.</w:t>
            </w:r>
          </w:p>
        </w:tc>
      </w:tr>
      <w:tr w:rsidR="005F3782" w14:paraId="48AB7D5A" w14:textId="77777777" w:rsidTr="00FC0738">
        <w:tc>
          <w:tcPr>
            <w:cnfStyle w:val="001000000000" w:firstRow="0" w:lastRow="0" w:firstColumn="1" w:lastColumn="0" w:oddVBand="0" w:evenVBand="0" w:oddHBand="0" w:evenHBand="0" w:firstRowFirstColumn="0" w:firstRowLastColumn="0" w:lastRowFirstColumn="0" w:lastRowLastColumn="0"/>
            <w:tcW w:w="2254" w:type="dxa"/>
          </w:tcPr>
          <w:p w14:paraId="7FF1B67B" w14:textId="34955A4E" w:rsidR="005F3782" w:rsidRDefault="005F3782" w:rsidP="003B62D3">
            <w:pPr>
              <w:spacing w:line="360" w:lineRule="auto"/>
            </w:pPr>
            <w:r w:rsidRPr="00D7285A">
              <w:t>Consultative &amp; Collaborative</w:t>
            </w:r>
          </w:p>
        </w:tc>
        <w:tc>
          <w:tcPr>
            <w:tcW w:w="2254" w:type="dxa"/>
          </w:tcPr>
          <w:p w14:paraId="76F280E5" w14:textId="60B63DAC" w:rsidR="005F3782"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High Power/High Interest (Senior Management, Regulatory)</w:t>
            </w:r>
          </w:p>
        </w:tc>
        <w:tc>
          <w:tcPr>
            <w:tcW w:w="2254" w:type="dxa"/>
          </w:tcPr>
          <w:p w14:paraId="5047C6E7" w14:textId="4A68D96F" w:rsidR="005F3782"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Consultative and Collaborative</w:t>
            </w:r>
          </w:p>
        </w:tc>
        <w:tc>
          <w:tcPr>
            <w:tcW w:w="2254" w:type="dxa"/>
          </w:tcPr>
          <w:p w14:paraId="6CA6738B" w14:textId="336A4B05" w:rsidR="005F3782"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Ensure governance, alignment, and full risk visibility.</w:t>
            </w:r>
          </w:p>
        </w:tc>
      </w:tr>
      <w:tr w:rsidR="005F3782" w14:paraId="51433721"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5F4C839" w14:textId="0A0A6DF6" w:rsidR="005F3782" w:rsidRDefault="005F3782" w:rsidP="003B62D3">
            <w:pPr>
              <w:spacing w:line="360" w:lineRule="auto"/>
            </w:pPr>
            <w:r w:rsidRPr="00D7285A">
              <w:t>Tailored Communication</w:t>
            </w:r>
          </w:p>
        </w:tc>
        <w:tc>
          <w:tcPr>
            <w:tcW w:w="2254" w:type="dxa"/>
          </w:tcPr>
          <w:p w14:paraId="4AB22D70" w14:textId="4D2919CF"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High Power/Low Interest (e.g., IT Infrastructure)</w:t>
            </w:r>
          </w:p>
        </w:tc>
        <w:tc>
          <w:tcPr>
            <w:tcW w:w="2254" w:type="dxa"/>
          </w:tcPr>
          <w:p w14:paraId="30860FE9" w14:textId="3CCFF0D1"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Tailored, Needs-Focused Communication</w:t>
            </w:r>
          </w:p>
        </w:tc>
        <w:tc>
          <w:tcPr>
            <w:tcW w:w="2254" w:type="dxa"/>
          </w:tcPr>
          <w:p w14:paraId="221D188A" w14:textId="10565ADE"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Maintain satisfaction without overburdening; ensure security compliance.</w:t>
            </w:r>
          </w:p>
        </w:tc>
      </w:tr>
      <w:tr w:rsidR="005F3782" w14:paraId="61E2DC46" w14:textId="77777777" w:rsidTr="00FC0738">
        <w:tc>
          <w:tcPr>
            <w:cnfStyle w:val="001000000000" w:firstRow="0" w:lastRow="0" w:firstColumn="1" w:lastColumn="0" w:oddVBand="0" w:evenVBand="0" w:oddHBand="0" w:evenHBand="0" w:firstRowFirstColumn="0" w:firstRowLastColumn="0" w:lastRowFirstColumn="0" w:lastRowLastColumn="0"/>
            <w:tcW w:w="2254" w:type="dxa"/>
          </w:tcPr>
          <w:p w14:paraId="09658DB6" w14:textId="7F9B206B" w:rsidR="005F3782" w:rsidRPr="00D7285A" w:rsidRDefault="005F3782" w:rsidP="003B62D3">
            <w:pPr>
              <w:spacing w:line="360" w:lineRule="auto"/>
              <w:rPr>
                <w:b w:val="0"/>
                <w:bCs w:val="0"/>
              </w:rPr>
            </w:pPr>
            <w:r w:rsidRPr="00D7285A">
              <w:lastRenderedPageBreak/>
              <w:t>Tailored Communication</w:t>
            </w:r>
          </w:p>
        </w:tc>
        <w:tc>
          <w:tcPr>
            <w:tcW w:w="2254" w:type="dxa"/>
          </w:tcPr>
          <w:p w14:paraId="17FA45B4" w14:textId="7D37B043" w:rsidR="005F3782" w:rsidRPr="00D7285A"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High Power/Low Interest (e.g., IT Infrastructure)</w:t>
            </w:r>
          </w:p>
        </w:tc>
        <w:tc>
          <w:tcPr>
            <w:tcW w:w="2254" w:type="dxa"/>
          </w:tcPr>
          <w:p w14:paraId="7750C1E9" w14:textId="5C72033C" w:rsidR="005F3782" w:rsidRPr="00D7285A"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Tailored, Needs-Focused Communication</w:t>
            </w:r>
          </w:p>
        </w:tc>
        <w:tc>
          <w:tcPr>
            <w:tcW w:w="2254" w:type="dxa"/>
          </w:tcPr>
          <w:p w14:paraId="702BF856" w14:textId="1CF2E93E" w:rsidR="005F3782" w:rsidRPr="00D7285A" w:rsidRDefault="005F3782"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Maintain satisfaction without overburdening; ensure security compliance.</w:t>
            </w:r>
          </w:p>
        </w:tc>
      </w:tr>
      <w:tr w:rsidR="005F3782" w14:paraId="50B43390" w14:textId="77777777" w:rsidTr="00FC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AA6D464" w14:textId="4B90A38B" w:rsidR="005F3782" w:rsidRDefault="005F3782" w:rsidP="003B62D3">
            <w:pPr>
              <w:spacing w:line="360" w:lineRule="auto"/>
            </w:pPr>
            <w:r w:rsidRPr="00D7285A">
              <w:t>Information Conduit</w:t>
            </w:r>
          </w:p>
        </w:tc>
        <w:tc>
          <w:tcPr>
            <w:tcW w:w="2254" w:type="dxa"/>
          </w:tcPr>
          <w:p w14:paraId="0D2ECD48" w14:textId="06DEF200"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Sales, PDT</w:t>
            </w:r>
          </w:p>
        </w:tc>
        <w:tc>
          <w:tcPr>
            <w:tcW w:w="2254" w:type="dxa"/>
          </w:tcPr>
          <w:p w14:paraId="57860B89" w14:textId="31F6B00F"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Translation &amp; Filtering</w:t>
            </w:r>
          </w:p>
        </w:tc>
        <w:tc>
          <w:tcPr>
            <w:tcW w:w="2254" w:type="dxa"/>
          </w:tcPr>
          <w:p w14:paraId="4C757271" w14:textId="5FCD02EB" w:rsidR="005F3782" w:rsidRDefault="005F3782"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Manage scope creep, align technical feasibility with market needs.</w:t>
            </w:r>
          </w:p>
        </w:tc>
      </w:tr>
    </w:tbl>
    <w:p w14:paraId="5128F6D5" w14:textId="77777777" w:rsidR="005F3782" w:rsidRPr="005F3782" w:rsidRDefault="005F3782" w:rsidP="003B62D3">
      <w:pPr>
        <w:spacing w:line="360" w:lineRule="auto"/>
      </w:pPr>
    </w:p>
    <w:p w14:paraId="50F49A01" w14:textId="77777777" w:rsidR="003C4B7C" w:rsidRPr="00D7285A" w:rsidRDefault="003C4B7C" w:rsidP="003B62D3">
      <w:pPr>
        <w:spacing w:line="360" w:lineRule="auto"/>
        <w:rPr>
          <w:b/>
          <w:bCs/>
        </w:rPr>
      </w:pPr>
      <w:r w:rsidRPr="00D7285A">
        <w:rPr>
          <w:b/>
          <w:bCs/>
        </w:rPr>
        <w:t>6.2 Managing Conflict with the 4 C’s Model in Practice</w:t>
      </w:r>
    </w:p>
    <w:p w14:paraId="52C50323" w14:textId="77777777" w:rsidR="003C4B7C" w:rsidRDefault="003C4B7C" w:rsidP="003B62D3">
      <w:pPr>
        <w:spacing w:line="360" w:lineRule="auto"/>
      </w:pPr>
      <w:r w:rsidRPr="00D7285A">
        <w:t xml:space="preserve">Conflict is inevitable when departmental objectives clash (e.g., Marketing speed vs. Regulatory safety). The PM will systematically </w:t>
      </w:r>
      <w:r>
        <w:t>utilise</w:t>
      </w:r>
      <w:r w:rsidRPr="00D7285A">
        <w:t xml:space="preserve"> the 4 C’s Conflict Management Model to transform antagonism into productive problem-solving.</w:t>
      </w:r>
    </w:p>
    <w:tbl>
      <w:tblPr>
        <w:tblStyle w:val="GridTable5Dark-Accent5"/>
        <w:tblW w:w="0" w:type="auto"/>
        <w:tblLook w:val="04A0" w:firstRow="1" w:lastRow="0" w:firstColumn="1" w:lastColumn="0" w:noHBand="0" w:noVBand="1"/>
      </w:tblPr>
      <w:tblGrid>
        <w:gridCol w:w="2254"/>
        <w:gridCol w:w="2254"/>
        <w:gridCol w:w="2254"/>
        <w:gridCol w:w="2254"/>
      </w:tblGrid>
      <w:tr w:rsidR="0056226F" w14:paraId="5A125846" w14:textId="77777777" w:rsidTr="00317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36B7139" w14:textId="08439BB0" w:rsidR="0056226F" w:rsidRDefault="0056226F" w:rsidP="003B62D3">
            <w:pPr>
              <w:spacing w:line="360" w:lineRule="auto"/>
            </w:pPr>
            <w:r w:rsidRPr="00D7285A">
              <w:t>4 C Component</w:t>
            </w:r>
          </w:p>
        </w:tc>
        <w:tc>
          <w:tcPr>
            <w:tcW w:w="2254" w:type="dxa"/>
          </w:tcPr>
          <w:p w14:paraId="5BE38B05" w14:textId="7F84D66D" w:rsidR="0056226F" w:rsidRDefault="0056226F"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Definition &amp; Mechanism</w:t>
            </w:r>
          </w:p>
        </w:tc>
        <w:tc>
          <w:tcPr>
            <w:tcW w:w="2254" w:type="dxa"/>
          </w:tcPr>
          <w:p w14:paraId="43592D8F" w14:textId="3931004A" w:rsidR="0056226F" w:rsidRDefault="0056226F"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Conflict Example</w:t>
            </w:r>
          </w:p>
        </w:tc>
        <w:tc>
          <w:tcPr>
            <w:tcW w:w="2254" w:type="dxa"/>
          </w:tcPr>
          <w:p w14:paraId="4F35B29F" w14:textId="636E3F10" w:rsidR="0056226F" w:rsidRDefault="0056226F" w:rsidP="003B62D3">
            <w:pPr>
              <w:spacing w:line="360" w:lineRule="auto"/>
              <w:cnfStyle w:val="100000000000" w:firstRow="1" w:lastRow="0" w:firstColumn="0" w:lastColumn="0" w:oddVBand="0" w:evenVBand="0" w:oddHBand="0" w:evenHBand="0" w:firstRowFirstColumn="0" w:firstRowLastColumn="0" w:lastRowFirstColumn="0" w:lastRowLastColumn="0"/>
            </w:pPr>
            <w:r w:rsidRPr="00D7285A">
              <w:t>PM Action and Resolution</w:t>
            </w:r>
          </w:p>
        </w:tc>
      </w:tr>
      <w:tr w:rsidR="0056226F" w14:paraId="68F080BB" w14:textId="77777777" w:rsidTr="0031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CD15F75" w14:textId="415E5395" w:rsidR="0056226F" w:rsidRDefault="0056226F" w:rsidP="003B62D3">
            <w:pPr>
              <w:spacing w:line="360" w:lineRule="auto"/>
            </w:pPr>
            <w:r w:rsidRPr="00D7285A">
              <w:t>1. Communication</w:t>
            </w:r>
          </w:p>
        </w:tc>
        <w:tc>
          <w:tcPr>
            <w:tcW w:w="2254" w:type="dxa"/>
          </w:tcPr>
          <w:p w14:paraId="5747BFCE" w14:textId="5AB96081"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rPr>
                <w:b/>
                <w:bCs/>
              </w:rPr>
              <w:t>Foundation of conflict resolution.</w:t>
            </w:r>
            <w:r w:rsidRPr="00D7285A">
              <w:t xml:space="preserve"> Ensures information is clear, frequent, and transparent. Moves from emotional exchange to objective, documented facts (regulatory standards).</w:t>
            </w:r>
          </w:p>
        </w:tc>
        <w:tc>
          <w:tcPr>
            <w:tcW w:w="2254" w:type="dxa"/>
          </w:tcPr>
          <w:p w14:paraId="7696136E" w14:textId="14B82BDA"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t>The marketing</w:t>
            </w:r>
            <w:r w:rsidRPr="00D7285A">
              <w:t xml:space="preserve"> team prematurely uses a non-approved medical claim in pre-launch material.</w:t>
            </w:r>
          </w:p>
        </w:tc>
        <w:tc>
          <w:tcPr>
            <w:tcW w:w="2254" w:type="dxa"/>
          </w:tcPr>
          <w:p w14:paraId="76745BBE" w14:textId="78770EC0"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Immediate and neutral communication to both Marketing and Regulatory stakeholders</w:t>
            </w:r>
            <w:r>
              <w:t>,</w:t>
            </w:r>
            <w:r w:rsidRPr="00D7285A">
              <w:t xml:space="preserve"> outlining the regulatory risk and legal constraints. Provides a shared, objective basis for halting the claim.</w:t>
            </w:r>
          </w:p>
        </w:tc>
      </w:tr>
      <w:tr w:rsidR="0056226F" w14:paraId="14BC3EC0" w14:textId="77777777" w:rsidTr="00317FE3">
        <w:tc>
          <w:tcPr>
            <w:cnfStyle w:val="001000000000" w:firstRow="0" w:lastRow="0" w:firstColumn="1" w:lastColumn="0" w:oddVBand="0" w:evenVBand="0" w:oddHBand="0" w:evenHBand="0" w:firstRowFirstColumn="0" w:firstRowLastColumn="0" w:lastRowFirstColumn="0" w:lastRowLastColumn="0"/>
            <w:tcW w:w="2254" w:type="dxa"/>
          </w:tcPr>
          <w:p w14:paraId="6D8777BF" w14:textId="414557F5" w:rsidR="0056226F" w:rsidRDefault="0056226F" w:rsidP="003B62D3">
            <w:pPr>
              <w:spacing w:line="360" w:lineRule="auto"/>
            </w:pPr>
            <w:r w:rsidRPr="00D7285A">
              <w:lastRenderedPageBreak/>
              <w:t>2. Coordination</w:t>
            </w:r>
          </w:p>
        </w:tc>
        <w:tc>
          <w:tcPr>
            <w:tcW w:w="2254" w:type="dxa"/>
          </w:tcPr>
          <w:p w14:paraId="0109D739" w14:textId="1C4C20C2"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rPr>
                <w:b/>
                <w:bCs/>
              </w:rPr>
              <w:t xml:space="preserve">Linking and </w:t>
            </w:r>
            <w:r>
              <w:rPr>
                <w:b/>
                <w:bCs/>
              </w:rPr>
              <w:t>synchronising disparate activities to optimise</w:t>
            </w:r>
            <w:r w:rsidRPr="00D7285A">
              <w:t xml:space="preserve"> resource and schedule management, often guided by the RACI Matrix.</w:t>
            </w:r>
          </w:p>
        </w:tc>
        <w:tc>
          <w:tcPr>
            <w:tcW w:w="2254" w:type="dxa"/>
          </w:tcPr>
          <w:p w14:paraId="71924A7E" w14:textId="2F916248"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Conflict over limited infrastructure time, with the PDT needing stability testing time and IT needing the same time for critical system updates.</w:t>
            </w:r>
          </w:p>
        </w:tc>
        <w:tc>
          <w:tcPr>
            <w:tcW w:w="2254" w:type="dxa"/>
          </w:tcPr>
          <w:p w14:paraId="1440CB19" w14:textId="777439A5"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t>PM coordinates a mandatory shared schedule based on RACI accountability, setting negotiated trade-offs that satisfy both parties' critical, non-negotiable needs.</w:t>
            </w:r>
          </w:p>
        </w:tc>
      </w:tr>
      <w:tr w:rsidR="0056226F" w14:paraId="087AD9EE" w14:textId="77777777" w:rsidTr="0031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BFF5DD" w14:textId="40D478CF" w:rsidR="0056226F" w:rsidRDefault="0056226F" w:rsidP="003B62D3">
            <w:pPr>
              <w:spacing w:line="360" w:lineRule="auto"/>
            </w:pPr>
            <w:r w:rsidRPr="00D7285A">
              <w:t>3. Cooperation</w:t>
            </w:r>
          </w:p>
        </w:tc>
        <w:tc>
          <w:tcPr>
            <w:tcW w:w="2254" w:type="dxa"/>
          </w:tcPr>
          <w:p w14:paraId="2347D5E9" w14:textId="322B7F6E"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rPr>
                <w:b/>
                <w:bCs/>
              </w:rPr>
              <w:t>Willingness to work together</w:t>
            </w:r>
            <w:r w:rsidRPr="00D7285A">
              <w:t xml:space="preserve"> and share information voluntarily, even when immediate departmental goals differ (relational focus).</w:t>
            </w:r>
          </w:p>
        </w:tc>
        <w:tc>
          <w:tcPr>
            <w:tcW w:w="2254" w:type="dxa"/>
          </w:tcPr>
          <w:p w14:paraId="15E60F15" w14:textId="49C47DD2"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Sales demands a lower retail price for 'Veritas' than the Finance team requires for profitability (Pricing Conflict).</w:t>
            </w:r>
          </w:p>
        </w:tc>
        <w:tc>
          <w:tcPr>
            <w:tcW w:w="2254" w:type="dxa"/>
          </w:tcPr>
          <w:p w14:paraId="35DD5E63" w14:textId="121BB97C" w:rsidR="0056226F" w:rsidRDefault="0056226F" w:rsidP="003B62D3">
            <w:pPr>
              <w:spacing w:line="360" w:lineRule="auto"/>
              <w:cnfStyle w:val="000000100000" w:firstRow="0" w:lastRow="0" w:firstColumn="0" w:lastColumn="0" w:oddVBand="0" w:evenVBand="0" w:oddHBand="1" w:evenHBand="0" w:firstRowFirstColumn="0" w:firstRowLastColumn="0" w:lastRowFirstColumn="0" w:lastRowLastColumn="0"/>
            </w:pPr>
            <w:r w:rsidRPr="00D7285A">
              <w:t>PM facilitates a joint meeting, reframing the goal from departmental targets ("my price" vs. "your price") to "optimal price for market entry and long-term sustainability," requiring voluntary concession for greater business success.</w:t>
            </w:r>
          </w:p>
        </w:tc>
      </w:tr>
      <w:tr w:rsidR="0056226F" w14:paraId="1A138C93" w14:textId="77777777" w:rsidTr="00317FE3">
        <w:tc>
          <w:tcPr>
            <w:cnfStyle w:val="001000000000" w:firstRow="0" w:lastRow="0" w:firstColumn="1" w:lastColumn="0" w:oddVBand="0" w:evenVBand="0" w:oddHBand="0" w:evenHBand="0" w:firstRowFirstColumn="0" w:firstRowLastColumn="0" w:lastRowFirstColumn="0" w:lastRowLastColumn="0"/>
            <w:tcW w:w="2254" w:type="dxa"/>
          </w:tcPr>
          <w:p w14:paraId="6C072A64" w14:textId="4CA77581" w:rsidR="0056226F" w:rsidRDefault="0056226F" w:rsidP="003B62D3">
            <w:pPr>
              <w:spacing w:line="360" w:lineRule="auto"/>
            </w:pPr>
            <w:r w:rsidRPr="00D7285A">
              <w:t>4. Collaboration</w:t>
            </w:r>
          </w:p>
        </w:tc>
        <w:tc>
          <w:tcPr>
            <w:tcW w:w="2254" w:type="dxa"/>
          </w:tcPr>
          <w:p w14:paraId="69F2419A" w14:textId="4F53BD30"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rPr>
                <w:b/>
                <w:bCs/>
              </w:rPr>
              <w:t>Highest level of engagement:</w:t>
            </w:r>
            <w:r w:rsidRPr="00D7285A">
              <w:t xml:space="preserve"> Stakeholders jointly develop and own the solution, reserved for high-impact risks </w:t>
            </w:r>
            <w:r w:rsidRPr="00D7285A">
              <w:lastRenderedPageBreak/>
              <w:t>(shared ownership).</w:t>
            </w:r>
          </w:p>
        </w:tc>
        <w:tc>
          <w:tcPr>
            <w:tcW w:w="2254" w:type="dxa"/>
          </w:tcPr>
          <w:p w14:paraId="0DCB93C7" w14:textId="5A8DC6C8"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lastRenderedPageBreak/>
              <w:t xml:space="preserve">The final certification submission requires unexpected data analysis or complex </w:t>
            </w:r>
            <w:r w:rsidRPr="00D7285A">
              <w:lastRenderedPageBreak/>
              <w:t>documentation, threatening the six-month timeline (Regulatory Delay).</w:t>
            </w:r>
          </w:p>
        </w:tc>
        <w:tc>
          <w:tcPr>
            <w:tcW w:w="2254" w:type="dxa"/>
          </w:tcPr>
          <w:p w14:paraId="55F1032C" w14:textId="1EE162F0" w:rsidR="0056226F" w:rsidRDefault="0056226F" w:rsidP="003B62D3">
            <w:pPr>
              <w:spacing w:line="360" w:lineRule="auto"/>
              <w:cnfStyle w:val="000000000000" w:firstRow="0" w:lastRow="0" w:firstColumn="0" w:lastColumn="0" w:oddVBand="0" w:evenVBand="0" w:oddHBand="0" w:evenHBand="0" w:firstRowFirstColumn="0" w:firstRowLastColumn="0" w:lastRowFirstColumn="0" w:lastRowLastColumn="0"/>
            </w:pPr>
            <w:r w:rsidRPr="00D7285A">
              <w:lastRenderedPageBreak/>
              <w:t xml:space="preserve">PM </w:t>
            </w:r>
            <w:r>
              <w:t>organises</w:t>
            </w:r>
            <w:r w:rsidRPr="00D7285A">
              <w:t xml:space="preserve"> a cross-functional "War Room" where Regulatory and PDT work side-by-side to co-create documentation and </w:t>
            </w:r>
            <w:r w:rsidRPr="00D7285A">
              <w:lastRenderedPageBreak/>
              <w:t>perform tests concurrently, mitigating the direct threat to the launch date through shared commitment and immediate resource allocation.</w:t>
            </w:r>
          </w:p>
        </w:tc>
      </w:tr>
    </w:tbl>
    <w:p w14:paraId="265774A4" w14:textId="77777777" w:rsidR="0056226F" w:rsidRPr="00D7285A" w:rsidRDefault="0056226F" w:rsidP="003B62D3">
      <w:pPr>
        <w:spacing w:line="360" w:lineRule="auto"/>
      </w:pPr>
    </w:p>
    <w:p w14:paraId="1932CDA4" w14:textId="77777777" w:rsidR="003C4B7C" w:rsidRPr="0034068E" w:rsidRDefault="003C4B7C" w:rsidP="003B62D3">
      <w:pPr>
        <w:spacing w:line="360" w:lineRule="auto"/>
      </w:pPr>
    </w:p>
    <w:p w14:paraId="27343BED" w14:textId="77777777" w:rsidR="00EF2492" w:rsidRPr="00EF2492" w:rsidRDefault="00EF2492" w:rsidP="00EF2492"/>
    <w:p w14:paraId="6003D54A" w14:textId="5597712D" w:rsidR="00E03670" w:rsidRPr="00B27B23" w:rsidRDefault="004F15C1" w:rsidP="003B62D3">
      <w:pPr>
        <w:pStyle w:val="Heading1"/>
        <w:spacing w:line="360" w:lineRule="auto"/>
        <w:rPr>
          <w:rFonts w:ascii="Arial" w:hAnsi="Arial" w:cs="Arial"/>
        </w:rPr>
      </w:pPr>
      <w:r w:rsidRPr="00B27B23">
        <w:rPr>
          <w:rFonts w:ascii="Arial" w:hAnsi="Arial" w:cs="Arial"/>
        </w:rPr>
        <w:lastRenderedPageBreak/>
        <w:t>7</w:t>
      </w:r>
      <w:r w:rsidR="00A031FF" w:rsidRPr="00B27B23">
        <w:rPr>
          <w:rFonts w:ascii="Arial" w:hAnsi="Arial" w:cs="Arial"/>
        </w:rPr>
        <w:t>.</w:t>
      </w:r>
      <w:r w:rsidR="00B35BD5" w:rsidRPr="00B27B23">
        <w:rPr>
          <w:rFonts w:ascii="Arial" w:hAnsi="Arial" w:cs="Arial"/>
        </w:rPr>
        <w:t xml:space="preserve"> </w:t>
      </w:r>
      <w:r w:rsidR="00E03670" w:rsidRPr="00B27B23">
        <w:rPr>
          <w:rFonts w:ascii="Arial" w:hAnsi="Arial" w:cs="Arial"/>
        </w:rPr>
        <w:t>Project Management Plan: 'Veritas' Health Wearable Launch</w:t>
      </w:r>
    </w:p>
    <w:p w14:paraId="76D9B444" w14:textId="3D5F467C" w:rsidR="00156C4C" w:rsidRPr="00156C4C" w:rsidRDefault="00156C4C" w:rsidP="00156C4C">
      <w:pPr>
        <w:pStyle w:val="Heading2"/>
        <w:spacing w:line="360" w:lineRule="auto"/>
        <w:rPr>
          <w:rFonts w:ascii="Arial" w:hAnsi="Arial" w:cs="Arial"/>
          <w:color w:val="auto"/>
          <w:sz w:val="24"/>
          <w:szCs w:val="24"/>
        </w:rPr>
      </w:pPr>
      <w:r w:rsidRPr="00156C4C">
        <w:rPr>
          <w:rFonts w:ascii="Arial" w:hAnsi="Arial" w:cs="Arial"/>
          <w:color w:val="auto"/>
          <w:sz w:val="24"/>
          <w:szCs w:val="24"/>
        </w:rPr>
        <w:t>The Project Manager’s (PM) role in the six-month ‘Veritas’ launch is fundamentally about managing relationships across the four project phases</w:t>
      </w:r>
      <w:r w:rsidR="006A5876">
        <w:rPr>
          <w:rFonts w:ascii="Arial" w:hAnsi="Arial" w:cs="Arial"/>
          <w:color w:val="auto"/>
          <w:sz w:val="24"/>
          <w:szCs w:val="24"/>
        </w:rPr>
        <w:t>, acting</w:t>
      </w:r>
      <w:r w:rsidRPr="00156C4C">
        <w:rPr>
          <w:rFonts w:ascii="Arial" w:hAnsi="Arial" w:cs="Arial"/>
          <w:color w:val="auto"/>
          <w:sz w:val="24"/>
          <w:szCs w:val="24"/>
        </w:rPr>
        <w:t xml:space="preserve"> as the central information conduit, translating technical specifications for Sales and filtering feature requests for the Product Development Team (PDT) to manage scope creep.</w:t>
      </w:r>
    </w:p>
    <w:p w14:paraId="71D8CCB4" w14:textId="77777777" w:rsidR="00696ED2" w:rsidRDefault="00156C4C" w:rsidP="00DA6890">
      <w:pPr>
        <w:pStyle w:val="Heading2"/>
        <w:spacing w:line="360" w:lineRule="auto"/>
        <w:rPr>
          <w:rFonts w:ascii="Arial" w:hAnsi="Arial" w:cs="Arial"/>
          <w:color w:val="auto"/>
          <w:sz w:val="24"/>
          <w:szCs w:val="24"/>
        </w:rPr>
      </w:pPr>
      <w:r w:rsidRPr="00156C4C">
        <w:rPr>
          <w:rFonts w:ascii="Arial" w:hAnsi="Arial" w:cs="Arial"/>
          <w:color w:val="auto"/>
          <w:sz w:val="24"/>
          <w:szCs w:val="24"/>
        </w:rPr>
        <w:t>The following section outlines the critical process steps and the strategy, structure, and processes necessary for the PM to successfully deliver the 'Veritas' health wearable device launch within the six-month timeframe, focusing on the effective use of the 4C model to manage inherent project conflicts</w:t>
      </w:r>
    </w:p>
    <w:p w14:paraId="72E0E827" w14:textId="7D2AE67A" w:rsidR="00DA6890" w:rsidRPr="00DA6890" w:rsidRDefault="00DA6890" w:rsidP="00DA6890">
      <w:pPr>
        <w:pStyle w:val="Heading2"/>
        <w:spacing w:line="360" w:lineRule="auto"/>
        <w:rPr>
          <w:rFonts w:ascii="Arial" w:hAnsi="Arial" w:cs="Arial"/>
          <w:color w:val="auto"/>
          <w:sz w:val="24"/>
          <w:szCs w:val="24"/>
        </w:rPr>
      </w:pPr>
      <w:r w:rsidRPr="00DA6890">
        <w:rPr>
          <w:rFonts w:ascii="Arial" w:hAnsi="Arial" w:cs="Arial"/>
          <w:sz w:val="24"/>
          <w:szCs w:val="24"/>
        </w:rPr>
        <w:t>The engagement process is deliberately tailored based on the Power/Interest Matrix</w:t>
      </w:r>
    </w:p>
    <w:p w14:paraId="73E8FD9A" w14:textId="51892952" w:rsidR="003F30DA" w:rsidRPr="003F30DA" w:rsidRDefault="003F30DA" w:rsidP="003F30DA">
      <w:pPr>
        <w:pStyle w:val="Heading2"/>
        <w:spacing w:line="360" w:lineRule="auto"/>
        <w:rPr>
          <w:rFonts w:ascii="Arial" w:hAnsi="Arial" w:cs="Arial"/>
        </w:rPr>
      </w:pPr>
      <w:r w:rsidRPr="003F30DA">
        <w:rPr>
          <w:rFonts w:ascii="Arial" w:hAnsi="Arial" w:cs="Arial"/>
          <w:color w:val="auto"/>
          <w:sz w:val="24"/>
          <w:szCs w:val="24"/>
        </w:rPr>
        <w:t xml:space="preserve">The engagement process is deliberately tailored. It involves utilising consultative and collaborative approaches for </w:t>
      </w:r>
      <w:r w:rsidRPr="003F30DA">
        <w:rPr>
          <w:rFonts w:ascii="Arial" w:hAnsi="Arial" w:cs="Arial"/>
          <w:b/>
          <w:bCs/>
          <w:color w:val="auto"/>
          <w:sz w:val="24"/>
          <w:szCs w:val="24"/>
        </w:rPr>
        <w:t>High Power/High Interest</w:t>
      </w:r>
      <w:r w:rsidRPr="003F30DA">
        <w:rPr>
          <w:rFonts w:ascii="Arial" w:hAnsi="Arial" w:cs="Arial"/>
          <w:color w:val="auto"/>
          <w:sz w:val="24"/>
          <w:szCs w:val="24"/>
        </w:rPr>
        <w:t xml:space="preserve"> stakeholders (e.g., Senior Management, Regulatory Bodies) and needs-focused communication for </w:t>
      </w:r>
      <w:r w:rsidRPr="003F30DA">
        <w:rPr>
          <w:rFonts w:ascii="Arial" w:hAnsi="Arial" w:cs="Arial"/>
          <w:b/>
          <w:bCs/>
          <w:color w:val="auto"/>
          <w:sz w:val="24"/>
          <w:szCs w:val="24"/>
        </w:rPr>
        <w:t>High Power/Low Interest</w:t>
      </w:r>
      <w:r w:rsidRPr="003F30DA">
        <w:rPr>
          <w:rFonts w:ascii="Arial" w:hAnsi="Arial" w:cs="Arial"/>
          <w:color w:val="auto"/>
          <w:sz w:val="24"/>
          <w:szCs w:val="24"/>
        </w:rPr>
        <w:t xml:space="preserve"> groups (e.g., IT Infrastructure).</w:t>
      </w:r>
    </w:p>
    <w:p w14:paraId="433F160C" w14:textId="6DA5CDE3" w:rsidR="003F30DA" w:rsidRPr="003F30DA" w:rsidRDefault="003F30DA" w:rsidP="003F30DA">
      <w:pPr>
        <w:pStyle w:val="Heading2"/>
        <w:spacing w:line="360" w:lineRule="auto"/>
        <w:rPr>
          <w:rFonts w:ascii="Arial" w:hAnsi="Arial" w:cs="Arial"/>
        </w:rPr>
      </w:pPr>
      <w:r w:rsidRPr="003F30DA">
        <w:rPr>
          <w:rFonts w:ascii="Arial" w:hAnsi="Arial" w:cs="Arial"/>
        </w:rPr>
        <w:drawing>
          <wp:inline distT="0" distB="0" distL="0" distR="0" wp14:anchorId="6100B9E9" wp14:editId="180EEC8D">
            <wp:extent cx="5731510" cy="3216910"/>
            <wp:effectExtent l="0" t="0" r="2540" b="2540"/>
            <wp:docPr id="2011390865" name="Picture 6" descr="Изображение на the Stakeholder Power/Interest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Изображение на the Stakeholder Power/Interest Gr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r w:rsidRPr="003F30DA">
        <w:rPr>
          <w:rFonts w:ascii="Arial" w:hAnsi="Arial" w:cs="Arial"/>
          <w:color w:val="auto"/>
          <w:sz w:val="24"/>
          <w:szCs w:val="24"/>
        </w:rPr>
        <w:t>A key external function is chairing the Clinical Advisory Panel to build trust and demonstrate compliance with the $\text{GDPR}$, thereby mitigating the critical "Trust and Validation" challenge posed by market entry.</w:t>
      </w:r>
    </w:p>
    <w:p w14:paraId="0F77EF48" w14:textId="1811FA75" w:rsidR="00156C4C" w:rsidRDefault="00156C4C" w:rsidP="00156C4C">
      <w:pPr>
        <w:pStyle w:val="Heading2"/>
        <w:spacing w:line="360" w:lineRule="auto"/>
        <w:rPr>
          <w:rFonts w:ascii="Arial" w:hAnsi="Arial" w:cs="Arial"/>
          <w:color w:val="auto"/>
          <w:sz w:val="24"/>
          <w:szCs w:val="24"/>
        </w:rPr>
      </w:pPr>
      <w:r w:rsidRPr="00156C4C">
        <w:rPr>
          <w:rFonts w:ascii="Arial" w:hAnsi="Arial" w:cs="Arial"/>
          <w:color w:val="auto"/>
          <w:sz w:val="24"/>
          <w:szCs w:val="24"/>
        </w:rPr>
        <w:lastRenderedPageBreak/>
        <w:t>.</w:t>
      </w:r>
    </w:p>
    <w:p w14:paraId="2FB880FF" w14:textId="77777777" w:rsidR="001642FE" w:rsidRPr="001642FE" w:rsidRDefault="001642FE" w:rsidP="001642FE"/>
    <w:p w14:paraId="2669ED97" w14:textId="1B61BC0D" w:rsidR="00E03670" w:rsidRPr="003F669C" w:rsidRDefault="00E03670" w:rsidP="00156C4C">
      <w:pPr>
        <w:pStyle w:val="Heading2"/>
        <w:spacing w:line="360" w:lineRule="auto"/>
      </w:pPr>
      <w:r w:rsidRPr="0057421C">
        <w:rPr>
          <w:b/>
          <w:bCs/>
        </w:rPr>
        <w:t>Phase 1</w:t>
      </w:r>
      <w:r w:rsidRPr="003F669C">
        <w:t>: Initiation and Detailed Planning (Months 0–1)</w:t>
      </w:r>
    </w:p>
    <w:tbl>
      <w:tblPr>
        <w:tblStyle w:val="GridTable5Dark-Accent4"/>
        <w:tblW w:w="0" w:type="auto"/>
        <w:tblLook w:val="04A0" w:firstRow="1" w:lastRow="0" w:firstColumn="1" w:lastColumn="0" w:noHBand="0" w:noVBand="1"/>
      </w:tblPr>
      <w:tblGrid>
        <w:gridCol w:w="3005"/>
        <w:gridCol w:w="3005"/>
        <w:gridCol w:w="3006"/>
      </w:tblGrid>
      <w:tr w:rsidR="007A2AB6" w14:paraId="7DE41002" w14:textId="77777777" w:rsidTr="008647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5499730" w14:textId="0C81065C" w:rsidR="007A2AB6" w:rsidRDefault="007A2AB6" w:rsidP="003B62D3">
            <w:pPr>
              <w:pStyle w:val="ListParagraph"/>
              <w:spacing w:line="360" w:lineRule="auto"/>
              <w:ind w:left="0"/>
              <w:rPr>
                <w:rFonts w:ascii="Arial" w:hAnsi="Arial" w:cs="Arial"/>
              </w:rPr>
            </w:pPr>
            <w:r w:rsidRPr="00E03670">
              <w:rPr>
                <w:rFonts w:ascii="Arial" w:hAnsi="Arial" w:cs="Arial"/>
                <w:b w:val="0"/>
                <w:bCs w:val="0"/>
              </w:rPr>
              <w:t>Activity</w:t>
            </w:r>
          </w:p>
        </w:tc>
        <w:tc>
          <w:tcPr>
            <w:tcW w:w="3005" w:type="dxa"/>
          </w:tcPr>
          <w:p w14:paraId="033A000E" w14:textId="4CDDB3F7" w:rsidR="007A2AB6" w:rsidRDefault="007A2AB6"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6" w:type="dxa"/>
          </w:tcPr>
          <w:p w14:paraId="6320D6FA" w14:textId="704DDB93" w:rsidR="007A2AB6" w:rsidRDefault="007A2AB6"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7A2AB6" w14:paraId="05240275" w14:textId="77777777" w:rsidTr="008647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470FBE" w14:textId="75ED963A" w:rsidR="007A2AB6" w:rsidRDefault="007A2AB6" w:rsidP="003B62D3">
            <w:pPr>
              <w:pStyle w:val="ListParagraph"/>
              <w:spacing w:line="360" w:lineRule="auto"/>
              <w:ind w:left="0"/>
              <w:rPr>
                <w:rFonts w:ascii="Arial" w:hAnsi="Arial" w:cs="Arial"/>
              </w:rPr>
            </w:pPr>
            <w:r w:rsidRPr="00E03670">
              <w:rPr>
                <w:rFonts w:ascii="Arial" w:hAnsi="Arial" w:cs="Arial"/>
                <w:b w:val="0"/>
                <w:bCs w:val="0"/>
              </w:rPr>
              <w:t>Project Definition</w:t>
            </w:r>
          </w:p>
        </w:tc>
        <w:tc>
          <w:tcPr>
            <w:tcW w:w="3005" w:type="dxa"/>
          </w:tcPr>
          <w:p w14:paraId="0E33BEF9" w14:textId="36A92AC7"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Sponsor, Product Development Team (PDT), Regulatory</w:t>
            </w:r>
          </w:p>
        </w:tc>
        <w:tc>
          <w:tcPr>
            <w:tcW w:w="3006" w:type="dxa"/>
          </w:tcPr>
          <w:p w14:paraId="72320CDA" w14:textId="12DAE9F0"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Formal Project Charter, RACI Matrix (defining internal roles).</w:t>
            </w:r>
          </w:p>
        </w:tc>
      </w:tr>
      <w:tr w:rsidR="007A2AB6" w14:paraId="4F4D2CD2" w14:textId="77777777" w:rsidTr="00864799">
        <w:tc>
          <w:tcPr>
            <w:cnfStyle w:val="001000000000" w:firstRow="0" w:lastRow="0" w:firstColumn="1" w:lastColumn="0" w:oddVBand="0" w:evenVBand="0" w:oddHBand="0" w:evenHBand="0" w:firstRowFirstColumn="0" w:firstRowLastColumn="0" w:lastRowFirstColumn="0" w:lastRowLastColumn="0"/>
            <w:tcW w:w="3005" w:type="dxa"/>
          </w:tcPr>
          <w:p w14:paraId="517EEE56" w14:textId="1A6BD107" w:rsidR="007A2AB6" w:rsidRDefault="007A2AB6" w:rsidP="003B62D3">
            <w:pPr>
              <w:pStyle w:val="ListParagraph"/>
              <w:spacing w:line="360" w:lineRule="auto"/>
              <w:ind w:left="0"/>
              <w:rPr>
                <w:rFonts w:ascii="Arial" w:hAnsi="Arial" w:cs="Arial"/>
              </w:rPr>
            </w:pPr>
            <w:r w:rsidRPr="00E03670">
              <w:rPr>
                <w:rFonts w:ascii="Arial" w:hAnsi="Arial" w:cs="Arial"/>
                <w:b w:val="0"/>
                <w:bCs w:val="0"/>
              </w:rPr>
              <w:t>Stakeholder Mapping</w:t>
            </w:r>
          </w:p>
        </w:tc>
        <w:tc>
          <w:tcPr>
            <w:tcW w:w="3005" w:type="dxa"/>
          </w:tcPr>
          <w:p w14:paraId="0D8A3D0D" w14:textId="353EBD47"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PM, Sponsor, HR</w:t>
            </w:r>
          </w:p>
        </w:tc>
        <w:tc>
          <w:tcPr>
            <w:tcW w:w="3006" w:type="dxa"/>
          </w:tcPr>
          <w:p w14:paraId="0B54CD1B" w14:textId="42F02E6D"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Detailed Stakeholder Register, Power/Interest Grid.</w:t>
            </w:r>
          </w:p>
        </w:tc>
      </w:tr>
      <w:tr w:rsidR="007A2AB6" w14:paraId="7F83E9D6" w14:textId="77777777" w:rsidTr="008647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BD4DFA" w14:textId="1331D914" w:rsidR="007A2AB6" w:rsidRDefault="007A2AB6" w:rsidP="003B62D3">
            <w:pPr>
              <w:pStyle w:val="ListParagraph"/>
              <w:spacing w:line="360" w:lineRule="auto"/>
              <w:ind w:left="0"/>
              <w:rPr>
                <w:rFonts w:ascii="Arial" w:hAnsi="Arial" w:cs="Arial"/>
              </w:rPr>
            </w:pPr>
            <w:r w:rsidRPr="00E03670">
              <w:rPr>
                <w:rFonts w:ascii="Arial" w:hAnsi="Arial" w:cs="Arial"/>
                <w:b w:val="0"/>
                <w:bCs w:val="0"/>
              </w:rPr>
              <w:t>Initial Engagement</w:t>
            </w:r>
          </w:p>
        </w:tc>
        <w:tc>
          <w:tcPr>
            <w:tcW w:w="3005" w:type="dxa"/>
          </w:tcPr>
          <w:p w14:paraId="1F6559EC" w14:textId="7A6180B2"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Sponsor, Regulatory, NHS/Clinical Partners</w:t>
            </w:r>
          </w:p>
        </w:tc>
        <w:tc>
          <w:tcPr>
            <w:tcW w:w="3006" w:type="dxa"/>
          </w:tcPr>
          <w:p w14:paraId="0E376E02" w14:textId="099321DB" w:rsidR="007A2AB6" w:rsidRDefault="007A2AB6"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Initial "Voice of the Clinician" structured meeting (kick-off), Communication Plan framework.</w:t>
            </w:r>
          </w:p>
        </w:tc>
      </w:tr>
      <w:tr w:rsidR="007A2AB6" w14:paraId="3C3AEC28" w14:textId="77777777" w:rsidTr="00864799">
        <w:tc>
          <w:tcPr>
            <w:cnfStyle w:val="001000000000" w:firstRow="0" w:lastRow="0" w:firstColumn="1" w:lastColumn="0" w:oddVBand="0" w:evenVBand="0" w:oddHBand="0" w:evenHBand="0" w:firstRowFirstColumn="0" w:firstRowLastColumn="0" w:lastRowFirstColumn="0" w:lastRowLastColumn="0"/>
            <w:tcW w:w="3005" w:type="dxa"/>
          </w:tcPr>
          <w:p w14:paraId="02AEAFE8" w14:textId="6C868554" w:rsidR="007A2AB6" w:rsidRDefault="007A2AB6" w:rsidP="003B62D3">
            <w:pPr>
              <w:pStyle w:val="ListParagraph"/>
              <w:spacing w:line="360" w:lineRule="auto"/>
              <w:ind w:left="0"/>
              <w:rPr>
                <w:rFonts w:ascii="Arial" w:hAnsi="Arial" w:cs="Arial"/>
              </w:rPr>
            </w:pPr>
            <w:r w:rsidRPr="00E03670">
              <w:rPr>
                <w:rFonts w:ascii="Arial" w:hAnsi="Arial" w:cs="Arial"/>
                <w:b w:val="0"/>
                <w:bCs w:val="0"/>
              </w:rPr>
              <w:t>Risk Assessment</w:t>
            </w:r>
          </w:p>
        </w:tc>
        <w:tc>
          <w:tcPr>
            <w:tcW w:w="3005" w:type="dxa"/>
          </w:tcPr>
          <w:p w14:paraId="029EFFD2" w14:textId="7FB5DF3F"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PDT, Regulatory, Legal</w:t>
            </w:r>
          </w:p>
        </w:tc>
        <w:tc>
          <w:tcPr>
            <w:tcW w:w="3006" w:type="dxa"/>
          </w:tcPr>
          <w:p w14:paraId="28C8D909" w14:textId="7F427E47" w:rsidR="007A2AB6" w:rsidRDefault="007A2AB6"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Comprehensive Risk Register (</w:t>
            </w:r>
            <w:r>
              <w:rPr>
                <w:rFonts w:ascii="Arial" w:hAnsi="Arial" w:cs="Arial"/>
              </w:rPr>
              <w:t>prioritising</w:t>
            </w:r>
            <w:r w:rsidRPr="00E03670">
              <w:rPr>
                <w:rFonts w:ascii="Arial" w:hAnsi="Arial" w:cs="Arial"/>
              </w:rPr>
              <w:t xml:space="preserve"> supply chain and UKCA compliance risks).</w:t>
            </w:r>
          </w:p>
        </w:tc>
      </w:tr>
    </w:tbl>
    <w:p w14:paraId="59F5BA33" w14:textId="77777777" w:rsidR="003F669C" w:rsidRPr="009F70D5" w:rsidRDefault="003F669C" w:rsidP="009F70D5">
      <w:pPr>
        <w:spacing w:line="360" w:lineRule="auto"/>
        <w:rPr>
          <w:rFonts w:ascii="Arial" w:hAnsi="Arial" w:cs="Arial"/>
        </w:rPr>
      </w:pPr>
    </w:p>
    <w:p w14:paraId="48CC8E60" w14:textId="77777777" w:rsidR="00E03670" w:rsidRPr="00E03670" w:rsidRDefault="00E03670" w:rsidP="003B62D3">
      <w:pPr>
        <w:spacing w:line="360" w:lineRule="auto"/>
        <w:rPr>
          <w:rFonts w:ascii="Arial" w:hAnsi="Arial" w:cs="Arial"/>
        </w:rPr>
      </w:pPr>
      <w:r w:rsidRPr="00E03670">
        <w:rPr>
          <w:rFonts w:ascii="Arial" w:hAnsi="Arial" w:cs="Arial"/>
        </w:rPr>
        <w:t>This phase establishes project governance and detailed execution blueprints.</w:t>
      </w:r>
    </w:p>
    <w:p w14:paraId="0866475D" w14:textId="2CB6C319" w:rsidR="00E03670" w:rsidRPr="00E03670" w:rsidRDefault="00E03670" w:rsidP="003B62D3">
      <w:pPr>
        <w:spacing w:line="360" w:lineRule="auto"/>
        <w:rPr>
          <w:rFonts w:ascii="Arial" w:hAnsi="Arial" w:cs="Arial"/>
        </w:rPr>
      </w:pPr>
      <w:r w:rsidRPr="00E03670">
        <w:rPr>
          <w:rFonts w:ascii="Arial" w:hAnsi="Arial" w:cs="Arial"/>
        </w:rPr>
        <w:t xml:space="preserve">Key Focus: The PM’s primary role </w:t>
      </w:r>
      <w:r w:rsidR="00537C23">
        <w:rPr>
          <w:rFonts w:ascii="Arial" w:hAnsi="Arial" w:cs="Arial"/>
        </w:rPr>
        <w:t xml:space="preserve">is to implement the Mandated Cross-Functional Rotations, starting with the key leads, and to ensure early coordination and a </w:t>
      </w:r>
      <w:r w:rsidRPr="00E03670">
        <w:rPr>
          <w:rFonts w:ascii="Arial" w:hAnsi="Arial" w:cs="Arial"/>
        </w:rPr>
        <w:t>shared understanding of scope and constraints.</w:t>
      </w:r>
    </w:p>
    <w:p w14:paraId="56CC65CB" w14:textId="3B672334" w:rsidR="00E03670" w:rsidRPr="00E03670" w:rsidRDefault="00E03670" w:rsidP="003B62D3">
      <w:pPr>
        <w:pStyle w:val="Heading2"/>
        <w:spacing w:line="360" w:lineRule="auto"/>
      </w:pPr>
      <w:r w:rsidRPr="0057421C">
        <w:rPr>
          <w:b/>
          <w:bCs/>
        </w:rPr>
        <w:t>Phase 2:</w:t>
      </w:r>
      <w:r w:rsidRPr="00E03670">
        <w:t xml:space="preserve"> Execution and Development (Months 2–4)</w:t>
      </w:r>
    </w:p>
    <w:p w14:paraId="790F4B46" w14:textId="7469A61E" w:rsidR="00371596" w:rsidRDefault="00E03670" w:rsidP="003B62D3">
      <w:pPr>
        <w:spacing w:line="360" w:lineRule="auto"/>
        <w:rPr>
          <w:rFonts w:ascii="Arial" w:hAnsi="Arial" w:cs="Arial"/>
        </w:rPr>
      </w:pPr>
      <w:r w:rsidRPr="00E03670">
        <w:rPr>
          <w:rFonts w:ascii="Arial" w:hAnsi="Arial" w:cs="Arial"/>
        </w:rPr>
        <w:t>This phase focuses on product and application build-out while maintaining continuous communication loops.</w:t>
      </w:r>
    </w:p>
    <w:tbl>
      <w:tblPr>
        <w:tblStyle w:val="GridTable4-Accent3"/>
        <w:tblW w:w="0" w:type="auto"/>
        <w:tblLook w:val="04A0" w:firstRow="1" w:lastRow="0" w:firstColumn="1" w:lastColumn="0" w:noHBand="0" w:noVBand="1"/>
      </w:tblPr>
      <w:tblGrid>
        <w:gridCol w:w="3005"/>
        <w:gridCol w:w="3005"/>
        <w:gridCol w:w="3006"/>
      </w:tblGrid>
      <w:tr w:rsidR="00371596" w14:paraId="2602875F" w14:textId="77777777" w:rsidTr="005C7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28E773A" w14:textId="5EF3EC1E" w:rsidR="00371596" w:rsidRDefault="00371596" w:rsidP="003B62D3">
            <w:pPr>
              <w:spacing w:line="360" w:lineRule="auto"/>
              <w:rPr>
                <w:rFonts w:ascii="Arial" w:hAnsi="Arial" w:cs="Arial"/>
              </w:rPr>
            </w:pPr>
            <w:r w:rsidRPr="00E03670">
              <w:rPr>
                <w:rFonts w:ascii="Arial" w:hAnsi="Arial" w:cs="Arial"/>
                <w:b w:val="0"/>
                <w:bCs w:val="0"/>
              </w:rPr>
              <w:t>Activity</w:t>
            </w:r>
          </w:p>
        </w:tc>
        <w:tc>
          <w:tcPr>
            <w:tcW w:w="3005" w:type="dxa"/>
            <w:vAlign w:val="center"/>
          </w:tcPr>
          <w:p w14:paraId="6E80BE0A" w14:textId="4EB62BF7" w:rsidR="00371596" w:rsidRDefault="00371596"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6" w:type="dxa"/>
            <w:vAlign w:val="center"/>
          </w:tcPr>
          <w:p w14:paraId="5C077AE5" w14:textId="3DC1803E" w:rsidR="00371596" w:rsidRDefault="00371596"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371596" w14:paraId="205EB327" w14:textId="77777777" w:rsidTr="005C7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A101BBB" w14:textId="43619860" w:rsidR="00371596" w:rsidRDefault="00371596" w:rsidP="003B62D3">
            <w:pPr>
              <w:spacing w:line="360" w:lineRule="auto"/>
              <w:rPr>
                <w:rFonts w:ascii="Arial" w:hAnsi="Arial" w:cs="Arial"/>
              </w:rPr>
            </w:pPr>
            <w:r w:rsidRPr="00E03670">
              <w:rPr>
                <w:rFonts w:ascii="Arial" w:hAnsi="Arial" w:cs="Arial"/>
                <w:b w:val="0"/>
                <w:bCs w:val="0"/>
              </w:rPr>
              <w:lastRenderedPageBreak/>
              <w:t>Product &amp; App Development</w:t>
            </w:r>
          </w:p>
        </w:tc>
        <w:tc>
          <w:tcPr>
            <w:tcW w:w="3005" w:type="dxa"/>
            <w:vAlign w:val="center"/>
          </w:tcPr>
          <w:p w14:paraId="6704B511" w14:textId="121F6A27"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PDT, IT/Server Team</w:t>
            </w:r>
          </w:p>
        </w:tc>
        <w:tc>
          <w:tcPr>
            <w:tcW w:w="3006" w:type="dxa"/>
            <w:vAlign w:val="center"/>
          </w:tcPr>
          <w:p w14:paraId="3AA328BD" w14:textId="5A381463"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Alpha and Beta product iterations, completion of 70% of feature development.</w:t>
            </w:r>
          </w:p>
        </w:tc>
      </w:tr>
      <w:tr w:rsidR="00371596" w14:paraId="00F8E66E" w14:textId="77777777" w:rsidTr="005C76CD">
        <w:tc>
          <w:tcPr>
            <w:cnfStyle w:val="001000000000" w:firstRow="0" w:lastRow="0" w:firstColumn="1" w:lastColumn="0" w:oddVBand="0" w:evenVBand="0" w:oddHBand="0" w:evenHBand="0" w:firstRowFirstColumn="0" w:firstRowLastColumn="0" w:lastRowFirstColumn="0" w:lastRowLastColumn="0"/>
            <w:tcW w:w="3005" w:type="dxa"/>
            <w:vAlign w:val="center"/>
          </w:tcPr>
          <w:p w14:paraId="6C0BA67F" w14:textId="3472F8FA" w:rsidR="00371596" w:rsidRDefault="00371596" w:rsidP="003B62D3">
            <w:pPr>
              <w:spacing w:line="360" w:lineRule="auto"/>
              <w:rPr>
                <w:rFonts w:ascii="Arial" w:hAnsi="Arial" w:cs="Arial"/>
              </w:rPr>
            </w:pPr>
            <w:r w:rsidRPr="00E03670">
              <w:rPr>
                <w:rFonts w:ascii="Arial" w:hAnsi="Arial" w:cs="Arial"/>
                <w:b w:val="0"/>
                <w:bCs w:val="0"/>
              </w:rPr>
              <w:t>Regulatory Submission Prep</w:t>
            </w:r>
          </w:p>
        </w:tc>
        <w:tc>
          <w:tcPr>
            <w:tcW w:w="3005" w:type="dxa"/>
            <w:vAlign w:val="center"/>
          </w:tcPr>
          <w:p w14:paraId="15FF5358" w14:textId="39C64E96"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Regulatory, Legal, PDT</w:t>
            </w:r>
          </w:p>
        </w:tc>
        <w:tc>
          <w:tcPr>
            <w:tcW w:w="3006" w:type="dxa"/>
            <w:vAlign w:val="center"/>
          </w:tcPr>
          <w:p w14:paraId="7F2D1E86" w14:textId="07C19A13"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Compilation and submission of technical files required for UKCA approval.</w:t>
            </w:r>
          </w:p>
        </w:tc>
      </w:tr>
      <w:tr w:rsidR="00371596" w14:paraId="0C94D018" w14:textId="77777777" w:rsidTr="003D79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67ACC53A" w14:textId="7BA66390" w:rsidR="00371596" w:rsidRDefault="00371596" w:rsidP="003B62D3">
            <w:pPr>
              <w:spacing w:line="360" w:lineRule="auto"/>
              <w:rPr>
                <w:rFonts w:ascii="Arial" w:hAnsi="Arial" w:cs="Arial"/>
              </w:rPr>
            </w:pPr>
            <w:r w:rsidRPr="00E03670">
              <w:rPr>
                <w:rFonts w:ascii="Arial" w:hAnsi="Arial" w:cs="Arial"/>
                <w:b w:val="0"/>
                <w:bCs w:val="0"/>
              </w:rPr>
              <w:t xml:space="preserve">Marketing Strategy </w:t>
            </w:r>
            <w:r>
              <w:rPr>
                <w:rFonts w:ascii="Arial" w:hAnsi="Arial" w:cs="Arial"/>
              </w:rPr>
              <w:t>Finalisation</w:t>
            </w:r>
          </w:p>
        </w:tc>
        <w:tc>
          <w:tcPr>
            <w:tcW w:w="3005" w:type="dxa"/>
            <w:vAlign w:val="center"/>
          </w:tcPr>
          <w:p w14:paraId="6A1735E9" w14:textId="39469734"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Marketing, Sales</w:t>
            </w:r>
          </w:p>
        </w:tc>
        <w:tc>
          <w:tcPr>
            <w:tcW w:w="3006" w:type="dxa"/>
            <w:vAlign w:val="center"/>
          </w:tcPr>
          <w:p w14:paraId="177C09E8" w14:textId="64238486" w:rsidR="00371596" w:rsidRDefault="00371596"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Finalised</w:t>
            </w:r>
            <w:r w:rsidRPr="00E03670">
              <w:rPr>
                <w:rFonts w:ascii="Arial" w:hAnsi="Arial" w:cs="Arial"/>
              </w:rPr>
              <w:t xml:space="preserve"> messaging, media buying plan, and sales channel strategy.</w:t>
            </w:r>
          </w:p>
        </w:tc>
      </w:tr>
      <w:tr w:rsidR="00371596" w14:paraId="150D8449" w14:textId="77777777" w:rsidTr="003D7965">
        <w:tc>
          <w:tcPr>
            <w:cnfStyle w:val="001000000000" w:firstRow="0" w:lastRow="0" w:firstColumn="1" w:lastColumn="0" w:oddVBand="0" w:evenVBand="0" w:oddHBand="0" w:evenHBand="0" w:firstRowFirstColumn="0" w:firstRowLastColumn="0" w:lastRowFirstColumn="0" w:lastRowLastColumn="0"/>
            <w:tcW w:w="3005" w:type="dxa"/>
            <w:vAlign w:val="center"/>
          </w:tcPr>
          <w:p w14:paraId="43FFCEC8" w14:textId="419FF254" w:rsidR="00371596" w:rsidRDefault="00371596" w:rsidP="003B62D3">
            <w:pPr>
              <w:spacing w:line="360" w:lineRule="auto"/>
              <w:rPr>
                <w:rFonts w:ascii="Arial" w:hAnsi="Arial" w:cs="Arial"/>
              </w:rPr>
            </w:pPr>
            <w:r w:rsidRPr="00E03670">
              <w:rPr>
                <w:rFonts w:ascii="Arial" w:hAnsi="Arial" w:cs="Arial"/>
                <w:b w:val="0"/>
                <w:bCs w:val="0"/>
              </w:rPr>
              <w:t>Continuous User Feedback</w:t>
            </w:r>
          </w:p>
        </w:tc>
        <w:tc>
          <w:tcPr>
            <w:tcW w:w="3005" w:type="dxa"/>
            <w:vAlign w:val="center"/>
          </w:tcPr>
          <w:p w14:paraId="47ACB2FC" w14:textId="30205EB4"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Marketing, Consumers/Users</w:t>
            </w:r>
          </w:p>
        </w:tc>
        <w:tc>
          <w:tcPr>
            <w:tcW w:w="3006" w:type="dxa"/>
            <w:vAlign w:val="center"/>
          </w:tcPr>
          <w:p w14:paraId="475B4FB4" w14:textId="64DDDF3A" w:rsidR="00371596" w:rsidRDefault="00371596"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Integration of Social Media Listening (SML) into daily monitoring for real-time sentiment analysis and trend identification.</w:t>
            </w:r>
          </w:p>
        </w:tc>
      </w:tr>
    </w:tbl>
    <w:p w14:paraId="77A8AF64" w14:textId="565F6B93" w:rsidR="00B35BD5" w:rsidRPr="00E03670" w:rsidRDefault="00E03670" w:rsidP="003B62D3">
      <w:pPr>
        <w:spacing w:line="360" w:lineRule="auto"/>
        <w:rPr>
          <w:rFonts w:ascii="Arial" w:hAnsi="Arial" w:cs="Arial"/>
        </w:rPr>
      </w:pPr>
      <w:r w:rsidRPr="00E03670">
        <w:rPr>
          <w:rFonts w:ascii="Arial" w:hAnsi="Arial" w:cs="Arial"/>
        </w:rPr>
        <w:t xml:space="preserve">Key Focus: The PM enforces a relentless focus on the Achievable SMART objective (99.9% uptime standard) by closely coordinating the PDT and IT teams. Regular check-ins use the Stakeholder Value Scorecard (SVS) to measure </w:t>
      </w:r>
      <w:r w:rsidR="0057421C">
        <w:rPr>
          <w:rFonts w:ascii="Arial" w:hAnsi="Arial" w:cs="Arial"/>
        </w:rPr>
        <w:t>the active contributions of</w:t>
      </w:r>
      <w:r w:rsidRPr="00E03670">
        <w:rPr>
          <w:rFonts w:ascii="Arial" w:hAnsi="Arial" w:cs="Arial"/>
        </w:rPr>
        <w:t xml:space="preserve"> key internal and external partners.</w:t>
      </w:r>
    </w:p>
    <w:p w14:paraId="63E3923B" w14:textId="77DA2F48" w:rsidR="00E03670" w:rsidRPr="00996EB1" w:rsidRDefault="00E03670" w:rsidP="003B62D3">
      <w:pPr>
        <w:pStyle w:val="Heading2"/>
        <w:spacing w:line="360" w:lineRule="auto"/>
      </w:pPr>
      <w:r w:rsidRPr="0057421C">
        <w:rPr>
          <w:b/>
          <w:bCs/>
        </w:rPr>
        <w:t>Phase 3:</w:t>
      </w:r>
      <w:r w:rsidRPr="00996EB1">
        <w:t xml:space="preserve"> Pre-Launch and Final Validation (Month 5)</w:t>
      </w:r>
    </w:p>
    <w:tbl>
      <w:tblPr>
        <w:tblStyle w:val="GridTable4-Accent4"/>
        <w:tblW w:w="9015" w:type="dxa"/>
        <w:tblLook w:val="04A0" w:firstRow="1" w:lastRow="0" w:firstColumn="1" w:lastColumn="0" w:noHBand="0" w:noVBand="1"/>
      </w:tblPr>
      <w:tblGrid>
        <w:gridCol w:w="3005"/>
        <w:gridCol w:w="3005"/>
        <w:gridCol w:w="3005"/>
      </w:tblGrid>
      <w:tr w:rsidR="00F4332E" w14:paraId="19CA6FC2" w14:textId="77777777" w:rsidTr="00F433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0D869F68" w14:textId="03443175" w:rsidR="00F4332E" w:rsidRDefault="00F4332E" w:rsidP="003B62D3">
            <w:pPr>
              <w:pStyle w:val="ListParagraph"/>
              <w:spacing w:line="360" w:lineRule="auto"/>
              <w:ind w:left="0"/>
              <w:rPr>
                <w:rFonts w:ascii="Arial" w:hAnsi="Arial" w:cs="Arial"/>
              </w:rPr>
            </w:pPr>
            <w:r w:rsidRPr="00E03670">
              <w:rPr>
                <w:rFonts w:ascii="Arial" w:hAnsi="Arial" w:cs="Arial"/>
                <w:b w:val="0"/>
                <w:bCs w:val="0"/>
              </w:rPr>
              <w:t>Activity</w:t>
            </w:r>
          </w:p>
        </w:tc>
        <w:tc>
          <w:tcPr>
            <w:tcW w:w="3005" w:type="dxa"/>
            <w:vAlign w:val="center"/>
          </w:tcPr>
          <w:p w14:paraId="009E0AD6" w14:textId="6A2A0D06" w:rsidR="00F4332E" w:rsidRDefault="00F4332E"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5" w:type="dxa"/>
            <w:vAlign w:val="center"/>
          </w:tcPr>
          <w:p w14:paraId="4A12741B" w14:textId="6A428FDF" w:rsidR="00F4332E" w:rsidRDefault="00F4332E" w:rsidP="003B62D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F4332E" w14:paraId="1BE9EA36" w14:textId="77777777" w:rsidTr="00F433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20081828" w14:textId="1696560D" w:rsidR="00F4332E" w:rsidRDefault="00F4332E" w:rsidP="003B62D3">
            <w:pPr>
              <w:pStyle w:val="ListParagraph"/>
              <w:spacing w:line="360" w:lineRule="auto"/>
              <w:ind w:left="0"/>
              <w:rPr>
                <w:rFonts w:ascii="Arial" w:hAnsi="Arial" w:cs="Arial"/>
              </w:rPr>
            </w:pPr>
            <w:r w:rsidRPr="00E03670">
              <w:rPr>
                <w:rFonts w:ascii="Arial" w:hAnsi="Arial" w:cs="Arial"/>
                <w:b w:val="0"/>
                <w:bCs w:val="0"/>
              </w:rPr>
              <w:t>Final QA and Stress Testing</w:t>
            </w:r>
          </w:p>
        </w:tc>
        <w:tc>
          <w:tcPr>
            <w:tcW w:w="3005" w:type="dxa"/>
            <w:vAlign w:val="center"/>
          </w:tcPr>
          <w:p w14:paraId="719386C7" w14:textId="206FE3C0"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PDT, IT/Server Team</w:t>
            </w:r>
          </w:p>
        </w:tc>
        <w:tc>
          <w:tcPr>
            <w:tcW w:w="3005" w:type="dxa"/>
            <w:vAlign w:val="center"/>
          </w:tcPr>
          <w:p w14:paraId="43A66EBD" w14:textId="7F810AF9"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Successful completion of all stability testing (meeting 99.9% uptime objective).</w:t>
            </w:r>
          </w:p>
        </w:tc>
      </w:tr>
      <w:tr w:rsidR="00F4332E" w14:paraId="2F42D2F6" w14:textId="77777777" w:rsidTr="00F4332E">
        <w:tc>
          <w:tcPr>
            <w:cnfStyle w:val="001000000000" w:firstRow="0" w:lastRow="0" w:firstColumn="1" w:lastColumn="0" w:oddVBand="0" w:evenVBand="0" w:oddHBand="0" w:evenHBand="0" w:firstRowFirstColumn="0" w:firstRowLastColumn="0" w:lastRowFirstColumn="0" w:lastRowLastColumn="0"/>
            <w:tcW w:w="3005" w:type="dxa"/>
            <w:vAlign w:val="center"/>
          </w:tcPr>
          <w:p w14:paraId="74078D55" w14:textId="148EE493" w:rsidR="00F4332E" w:rsidRDefault="00F4332E" w:rsidP="003B62D3">
            <w:pPr>
              <w:pStyle w:val="ListParagraph"/>
              <w:spacing w:line="360" w:lineRule="auto"/>
              <w:ind w:left="0"/>
              <w:rPr>
                <w:rFonts w:ascii="Arial" w:hAnsi="Arial" w:cs="Arial"/>
              </w:rPr>
            </w:pPr>
            <w:r w:rsidRPr="00E03670">
              <w:rPr>
                <w:rFonts w:ascii="Arial" w:hAnsi="Arial" w:cs="Arial"/>
                <w:b w:val="0"/>
                <w:bCs w:val="0"/>
              </w:rPr>
              <w:t>Regulatory Sign-off</w:t>
            </w:r>
          </w:p>
        </w:tc>
        <w:tc>
          <w:tcPr>
            <w:tcW w:w="3005" w:type="dxa"/>
            <w:vAlign w:val="center"/>
          </w:tcPr>
          <w:p w14:paraId="60C5EC7D" w14:textId="48E3A774"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Regulatory, Legal</w:t>
            </w:r>
          </w:p>
        </w:tc>
        <w:tc>
          <w:tcPr>
            <w:tcW w:w="3005" w:type="dxa"/>
            <w:vAlign w:val="center"/>
          </w:tcPr>
          <w:p w14:paraId="240E65EE" w14:textId="609BF4FD"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 xml:space="preserve">Achievement of the Specific SMART objective: UKCA regulatory approval for </w:t>
            </w:r>
            <w:r w:rsidRPr="00E03670">
              <w:rPr>
                <w:rFonts w:ascii="Arial" w:hAnsi="Arial" w:cs="Arial"/>
              </w:rPr>
              <w:lastRenderedPageBreak/>
              <w:t>heart rate and SpO2 features.</w:t>
            </w:r>
          </w:p>
        </w:tc>
      </w:tr>
      <w:tr w:rsidR="00F4332E" w14:paraId="4E89F0EF" w14:textId="77777777" w:rsidTr="00F433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401D95CA" w14:textId="5A1284AC" w:rsidR="00F4332E" w:rsidRDefault="00F4332E" w:rsidP="003B62D3">
            <w:pPr>
              <w:pStyle w:val="ListParagraph"/>
              <w:spacing w:line="360" w:lineRule="auto"/>
              <w:ind w:left="0"/>
              <w:rPr>
                <w:rFonts w:ascii="Arial" w:hAnsi="Arial" w:cs="Arial"/>
              </w:rPr>
            </w:pPr>
            <w:r w:rsidRPr="00E03670">
              <w:rPr>
                <w:rFonts w:ascii="Arial" w:hAnsi="Arial" w:cs="Arial"/>
                <w:b w:val="0"/>
                <w:bCs w:val="0"/>
              </w:rPr>
              <w:lastRenderedPageBreak/>
              <w:t>Logistics and Inventory</w:t>
            </w:r>
          </w:p>
        </w:tc>
        <w:tc>
          <w:tcPr>
            <w:tcW w:w="3005" w:type="dxa"/>
            <w:vAlign w:val="center"/>
          </w:tcPr>
          <w:p w14:paraId="4A084F6F" w14:textId="13789081"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Sales, Operations/Supply Chain</w:t>
            </w:r>
          </w:p>
        </w:tc>
        <w:tc>
          <w:tcPr>
            <w:tcW w:w="3005" w:type="dxa"/>
            <w:vAlign w:val="center"/>
          </w:tcPr>
          <w:p w14:paraId="3BDC2220" w14:textId="134C6C6C" w:rsidR="00F4332E" w:rsidRDefault="00F4332E" w:rsidP="003B62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Final inventory stock confirmed, distribution channels ready.</w:t>
            </w:r>
          </w:p>
        </w:tc>
      </w:tr>
      <w:tr w:rsidR="00F4332E" w14:paraId="0DBF56A8" w14:textId="77777777" w:rsidTr="00F4332E">
        <w:tc>
          <w:tcPr>
            <w:cnfStyle w:val="001000000000" w:firstRow="0" w:lastRow="0" w:firstColumn="1" w:lastColumn="0" w:oddVBand="0" w:evenVBand="0" w:oddHBand="0" w:evenHBand="0" w:firstRowFirstColumn="0" w:firstRowLastColumn="0" w:lastRowFirstColumn="0" w:lastRowLastColumn="0"/>
            <w:tcW w:w="3005" w:type="dxa"/>
            <w:vAlign w:val="center"/>
          </w:tcPr>
          <w:p w14:paraId="7EFE53EE" w14:textId="75E8309D" w:rsidR="00F4332E" w:rsidRDefault="00F4332E" w:rsidP="003B62D3">
            <w:pPr>
              <w:pStyle w:val="ListParagraph"/>
              <w:spacing w:line="360" w:lineRule="auto"/>
              <w:ind w:left="0"/>
              <w:rPr>
                <w:rFonts w:ascii="Arial" w:hAnsi="Arial" w:cs="Arial"/>
              </w:rPr>
            </w:pPr>
            <w:r w:rsidRPr="00E03670">
              <w:rPr>
                <w:rFonts w:ascii="Arial" w:hAnsi="Arial" w:cs="Arial"/>
                <w:b w:val="0"/>
                <w:bCs w:val="0"/>
              </w:rPr>
              <w:t>Clinical Acceptance</w:t>
            </w:r>
          </w:p>
        </w:tc>
        <w:tc>
          <w:tcPr>
            <w:tcW w:w="3005" w:type="dxa"/>
            <w:vAlign w:val="center"/>
          </w:tcPr>
          <w:p w14:paraId="7DE6BCE8" w14:textId="679DFEE1"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NHS/Clinical Partners</w:t>
            </w:r>
          </w:p>
        </w:tc>
        <w:tc>
          <w:tcPr>
            <w:tcW w:w="3005" w:type="dxa"/>
            <w:vAlign w:val="center"/>
          </w:tcPr>
          <w:p w14:paraId="17E9FC68" w14:textId="3347E3B7" w:rsidR="00F4332E" w:rsidRDefault="00F4332E" w:rsidP="003B62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Formal sign-off on medical utility through the Voice of the Clinician channel.</w:t>
            </w:r>
          </w:p>
        </w:tc>
      </w:tr>
    </w:tbl>
    <w:p w14:paraId="6FAA6B10" w14:textId="77777777" w:rsidR="00996EB1" w:rsidRPr="00996EB1" w:rsidRDefault="00996EB1" w:rsidP="003B62D3">
      <w:pPr>
        <w:pStyle w:val="ListParagraph"/>
        <w:spacing w:line="360" w:lineRule="auto"/>
        <w:rPr>
          <w:rFonts w:ascii="Arial" w:hAnsi="Arial" w:cs="Arial"/>
        </w:rPr>
      </w:pPr>
    </w:p>
    <w:p w14:paraId="2C6DCA7C" w14:textId="7F5EDCC8" w:rsidR="00E03670" w:rsidRPr="00E03670" w:rsidRDefault="00E03670" w:rsidP="003B62D3">
      <w:pPr>
        <w:spacing w:line="360" w:lineRule="auto"/>
        <w:rPr>
          <w:rFonts w:ascii="Arial" w:hAnsi="Arial" w:cs="Arial"/>
        </w:rPr>
      </w:pPr>
      <w:r w:rsidRPr="00E03670">
        <w:rPr>
          <w:rFonts w:ascii="Arial" w:hAnsi="Arial" w:cs="Arial"/>
        </w:rPr>
        <w:t xml:space="preserve">This critical phase ensures all compliance and performance benchmarks are met immediately </w:t>
      </w:r>
      <w:r w:rsidR="00996EB1">
        <w:rPr>
          <w:rFonts w:ascii="Arial" w:hAnsi="Arial" w:cs="Arial"/>
        </w:rPr>
        <w:t>before</w:t>
      </w:r>
      <w:r w:rsidRPr="00E03670">
        <w:rPr>
          <w:rFonts w:ascii="Arial" w:hAnsi="Arial" w:cs="Arial"/>
        </w:rPr>
        <w:t xml:space="preserve"> launch.</w:t>
      </w:r>
    </w:p>
    <w:p w14:paraId="01F687D6" w14:textId="77777777" w:rsidR="00E03670" w:rsidRDefault="00E03670" w:rsidP="003B62D3">
      <w:pPr>
        <w:spacing w:line="360" w:lineRule="auto"/>
        <w:rPr>
          <w:rFonts w:ascii="Arial" w:hAnsi="Arial" w:cs="Arial"/>
        </w:rPr>
      </w:pPr>
      <w:r w:rsidRPr="00E03670">
        <w:rPr>
          <w:rFonts w:ascii="Arial" w:hAnsi="Arial" w:cs="Arial"/>
        </w:rPr>
        <w:t>Key Focus: Conflict management is paramount here, especially regarding any last-minute regulatory or technical issues. The PM uses the 4 C’s Model: Communication (transparent risk reporting), Coordination (rapid resource allocation), Cooperation (joint problem-solving sessions), and Collaboration (shared decision-making with Regulatory and PDT leads).</w:t>
      </w:r>
    </w:p>
    <w:p w14:paraId="14F6E62F" w14:textId="77777777" w:rsidR="00534426" w:rsidRPr="00E03670" w:rsidRDefault="00534426" w:rsidP="003B62D3">
      <w:pPr>
        <w:spacing w:line="360" w:lineRule="auto"/>
        <w:rPr>
          <w:rFonts w:ascii="Arial" w:hAnsi="Arial" w:cs="Arial"/>
        </w:rPr>
      </w:pPr>
    </w:p>
    <w:p w14:paraId="69C5DEE7" w14:textId="74417D5B" w:rsidR="00E03670" w:rsidRPr="00E03670" w:rsidRDefault="00E03670" w:rsidP="003B62D3">
      <w:pPr>
        <w:pStyle w:val="Heading2"/>
        <w:spacing w:line="360" w:lineRule="auto"/>
      </w:pPr>
      <w:r w:rsidRPr="0057421C">
        <w:rPr>
          <w:b/>
          <w:bCs/>
        </w:rPr>
        <w:t xml:space="preserve"> Phase 4:</w:t>
      </w:r>
      <w:r w:rsidRPr="00E03670">
        <w:t xml:space="preserve"> Launch and Post-Launch Management (Month 6 onwards)</w:t>
      </w:r>
    </w:p>
    <w:p w14:paraId="67052CAB" w14:textId="77777777" w:rsidR="00E03670" w:rsidRDefault="00E03670" w:rsidP="003B62D3">
      <w:pPr>
        <w:spacing w:line="360" w:lineRule="auto"/>
        <w:rPr>
          <w:rFonts w:ascii="Arial" w:hAnsi="Arial" w:cs="Arial"/>
        </w:rPr>
      </w:pPr>
      <w:r w:rsidRPr="00E03670">
        <w:rPr>
          <w:rFonts w:ascii="Arial" w:hAnsi="Arial" w:cs="Arial"/>
        </w:rPr>
        <w:t>This phase focuses on successful market entry and meeting the commercial objectives.</w:t>
      </w:r>
    </w:p>
    <w:tbl>
      <w:tblPr>
        <w:tblStyle w:val="GridTable5Dark-Accent2"/>
        <w:tblW w:w="9015" w:type="dxa"/>
        <w:tblLook w:val="04A0" w:firstRow="1" w:lastRow="0" w:firstColumn="1" w:lastColumn="0" w:noHBand="0" w:noVBand="1"/>
      </w:tblPr>
      <w:tblGrid>
        <w:gridCol w:w="3005"/>
        <w:gridCol w:w="3005"/>
        <w:gridCol w:w="3005"/>
      </w:tblGrid>
      <w:tr w:rsidR="006B1FFE" w14:paraId="1A6A56A0" w14:textId="77777777" w:rsidTr="003A2A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C5D8EF" w14:textId="3D77CA87" w:rsidR="006B1FFE" w:rsidRDefault="006B1FFE" w:rsidP="003B62D3">
            <w:pPr>
              <w:spacing w:line="360" w:lineRule="auto"/>
              <w:rPr>
                <w:rFonts w:ascii="Arial" w:hAnsi="Arial" w:cs="Arial"/>
              </w:rPr>
            </w:pPr>
            <w:r w:rsidRPr="00E03670">
              <w:rPr>
                <w:rFonts w:ascii="Arial" w:hAnsi="Arial" w:cs="Arial"/>
                <w:b w:val="0"/>
                <w:bCs w:val="0"/>
              </w:rPr>
              <w:t>Activity</w:t>
            </w:r>
          </w:p>
        </w:tc>
        <w:tc>
          <w:tcPr>
            <w:tcW w:w="3005" w:type="dxa"/>
          </w:tcPr>
          <w:p w14:paraId="3EB72DF3" w14:textId="47DDC6C9" w:rsidR="006B1FFE" w:rsidRDefault="006B1FFE"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Key Stakeholders</w:t>
            </w:r>
          </w:p>
        </w:tc>
        <w:tc>
          <w:tcPr>
            <w:tcW w:w="3005" w:type="dxa"/>
          </w:tcPr>
          <w:p w14:paraId="4081FC4F" w14:textId="278F9651" w:rsidR="006B1FFE" w:rsidRDefault="006B1FFE" w:rsidP="003B62D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b w:val="0"/>
                <w:bCs w:val="0"/>
              </w:rPr>
              <w:t>Deliverables &amp; Tools Used</w:t>
            </w:r>
          </w:p>
        </w:tc>
      </w:tr>
      <w:tr w:rsidR="006B1FFE" w14:paraId="4A50E22E" w14:textId="77777777" w:rsidTr="003A2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3922700" w14:textId="37A15FA8" w:rsidR="006B1FFE" w:rsidRDefault="006B1FFE" w:rsidP="003B62D3">
            <w:pPr>
              <w:spacing w:line="360" w:lineRule="auto"/>
              <w:rPr>
                <w:rFonts w:ascii="Arial" w:hAnsi="Arial" w:cs="Arial"/>
              </w:rPr>
            </w:pPr>
            <w:r w:rsidRPr="00E03670">
              <w:rPr>
                <w:rFonts w:ascii="Arial" w:hAnsi="Arial" w:cs="Arial"/>
                <w:b w:val="0"/>
                <w:bCs w:val="0"/>
              </w:rPr>
              <w:t>Product Launch</w:t>
            </w:r>
          </w:p>
        </w:tc>
        <w:tc>
          <w:tcPr>
            <w:tcW w:w="3005" w:type="dxa"/>
          </w:tcPr>
          <w:p w14:paraId="0EEB6EA5" w14:textId="221FEC7B"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Marketing, Sales, Operations</w:t>
            </w:r>
          </w:p>
        </w:tc>
        <w:tc>
          <w:tcPr>
            <w:tcW w:w="3005" w:type="dxa"/>
          </w:tcPr>
          <w:p w14:paraId="3C1CAC87" w14:textId="4A8669F5"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Product made available to consumers on the planned launch date (Time-bound objective met).</w:t>
            </w:r>
          </w:p>
        </w:tc>
      </w:tr>
      <w:tr w:rsidR="006B1FFE" w14:paraId="25B8D231" w14:textId="77777777" w:rsidTr="003A2ABF">
        <w:tc>
          <w:tcPr>
            <w:cnfStyle w:val="001000000000" w:firstRow="0" w:lastRow="0" w:firstColumn="1" w:lastColumn="0" w:oddVBand="0" w:evenVBand="0" w:oddHBand="0" w:evenHBand="0" w:firstRowFirstColumn="0" w:firstRowLastColumn="0" w:lastRowFirstColumn="0" w:lastRowLastColumn="0"/>
            <w:tcW w:w="3005" w:type="dxa"/>
          </w:tcPr>
          <w:p w14:paraId="2D88967E" w14:textId="44DF75DD" w:rsidR="006B1FFE" w:rsidRDefault="006B1FFE" w:rsidP="003B62D3">
            <w:pPr>
              <w:spacing w:line="360" w:lineRule="auto"/>
              <w:rPr>
                <w:rFonts w:ascii="Arial" w:hAnsi="Arial" w:cs="Arial"/>
              </w:rPr>
            </w:pPr>
            <w:r w:rsidRPr="00E03670">
              <w:rPr>
                <w:rFonts w:ascii="Arial" w:hAnsi="Arial" w:cs="Arial"/>
                <w:b w:val="0"/>
                <w:bCs w:val="0"/>
              </w:rPr>
              <w:t>Sales Monitoring</w:t>
            </w:r>
          </w:p>
        </w:tc>
        <w:tc>
          <w:tcPr>
            <w:tcW w:w="3005" w:type="dxa"/>
          </w:tcPr>
          <w:p w14:paraId="2E921762" w14:textId="3DBFEDE5"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Sales, Finance</w:t>
            </w:r>
          </w:p>
        </w:tc>
        <w:tc>
          <w:tcPr>
            <w:tcW w:w="3005" w:type="dxa"/>
          </w:tcPr>
          <w:p w14:paraId="27C97916" w14:textId="219BAF40"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 xml:space="preserve">Tracking of unit sales towards the Measurable </w:t>
            </w:r>
            <w:r w:rsidRPr="00E03670">
              <w:rPr>
                <w:rFonts w:ascii="Arial" w:hAnsi="Arial" w:cs="Arial"/>
              </w:rPr>
              <w:lastRenderedPageBreak/>
              <w:t>objective (25,000 units in Q1).</w:t>
            </w:r>
          </w:p>
        </w:tc>
      </w:tr>
      <w:tr w:rsidR="006B1FFE" w14:paraId="7BBDEC95" w14:textId="77777777" w:rsidTr="003A2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B636FC" w14:textId="4BB98437" w:rsidR="006B1FFE" w:rsidRDefault="006B1FFE" w:rsidP="003B62D3">
            <w:pPr>
              <w:spacing w:line="360" w:lineRule="auto"/>
              <w:rPr>
                <w:rFonts w:ascii="Arial" w:hAnsi="Arial" w:cs="Arial"/>
              </w:rPr>
            </w:pPr>
            <w:r w:rsidRPr="00E03670">
              <w:rPr>
                <w:rFonts w:ascii="Arial" w:hAnsi="Arial" w:cs="Arial"/>
                <w:b w:val="0"/>
                <w:bCs w:val="0"/>
              </w:rPr>
              <w:lastRenderedPageBreak/>
              <w:t>Market Positioning Review</w:t>
            </w:r>
          </w:p>
        </w:tc>
        <w:tc>
          <w:tcPr>
            <w:tcW w:w="3005" w:type="dxa"/>
          </w:tcPr>
          <w:p w14:paraId="0B7538F6" w14:textId="07164169"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Marketing, Strategy</w:t>
            </w:r>
          </w:p>
        </w:tc>
        <w:tc>
          <w:tcPr>
            <w:tcW w:w="3005" w:type="dxa"/>
          </w:tcPr>
          <w:p w14:paraId="6B84DC73" w14:textId="6C9EFC85" w:rsidR="006B1FFE" w:rsidRDefault="006B1FFE" w:rsidP="003B62D3">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3670">
              <w:rPr>
                <w:rFonts w:ascii="Arial" w:hAnsi="Arial" w:cs="Arial"/>
              </w:rPr>
              <w:t>Periodic market analysis to gauge progress towards the Relevant objective (Top-three brand within 12 months).</w:t>
            </w:r>
          </w:p>
        </w:tc>
      </w:tr>
      <w:tr w:rsidR="006B1FFE" w14:paraId="7BAB2195" w14:textId="77777777" w:rsidTr="003A2ABF">
        <w:tc>
          <w:tcPr>
            <w:cnfStyle w:val="001000000000" w:firstRow="0" w:lastRow="0" w:firstColumn="1" w:lastColumn="0" w:oddVBand="0" w:evenVBand="0" w:oddHBand="0" w:evenHBand="0" w:firstRowFirstColumn="0" w:firstRowLastColumn="0" w:lastRowFirstColumn="0" w:lastRowLastColumn="0"/>
            <w:tcW w:w="3005" w:type="dxa"/>
          </w:tcPr>
          <w:p w14:paraId="1DD718E3" w14:textId="2711FF29" w:rsidR="006B1FFE" w:rsidRDefault="006B1FFE" w:rsidP="003B62D3">
            <w:pPr>
              <w:spacing w:line="360" w:lineRule="auto"/>
              <w:rPr>
                <w:rFonts w:ascii="Arial" w:hAnsi="Arial" w:cs="Arial"/>
              </w:rPr>
            </w:pPr>
            <w:r w:rsidRPr="00E03670">
              <w:rPr>
                <w:rFonts w:ascii="Arial" w:hAnsi="Arial" w:cs="Arial"/>
                <w:b w:val="0"/>
                <w:bCs w:val="0"/>
              </w:rPr>
              <w:t>Sustained Engagement</w:t>
            </w:r>
          </w:p>
        </w:tc>
        <w:tc>
          <w:tcPr>
            <w:tcW w:w="3005" w:type="dxa"/>
          </w:tcPr>
          <w:p w14:paraId="70795C21" w14:textId="7BD81D1A"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All Stakeholders</w:t>
            </w:r>
          </w:p>
        </w:tc>
        <w:tc>
          <w:tcPr>
            <w:tcW w:w="3005" w:type="dxa"/>
          </w:tcPr>
          <w:p w14:paraId="3E0B5CCE" w14:textId="2A4A6517" w:rsidR="006B1FFE" w:rsidRDefault="006B1FFE" w:rsidP="003B62D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3670">
              <w:rPr>
                <w:rFonts w:ascii="Arial" w:hAnsi="Arial" w:cs="Arial"/>
              </w:rPr>
              <w:t>Continuous monitoring via SML and quarterly SVS evaluations to sustain optimal relationship levels and inform V2.0 development.</w:t>
            </w:r>
          </w:p>
        </w:tc>
      </w:tr>
    </w:tbl>
    <w:p w14:paraId="37017292" w14:textId="77777777" w:rsidR="002F2652" w:rsidRPr="00E03670" w:rsidRDefault="002F2652" w:rsidP="003B62D3">
      <w:pPr>
        <w:spacing w:line="360" w:lineRule="auto"/>
        <w:rPr>
          <w:rFonts w:ascii="Arial" w:hAnsi="Arial" w:cs="Arial"/>
        </w:rPr>
      </w:pPr>
    </w:p>
    <w:p w14:paraId="1A3A8002" w14:textId="668C4A54" w:rsidR="00E03670" w:rsidRPr="00E03670" w:rsidRDefault="00E03670" w:rsidP="003B62D3">
      <w:pPr>
        <w:spacing w:line="360" w:lineRule="auto"/>
        <w:rPr>
          <w:rFonts w:ascii="Arial" w:hAnsi="Arial" w:cs="Arial"/>
        </w:rPr>
      </w:pPr>
      <w:r w:rsidRPr="00E03670">
        <w:rPr>
          <w:rFonts w:ascii="Arial" w:hAnsi="Arial" w:cs="Arial"/>
        </w:rPr>
        <w:t xml:space="preserve">Key Focus: The PM transitions from project delivery to value </w:t>
      </w:r>
      <w:r w:rsidR="000E6A5E">
        <w:rPr>
          <w:rFonts w:ascii="Arial" w:hAnsi="Arial" w:cs="Arial"/>
        </w:rPr>
        <w:t>realisation</w:t>
      </w:r>
      <w:r w:rsidRPr="00E03670">
        <w:rPr>
          <w:rFonts w:ascii="Arial" w:hAnsi="Arial" w:cs="Arial"/>
        </w:rPr>
        <w:t>. Conflict management continues by focusing on continuous Communication and leveraging the pre-established trust and Cooperation built through cross-functional rotations to handle any post-launch issues (e.g., app bugs, sales forecasting variances). The SVS provides a structured trigger for intervention if engagement drops.</w:t>
      </w:r>
    </w:p>
    <w:p w14:paraId="231AE1B7" w14:textId="77777777" w:rsidR="00E03670" w:rsidRPr="00C93DBA" w:rsidRDefault="00E03670" w:rsidP="003B62D3">
      <w:pPr>
        <w:spacing w:line="360" w:lineRule="auto"/>
        <w:rPr>
          <w:rFonts w:ascii="Arial" w:hAnsi="Arial" w:cs="Arial"/>
          <w:b/>
          <w:bCs/>
          <w:sz w:val="28"/>
          <w:szCs w:val="28"/>
        </w:rPr>
      </w:pPr>
    </w:p>
    <w:tbl>
      <w:tblPr>
        <w:tblStyle w:val="PlainTable1"/>
        <w:tblW w:w="0" w:type="auto"/>
        <w:tblLayout w:type="fixed"/>
        <w:tblLook w:val="04A0" w:firstRow="1" w:lastRow="0" w:firstColumn="1" w:lastColumn="0" w:noHBand="0" w:noVBand="1"/>
      </w:tblPr>
      <w:tblGrid>
        <w:gridCol w:w="1271"/>
        <w:gridCol w:w="1751"/>
        <w:gridCol w:w="2111"/>
        <w:gridCol w:w="1942"/>
        <w:gridCol w:w="1941"/>
      </w:tblGrid>
      <w:tr w:rsidR="00ED234D" w14:paraId="7872B820" w14:textId="77777777" w:rsidTr="00A90D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1B8F072D" w14:textId="4434F1FE" w:rsidR="00ED234D" w:rsidRDefault="00ED234D" w:rsidP="003B62D3">
            <w:pPr>
              <w:spacing w:line="360" w:lineRule="auto"/>
              <w:jc w:val="center"/>
            </w:pPr>
            <w:r w:rsidRPr="00A64BB1">
              <w:t>Quadrant</w:t>
            </w:r>
          </w:p>
        </w:tc>
        <w:tc>
          <w:tcPr>
            <w:tcW w:w="1751" w:type="dxa"/>
          </w:tcPr>
          <w:p w14:paraId="5912F794" w14:textId="3E347577"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Power/Interest Level</w:t>
            </w:r>
          </w:p>
        </w:tc>
        <w:tc>
          <w:tcPr>
            <w:tcW w:w="2111" w:type="dxa"/>
          </w:tcPr>
          <w:p w14:paraId="47B0C560" w14:textId="7D8B280C"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Key Stakeholders</w:t>
            </w:r>
          </w:p>
        </w:tc>
        <w:tc>
          <w:tcPr>
            <w:tcW w:w="1942" w:type="dxa"/>
          </w:tcPr>
          <w:p w14:paraId="6390E132" w14:textId="5E8C620C"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PM Engagement Strategy</w:t>
            </w:r>
          </w:p>
        </w:tc>
        <w:tc>
          <w:tcPr>
            <w:tcW w:w="1941" w:type="dxa"/>
          </w:tcPr>
          <w:p w14:paraId="481C1587" w14:textId="4A9A52C8" w:rsidR="00ED234D" w:rsidRDefault="00ED234D" w:rsidP="003B62D3">
            <w:pPr>
              <w:spacing w:line="360" w:lineRule="auto"/>
              <w:cnfStyle w:val="100000000000" w:firstRow="1" w:lastRow="0" w:firstColumn="0" w:lastColumn="0" w:oddVBand="0" w:evenVBand="0" w:oddHBand="0" w:evenHBand="0" w:firstRowFirstColumn="0" w:firstRowLastColumn="0" w:lastRowFirstColumn="0" w:lastRowLastColumn="0"/>
            </w:pPr>
            <w:r w:rsidRPr="00A64BB1">
              <w:t>Tools and Mechanisms (Referenced in Plan)</w:t>
            </w:r>
          </w:p>
        </w:tc>
      </w:tr>
      <w:tr w:rsidR="00612F4E" w14:paraId="25A6EFF4" w14:textId="77777777" w:rsidTr="00A9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40EACE4" w14:textId="72BEB365" w:rsidR="00612F4E" w:rsidRDefault="00612F4E" w:rsidP="003B62D3">
            <w:pPr>
              <w:spacing w:line="360" w:lineRule="auto"/>
            </w:pPr>
            <w:r w:rsidRPr="00A64BB1">
              <w:t>A</w:t>
            </w:r>
          </w:p>
        </w:tc>
        <w:tc>
          <w:tcPr>
            <w:tcW w:w="1751" w:type="dxa"/>
          </w:tcPr>
          <w:p w14:paraId="220B9E0B" w14:textId="18F51AC3"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High Power, High Interest</w:t>
            </w:r>
          </w:p>
        </w:tc>
        <w:tc>
          <w:tcPr>
            <w:tcW w:w="2111" w:type="dxa"/>
          </w:tcPr>
          <w:p w14:paraId="32BABF19" w14:textId="0E106211"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t>Sponsor, Regulatory, Legal, Product Development Team (PDT) Leads</w:t>
            </w:r>
          </w:p>
        </w:tc>
        <w:tc>
          <w:tcPr>
            <w:tcW w:w="1942" w:type="dxa"/>
          </w:tcPr>
          <w:p w14:paraId="4141F747" w14:textId="258ED4A2"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Manage Closely (Collaborate)</w:t>
            </w:r>
            <w:r w:rsidRPr="00A64BB1">
              <w:t>: Full participation in decision-making, frequent two-</w:t>
            </w:r>
            <w:r w:rsidRPr="00A64BB1">
              <w:lastRenderedPageBreak/>
              <w:t>way communication, and relationship management. Must satisfy regulatory approval and strategic direction.</w:t>
            </w:r>
          </w:p>
        </w:tc>
        <w:tc>
          <w:tcPr>
            <w:tcW w:w="1941" w:type="dxa"/>
          </w:tcPr>
          <w:p w14:paraId="1AB8266D" w14:textId="73801600" w:rsidR="00612F4E" w:rsidRDefault="00612F4E"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lastRenderedPageBreak/>
              <w:t xml:space="preserve">RACI Matrix, Stakeholder Value Scorecard (SVS), Cross-Functional Rotations, 4 C's Model </w:t>
            </w:r>
            <w:r w:rsidRPr="00A64BB1">
              <w:lastRenderedPageBreak/>
              <w:t>(Collaboration Focus).</w:t>
            </w:r>
          </w:p>
        </w:tc>
      </w:tr>
      <w:tr w:rsidR="00761329" w14:paraId="67A5AC61" w14:textId="77777777" w:rsidTr="00A90DAF">
        <w:tc>
          <w:tcPr>
            <w:cnfStyle w:val="001000000000" w:firstRow="0" w:lastRow="0" w:firstColumn="1" w:lastColumn="0" w:oddVBand="0" w:evenVBand="0" w:oddHBand="0" w:evenHBand="0" w:firstRowFirstColumn="0" w:firstRowLastColumn="0" w:lastRowFirstColumn="0" w:lastRowLastColumn="0"/>
            <w:tcW w:w="1271" w:type="dxa"/>
          </w:tcPr>
          <w:p w14:paraId="10501AA4" w14:textId="547C1672" w:rsidR="00761329" w:rsidRDefault="00761329" w:rsidP="003B62D3">
            <w:pPr>
              <w:spacing w:line="360" w:lineRule="auto"/>
            </w:pPr>
            <w:r w:rsidRPr="00A64BB1">
              <w:lastRenderedPageBreak/>
              <w:t>B</w:t>
            </w:r>
          </w:p>
        </w:tc>
        <w:tc>
          <w:tcPr>
            <w:tcW w:w="1751" w:type="dxa"/>
          </w:tcPr>
          <w:p w14:paraId="6C1AC57D" w14:textId="3775E397"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rPr>
                <w:b/>
                <w:bCs/>
              </w:rPr>
              <w:t>High Power, Low Interest</w:t>
            </w:r>
          </w:p>
        </w:tc>
        <w:tc>
          <w:tcPr>
            <w:tcW w:w="2111" w:type="dxa"/>
          </w:tcPr>
          <w:p w14:paraId="5A174A4A" w14:textId="40A8D8F8"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Finance/HR, Operations/Supply Chain, Strategy</w:t>
            </w:r>
          </w:p>
        </w:tc>
        <w:tc>
          <w:tcPr>
            <w:tcW w:w="1942" w:type="dxa"/>
          </w:tcPr>
          <w:p w14:paraId="4A89D8B7" w14:textId="48ECD326"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rPr>
                <w:b/>
                <w:bCs/>
              </w:rPr>
              <w:t>Keep Satisfied (Coordinate)</w:t>
            </w:r>
            <w:r w:rsidRPr="00A64BB1">
              <w:t>: Sufficient communication to ensure their needs are met (e.g., budget approval, resource provision) without overwhelming them. Focus is on coordination and reporting to prevent negative intervention.</w:t>
            </w:r>
          </w:p>
        </w:tc>
        <w:tc>
          <w:tcPr>
            <w:tcW w:w="1941" w:type="dxa"/>
          </w:tcPr>
          <w:p w14:paraId="254BCA89" w14:textId="406D241C" w:rsidR="00761329" w:rsidRDefault="00761329"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Monthly financial reports, Scheduled Steering Committee updates, Formal Risk Register sign-offs.</w:t>
            </w:r>
          </w:p>
        </w:tc>
      </w:tr>
      <w:tr w:rsidR="00761329" w14:paraId="5EDD3299" w14:textId="77777777" w:rsidTr="00A9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59D2F16F" w14:textId="23392581" w:rsidR="00761329" w:rsidRDefault="00761329" w:rsidP="003B62D3">
            <w:pPr>
              <w:spacing w:line="360" w:lineRule="auto"/>
            </w:pPr>
            <w:r w:rsidRPr="00A64BB1">
              <w:t>C</w:t>
            </w:r>
          </w:p>
        </w:tc>
        <w:tc>
          <w:tcPr>
            <w:tcW w:w="1751" w:type="dxa"/>
          </w:tcPr>
          <w:p w14:paraId="0C851442" w14:textId="62609C67"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Low Power, High Interest</w:t>
            </w:r>
          </w:p>
        </w:tc>
        <w:tc>
          <w:tcPr>
            <w:tcW w:w="2111" w:type="dxa"/>
          </w:tcPr>
          <w:p w14:paraId="6866CECA" w14:textId="2F5D13C1"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t>NHS/Clinical Partners, Consumers/Users (Active Early Adopters)</w:t>
            </w:r>
          </w:p>
        </w:tc>
        <w:tc>
          <w:tcPr>
            <w:tcW w:w="1942" w:type="dxa"/>
          </w:tcPr>
          <w:p w14:paraId="4B17F8AB" w14:textId="51196D38"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rPr>
                <w:b/>
                <w:bCs/>
              </w:rPr>
              <w:t>Keep Informed (Communicate)</w:t>
            </w:r>
            <w:r w:rsidRPr="00A64BB1">
              <w:t xml:space="preserve">: Provide timely, adequate information and </w:t>
            </w:r>
            <w:r w:rsidRPr="00A64BB1">
              <w:lastRenderedPageBreak/>
              <w:t xml:space="preserve">actively solicit their input. </w:t>
            </w:r>
            <w:r w:rsidR="00DF4879">
              <w:t>Utilise</w:t>
            </w:r>
            <w:r w:rsidRPr="00A64BB1">
              <w:t xml:space="preserve"> their expertise without giving them direct control over resources or scope.</w:t>
            </w:r>
          </w:p>
        </w:tc>
        <w:tc>
          <w:tcPr>
            <w:tcW w:w="1941" w:type="dxa"/>
          </w:tcPr>
          <w:p w14:paraId="71AB976D" w14:textId="3F133132" w:rsidR="00761329" w:rsidRDefault="00761329" w:rsidP="003B62D3">
            <w:pPr>
              <w:spacing w:line="360" w:lineRule="auto"/>
              <w:cnfStyle w:val="000000100000" w:firstRow="0" w:lastRow="0" w:firstColumn="0" w:lastColumn="0" w:oddVBand="0" w:evenVBand="0" w:oddHBand="1" w:evenHBand="0" w:firstRowFirstColumn="0" w:firstRowLastColumn="0" w:lastRowFirstColumn="0" w:lastRowLastColumn="0"/>
            </w:pPr>
            <w:r w:rsidRPr="00A64BB1">
              <w:lastRenderedPageBreak/>
              <w:t xml:space="preserve">Formalised "Voice of the Clinician" Channel, Integration of </w:t>
            </w:r>
            <w:r w:rsidRPr="00A64BB1">
              <w:lastRenderedPageBreak/>
              <w:t>Social Media Listening (SML), Continuous Feedback Loops.</w:t>
            </w:r>
          </w:p>
        </w:tc>
      </w:tr>
      <w:tr w:rsidR="00A90DAF" w14:paraId="7476C730" w14:textId="77777777" w:rsidTr="00A90DAF">
        <w:tc>
          <w:tcPr>
            <w:cnfStyle w:val="001000000000" w:firstRow="0" w:lastRow="0" w:firstColumn="1" w:lastColumn="0" w:oddVBand="0" w:evenVBand="0" w:oddHBand="0" w:evenHBand="0" w:firstRowFirstColumn="0" w:firstRowLastColumn="0" w:lastRowFirstColumn="0" w:lastRowLastColumn="0"/>
            <w:tcW w:w="1271" w:type="dxa"/>
          </w:tcPr>
          <w:p w14:paraId="16C29946" w14:textId="1D739D65" w:rsidR="00A90DAF" w:rsidRPr="00A64BB1" w:rsidRDefault="00A90DAF" w:rsidP="003B62D3">
            <w:pPr>
              <w:spacing w:line="360" w:lineRule="auto"/>
              <w:rPr>
                <w:b w:val="0"/>
                <w:bCs w:val="0"/>
              </w:rPr>
            </w:pPr>
            <w:r w:rsidRPr="00A64BB1">
              <w:lastRenderedPageBreak/>
              <w:t>D</w:t>
            </w:r>
          </w:p>
        </w:tc>
        <w:tc>
          <w:tcPr>
            <w:tcW w:w="1751" w:type="dxa"/>
          </w:tcPr>
          <w:p w14:paraId="427EC348" w14:textId="7769E41C"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A64BB1">
              <w:rPr>
                <w:b/>
                <w:bCs/>
              </w:rPr>
              <w:t>Low Power, Low Interest</w:t>
            </w:r>
          </w:p>
        </w:tc>
        <w:tc>
          <w:tcPr>
            <w:tcW w:w="2111" w:type="dxa"/>
          </w:tcPr>
          <w:p w14:paraId="14168B7C" w14:textId="3460FDC2"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General Public, General Employees</w:t>
            </w:r>
          </w:p>
        </w:tc>
        <w:tc>
          <w:tcPr>
            <w:tcW w:w="1942" w:type="dxa"/>
          </w:tcPr>
          <w:p w14:paraId="3FF1BDDB" w14:textId="75AEBF65"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rPr>
                <w:b/>
                <w:bCs/>
              </w:rPr>
            </w:pPr>
            <w:r w:rsidRPr="00A64BB1">
              <w:rPr>
                <w:b/>
                <w:bCs/>
              </w:rPr>
              <w:t>Monitor (Minimum Effort)</w:t>
            </w:r>
            <w:r w:rsidRPr="00A64BB1">
              <w:t xml:space="preserve">: Provide general updates via </w:t>
            </w:r>
            <w:r w:rsidR="00DF4879">
              <w:t xml:space="preserve">the </w:t>
            </w:r>
            <w:r w:rsidRPr="00A64BB1">
              <w:t>company intranet or press releases. Monitor broadly for shifting sentiment or emerging issues.</w:t>
            </w:r>
          </w:p>
        </w:tc>
        <w:tc>
          <w:tcPr>
            <w:tcW w:w="1941" w:type="dxa"/>
          </w:tcPr>
          <w:p w14:paraId="380D6209" w14:textId="2FB5DCD3" w:rsidR="00A90DAF" w:rsidRPr="00A64BB1" w:rsidRDefault="00A90DAF" w:rsidP="003B62D3">
            <w:pPr>
              <w:spacing w:line="360" w:lineRule="auto"/>
              <w:cnfStyle w:val="000000000000" w:firstRow="0" w:lastRow="0" w:firstColumn="0" w:lastColumn="0" w:oddVBand="0" w:evenVBand="0" w:oddHBand="0" w:evenHBand="0" w:firstRowFirstColumn="0" w:firstRowLastColumn="0" w:lastRowFirstColumn="0" w:lastRowLastColumn="0"/>
            </w:pPr>
            <w:r w:rsidRPr="00A64BB1">
              <w:t>Company-wide email announcements, Internal communication channels.</w:t>
            </w:r>
          </w:p>
        </w:tc>
      </w:tr>
    </w:tbl>
    <w:p w14:paraId="026E552E" w14:textId="77777777" w:rsidR="00860959" w:rsidRDefault="00860959" w:rsidP="003B62D3">
      <w:pPr>
        <w:spacing w:line="360" w:lineRule="auto"/>
      </w:pPr>
    </w:p>
    <w:p w14:paraId="0C722C61" w14:textId="77777777" w:rsidR="00EB35D5" w:rsidRDefault="00EB35D5" w:rsidP="003B62D3">
      <w:pPr>
        <w:spacing w:line="360" w:lineRule="auto"/>
        <w:rPr>
          <w:rFonts w:ascii="Arial" w:hAnsi="Arial" w:cs="Arial"/>
        </w:rPr>
      </w:pPr>
    </w:p>
    <w:p w14:paraId="131D399E" w14:textId="77777777" w:rsidR="00EB35D5" w:rsidRPr="008434A6" w:rsidRDefault="00EB35D5" w:rsidP="003B62D3">
      <w:pPr>
        <w:spacing w:line="360" w:lineRule="auto"/>
        <w:rPr>
          <w:rFonts w:ascii="Arial" w:hAnsi="Arial" w:cs="Arial"/>
        </w:rPr>
      </w:pPr>
    </w:p>
    <w:p w14:paraId="2DE614A3" w14:textId="5AA23E84" w:rsidR="00EB35D5" w:rsidRPr="00B27B23" w:rsidRDefault="00E94C79" w:rsidP="003B62D3">
      <w:pPr>
        <w:pStyle w:val="Heading2"/>
        <w:spacing w:line="360" w:lineRule="auto"/>
        <w:jc w:val="center"/>
        <w:rPr>
          <w:rFonts w:ascii="Arial" w:hAnsi="Arial" w:cs="Arial"/>
          <w:sz w:val="40"/>
          <w:szCs w:val="40"/>
        </w:rPr>
      </w:pPr>
      <w:r w:rsidRPr="00B27B23">
        <w:rPr>
          <w:rFonts w:ascii="Arial" w:hAnsi="Arial" w:cs="Arial"/>
          <w:sz w:val="40"/>
          <w:szCs w:val="40"/>
        </w:rPr>
        <w:t>8</w:t>
      </w:r>
      <w:r w:rsidR="00EB35D5" w:rsidRPr="00B27B23">
        <w:rPr>
          <w:rFonts w:ascii="Arial" w:hAnsi="Arial" w:cs="Arial"/>
          <w:sz w:val="40"/>
          <w:szCs w:val="40"/>
        </w:rPr>
        <w:t>. Impact Evaluation and Recommendations</w:t>
      </w:r>
    </w:p>
    <w:p w14:paraId="6EB288CE" w14:textId="77777777" w:rsidR="00EB35D5" w:rsidRDefault="00EB35D5" w:rsidP="003B62D3">
      <w:pPr>
        <w:spacing w:line="360" w:lineRule="auto"/>
        <w:rPr>
          <w:rFonts w:ascii="Arial" w:hAnsi="Arial" w:cs="Arial"/>
        </w:rPr>
      </w:pPr>
      <w:r w:rsidRPr="008434A6">
        <w:rPr>
          <w:rFonts w:ascii="Arial" w:hAnsi="Arial" w:cs="Arial"/>
        </w:rPr>
        <w:t>Effective stakeholder engagement is not merely a risk management exercise; it is a strategic driver that significantly impacts a project's alignment with broader organisational goals and, consequently, business performance.</w:t>
      </w:r>
    </w:p>
    <w:p w14:paraId="5D49BD92" w14:textId="284C7F10" w:rsidR="00855B5E" w:rsidRPr="00855B5E" w:rsidRDefault="00855B5E" w:rsidP="003B62D3">
      <w:pPr>
        <w:pStyle w:val="Heading2"/>
        <w:spacing w:line="360" w:lineRule="auto"/>
      </w:pPr>
      <w:r w:rsidRPr="00855B5E">
        <w:lastRenderedPageBreak/>
        <w:t>8</w:t>
      </w:r>
      <w:r w:rsidRPr="00855B5E">
        <w:t>.1 Evaluating the Impact on Business Performance</w:t>
      </w:r>
    </w:p>
    <w:p w14:paraId="70FA72C9" w14:textId="77777777" w:rsidR="00855B5E" w:rsidRPr="00855B5E" w:rsidRDefault="00855B5E" w:rsidP="003B62D3">
      <w:pPr>
        <w:spacing w:line="360" w:lineRule="auto"/>
        <w:rPr>
          <w:rFonts w:ascii="Arial" w:hAnsi="Arial" w:cs="Arial"/>
        </w:rPr>
      </w:pPr>
      <w:r w:rsidRPr="00855B5E">
        <w:rPr>
          <w:rFonts w:ascii="Arial" w:hAnsi="Arial" w:cs="Arial"/>
        </w:rPr>
        <w:t xml:space="preserve">High-quality stakeholder engagement on the 'Veritas' project can be evaluated across three critical business performance metrics: </w:t>
      </w:r>
      <w:r w:rsidRPr="00855B5E">
        <w:rPr>
          <w:rFonts w:ascii="Arial" w:hAnsi="Arial" w:cs="Arial"/>
          <w:b/>
          <w:bCs/>
        </w:rPr>
        <w:t>Time-to-Market</w:t>
      </w:r>
      <w:r w:rsidRPr="00855B5E">
        <w:rPr>
          <w:rFonts w:ascii="Arial" w:hAnsi="Arial" w:cs="Arial"/>
        </w:rPr>
        <w:t xml:space="preserve">, </w:t>
      </w:r>
      <w:r w:rsidRPr="00855B5E">
        <w:rPr>
          <w:rFonts w:ascii="Arial" w:hAnsi="Arial" w:cs="Arial"/>
          <w:b/>
          <w:bCs/>
        </w:rPr>
        <w:t>Revenue Potential</w:t>
      </w:r>
      <w:r w:rsidRPr="00855B5E">
        <w:rPr>
          <w:rFonts w:ascii="Arial" w:hAnsi="Arial" w:cs="Arial"/>
        </w:rPr>
        <w:t xml:space="preserve">, and </w:t>
      </w:r>
      <w:r w:rsidRPr="00855B5E">
        <w:rPr>
          <w:rFonts w:ascii="Arial" w:hAnsi="Arial" w:cs="Arial"/>
          <w:b/>
          <w:bCs/>
        </w:rPr>
        <w:t>Risk Profile</w:t>
      </w:r>
      <w:r w:rsidRPr="00855B5E">
        <w:rPr>
          <w:rFonts w:ascii="Arial" w:hAnsi="Arial" w:cs="Arial"/>
        </w:rPr>
        <w:t>. This demonstrates how relational management directly translates into commercial success.</w:t>
      </w:r>
    </w:p>
    <w:tbl>
      <w:tblPr>
        <w:tblStyle w:val="TableGrid"/>
        <w:tblW w:w="0" w:type="auto"/>
        <w:tblLook w:val="04A0" w:firstRow="1" w:lastRow="0" w:firstColumn="1" w:lastColumn="0" w:noHBand="0" w:noVBand="1"/>
      </w:tblPr>
      <w:tblGrid>
        <w:gridCol w:w="3005"/>
        <w:gridCol w:w="3005"/>
        <w:gridCol w:w="3006"/>
      </w:tblGrid>
      <w:tr w:rsidR="005E132F" w14:paraId="0CD18816" w14:textId="77777777" w:rsidTr="005E132F">
        <w:tc>
          <w:tcPr>
            <w:tcW w:w="3005" w:type="dxa"/>
          </w:tcPr>
          <w:p w14:paraId="2A0A45D3" w14:textId="2CDDEDD5"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Time-to-Market (Efficiency)</w:t>
            </w:r>
          </w:p>
        </w:tc>
        <w:tc>
          <w:tcPr>
            <w:tcW w:w="3005" w:type="dxa"/>
          </w:tcPr>
          <w:p w14:paraId="67256659" w14:textId="55C7E694"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Reduced Delays and Rework: Clear communication and coordination (4C's) with the Supply Chain Partners and the Product Development Team (PDT) ensured components arrived on schedule and design requirements were stable. Crucially, early and ongoing consultation with Regulatory Bodies streamlined the certification process, avoiding late-stage redesigns</w:t>
            </w:r>
            <w:r w:rsidR="00504B6E">
              <w:rPr>
                <w:rFonts w:ascii="Arial" w:eastAsiaTheme="majorEastAsia" w:hAnsi="Arial" w:cs="Arial"/>
              </w:rPr>
              <w:t>,</w:t>
            </w:r>
            <w:r w:rsidRPr="00E83E20">
              <w:rPr>
                <w:rFonts w:ascii="Arial" w:eastAsiaTheme="majorEastAsia" w:hAnsi="Arial" w:cs="Arial"/>
              </w:rPr>
              <w:t xml:space="preserve"> which commonly cause launch delays.</w:t>
            </w:r>
          </w:p>
        </w:tc>
        <w:tc>
          <w:tcPr>
            <w:tcW w:w="3006" w:type="dxa"/>
          </w:tcPr>
          <w:p w14:paraId="20D4551A" w14:textId="4E90F503"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Supply Chain Partners, PDT, Regulatory Bodies, Legal &amp; Compliance</w:t>
            </w:r>
          </w:p>
        </w:tc>
      </w:tr>
      <w:tr w:rsidR="005E132F" w14:paraId="17A5CD1D" w14:textId="77777777" w:rsidTr="005E132F">
        <w:tc>
          <w:tcPr>
            <w:tcW w:w="3005" w:type="dxa"/>
          </w:tcPr>
          <w:p w14:paraId="5D5E6BF6" w14:textId="3349CB20" w:rsidR="005E132F" w:rsidRDefault="005E132F" w:rsidP="003B62D3">
            <w:pPr>
              <w:tabs>
                <w:tab w:val="left" w:pos="1355"/>
              </w:tabs>
              <w:spacing w:line="360" w:lineRule="auto"/>
              <w:rPr>
                <w:rFonts w:ascii="Arial" w:hAnsi="Arial" w:cs="Arial"/>
              </w:rPr>
            </w:pPr>
            <w:r w:rsidRPr="00E83E20">
              <w:rPr>
                <w:rFonts w:ascii="Arial" w:eastAsiaTheme="majorEastAsia" w:hAnsi="Arial" w:cs="Arial"/>
              </w:rPr>
              <w:t>Revenue Potential (Effectiveness)</w:t>
            </w:r>
          </w:p>
        </w:tc>
        <w:tc>
          <w:tcPr>
            <w:tcW w:w="3005" w:type="dxa"/>
          </w:tcPr>
          <w:p w14:paraId="0A60B082" w14:textId="7F54029B"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 xml:space="preserve">Enhanced Product-Market Fit: Active collaboration with Target Consumers (beta testing) and Health Professionals </w:t>
            </w:r>
            <w:r>
              <w:rPr>
                <w:rFonts w:ascii="Arial" w:hAnsi="Arial" w:cs="Arial"/>
              </w:rPr>
              <w:t>yielded valuable feedback that was</w:t>
            </w:r>
            <w:r w:rsidRPr="00E83E20">
              <w:rPr>
                <w:rFonts w:ascii="Arial" w:eastAsiaTheme="majorEastAsia" w:hAnsi="Arial" w:cs="Arial"/>
              </w:rPr>
              <w:t xml:space="preserve"> integrated into the final app features and </w:t>
            </w:r>
            <w:r w:rsidRPr="00E83E20">
              <w:rPr>
                <w:rFonts w:ascii="Arial" w:eastAsiaTheme="majorEastAsia" w:hAnsi="Arial" w:cs="Arial"/>
              </w:rPr>
              <w:lastRenderedPageBreak/>
              <w:t xml:space="preserve">marketing claims. This directly increased the device's perceived utility, driving </w:t>
            </w:r>
            <w:r>
              <w:rPr>
                <w:rFonts w:ascii="Arial" w:hAnsi="Arial" w:cs="Arial"/>
              </w:rPr>
              <w:t xml:space="preserve">higher pre-order volumes and greater adoption </w:t>
            </w:r>
            <w:r w:rsidRPr="00E83E20">
              <w:rPr>
                <w:rFonts w:ascii="Arial" w:eastAsiaTheme="majorEastAsia" w:hAnsi="Arial" w:cs="Arial"/>
              </w:rPr>
              <w:t>post-launch.</w:t>
            </w:r>
          </w:p>
        </w:tc>
        <w:tc>
          <w:tcPr>
            <w:tcW w:w="3006" w:type="dxa"/>
          </w:tcPr>
          <w:p w14:paraId="3A603388" w14:textId="2F6373FC"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lastRenderedPageBreak/>
              <w:t>Target Consumers, Marketing &amp; PR, Health Professionals</w:t>
            </w:r>
          </w:p>
        </w:tc>
      </w:tr>
      <w:tr w:rsidR="005E132F" w14:paraId="304939A3" w14:textId="77777777" w:rsidTr="005E132F">
        <w:tc>
          <w:tcPr>
            <w:tcW w:w="3005" w:type="dxa"/>
          </w:tcPr>
          <w:p w14:paraId="4EBA89CE" w14:textId="2980D769"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Risk Profile (Compliance &amp; Reputation)</w:t>
            </w:r>
          </w:p>
        </w:tc>
        <w:tc>
          <w:tcPr>
            <w:tcW w:w="3005" w:type="dxa"/>
          </w:tcPr>
          <w:p w14:paraId="65458D7C" w14:textId="6FD5E400"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Improved Cross-Functional Synergy: Mandatory weekly coordination meetings with Sales, Marketing, and Distribution ensured that inventory levels, campaign launches, and retail placement were perfectly aligned. This avoided stockouts or oversupply, optimising initial sales and operational expenditure.</w:t>
            </w:r>
          </w:p>
        </w:tc>
        <w:tc>
          <w:tcPr>
            <w:tcW w:w="3006" w:type="dxa"/>
          </w:tcPr>
          <w:p w14:paraId="3851AC3C" w14:textId="2FECB746" w:rsidR="005E132F" w:rsidRDefault="00504B6E" w:rsidP="003B62D3">
            <w:pPr>
              <w:tabs>
                <w:tab w:val="left" w:pos="1355"/>
              </w:tabs>
              <w:spacing w:line="360" w:lineRule="auto"/>
              <w:rPr>
                <w:rFonts w:ascii="Arial" w:hAnsi="Arial" w:cs="Arial"/>
              </w:rPr>
            </w:pPr>
            <w:r w:rsidRPr="00E83E20">
              <w:rPr>
                <w:rFonts w:ascii="Arial" w:eastAsiaTheme="majorEastAsia" w:hAnsi="Arial" w:cs="Arial"/>
              </w:rPr>
              <w:t>Sales &amp; Distribution, Marketing &amp; PR</w:t>
            </w:r>
          </w:p>
        </w:tc>
      </w:tr>
    </w:tbl>
    <w:p w14:paraId="7E643419" w14:textId="71D11FA8" w:rsidR="00F67291" w:rsidRDefault="00F67291" w:rsidP="003B62D3">
      <w:pPr>
        <w:tabs>
          <w:tab w:val="left" w:pos="1355"/>
        </w:tabs>
        <w:spacing w:line="360" w:lineRule="auto"/>
        <w:rPr>
          <w:rFonts w:ascii="Arial" w:hAnsi="Arial" w:cs="Arial"/>
        </w:rPr>
      </w:pPr>
    </w:p>
    <w:p w14:paraId="15D3CFBC" w14:textId="77777777" w:rsidR="00674247" w:rsidRPr="00674247" w:rsidRDefault="00674247" w:rsidP="008B5941">
      <w:pPr>
        <w:pStyle w:val="Heading2"/>
      </w:pPr>
      <w:r>
        <w:t>8.2.</w:t>
      </w:r>
      <w:r w:rsidRPr="00674247">
        <w:t>Recommendations for Future Stakeholder Engagement</w:t>
      </w:r>
    </w:p>
    <w:p w14:paraId="79D50B34" w14:textId="24075547" w:rsidR="00674247" w:rsidRPr="00674247" w:rsidRDefault="00674247" w:rsidP="003B62D3">
      <w:pPr>
        <w:pStyle w:val="Heading1"/>
        <w:spacing w:line="360" w:lineRule="auto"/>
        <w:rPr>
          <w:rFonts w:ascii="Arial" w:hAnsi="Arial" w:cs="Arial"/>
          <w:color w:val="auto"/>
          <w:sz w:val="24"/>
          <w:szCs w:val="24"/>
        </w:rPr>
      </w:pPr>
      <w:r w:rsidRPr="00674247">
        <w:rPr>
          <w:rFonts w:ascii="Arial" w:hAnsi="Arial" w:cs="Arial"/>
          <w:color w:val="auto"/>
          <w:sz w:val="24"/>
          <w:szCs w:val="24"/>
        </w:rPr>
        <w:t xml:space="preserve">Based on the experience of the Veritas launch, the following recommendations are made to improve </w:t>
      </w:r>
      <w:r w:rsidR="00193EDB" w:rsidRPr="00674247">
        <w:rPr>
          <w:rFonts w:ascii="Arial" w:hAnsi="Arial" w:cs="Arial"/>
          <w:color w:val="auto"/>
          <w:sz w:val="24"/>
          <w:szCs w:val="24"/>
        </w:rPr>
        <w:t>Well Tech</w:t>
      </w:r>
      <w:r w:rsidRPr="00674247">
        <w:rPr>
          <w:rFonts w:ascii="Arial" w:hAnsi="Arial" w:cs="Arial"/>
          <w:color w:val="auto"/>
          <w:sz w:val="24"/>
          <w:szCs w:val="24"/>
        </w:rPr>
        <w:t xml:space="preserve"> UK’s future stakeholder engagement capabilities, shifting the approach from project-centric to continuous and embedded relational management.</w:t>
      </w:r>
    </w:p>
    <w:tbl>
      <w:tblPr>
        <w:tblStyle w:val="TableGrid"/>
        <w:tblW w:w="0" w:type="auto"/>
        <w:tblLook w:val="04A0" w:firstRow="1" w:lastRow="0" w:firstColumn="1" w:lastColumn="0" w:noHBand="0" w:noVBand="1"/>
      </w:tblPr>
      <w:tblGrid>
        <w:gridCol w:w="3005"/>
        <w:gridCol w:w="3005"/>
        <w:gridCol w:w="3006"/>
      </w:tblGrid>
      <w:tr w:rsidR="00193EDB" w:rsidRPr="00193EDB" w14:paraId="2FAE237E" w14:textId="77777777" w:rsidTr="00674247">
        <w:tc>
          <w:tcPr>
            <w:tcW w:w="3005" w:type="dxa"/>
          </w:tcPr>
          <w:p w14:paraId="1C07698A" w14:textId="319CED8D" w:rsidR="00674247" w:rsidRPr="00193EDB" w:rsidRDefault="00674247" w:rsidP="003B62D3">
            <w:pPr>
              <w:tabs>
                <w:tab w:val="left" w:pos="1355"/>
              </w:tabs>
              <w:spacing w:line="360" w:lineRule="auto"/>
              <w:rPr>
                <w:rFonts w:ascii="Arial" w:hAnsi="Arial" w:cs="Arial"/>
              </w:rPr>
            </w:pPr>
            <w:r w:rsidRPr="00CC3701">
              <w:rPr>
                <w:rFonts w:ascii="Arial" w:eastAsiaTheme="majorEastAsia" w:hAnsi="Arial" w:cs="Arial"/>
                <w:b/>
                <w:bCs/>
              </w:rPr>
              <w:t>Recommendation</w:t>
            </w:r>
          </w:p>
        </w:tc>
        <w:tc>
          <w:tcPr>
            <w:tcW w:w="3005" w:type="dxa"/>
          </w:tcPr>
          <w:p w14:paraId="63689598" w14:textId="54A09696" w:rsidR="00674247" w:rsidRPr="00193EDB" w:rsidRDefault="00674247" w:rsidP="003B62D3">
            <w:pPr>
              <w:tabs>
                <w:tab w:val="left" w:pos="1355"/>
              </w:tabs>
              <w:spacing w:line="360" w:lineRule="auto"/>
              <w:rPr>
                <w:rFonts w:ascii="Arial" w:hAnsi="Arial" w:cs="Arial"/>
              </w:rPr>
            </w:pPr>
            <w:r w:rsidRPr="00CC3701">
              <w:rPr>
                <w:rFonts w:ascii="Arial" w:eastAsiaTheme="majorEastAsia" w:hAnsi="Arial" w:cs="Arial"/>
                <w:b/>
                <w:bCs/>
              </w:rPr>
              <w:t>Implementation Strategy</w:t>
            </w:r>
          </w:p>
        </w:tc>
        <w:tc>
          <w:tcPr>
            <w:tcW w:w="3006" w:type="dxa"/>
          </w:tcPr>
          <w:p w14:paraId="3E3FC67B" w14:textId="3F1DA23C" w:rsidR="00674247" w:rsidRPr="00193EDB" w:rsidRDefault="00674247" w:rsidP="003B62D3">
            <w:pPr>
              <w:tabs>
                <w:tab w:val="left" w:pos="1355"/>
              </w:tabs>
              <w:spacing w:line="360" w:lineRule="auto"/>
              <w:rPr>
                <w:rFonts w:ascii="Arial" w:hAnsi="Arial" w:cs="Arial"/>
              </w:rPr>
            </w:pPr>
            <w:r w:rsidRPr="00CC3701">
              <w:rPr>
                <w:rFonts w:ascii="Arial" w:eastAsiaTheme="majorEastAsia" w:hAnsi="Arial" w:cs="Arial"/>
                <w:b/>
                <w:bCs/>
              </w:rPr>
              <w:t>Impact on Future Projects</w:t>
            </w:r>
          </w:p>
        </w:tc>
      </w:tr>
      <w:tr w:rsidR="00193EDB" w:rsidRPr="00193EDB" w14:paraId="35A90C5F" w14:textId="77777777" w:rsidTr="00D47657">
        <w:tc>
          <w:tcPr>
            <w:tcW w:w="3005" w:type="dxa"/>
          </w:tcPr>
          <w:p w14:paraId="46946533" w14:textId="4589D602"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b/>
                <w:bCs/>
              </w:rPr>
              <w:t>1. Establish a Clinical/Regulatory Forum</w:t>
            </w:r>
          </w:p>
        </w:tc>
        <w:tc>
          <w:tcPr>
            <w:tcW w:w="3005" w:type="dxa"/>
          </w:tcPr>
          <w:p w14:paraId="3EC2DFCE" w14:textId="77777777" w:rsidR="004C4EEE" w:rsidRPr="00193EDB" w:rsidRDefault="004C4EEE" w:rsidP="003B62D3">
            <w:pPr>
              <w:tabs>
                <w:tab w:val="left" w:pos="1355"/>
              </w:tabs>
              <w:spacing w:line="360" w:lineRule="auto"/>
              <w:rPr>
                <w:rFonts w:ascii="Arial" w:hAnsi="Arial" w:cs="Arial"/>
              </w:rPr>
            </w:pPr>
          </w:p>
          <w:p w14:paraId="45FB39DB" w14:textId="5510BD19" w:rsidR="004C4EEE" w:rsidRPr="00193EDB" w:rsidRDefault="004C4EEE" w:rsidP="003B62D3">
            <w:pPr>
              <w:spacing w:line="360" w:lineRule="auto"/>
              <w:ind w:firstLine="720"/>
              <w:rPr>
                <w:rFonts w:ascii="Arial" w:hAnsi="Arial" w:cs="Arial"/>
              </w:rPr>
            </w:pPr>
            <w:r w:rsidRPr="00CC3701">
              <w:rPr>
                <w:rFonts w:ascii="Arial" w:eastAsiaTheme="majorEastAsia" w:hAnsi="Arial" w:cs="Arial"/>
              </w:rPr>
              <w:t xml:space="preserve">Create an ongoing, structured forum that formally incorporates </w:t>
            </w:r>
            <w:r w:rsidRPr="00CC3701">
              <w:rPr>
                <w:rFonts w:ascii="Arial" w:eastAsiaTheme="majorEastAsia" w:hAnsi="Arial" w:cs="Arial"/>
              </w:rPr>
              <w:lastRenderedPageBreak/>
              <w:t>clinical and regulatory feedback throughout the product development lifecycle (not just the launch phase). This shifts NHS/clinical partners from external validators to internal consultants.</w:t>
            </w:r>
          </w:p>
        </w:tc>
        <w:tc>
          <w:tcPr>
            <w:tcW w:w="3006" w:type="dxa"/>
            <w:vAlign w:val="center"/>
          </w:tcPr>
          <w:p w14:paraId="51E768B7" w14:textId="3747C2EC"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lastRenderedPageBreak/>
              <w:t xml:space="preserve">Ensures that medical utility and compliance are ‘built in’ from concept to delivery, significantly </w:t>
            </w:r>
            <w:r w:rsidRPr="00CC3701">
              <w:rPr>
                <w:rFonts w:ascii="Arial" w:eastAsiaTheme="majorEastAsia" w:hAnsi="Arial" w:cs="Arial"/>
              </w:rPr>
              <w:lastRenderedPageBreak/>
              <w:t>reducing regulatory risk and time-to-market.</w:t>
            </w:r>
          </w:p>
        </w:tc>
      </w:tr>
      <w:tr w:rsidR="00193EDB" w:rsidRPr="00193EDB" w14:paraId="6B061E0C" w14:textId="77777777" w:rsidTr="008854CC">
        <w:tc>
          <w:tcPr>
            <w:tcW w:w="3005" w:type="dxa"/>
            <w:vAlign w:val="center"/>
          </w:tcPr>
          <w:p w14:paraId="314C74D3" w14:textId="54FE4895" w:rsidR="004C4EEE" w:rsidRPr="00193EDB" w:rsidRDefault="004C4EEE" w:rsidP="003B62D3">
            <w:pPr>
              <w:tabs>
                <w:tab w:val="left" w:pos="1355"/>
              </w:tabs>
              <w:spacing w:line="360" w:lineRule="auto"/>
              <w:rPr>
                <w:rFonts w:ascii="Arial" w:hAnsi="Arial" w:cs="Arial"/>
                <w:lang w:val="it-IT"/>
              </w:rPr>
            </w:pPr>
            <w:r w:rsidRPr="00CC3701">
              <w:rPr>
                <w:rFonts w:ascii="Arial" w:eastAsiaTheme="majorEastAsia" w:hAnsi="Arial" w:cs="Arial"/>
                <w:b/>
                <w:bCs/>
                <w:lang w:val="it-IT"/>
              </w:rPr>
              <w:lastRenderedPageBreak/>
              <w:t>2. Integrate Social Media Listening (SML)</w:t>
            </w:r>
          </w:p>
        </w:tc>
        <w:tc>
          <w:tcPr>
            <w:tcW w:w="3005" w:type="dxa"/>
            <w:vAlign w:val="center"/>
          </w:tcPr>
          <w:p w14:paraId="5D2A9419" w14:textId="3A33718B"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Use SML tools to monitor real-time consumer sentiment towards the product ('Veritas') and competitors. The PM will use this data to adjust messaging, address early-adoption challenges, and identify emerging feature needs.</w:t>
            </w:r>
          </w:p>
        </w:tc>
        <w:tc>
          <w:tcPr>
            <w:tcW w:w="3006" w:type="dxa"/>
            <w:vAlign w:val="center"/>
          </w:tcPr>
          <w:p w14:paraId="45806DEE" w14:textId="6297AD2C"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Facilitates immediate, two-way communication with the mass consumer stakeholder group, turning the communication plan into a responsive feedback mechanism.</w:t>
            </w:r>
          </w:p>
        </w:tc>
      </w:tr>
      <w:tr w:rsidR="00193EDB" w:rsidRPr="00193EDB" w14:paraId="40849F40" w14:textId="77777777" w:rsidTr="00A92D90">
        <w:tc>
          <w:tcPr>
            <w:tcW w:w="3005" w:type="dxa"/>
            <w:vAlign w:val="center"/>
          </w:tcPr>
          <w:p w14:paraId="64BBA359" w14:textId="26E01C94"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b/>
                <w:bCs/>
              </w:rPr>
              <w:t>3. Mandatory Cross-Functional Rotations</w:t>
            </w:r>
          </w:p>
        </w:tc>
        <w:tc>
          <w:tcPr>
            <w:tcW w:w="3005" w:type="dxa"/>
            <w:vAlign w:val="center"/>
          </w:tcPr>
          <w:p w14:paraId="0D768A3E" w14:textId="7EB52BBC"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To improve collaboration and coordination across departments (a key C in the 4C's Model), senior leaders from Marketing, Regulatory, and PDT should spend one week each quarter working in another functional area.</w:t>
            </w:r>
          </w:p>
        </w:tc>
        <w:tc>
          <w:tcPr>
            <w:tcW w:w="3006" w:type="dxa"/>
            <w:vAlign w:val="center"/>
          </w:tcPr>
          <w:p w14:paraId="17A21822" w14:textId="075BC090" w:rsidR="004C4EEE" w:rsidRPr="00193EDB" w:rsidRDefault="004C4EEE" w:rsidP="003B62D3">
            <w:pPr>
              <w:tabs>
                <w:tab w:val="left" w:pos="1355"/>
              </w:tabs>
              <w:spacing w:line="360" w:lineRule="auto"/>
              <w:rPr>
                <w:rFonts w:ascii="Arial" w:hAnsi="Arial" w:cs="Arial"/>
              </w:rPr>
            </w:pPr>
            <w:r w:rsidRPr="00CC3701">
              <w:rPr>
                <w:rFonts w:ascii="Arial" w:eastAsiaTheme="majorEastAsia" w:hAnsi="Arial" w:cs="Arial"/>
              </w:rPr>
              <w:t>Fosters empathy, breaks down silo mentality, and helps team members understand the real impact of their decisions on upstream and downstream processes, enhancing cooperation.</w:t>
            </w:r>
          </w:p>
        </w:tc>
      </w:tr>
      <w:tr w:rsidR="00193EDB" w:rsidRPr="00193EDB" w14:paraId="36AF15B3" w14:textId="77777777" w:rsidTr="001A0671">
        <w:tc>
          <w:tcPr>
            <w:tcW w:w="3005" w:type="dxa"/>
            <w:vAlign w:val="center"/>
          </w:tcPr>
          <w:p w14:paraId="592B17D8" w14:textId="5721E0CC" w:rsidR="00780F66" w:rsidRPr="00193EDB" w:rsidRDefault="00780F66" w:rsidP="003B62D3">
            <w:pPr>
              <w:tabs>
                <w:tab w:val="left" w:pos="1355"/>
              </w:tabs>
              <w:spacing w:line="360" w:lineRule="auto"/>
              <w:rPr>
                <w:rFonts w:ascii="Arial" w:hAnsi="Arial" w:cs="Arial"/>
              </w:rPr>
            </w:pPr>
            <w:r w:rsidRPr="00CC3701">
              <w:rPr>
                <w:rFonts w:ascii="Arial" w:eastAsiaTheme="majorEastAsia" w:hAnsi="Arial" w:cs="Arial"/>
                <w:b/>
                <w:bCs/>
              </w:rPr>
              <w:t>4. Implement a Stakeholder Value Scorecard (SVS)</w:t>
            </w:r>
          </w:p>
        </w:tc>
        <w:tc>
          <w:tcPr>
            <w:tcW w:w="3005" w:type="dxa"/>
            <w:vAlign w:val="center"/>
          </w:tcPr>
          <w:p w14:paraId="653E9421" w14:textId="49B9C43B" w:rsidR="00780F66" w:rsidRPr="00193EDB" w:rsidRDefault="00780F66" w:rsidP="003B62D3">
            <w:pPr>
              <w:tabs>
                <w:tab w:val="left" w:pos="1355"/>
              </w:tabs>
              <w:spacing w:line="360" w:lineRule="auto"/>
              <w:rPr>
                <w:rFonts w:ascii="Arial" w:hAnsi="Arial" w:cs="Arial"/>
              </w:rPr>
            </w:pPr>
            <w:r w:rsidRPr="00CC3701">
              <w:rPr>
                <w:rFonts w:ascii="Arial" w:eastAsiaTheme="majorEastAsia" w:hAnsi="Arial" w:cs="Arial"/>
              </w:rPr>
              <w:t xml:space="preserve">In addition to simple satisfaction ratings, the SVS should measure the perceived value contribution and level of active participation of </w:t>
            </w:r>
            <w:r w:rsidRPr="00CC3701">
              <w:rPr>
                <w:rFonts w:ascii="Arial" w:eastAsiaTheme="majorEastAsia" w:hAnsi="Arial" w:cs="Arial"/>
              </w:rPr>
              <w:lastRenderedPageBreak/>
              <w:t>each high-level stakeholder (e.g., Senior Management, Key Suppliers). Low ratings trigger mandatory interventions by individual project managers.</w:t>
            </w:r>
          </w:p>
        </w:tc>
        <w:tc>
          <w:tcPr>
            <w:tcW w:w="3006" w:type="dxa"/>
            <w:vAlign w:val="center"/>
          </w:tcPr>
          <w:p w14:paraId="2CC5ADF3" w14:textId="76A9E844" w:rsidR="00780F66" w:rsidRPr="00193EDB" w:rsidRDefault="00780F66" w:rsidP="003B62D3">
            <w:pPr>
              <w:tabs>
                <w:tab w:val="left" w:pos="1355"/>
              </w:tabs>
              <w:spacing w:line="360" w:lineRule="auto"/>
              <w:rPr>
                <w:rFonts w:ascii="Arial" w:hAnsi="Arial" w:cs="Arial"/>
              </w:rPr>
            </w:pPr>
            <w:r w:rsidRPr="00CC3701">
              <w:rPr>
                <w:rFonts w:ascii="Arial" w:eastAsiaTheme="majorEastAsia" w:hAnsi="Arial" w:cs="Arial"/>
              </w:rPr>
              <w:lastRenderedPageBreak/>
              <w:t xml:space="preserve">Ensures that critical relationships are maintained at optimal levels, sustaining the “relational lens” approach long after launch and </w:t>
            </w:r>
            <w:r w:rsidRPr="00CC3701">
              <w:rPr>
                <w:rFonts w:ascii="Arial" w:eastAsiaTheme="majorEastAsia" w:hAnsi="Arial" w:cs="Arial"/>
              </w:rPr>
              <w:lastRenderedPageBreak/>
              <w:t>maximising stakeholder contribution.</w:t>
            </w:r>
          </w:p>
        </w:tc>
      </w:tr>
    </w:tbl>
    <w:p w14:paraId="6562AEAB" w14:textId="77777777" w:rsidR="00674247" w:rsidRPr="00F67291" w:rsidRDefault="00674247" w:rsidP="003B62D3">
      <w:pPr>
        <w:tabs>
          <w:tab w:val="left" w:pos="1355"/>
        </w:tabs>
        <w:spacing w:line="360" w:lineRule="auto"/>
        <w:rPr>
          <w:rFonts w:ascii="Arial" w:hAnsi="Arial" w:cs="Arial"/>
        </w:rPr>
      </w:pPr>
    </w:p>
    <w:p w14:paraId="3D257DE6" w14:textId="52D663C0" w:rsidR="00EB35D5" w:rsidRPr="00C21484" w:rsidRDefault="00EB35D5" w:rsidP="003B62D3">
      <w:pPr>
        <w:pStyle w:val="Heading1"/>
        <w:spacing w:line="360" w:lineRule="auto"/>
        <w:rPr>
          <w:rFonts w:ascii="Arial" w:hAnsi="Arial" w:cs="Arial"/>
          <w:sz w:val="24"/>
          <w:szCs w:val="24"/>
        </w:rPr>
      </w:pPr>
    </w:p>
    <w:p w14:paraId="625BA3EA" w14:textId="77777777" w:rsidR="00EB35D5" w:rsidRDefault="00EB35D5" w:rsidP="003B62D3">
      <w:pPr>
        <w:pStyle w:val="Heading1"/>
        <w:spacing w:line="360" w:lineRule="auto"/>
        <w:rPr>
          <w:rFonts w:ascii="Arial" w:hAnsi="Arial" w:cs="Arial"/>
        </w:rPr>
      </w:pPr>
    </w:p>
    <w:p w14:paraId="70AC2D29" w14:textId="77777777" w:rsidR="00EB35D5" w:rsidRDefault="00EB35D5" w:rsidP="003B62D3">
      <w:pPr>
        <w:spacing w:line="360" w:lineRule="auto"/>
      </w:pPr>
    </w:p>
    <w:p w14:paraId="184D5FFA" w14:textId="77777777" w:rsidR="00EB35D5" w:rsidRDefault="00EB35D5" w:rsidP="003B62D3">
      <w:pPr>
        <w:spacing w:line="360" w:lineRule="auto"/>
      </w:pPr>
    </w:p>
    <w:p w14:paraId="6B67CAD1" w14:textId="77777777" w:rsidR="00EB35D5" w:rsidRDefault="00EB35D5" w:rsidP="003B62D3">
      <w:pPr>
        <w:spacing w:line="360" w:lineRule="auto"/>
      </w:pPr>
    </w:p>
    <w:p w14:paraId="07DC9B55" w14:textId="77777777" w:rsidR="00EB35D5" w:rsidRPr="00695087" w:rsidRDefault="00EB35D5" w:rsidP="003B62D3">
      <w:pPr>
        <w:spacing w:line="360" w:lineRule="auto"/>
      </w:pPr>
    </w:p>
    <w:p w14:paraId="353FB278" w14:textId="421C1503" w:rsidR="00EB35D5" w:rsidRPr="00367542" w:rsidRDefault="000D56C7" w:rsidP="003B62D3">
      <w:pPr>
        <w:pStyle w:val="Heading1"/>
        <w:spacing w:line="360" w:lineRule="auto"/>
        <w:jc w:val="center"/>
        <w:rPr>
          <w:rFonts w:ascii="Arial" w:hAnsi="Arial" w:cs="Arial"/>
        </w:rPr>
      </w:pPr>
      <w:r>
        <w:rPr>
          <w:rFonts w:ascii="Arial" w:hAnsi="Arial" w:cs="Arial"/>
        </w:rPr>
        <w:t>9</w:t>
      </w:r>
      <w:r w:rsidR="00EB35D5" w:rsidRPr="00367542">
        <w:rPr>
          <w:rFonts w:ascii="Arial" w:hAnsi="Arial" w:cs="Arial"/>
        </w:rPr>
        <w:t>.</w:t>
      </w:r>
      <w:r w:rsidR="00EB35D5">
        <w:rPr>
          <w:rFonts w:ascii="Arial" w:hAnsi="Arial" w:cs="Arial"/>
        </w:rPr>
        <w:t xml:space="preserve"> </w:t>
      </w:r>
      <w:r w:rsidR="00EB35D5" w:rsidRPr="00367542">
        <w:rPr>
          <w:rFonts w:ascii="Arial" w:hAnsi="Arial" w:cs="Arial"/>
        </w:rPr>
        <w:t>Conclusion</w:t>
      </w:r>
    </w:p>
    <w:p w14:paraId="70F7D6CA" w14:textId="001CC320" w:rsidR="00284CDA" w:rsidRPr="00284CDA" w:rsidRDefault="00284CDA" w:rsidP="003B62D3">
      <w:pPr>
        <w:spacing w:line="360" w:lineRule="auto"/>
      </w:pPr>
      <w:r w:rsidRPr="00284CDA">
        <w:t xml:space="preserve">The launch of the 'Veritas' health smartwatch represents a critical strategic pivot for </w:t>
      </w:r>
      <w:r w:rsidR="00382042" w:rsidRPr="00284CDA">
        <w:t>Well Tech</w:t>
      </w:r>
      <w:r w:rsidRPr="00284CDA">
        <w:t xml:space="preserve"> UK, moving into the highly sensitive and regulated direct-to-consumer healthcare domain. This report has demonstrated that managing the stringent six-month deadline and achieving the aggressive SMART objectives hinge entirely on a disciplined, relational approach to stakeholder engagement.</w:t>
      </w:r>
    </w:p>
    <w:p w14:paraId="6EF7F0A0" w14:textId="0DC16A05" w:rsidR="00284CDA" w:rsidRPr="00284CDA" w:rsidRDefault="00284CDA" w:rsidP="003B62D3">
      <w:pPr>
        <w:spacing w:line="360" w:lineRule="auto"/>
      </w:pPr>
      <w:r w:rsidRPr="00284CDA">
        <w:t xml:space="preserve">The initial situational analysis (SWOT/PESTLE) highlighted the core challenge: leveraging </w:t>
      </w:r>
      <w:r w:rsidR="00382042" w:rsidRPr="00284CDA">
        <w:t>Well Tech</w:t>
      </w:r>
      <w:r w:rsidRPr="00284CDA">
        <w:t xml:space="preserve"> UK’s clinical heritage while mitigating the operational risks associated with a fast-paced market entry. The identification of diverse internal (PDT, Marketing) and external (Regulatory Bodies, Supply Chain) stakeholders, coupled with the application of foundational frameworks (Power/Interest Matrix, RACI), provided the necessary structure to define roles, anticipate conflict, and prioritise engagement efforts.</w:t>
      </w:r>
    </w:p>
    <w:p w14:paraId="38D72409" w14:textId="3EED882D" w:rsidR="00284CDA" w:rsidRPr="00284CDA" w:rsidRDefault="00284CDA" w:rsidP="003B62D3">
      <w:pPr>
        <w:spacing w:line="360" w:lineRule="auto"/>
      </w:pPr>
      <w:r w:rsidRPr="00284CDA">
        <w:lastRenderedPageBreak/>
        <w:t>Crucially, the Project Manager's role extended beyond task execution to actively fostering relationship quality. The critical explanation of the engagement process, underpinned by the 4C model—Communication, Coordination, Cooperation, and Collaboration—established a proactive strategy for conflict resolution, ensuring that inevitable departmental friction was resolved productively.</w:t>
      </w:r>
    </w:p>
    <w:p w14:paraId="308E3521" w14:textId="05E1C170" w:rsidR="00284CDA" w:rsidRPr="00284CDA" w:rsidRDefault="00284CDA" w:rsidP="003B62D3">
      <w:pPr>
        <w:spacing w:line="360" w:lineRule="auto"/>
      </w:pPr>
      <w:r w:rsidRPr="00284CDA">
        <w:t>The evaluation confirms that effective stakeholder engagement is a powerful lever for business performance, directly mitigating regulatory risk, accelerating time-to-market, and enhancing revenue potential through increased market credibility. By adopting the recommendations—particularly the formalised Clinician channel and cross-functional rotations—</w:t>
      </w:r>
      <w:r w:rsidR="00382042" w:rsidRPr="00284CDA">
        <w:t>Well Tech</w:t>
      </w:r>
      <w:r w:rsidRPr="00284CDA">
        <w:t xml:space="preserve"> UK can embed this stakeholder-centric philosophy permanently. Ultimately, the successful delivery of 'Veritas' will validate the principle that strategic project management is synonymous with strategic relationship management, ensuring long-term success in the dynamic HealthTech sector.</w:t>
      </w:r>
    </w:p>
    <w:p w14:paraId="5A98EDE1" w14:textId="7CDE7593" w:rsidR="00284CDA" w:rsidRPr="00284CDA" w:rsidRDefault="00284CDA" w:rsidP="003B62D3">
      <w:pPr>
        <w:spacing w:line="360" w:lineRule="auto"/>
      </w:pPr>
    </w:p>
    <w:p w14:paraId="7DA095F5" w14:textId="77777777" w:rsidR="00854C35" w:rsidRDefault="00854C35" w:rsidP="003B62D3">
      <w:pPr>
        <w:spacing w:line="360" w:lineRule="auto"/>
      </w:pPr>
    </w:p>
    <w:p w14:paraId="06E5A903" w14:textId="4271F397" w:rsidR="008F42F8" w:rsidRDefault="008F42F8" w:rsidP="00C56497">
      <w:pPr>
        <w:pStyle w:val="Heading1"/>
        <w:spacing w:line="360" w:lineRule="auto"/>
        <w:jc w:val="center"/>
        <w:rPr>
          <w:rFonts w:ascii="Arial" w:hAnsi="Arial" w:cs="Arial"/>
        </w:rPr>
      </w:pPr>
      <w:r w:rsidRPr="00B8300A">
        <w:rPr>
          <w:rFonts w:ascii="Arial" w:hAnsi="Arial" w:cs="Arial"/>
        </w:rPr>
        <w:t>R</w:t>
      </w:r>
      <w:r w:rsidR="00B27B23">
        <w:rPr>
          <w:rFonts w:ascii="Arial" w:hAnsi="Arial" w:cs="Arial"/>
        </w:rPr>
        <w:t>eference list</w:t>
      </w:r>
    </w:p>
    <w:p w14:paraId="4732E76D" w14:textId="77777777" w:rsidR="006E5F38" w:rsidRDefault="006E5F38" w:rsidP="003B62D3">
      <w:pPr>
        <w:spacing w:line="360" w:lineRule="auto"/>
      </w:pPr>
    </w:p>
    <w:p w14:paraId="06E52322" w14:textId="77777777" w:rsidR="006E5F38" w:rsidRPr="001E767C" w:rsidRDefault="006E5F38" w:rsidP="003B62D3">
      <w:pPr>
        <w:spacing w:line="360" w:lineRule="auto"/>
      </w:pPr>
      <w:r>
        <w:t xml:space="preserve">1. </w:t>
      </w:r>
      <w:r w:rsidRPr="001E767C">
        <w:t xml:space="preserve">Blood Pressure Smart Watch with Air Pump Air Bag, Voice Broadcast, Data Sharing, 2.06" AMOLED Fitness Tracker, 24/7 Heart Rate/Blood Oxygen/Sleep, SOS Button, Answer/Make Call (n.d.) Tech Gadgets Inc. Available at: </w:t>
      </w:r>
      <w:hyperlink r:id="rId10" w:history="1">
        <w:r w:rsidRPr="00687B09">
          <w:rPr>
            <w:rStyle w:val="Hyperlink"/>
          </w:rPr>
          <w:t>https://www.google.com/search?q=https://www.techgadgets.com/product/blood-pressure-watch</w:t>
        </w:r>
      </w:hyperlink>
      <w:r w:rsidRPr="00687B09">
        <w:t>,</w:t>
      </w:r>
      <w:r w:rsidRPr="001E767C">
        <w:t>(Accessed: 14 December 2025).</w:t>
      </w:r>
    </w:p>
    <w:p w14:paraId="1F817D5C" w14:textId="77777777" w:rsidR="006E5F38" w:rsidRPr="001E767C" w:rsidRDefault="006E5F38" w:rsidP="003B62D3">
      <w:pPr>
        <w:spacing w:line="360" w:lineRule="auto"/>
      </w:pPr>
      <w:r>
        <w:t xml:space="preserve">2. </w:t>
      </w:r>
      <w:r w:rsidRPr="001E767C">
        <w:t xml:space="preserve">Cleland, D. I. (1986) 'Project Stakeholder Management', </w:t>
      </w:r>
      <w:r w:rsidRPr="001E767C">
        <w:rPr>
          <w:i/>
          <w:iCs/>
        </w:rPr>
        <w:t>Project Management Journal</w:t>
      </w:r>
      <w:r w:rsidRPr="001E767C">
        <w:t>, 17(4), pp. 36–44</w:t>
      </w:r>
      <w:r>
        <w:t>, Available at:</w:t>
      </w:r>
      <w:r w:rsidRPr="00023B79">
        <w:t>https://www.researchgate.net/publication/228934223_Project_Stakeholder_Management</w:t>
      </w:r>
      <w:r>
        <w:t>,(Accessed 14 December 2025)</w:t>
      </w:r>
    </w:p>
    <w:p w14:paraId="45B2FA21" w14:textId="77777777" w:rsidR="006E5F38" w:rsidRPr="001E767C" w:rsidRDefault="006E5F38" w:rsidP="003B62D3">
      <w:pPr>
        <w:pStyle w:val="ListParagraph"/>
        <w:spacing w:line="360" w:lineRule="auto"/>
        <w:ind w:left="0"/>
      </w:pPr>
      <w:r>
        <w:t xml:space="preserve">3. </w:t>
      </w:r>
      <w:r w:rsidRPr="001E767C">
        <w:t>European Commission (2017)</w:t>
      </w:r>
      <w:r>
        <w:t xml:space="preserve">, </w:t>
      </w:r>
      <w:r w:rsidRPr="003E5F68">
        <w:rPr>
          <w:i/>
          <w:iCs/>
        </w:rPr>
        <w:t>Regulation (EU) 2017/745 on medical devices (MDR)</w:t>
      </w:r>
      <w:r w:rsidRPr="001E767C">
        <w:t>. Official Journal of the European Union</w:t>
      </w:r>
      <w:r>
        <w:t xml:space="preserve">, </w:t>
      </w:r>
      <w:r w:rsidRPr="001E767C">
        <w:t>Available at:</w:t>
      </w:r>
      <w:r>
        <w:t xml:space="preserve"> </w:t>
      </w:r>
      <w:hyperlink r:id="rId11" w:history="1">
        <w:r w:rsidRPr="00A617FF">
          <w:rPr>
            <w:rStyle w:val="Hyperlink"/>
          </w:rPr>
          <w:t>https://testlabsuk.com/testing-</w:t>
        </w:r>
        <w:r w:rsidRPr="00A617FF">
          <w:rPr>
            <w:rStyle w:val="Hyperlink"/>
          </w:rPr>
          <w:lastRenderedPageBreak/>
          <w:t>services/clinical-evaluation/?utm_term=mdr%20cer&amp;utm_campaign=Medical+-+Device++Biocompatibility&amp;utm_source=adwords&amp;utm_medium=ppc&amp;hsa_acc=5490536986&amp;hsa_cam=22641502044&amp;hsa_grp=179997839665&amp;hsa_ad=756668087916&amp;hsa_src=g&amp;hsa_tgt=kwd-936824792804&amp;hsa_kw=mdr%20cer&amp;hsa_mt=b&amp;hsa_net=adwords&amp;hsa_ver=3&amp;gad_source=1&amp;gad_campaignid=22641502044&amp;gbraid=0AAAAAo-NYe1CJFLa3ykWVZ65-092R4HRC&amp;gclid=Cj0KCQiA9OnJBhD-ARIsAPV51xMy0cA12ATF6hbj4c4_QXHPEE1Yi072mcigJ8E_OzsYFXaKGwDVjC4aAn7_EALw_wcB</w:t>
        </w:r>
      </w:hyperlink>
      <w:r>
        <w:t xml:space="preserve"> </w:t>
      </w:r>
      <w:r w:rsidRPr="001E767C">
        <w:t xml:space="preserve"> [Accessed: 14 December 2025].</w:t>
      </w:r>
    </w:p>
    <w:p w14:paraId="7E32974E" w14:textId="77777777" w:rsidR="006E5F38" w:rsidRPr="001E767C" w:rsidRDefault="006E5F38" w:rsidP="003B62D3">
      <w:pPr>
        <w:spacing w:line="360" w:lineRule="auto"/>
      </w:pPr>
      <w:r>
        <w:t xml:space="preserve">4. </w:t>
      </w:r>
      <w:r w:rsidRPr="001E767C">
        <w:t>Fisher, R. and Ury, W. (2011)</w:t>
      </w:r>
      <w:r>
        <w:t xml:space="preserve">, </w:t>
      </w:r>
      <w:r w:rsidRPr="001E767C">
        <w:rPr>
          <w:i/>
          <w:iCs/>
        </w:rPr>
        <w:t>Getting to Yes: Negotiating Agreement Without Giving In</w:t>
      </w:r>
      <w:r w:rsidRPr="001E767C">
        <w:t>. London: Penguin Books</w:t>
      </w:r>
      <w:r>
        <w:t>, Available at:</w:t>
      </w:r>
      <w:r w:rsidRPr="002806B9">
        <w:t xml:space="preserve"> https://www2.hawaii.edu/~barkai/HO/GTY.pdf</w:t>
      </w:r>
      <w:r>
        <w:t>, (Accessed 14 December 2025)</w:t>
      </w:r>
    </w:p>
    <w:p w14:paraId="75E38AF0" w14:textId="77777777" w:rsidR="006E5F38" w:rsidRPr="001E767C" w:rsidRDefault="006E5F38" w:rsidP="003B62D3">
      <w:pPr>
        <w:spacing w:line="360" w:lineRule="auto"/>
      </w:pPr>
      <w:r>
        <w:t xml:space="preserve">5. </w:t>
      </w:r>
      <w:r w:rsidRPr="001E767C">
        <w:t>Freeman, R. E. (2010)</w:t>
      </w:r>
      <w:r>
        <w:t xml:space="preserve">, </w:t>
      </w:r>
      <w:r w:rsidRPr="001E767C">
        <w:t xml:space="preserve"> </w:t>
      </w:r>
      <w:r w:rsidRPr="001E767C">
        <w:rPr>
          <w:i/>
          <w:iCs/>
        </w:rPr>
        <w:t>Strategic Management: A Stakeholder Approach</w:t>
      </w:r>
      <w:r w:rsidRPr="001E767C">
        <w:t>. Cambridge: Cambridge University Press</w:t>
      </w:r>
      <w:r>
        <w:t>, Available at:</w:t>
      </w:r>
      <w:r w:rsidRPr="00912800">
        <w:t>https://www.researchgate.net/publication/228320877_A_Stakeholder_Approach_to_Strategic_Management</w:t>
      </w:r>
      <w:r>
        <w:t>, (Accessed 14 December 2025)</w:t>
      </w:r>
    </w:p>
    <w:p w14:paraId="3555FFEA" w14:textId="77777777" w:rsidR="006E5F38" w:rsidRPr="001E767C" w:rsidRDefault="006E5F38" w:rsidP="003B62D3">
      <w:pPr>
        <w:spacing w:line="360" w:lineRule="auto"/>
      </w:pPr>
      <w:r>
        <w:t xml:space="preserve">6. </w:t>
      </w:r>
      <w:r w:rsidRPr="001E767C">
        <w:t>Johnson, G., Scholes, K. and Whittington, R. (2020)</w:t>
      </w:r>
      <w:r>
        <w:t xml:space="preserve">, </w:t>
      </w:r>
      <w:r w:rsidRPr="001E767C">
        <w:t xml:space="preserve"> </w:t>
      </w:r>
      <w:r w:rsidRPr="001E767C">
        <w:rPr>
          <w:i/>
          <w:iCs/>
        </w:rPr>
        <w:t>Exploring Strategy</w:t>
      </w:r>
      <w:r w:rsidRPr="001E767C">
        <w:t>. Harlow: Pearson Education</w:t>
      </w:r>
      <w:r>
        <w:t xml:space="preserve">, available at: </w:t>
      </w:r>
      <w:hyperlink r:id="rId12" w:history="1">
        <w:r w:rsidRPr="00A617FF">
          <w:rPr>
            <w:rStyle w:val="Hyperlink"/>
          </w:rPr>
          <w:t>https://www.researchgate.net/publication/341152003_Exploring_Strategy_12th_edition</w:t>
        </w:r>
      </w:hyperlink>
      <w:r>
        <w:t>,(Accessed 14 December 2025)</w:t>
      </w:r>
    </w:p>
    <w:p w14:paraId="3F478F0C" w14:textId="77777777" w:rsidR="006E5F38" w:rsidRPr="001E767C" w:rsidRDefault="006E5F38" w:rsidP="003B62D3">
      <w:pPr>
        <w:spacing w:line="360" w:lineRule="auto"/>
      </w:pPr>
      <w:r>
        <w:t xml:space="preserve">7. </w:t>
      </w:r>
      <w:r w:rsidRPr="001E767C">
        <w:t>Kerzner, H. (2022)</w:t>
      </w:r>
      <w:r>
        <w:t xml:space="preserve">, </w:t>
      </w:r>
      <w:r w:rsidRPr="001E767C">
        <w:t xml:space="preserve"> </w:t>
      </w:r>
      <w:r w:rsidRPr="001E767C">
        <w:rPr>
          <w:i/>
          <w:iCs/>
        </w:rPr>
        <w:t>Project Management: A Systems Approach to Planning, Scheduling, and Controlling</w:t>
      </w:r>
      <w:r w:rsidRPr="001E767C">
        <w:t>. Hoboken, NJ: Wiley</w:t>
      </w:r>
      <w:r>
        <w:t>, Available at:</w:t>
      </w:r>
      <w:r w:rsidRPr="004B5397">
        <w:t>https://www.perlego.com/book/3236853/project-management-a-systems-approach-to-planning-scheduling-and-controlling-pdf</w:t>
      </w:r>
      <w:r>
        <w:t>,(Accessed 14 December)</w:t>
      </w:r>
    </w:p>
    <w:p w14:paraId="37478D6F" w14:textId="77777777" w:rsidR="006E5F38" w:rsidRPr="001E767C" w:rsidRDefault="006E5F38" w:rsidP="003B62D3">
      <w:pPr>
        <w:spacing w:line="360" w:lineRule="auto"/>
      </w:pPr>
      <w:r>
        <w:t xml:space="preserve">8. </w:t>
      </w:r>
      <w:r w:rsidRPr="001E767C">
        <w:t>Mendelow, A. L. (1987)</w:t>
      </w:r>
      <w:r>
        <w:t>,</w:t>
      </w:r>
      <w:r w:rsidRPr="001E767C">
        <w:t xml:space="preserve"> </w:t>
      </w:r>
      <w:r w:rsidRPr="001E767C">
        <w:rPr>
          <w:i/>
          <w:iCs/>
        </w:rPr>
        <w:t>A study of corporate social responsibility and accountability to stakeholders and their influence on the development of organisational policy</w:t>
      </w:r>
      <w:r w:rsidRPr="001E767C">
        <w:t>. PhD Thesis. University of Bath</w:t>
      </w:r>
      <w:r>
        <w:t>, Available at:</w:t>
      </w:r>
      <w:r w:rsidRPr="00544A4B">
        <w:t>https://www.researchgate.net/publication/5149329_A_Stakeholder_Approach_to_Corporate_Social_Responsibility_A_Fresh_Perspective_into_Theory_and_Practice</w:t>
      </w:r>
      <w:r>
        <w:t xml:space="preserve"> , (Accessed 14 December 2025)</w:t>
      </w:r>
    </w:p>
    <w:p w14:paraId="4F09BF81" w14:textId="77777777" w:rsidR="006E5F38" w:rsidRDefault="006E5F38" w:rsidP="003B62D3">
      <w:pPr>
        <w:spacing w:line="360" w:lineRule="auto"/>
      </w:pPr>
      <w:r>
        <w:lastRenderedPageBreak/>
        <w:t xml:space="preserve">9. </w:t>
      </w:r>
      <w:r w:rsidRPr="001E767C">
        <w:t xml:space="preserve">Project Management Institute (PMI) (2021) </w:t>
      </w:r>
      <w:r w:rsidRPr="001E767C">
        <w:rPr>
          <w:i/>
          <w:iCs/>
        </w:rPr>
        <w:t>A Guide to the Project Management Body of Knowledge (PMBOK® Guide)</w:t>
      </w:r>
      <w:r w:rsidRPr="001E767C">
        <w:t>. 7th end. Newton Square, PA: Project Management Institute</w:t>
      </w:r>
      <w:r>
        <w:t>, Available at:</w:t>
      </w:r>
      <w:r w:rsidRPr="00695087">
        <w:t>https://testlabsuk.com/testing-services/clinical-evaluation/?utm_term=mdr%20cer&amp;utm_campaign=Medical+-+Device++Biocompatibility&amp;utm_source=adwords&amp;utm_medium=ppc&amp;hsa_acc=549053698, 6&amp;hsa_cam=22641502044&amp;hsa_grp=179997839665&amp;hsa_ad=756668087916&amp;hsa_src=g&amp;a_tgt=kwd-936824792804&amp;hsa_kw=mdr%20cer&amp;hsa_mt=b&amp;hsa_net=adwords&amp;hsa_ver=3&amp;gad_source=1&amp;gad_campaignid=22641502044&amp;gbraid=0AAAAAo-NYe1CJFLa3ykWVZ65-092R4HRC&amp;gclid=Cj0KCQiA9OnJBhD-ARIsAPV51xMy0cA12ATF6hbj4c4_QXHPEE1Yi072mcigJ8E_OzsYFXaKGwDVjC4aAn7_EALw_wcB</w:t>
      </w:r>
      <w:r>
        <w:t xml:space="preserve"> ,(Accessed 14 December 2025)</w:t>
      </w:r>
    </w:p>
    <w:p w14:paraId="71AE4FA8" w14:textId="77777777" w:rsidR="006E5F38" w:rsidRPr="006E5F38" w:rsidRDefault="006E5F38" w:rsidP="006E5F38"/>
    <w:sectPr w:rsidR="006E5F38" w:rsidRPr="006E5F38" w:rsidSect="006E6E54">
      <w:headerReference w:type="default" r:id="rId13"/>
      <w:footerReference w:type="default" r:id="rId14"/>
      <w:pgSz w:w="11906" w:h="16838" w:code="9"/>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0879E" w14:textId="77777777" w:rsidR="00D24493" w:rsidRDefault="00D24493" w:rsidP="0018229F">
      <w:pPr>
        <w:spacing w:after="0" w:line="240" w:lineRule="auto"/>
      </w:pPr>
      <w:r>
        <w:separator/>
      </w:r>
    </w:p>
  </w:endnote>
  <w:endnote w:type="continuationSeparator" w:id="0">
    <w:p w14:paraId="4818DFF7" w14:textId="77777777" w:rsidR="00D24493" w:rsidRDefault="00D24493" w:rsidP="00182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017210"/>
      <w:docPartObj>
        <w:docPartGallery w:val="Page Numbers (Bottom of Page)"/>
        <w:docPartUnique/>
      </w:docPartObj>
    </w:sdtPr>
    <w:sdtContent>
      <w:p w14:paraId="6F211CD2" w14:textId="2A18AF14" w:rsidR="006E6E54" w:rsidRDefault="006E6E54">
        <w:pPr>
          <w:pStyle w:val="Footer"/>
          <w:jc w:val="center"/>
        </w:pPr>
        <w:r>
          <w:fldChar w:fldCharType="begin"/>
        </w:r>
        <w:r>
          <w:instrText>PAGE   \* MERGEFORMAT</w:instrText>
        </w:r>
        <w:r>
          <w:fldChar w:fldCharType="separate"/>
        </w:r>
        <w:r>
          <w:t>2</w:t>
        </w:r>
        <w:r>
          <w:fldChar w:fldCharType="end"/>
        </w:r>
      </w:p>
    </w:sdtContent>
  </w:sdt>
  <w:p w14:paraId="0FDBA5C2" w14:textId="77777777" w:rsidR="0018229F" w:rsidRDefault="00182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6660A" w14:textId="77777777" w:rsidR="00D24493" w:rsidRDefault="00D24493" w:rsidP="0018229F">
      <w:pPr>
        <w:spacing w:after="0" w:line="240" w:lineRule="auto"/>
      </w:pPr>
      <w:r>
        <w:separator/>
      </w:r>
    </w:p>
  </w:footnote>
  <w:footnote w:type="continuationSeparator" w:id="0">
    <w:p w14:paraId="7EBDF825" w14:textId="77777777" w:rsidR="00D24493" w:rsidRDefault="00D24493" w:rsidP="00182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FF8AB" w14:textId="24BBE58B" w:rsidR="0018229F" w:rsidRDefault="008B5DF9">
    <w:pPr>
      <w:pStyle w:val="Header"/>
    </w:pPr>
    <w:r>
      <w:t xml:space="preserve">                                                                                                     </w:t>
    </w:r>
    <w:r w:rsidR="0018229F">
      <w:t xml:space="preserve">Tatyana Ivanova LCLN 5001 - </w:t>
    </w:r>
    <w:r>
      <w:t>2412523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57CAA"/>
    <w:multiLevelType w:val="multilevel"/>
    <w:tmpl w:val="A198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51D05"/>
    <w:multiLevelType w:val="multilevel"/>
    <w:tmpl w:val="524C8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DDA6581"/>
    <w:multiLevelType w:val="hybridMultilevel"/>
    <w:tmpl w:val="6712B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1171759">
    <w:abstractNumId w:val="2"/>
  </w:num>
  <w:num w:numId="2" w16cid:durableId="2072461434">
    <w:abstractNumId w:val="0"/>
  </w:num>
  <w:num w:numId="3" w16cid:durableId="1548953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ADB"/>
    <w:rsid w:val="00035282"/>
    <w:rsid w:val="00073AC8"/>
    <w:rsid w:val="000B67D0"/>
    <w:rsid w:val="000D0D22"/>
    <w:rsid w:val="000D56C7"/>
    <w:rsid w:val="000E5289"/>
    <w:rsid w:val="000E69F3"/>
    <w:rsid w:val="000E6A5E"/>
    <w:rsid w:val="001041AC"/>
    <w:rsid w:val="00106791"/>
    <w:rsid w:val="00112851"/>
    <w:rsid w:val="00156C4C"/>
    <w:rsid w:val="001642FE"/>
    <w:rsid w:val="00164AB2"/>
    <w:rsid w:val="001666E5"/>
    <w:rsid w:val="0018229F"/>
    <w:rsid w:val="00193EDB"/>
    <w:rsid w:val="001A0A1D"/>
    <w:rsid w:val="001E6167"/>
    <w:rsid w:val="00231356"/>
    <w:rsid w:val="00241CB7"/>
    <w:rsid w:val="002563FF"/>
    <w:rsid w:val="00281ADB"/>
    <w:rsid w:val="00284CDA"/>
    <w:rsid w:val="002A30E3"/>
    <w:rsid w:val="002B2EFD"/>
    <w:rsid w:val="002B5962"/>
    <w:rsid w:val="002F2652"/>
    <w:rsid w:val="00317FE3"/>
    <w:rsid w:val="00333A54"/>
    <w:rsid w:val="0034068E"/>
    <w:rsid w:val="00371596"/>
    <w:rsid w:val="00382042"/>
    <w:rsid w:val="003A2ABF"/>
    <w:rsid w:val="003A4F68"/>
    <w:rsid w:val="003B62D3"/>
    <w:rsid w:val="003C4B7C"/>
    <w:rsid w:val="003F30DA"/>
    <w:rsid w:val="003F669C"/>
    <w:rsid w:val="00412DB6"/>
    <w:rsid w:val="00461B7D"/>
    <w:rsid w:val="004647F5"/>
    <w:rsid w:val="00473AE5"/>
    <w:rsid w:val="004842D9"/>
    <w:rsid w:val="004C4EEE"/>
    <w:rsid w:val="004C63B1"/>
    <w:rsid w:val="004F15C1"/>
    <w:rsid w:val="00504B6E"/>
    <w:rsid w:val="00521E1A"/>
    <w:rsid w:val="005266EB"/>
    <w:rsid w:val="005333F9"/>
    <w:rsid w:val="00534426"/>
    <w:rsid w:val="00537C23"/>
    <w:rsid w:val="00557BB1"/>
    <w:rsid w:val="0056226F"/>
    <w:rsid w:val="0057421C"/>
    <w:rsid w:val="00585E8B"/>
    <w:rsid w:val="005A00E1"/>
    <w:rsid w:val="005A04A6"/>
    <w:rsid w:val="005A22B2"/>
    <w:rsid w:val="005C6A99"/>
    <w:rsid w:val="005D6C44"/>
    <w:rsid w:val="005E132F"/>
    <w:rsid w:val="005F3782"/>
    <w:rsid w:val="005F6054"/>
    <w:rsid w:val="00612F4E"/>
    <w:rsid w:val="0061755D"/>
    <w:rsid w:val="00642B37"/>
    <w:rsid w:val="00644D40"/>
    <w:rsid w:val="00656620"/>
    <w:rsid w:val="0067242E"/>
    <w:rsid w:val="00674247"/>
    <w:rsid w:val="00696ED2"/>
    <w:rsid w:val="006A5876"/>
    <w:rsid w:val="006B1FFE"/>
    <w:rsid w:val="006E5F38"/>
    <w:rsid w:val="006E6E54"/>
    <w:rsid w:val="007036F3"/>
    <w:rsid w:val="00741B95"/>
    <w:rsid w:val="00761329"/>
    <w:rsid w:val="00763E5D"/>
    <w:rsid w:val="00780F66"/>
    <w:rsid w:val="007934F4"/>
    <w:rsid w:val="007A2AB6"/>
    <w:rsid w:val="007A2D1E"/>
    <w:rsid w:val="007A54B2"/>
    <w:rsid w:val="00821803"/>
    <w:rsid w:val="0083464A"/>
    <w:rsid w:val="008460FF"/>
    <w:rsid w:val="00854C35"/>
    <w:rsid w:val="00855B5E"/>
    <w:rsid w:val="00860959"/>
    <w:rsid w:val="00864799"/>
    <w:rsid w:val="00876DA4"/>
    <w:rsid w:val="00882984"/>
    <w:rsid w:val="00893674"/>
    <w:rsid w:val="008B4C9A"/>
    <w:rsid w:val="008B58BD"/>
    <w:rsid w:val="008B5941"/>
    <w:rsid w:val="008B5DF9"/>
    <w:rsid w:val="008C2EC2"/>
    <w:rsid w:val="008F42F8"/>
    <w:rsid w:val="00913A75"/>
    <w:rsid w:val="00921F23"/>
    <w:rsid w:val="009263F6"/>
    <w:rsid w:val="009638C8"/>
    <w:rsid w:val="00996EB1"/>
    <w:rsid w:val="009B094B"/>
    <w:rsid w:val="009C1B26"/>
    <w:rsid w:val="009C73EF"/>
    <w:rsid w:val="009E25AF"/>
    <w:rsid w:val="009F70D5"/>
    <w:rsid w:val="00A031FF"/>
    <w:rsid w:val="00A64BB1"/>
    <w:rsid w:val="00A73761"/>
    <w:rsid w:val="00A90DAF"/>
    <w:rsid w:val="00A9505D"/>
    <w:rsid w:val="00AC603D"/>
    <w:rsid w:val="00AE203C"/>
    <w:rsid w:val="00AF78C6"/>
    <w:rsid w:val="00B07213"/>
    <w:rsid w:val="00B27B23"/>
    <w:rsid w:val="00B32FA8"/>
    <w:rsid w:val="00B35BD5"/>
    <w:rsid w:val="00B8300A"/>
    <w:rsid w:val="00BA13AD"/>
    <w:rsid w:val="00BC5891"/>
    <w:rsid w:val="00C21484"/>
    <w:rsid w:val="00C56497"/>
    <w:rsid w:val="00C73E68"/>
    <w:rsid w:val="00CA271A"/>
    <w:rsid w:val="00CC3701"/>
    <w:rsid w:val="00CC5151"/>
    <w:rsid w:val="00CC7C92"/>
    <w:rsid w:val="00D00CB4"/>
    <w:rsid w:val="00D1343B"/>
    <w:rsid w:val="00D134BE"/>
    <w:rsid w:val="00D24493"/>
    <w:rsid w:val="00D41D11"/>
    <w:rsid w:val="00D6289A"/>
    <w:rsid w:val="00D7285A"/>
    <w:rsid w:val="00D75271"/>
    <w:rsid w:val="00DA6890"/>
    <w:rsid w:val="00DB146C"/>
    <w:rsid w:val="00DC4F91"/>
    <w:rsid w:val="00DF4879"/>
    <w:rsid w:val="00E03670"/>
    <w:rsid w:val="00E125FB"/>
    <w:rsid w:val="00E16B7D"/>
    <w:rsid w:val="00E42ED3"/>
    <w:rsid w:val="00E83E20"/>
    <w:rsid w:val="00E94C79"/>
    <w:rsid w:val="00EA708D"/>
    <w:rsid w:val="00EB35D5"/>
    <w:rsid w:val="00EB582D"/>
    <w:rsid w:val="00ED234D"/>
    <w:rsid w:val="00ED76F2"/>
    <w:rsid w:val="00EF2492"/>
    <w:rsid w:val="00F27609"/>
    <w:rsid w:val="00F4332E"/>
    <w:rsid w:val="00F43420"/>
    <w:rsid w:val="00F67291"/>
    <w:rsid w:val="00F914D6"/>
    <w:rsid w:val="00FC0738"/>
    <w:rsid w:val="00FD5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80DB"/>
  <w15:chartTrackingRefBased/>
  <w15:docId w15:val="{72CE3A13-233E-44BA-A783-D1B11375F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29F"/>
  </w:style>
  <w:style w:type="paragraph" w:styleId="Heading1">
    <w:name w:val="heading 1"/>
    <w:basedOn w:val="Normal"/>
    <w:next w:val="Normal"/>
    <w:link w:val="Heading1Char"/>
    <w:uiPriority w:val="9"/>
    <w:qFormat/>
    <w:rsid w:val="00281A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1A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1A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A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A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A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A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A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A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A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1A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1A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A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A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A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A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A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ADB"/>
    <w:rPr>
      <w:rFonts w:eastAsiaTheme="majorEastAsia" w:cstheme="majorBidi"/>
      <w:color w:val="272727" w:themeColor="text1" w:themeTint="D8"/>
    </w:rPr>
  </w:style>
  <w:style w:type="paragraph" w:styleId="Title">
    <w:name w:val="Title"/>
    <w:basedOn w:val="Normal"/>
    <w:next w:val="Normal"/>
    <w:link w:val="TitleChar"/>
    <w:uiPriority w:val="10"/>
    <w:qFormat/>
    <w:rsid w:val="00281A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A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A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A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ADB"/>
    <w:pPr>
      <w:spacing w:before="160"/>
      <w:jc w:val="center"/>
    </w:pPr>
    <w:rPr>
      <w:i/>
      <w:iCs/>
      <w:color w:val="404040" w:themeColor="text1" w:themeTint="BF"/>
    </w:rPr>
  </w:style>
  <w:style w:type="character" w:customStyle="1" w:styleId="QuoteChar">
    <w:name w:val="Quote Char"/>
    <w:basedOn w:val="DefaultParagraphFont"/>
    <w:link w:val="Quote"/>
    <w:uiPriority w:val="29"/>
    <w:rsid w:val="00281ADB"/>
    <w:rPr>
      <w:i/>
      <w:iCs/>
      <w:color w:val="404040" w:themeColor="text1" w:themeTint="BF"/>
    </w:rPr>
  </w:style>
  <w:style w:type="paragraph" w:styleId="ListParagraph">
    <w:name w:val="List Paragraph"/>
    <w:basedOn w:val="Normal"/>
    <w:uiPriority w:val="34"/>
    <w:qFormat/>
    <w:rsid w:val="00281ADB"/>
    <w:pPr>
      <w:ind w:left="720"/>
      <w:contextualSpacing/>
    </w:pPr>
  </w:style>
  <w:style w:type="character" w:styleId="IntenseEmphasis">
    <w:name w:val="Intense Emphasis"/>
    <w:basedOn w:val="DefaultParagraphFont"/>
    <w:uiPriority w:val="21"/>
    <w:qFormat/>
    <w:rsid w:val="00281ADB"/>
    <w:rPr>
      <w:i/>
      <w:iCs/>
      <w:color w:val="0F4761" w:themeColor="accent1" w:themeShade="BF"/>
    </w:rPr>
  </w:style>
  <w:style w:type="paragraph" w:styleId="IntenseQuote">
    <w:name w:val="Intense Quote"/>
    <w:basedOn w:val="Normal"/>
    <w:next w:val="Normal"/>
    <w:link w:val="IntenseQuoteChar"/>
    <w:uiPriority w:val="30"/>
    <w:qFormat/>
    <w:rsid w:val="00281A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ADB"/>
    <w:rPr>
      <w:i/>
      <w:iCs/>
      <w:color w:val="0F4761" w:themeColor="accent1" w:themeShade="BF"/>
    </w:rPr>
  </w:style>
  <w:style w:type="character" w:styleId="IntenseReference">
    <w:name w:val="Intense Reference"/>
    <w:basedOn w:val="DefaultParagraphFont"/>
    <w:uiPriority w:val="32"/>
    <w:qFormat/>
    <w:rsid w:val="00281ADB"/>
    <w:rPr>
      <w:b/>
      <w:bCs/>
      <w:smallCaps/>
      <w:color w:val="0F4761" w:themeColor="accent1" w:themeShade="BF"/>
      <w:spacing w:val="5"/>
    </w:rPr>
  </w:style>
  <w:style w:type="paragraph" w:styleId="Header">
    <w:name w:val="header"/>
    <w:basedOn w:val="Normal"/>
    <w:link w:val="HeaderChar"/>
    <w:uiPriority w:val="99"/>
    <w:unhideWhenUsed/>
    <w:rsid w:val="00182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29F"/>
  </w:style>
  <w:style w:type="paragraph" w:styleId="Footer">
    <w:name w:val="footer"/>
    <w:basedOn w:val="Normal"/>
    <w:link w:val="FooterChar"/>
    <w:uiPriority w:val="99"/>
    <w:unhideWhenUsed/>
    <w:rsid w:val="00182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29F"/>
  </w:style>
  <w:style w:type="table" w:styleId="TableGrid">
    <w:name w:val="Table Grid"/>
    <w:basedOn w:val="TableNormal"/>
    <w:uiPriority w:val="39"/>
    <w:rsid w:val="00864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8647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3">
    <w:name w:val="Grid Table 4 Accent 3"/>
    <w:basedOn w:val="TableNormal"/>
    <w:uiPriority w:val="49"/>
    <w:rsid w:val="0037159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996EB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2">
    <w:name w:val="Grid Table 5 Dark Accent 2"/>
    <w:basedOn w:val="TableNormal"/>
    <w:uiPriority w:val="50"/>
    <w:rsid w:val="003A2A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PlainTable1">
    <w:name w:val="Plain Table 1"/>
    <w:basedOn w:val="TableNormal"/>
    <w:uiPriority w:val="41"/>
    <w:rsid w:val="00A90D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13A7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333A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GridTable6ColourfulAccent2">
    <w:name w:val="Grid Table 6 Colorful Accent 2"/>
    <w:basedOn w:val="TableNormal"/>
    <w:uiPriority w:val="51"/>
    <w:rsid w:val="00A031FF"/>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1Light-Accent6">
    <w:name w:val="Grid Table 1 Light Accent 6"/>
    <w:basedOn w:val="TableNormal"/>
    <w:uiPriority w:val="46"/>
    <w:rsid w:val="00A031F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B35D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647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4647F5"/>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B35BD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1">
    <w:name w:val="Grid Table 6 Colorful Accent 1"/>
    <w:basedOn w:val="TableNormal"/>
    <w:uiPriority w:val="51"/>
    <w:rsid w:val="00B35BD5"/>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9638C8"/>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4">
    <w:name w:val="Grid Table 6 Colorful Accent 4"/>
    <w:basedOn w:val="TableNormal"/>
    <w:uiPriority w:val="51"/>
    <w:rsid w:val="00FD5BD1"/>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56226F"/>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56226F"/>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2-Accent2">
    <w:name w:val="Grid Table 2 Accent 2"/>
    <w:basedOn w:val="TableNormal"/>
    <w:uiPriority w:val="47"/>
    <w:rsid w:val="0056226F"/>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
    <w:name w:val="Grid Table 2"/>
    <w:basedOn w:val="TableNormal"/>
    <w:uiPriority w:val="47"/>
    <w:rsid w:val="00FC073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FC073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317F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Hyperlink">
    <w:name w:val="Hyperlink"/>
    <w:basedOn w:val="DefaultParagraphFont"/>
    <w:uiPriority w:val="99"/>
    <w:unhideWhenUsed/>
    <w:rsid w:val="006E5F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41152003_Exploring_Strategy_12th_edi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stlabsuk.com/testing-services/clinical-evaluation/?utm_term=mdr%20cer&amp;utm_campaign=Medical+-+Device++Biocompatibility&amp;utm_source=adwords&amp;utm_medium=ppc&amp;hsa_acc=5490536986&amp;hsa_cam=22641502044&amp;hsa_grp=179997839665&amp;hsa_ad=756668087916&amp;hsa_src=g&amp;hsa_tgt=kwd-936824792804&amp;hsa_kw=mdr%20cer&amp;hsa_mt=b&amp;hsa_net=adwords&amp;hsa_ver=3&amp;gad_source=1&amp;gad_campaignid=22641502044&amp;gbraid=0AAAAAo-NYe1CJFLa3ykWVZ65-092R4HRC&amp;gclid=Cj0KCQiA9OnJBhD-ARIsAPV51xMy0cA12ATF6hbj4c4_QXHPEE1Yi072mcigJ8E_OzsYFXaKGwDVjC4aAn7_EALw_wc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ogle.com/search?q=https://www.techgadgets.com/product/blood-pressure-watch"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5464</Words>
  <Characters>31146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Ivanova</dc:creator>
  <cp:keywords/>
  <dc:description/>
  <cp:lastModifiedBy>Tatyana Ivanova</cp:lastModifiedBy>
  <cp:revision>159</cp:revision>
  <dcterms:created xsi:type="dcterms:W3CDTF">2025-12-13T04:57:00Z</dcterms:created>
  <dcterms:modified xsi:type="dcterms:W3CDTF">2025-12-15T05:02:00Z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24ae10a1-9b32-4343-b25a-eab722114ba5</vt:lpwstr>
  </property>
</Properties>
</file>