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95D9A6" w14:textId="4533D4B7" w:rsidR="00DA29AF" w:rsidRDefault="00E65981" w:rsidP="00E65981">
      <w:pPr>
        <w:spacing w:line="240" w:lineRule="auto"/>
        <w:jc w:val="right"/>
        <w:rPr>
          <w:rFonts w:ascii="Times New Roman" w:hAnsi="Times New Roman" w:cs="Times New Roman"/>
          <w:sz w:val="24"/>
          <w:szCs w:val="24"/>
          <w:u w:val="single"/>
        </w:rPr>
      </w:pPr>
      <w:r w:rsidRPr="00E65981">
        <w:rPr>
          <w:rFonts w:ascii="Times New Roman" w:hAnsi="Times New Roman" w:cs="Times New Roman"/>
          <w:sz w:val="24"/>
          <w:szCs w:val="24"/>
          <w:u w:val="single"/>
        </w:rPr>
        <w:t>Laura Jane Evans</w:t>
      </w:r>
    </w:p>
    <w:p w14:paraId="70744ED0" w14:textId="5AE968FD" w:rsidR="00E65981" w:rsidRDefault="00E65981" w:rsidP="00E65981">
      <w:pPr>
        <w:spacing w:line="240" w:lineRule="auto"/>
        <w:jc w:val="right"/>
        <w:rPr>
          <w:rFonts w:ascii="Times New Roman" w:hAnsi="Times New Roman" w:cs="Times New Roman"/>
          <w:sz w:val="24"/>
          <w:szCs w:val="24"/>
          <w:u w:val="single"/>
        </w:rPr>
      </w:pPr>
      <w:r w:rsidRPr="00E65981">
        <w:rPr>
          <w:rFonts w:ascii="Times New Roman" w:hAnsi="Times New Roman" w:cs="Times New Roman"/>
          <w:sz w:val="24"/>
          <w:szCs w:val="24"/>
          <w:u w:val="single"/>
        </w:rPr>
        <w:t>CLCS4011: Essay</w:t>
      </w:r>
    </w:p>
    <w:p w14:paraId="476DAA52" w14:textId="63A2D13A" w:rsidR="00E65981" w:rsidRDefault="00E65981" w:rsidP="00E65981">
      <w:pPr>
        <w:spacing w:line="240" w:lineRule="auto"/>
        <w:rPr>
          <w:rFonts w:ascii="Times New Roman" w:hAnsi="Times New Roman" w:cs="Times New Roman"/>
          <w:sz w:val="24"/>
          <w:szCs w:val="24"/>
        </w:rPr>
      </w:pPr>
      <w:r>
        <w:rPr>
          <w:rFonts w:ascii="Times New Roman" w:hAnsi="Times New Roman" w:cs="Times New Roman"/>
          <w:sz w:val="24"/>
          <w:szCs w:val="24"/>
        </w:rPr>
        <w:t>With references to two of the approaches to myth covered in class, discuss the extent to which they can help-and hinder- contemporary scholars understand ancient myth.</w:t>
      </w:r>
    </w:p>
    <w:p w14:paraId="784182B2" w14:textId="043FE4B3" w:rsidR="00E65981" w:rsidRDefault="00E65981" w:rsidP="00E65981">
      <w:pPr>
        <w:spacing w:line="240" w:lineRule="auto"/>
        <w:rPr>
          <w:rFonts w:ascii="Times New Roman" w:hAnsi="Times New Roman" w:cs="Times New Roman"/>
          <w:sz w:val="24"/>
          <w:szCs w:val="24"/>
        </w:rPr>
      </w:pPr>
    </w:p>
    <w:p w14:paraId="22354839" w14:textId="3A33F31F" w:rsidR="00E65981" w:rsidRDefault="003E13F9" w:rsidP="00E65981">
      <w:pPr>
        <w:spacing w:line="240" w:lineRule="auto"/>
        <w:rPr>
          <w:rFonts w:ascii="Times New Roman" w:hAnsi="Times New Roman" w:cs="Times New Roman"/>
          <w:sz w:val="24"/>
          <w:szCs w:val="24"/>
        </w:rPr>
      </w:pPr>
      <w:r>
        <w:rPr>
          <w:rFonts w:ascii="Times New Roman" w:hAnsi="Times New Roman" w:cs="Times New Roman"/>
          <w:sz w:val="24"/>
          <w:szCs w:val="24"/>
        </w:rPr>
        <w:t>When discussing approaches to myth we must first define what we mean by myth. Here is a definition taken from the Oxford Dictionary</w:t>
      </w:r>
      <w:r w:rsidR="006E3E57">
        <w:rPr>
          <w:rFonts w:ascii="Times New Roman" w:hAnsi="Times New Roman" w:cs="Times New Roman"/>
          <w:sz w:val="24"/>
          <w:szCs w:val="24"/>
        </w:rPr>
        <w:t>:</w:t>
      </w:r>
    </w:p>
    <w:p w14:paraId="6E24AA0D" w14:textId="002C63FA" w:rsidR="003E13F9" w:rsidRDefault="003E13F9" w:rsidP="006E3E57">
      <w:pPr>
        <w:spacing w:line="240" w:lineRule="auto"/>
        <w:ind w:firstLine="720"/>
        <w:rPr>
          <w:rFonts w:ascii="Times New Roman" w:hAnsi="Times New Roman" w:cs="Times New Roman"/>
          <w:i/>
          <w:sz w:val="24"/>
          <w:szCs w:val="24"/>
        </w:rPr>
      </w:pPr>
      <w:r>
        <w:rPr>
          <w:rFonts w:ascii="Times New Roman" w:hAnsi="Times New Roman" w:cs="Times New Roman"/>
          <w:i/>
          <w:sz w:val="24"/>
          <w:szCs w:val="24"/>
        </w:rPr>
        <w:t>A traditional story, especially one concerning the early history of a people or explaining a natural or social phenomenon, and typically involving supernatural being or events.</w:t>
      </w:r>
      <w:r w:rsidR="0025549E">
        <w:rPr>
          <w:rStyle w:val="FootnoteReference"/>
          <w:rFonts w:ascii="Times New Roman" w:hAnsi="Times New Roman" w:cs="Times New Roman"/>
          <w:i/>
          <w:sz w:val="24"/>
          <w:szCs w:val="24"/>
        </w:rPr>
        <w:footnoteReference w:id="1"/>
      </w:r>
    </w:p>
    <w:p w14:paraId="22DECBDB" w14:textId="77777777" w:rsidR="006E3E57" w:rsidRDefault="003E13F9" w:rsidP="00E65981">
      <w:pPr>
        <w:spacing w:line="240" w:lineRule="auto"/>
        <w:rPr>
          <w:rFonts w:ascii="Times New Roman" w:hAnsi="Times New Roman" w:cs="Times New Roman"/>
          <w:sz w:val="24"/>
          <w:szCs w:val="24"/>
        </w:rPr>
      </w:pPr>
      <w:r>
        <w:rPr>
          <w:rFonts w:ascii="Times New Roman" w:hAnsi="Times New Roman" w:cs="Times New Roman"/>
          <w:sz w:val="24"/>
          <w:szCs w:val="24"/>
        </w:rPr>
        <w:t>This definition helps us understand the interest regarding myth from an anthropological perspective as well as historical. The three approaches that I will be discussing are comparative, psychoanalysis</w:t>
      </w:r>
      <w:r w:rsidR="006E3E57">
        <w:rPr>
          <w:rFonts w:ascii="Times New Roman" w:hAnsi="Times New Roman" w:cs="Times New Roman"/>
          <w:sz w:val="24"/>
          <w:szCs w:val="24"/>
        </w:rPr>
        <w:t xml:space="preserve"> and structuralism.</w:t>
      </w:r>
    </w:p>
    <w:p w14:paraId="0E473D43" w14:textId="77777777" w:rsidR="006E3E57" w:rsidRDefault="006E3E57" w:rsidP="00E65981">
      <w:pPr>
        <w:spacing w:line="240" w:lineRule="auto"/>
        <w:rPr>
          <w:rFonts w:ascii="Times New Roman" w:hAnsi="Times New Roman" w:cs="Times New Roman"/>
          <w:sz w:val="24"/>
          <w:szCs w:val="24"/>
        </w:rPr>
      </w:pPr>
    </w:p>
    <w:p w14:paraId="142CCD7A" w14:textId="16CE9421" w:rsidR="00B42348" w:rsidRDefault="003E13F9" w:rsidP="00E65981">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25549E">
        <w:rPr>
          <w:rFonts w:ascii="Times New Roman" w:hAnsi="Times New Roman" w:cs="Times New Roman"/>
          <w:sz w:val="24"/>
          <w:szCs w:val="24"/>
        </w:rPr>
        <w:tab/>
      </w:r>
      <w:r w:rsidR="00141BB6">
        <w:rPr>
          <w:rFonts w:ascii="Times New Roman" w:hAnsi="Times New Roman" w:cs="Times New Roman"/>
          <w:sz w:val="24"/>
          <w:szCs w:val="24"/>
        </w:rPr>
        <w:t xml:space="preserve">When analysing comparative </w:t>
      </w:r>
      <w:r w:rsidR="0025549E">
        <w:rPr>
          <w:rFonts w:ascii="Times New Roman" w:hAnsi="Times New Roman" w:cs="Times New Roman"/>
          <w:sz w:val="24"/>
          <w:szCs w:val="24"/>
        </w:rPr>
        <w:t>approaches, I chose to focus on Frazer’s comparative method. Essentially, the method is made up of four steps: problem, examples, explanation and finally reapplying the general explanation to the original problem.</w:t>
      </w:r>
      <w:r w:rsidR="0025549E">
        <w:rPr>
          <w:rStyle w:val="FootnoteReference"/>
          <w:rFonts w:ascii="Times New Roman" w:hAnsi="Times New Roman" w:cs="Times New Roman"/>
          <w:sz w:val="24"/>
          <w:szCs w:val="24"/>
        </w:rPr>
        <w:footnoteReference w:id="2"/>
      </w:r>
      <w:r w:rsidR="0025549E">
        <w:rPr>
          <w:rFonts w:ascii="Times New Roman" w:hAnsi="Times New Roman" w:cs="Times New Roman"/>
          <w:sz w:val="24"/>
          <w:szCs w:val="24"/>
        </w:rPr>
        <w:t xml:space="preserve"> The comparative approach has many issues, by comparing myths against each other it is difficult to not obscure the original point of the myth into motifs we better understand or relate too.</w:t>
      </w:r>
      <w:r w:rsidR="0025549E">
        <w:rPr>
          <w:rStyle w:val="FootnoteReference"/>
          <w:rFonts w:ascii="Times New Roman" w:hAnsi="Times New Roman" w:cs="Times New Roman"/>
          <w:sz w:val="24"/>
          <w:szCs w:val="24"/>
        </w:rPr>
        <w:footnoteReference w:id="3"/>
      </w:r>
      <w:r w:rsidR="0025549E">
        <w:rPr>
          <w:rFonts w:ascii="Times New Roman" w:hAnsi="Times New Roman" w:cs="Times New Roman"/>
          <w:sz w:val="24"/>
          <w:szCs w:val="24"/>
        </w:rPr>
        <w:t xml:space="preserve"> This can also be said about the first step, problem. The problem can only be solved if it was noticed in the first place and it cannot be guaranteed that individuals will perceive the same problem.</w:t>
      </w:r>
      <w:r w:rsidR="0025549E">
        <w:rPr>
          <w:rStyle w:val="FootnoteReference"/>
          <w:rFonts w:ascii="Times New Roman" w:hAnsi="Times New Roman" w:cs="Times New Roman"/>
          <w:sz w:val="24"/>
          <w:szCs w:val="24"/>
        </w:rPr>
        <w:footnoteReference w:id="4"/>
      </w:r>
      <w:r w:rsidR="0025549E">
        <w:rPr>
          <w:rFonts w:ascii="Times New Roman" w:hAnsi="Times New Roman" w:cs="Times New Roman"/>
          <w:sz w:val="24"/>
          <w:szCs w:val="24"/>
        </w:rPr>
        <w:t xml:space="preserve"> The main weakness of the method is that Frazer assumes that all cultures have similar concepts that can be compared equally.</w:t>
      </w:r>
      <w:r w:rsidR="0025549E">
        <w:rPr>
          <w:rStyle w:val="FootnoteReference"/>
          <w:rFonts w:ascii="Times New Roman" w:hAnsi="Times New Roman" w:cs="Times New Roman"/>
          <w:sz w:val="24"/>
          <w:szCs w:val="24"/>
        </w:rPr>
        <w:footnoteReference w:id="5"/>
      </w:r>
      <w:r w:rsidR="001B6636">
        <w:rPr>
          <w:rFonts w:ascii="Times New Roman" w:hAnsi="Times New Roman" w:cs="Times New Roman"/>
          <w:sz w:val="24"/>
          <w:szCs w:val="24"/>
        </w:rPr>
        <w:t xml:space="preserve">Frazer’s </w:t>
      </w:r>
      <w:r w:rsidR="00CE611E">
        <w:rPr>
          <w:rFonts w:ascii="Times New Roman" w:hAnsi="Times New Roman" w:cs="Times New Roman"/>
          <w:sz w:val="24"/>
          <w:szCs w:val="24"/>
        </w:rPr>
        <w:t>beliefs</w:t>
      </w:r>
      <w:r w:rsidR="001B6636">
        <w:rPr>
          <w:rFonts w:ascii="Times New Roman" w:hAnsi="Times New Roman" w:cs="Times New Roman"/>
          <w:sz w:val="24"/>
          <w:szCs w:val="24"/>
        </w:rPr>
        <w:t xml:space="preserve"> that cultures, even some that have had no contact, can produce similar if not the same myths can be seen in the Greek myths of divine succession and the Hittite myth.</w:t>
      </w:r>
      <w:r w:rsidR="001B6636">
        <w:rPr>
          <w:rStyle w:val="FootnoteReference"/>
          <w:rFonts w:ascii="Times New Roman" w:hAnsi="Times New Roman" w:cs="Times New Roman"/>
          <w:sz w:val="24"/>
          <w:szCs w:val="24"/>
        </w:rPr>
        <w:footnoteReference w:id="6"/>
      </w:r>
      <w:r w:rsidR="00CE611E">
        <w:rPr>
          <w:rFonts w:ascii="Times New Roman" w:hAnsi="Times New Roman" w:cs="Times New Roman"/>
          <w:sz w:val="24"/>
          <w:szCs w:val="24"/>
        </w:rPr>
        <w:t xml:space="preserve"> There is a distinct connection between the two myths regarding the consumption of family and survival that is difficult to deny.</w:t>
      </w:r>
      <w:r w:rsidR="00CE611E">
        <w:rPr>
          <w:rStyle w:val="FootnoteReference"/>
          <w:rFonts w:ascii="Times New Roman" w:hAnsi="Times New Roman" w:cs="Times New Roman"/>
          <w:sz w:val="24"/>
          <w:szCs w:val="24"/>
        </w:rPr>
        <w:footnoteReference w:id="7"/>
      </w:r>
    </w:p>
    <w:p w14:paraId="0DFB21DC" w14:textId="6AB1D84D" w:rsidR="00CE611E" w:rsidRDefault="00CE611E" w:rsidP="00E65981">
      <w:pPr>
        <w:spacing w:line="240" w:lineRule="auto"/>
        <w:rPr>
          <w:rFonts w:ascii="Times New Roman" w:hAnsi="Times New Roman" w:cs="Times New Roman"/>
          <w:sz w:val="24"/>
          <w:szCs w:val="24"/>
        </w:rPr>
      </w:pPr>
      <w:r>
        <w:rPr>
          <w:rFonts w:ascii="Times New Roman" w:hAnsi="Times New Roman" w:cs="Times New Roman"/>
          <w:sz w:val="24"/>
          <w:szCs w:val="24"/>
        </w:rPr>
        <w:tab/>
      </w:r>
      <w:r w:rsidR="00DE4F91">
        <w:rPr>
          <w:rFonts w:ascii="Times New Roman" w:hAnsi="Times New Roman" w:cs="Times New Roman"/>
          <w:sz w:val="24"/>
          <w:szCs w:val="24"/>
        </w:rPr>
        <w:t xml:space="preserve">Psychoanalysis was made </w:t>
      </w:r>
      <w:r w:rsidR="008D3725">
        <w:rPr>
          <w:rFonts w:ascii="Times New Roman" w:hAnsi="Times New Roman" w:cs="Times New Roman"/>
          <w:sz w:val="24"/>
          <w:szCs w:val="24"/>
        </w:rPr>
        <w:t>famous through Freud and his belief in the two chambers of the mind, the conscious and the unconscious.</w:t>
      </w:r>
      <w:r w:rsidR="008D3725">
        <w:rPr>
          <w:rStyle w:val="FootnoteReference"/>
          <w:rFonts w:ascii="Times New Roman" w:hAnsi="Times New Roman" w:cs="Times New Roman"/>
          <w:sz w:val="24"/>
          <w:szCs w:val="24"/>
        </w:rPr>
        <w:footnoteReference w:id="8"/>
      </w:r>
      <w:r w:rsidR="007657EF">
        <w:rPr>
          <w:rFonts w:ascii="Times New Roman" w:hAnsi="Times New Roman" w:cs="Times New Roman"/>
          <w:sz w:val="24"/>
          <w:szCs w:val="24"/>
        </w:rPr>
        <w:t xml:space="preserve"> Freuds discovery of the unconscious goes hand in hand with dream analysis as Freud believed that myth acted as the subconscious. Most famous is the Oedipus complex, children learning to master the “pleasure principle”.</w:t>
      </w:r>
      <w:r w:rsidR="007657EF">
        <w:rPr>
          <w:rStyle w:val="FootnoteReference"/>
          <w:rFonts w:ascii="Times New Roman" w:hAnsi="Times New Roman" w:cs="Times New Roman"/>
          <w:sz w:val="24"/>
          <w:szCs w:val="24"/>
        </w:rPr>
        <w:footnoteReference w:id="9"/>
      </w:r>
      <w:r w:rsidR="007657EF">
        <w:rPr>
          <w:rFonts w:ascii="Times New Roman" w:hAnsi="Times New Roman" w:cs="Times New Roman"/>
          <w:sz w:val="24"/>
          <w:szCs w:val="24"/>
        </w:rPr>
        <w:t xml:space="preserve"> The Oedipus complex is a </w:t>
      </w:r>
      <w:r w:rsidR="00480F69">
        <w:rPr>
          <w:rFonts w:ascii="Times New Roman" w:hAnsi="Times New Roman" w:cs="Times New Roman"/>
          <w:sz w:val="24"/>
          <w:szCs w:val="24"/>
        </w:rPr>
        <w:t>controversial</w:t>
      </w:r>
      <w:r w:rsidR="007657EF">
        <w:rPr>
          <w:rFonts w:ascii="Times New Roman" w:hAnsi="Times New Roman" w:cs="Times New Roman"/>
          <w:sz w:val="24"/>
          <w:szCs w:val="24"/>
        </w:rPr>
        <w:t xml:space="preserve"> theory as Freud states </w:t>
      </w:r>
      <w:r w:rsidR="00480F69">
        <w:rPr>
          <w:rFonts w:ascii="Times New Roman" w:hAnsi="Times New Roman" w:cs="Times New Roman"/>
          <w:sz w:val="24"/>
          <w:szCs w:val="24"/>
        </w:rPr>
        <w:t xml:space="preserve">that as a child we went to sleep and fight either parent, “it was perhaps allected to us all to direct our first sexual impulse towards our mother and our first hatred and violent ambitions against our father”. </w:t>
      </w:r>
      <w:r w:rsidR="00480F69">
        <w:rPr>
          <w:rStyle w:val="FootnoteReference"/>
          <w:rFonts w:ascii="Times New Roman" w:hAnsi="Times New Roman" w:cs="Times New Roman"/>
          <w:sz w:val="24"/>
          <w:szCs w:val="24"/>
        </w:rPr>
        <w:footnoteReference w:id="10"/>
      </w:r>
      <w:r w:rsidR="00480F69">
        <w:rPr>
          <w:rFonts w:ascii="Times New Roman" w:hAnsi="Times New Roman" w:cs="Times New Roman"/>
          <w:sz w:val="24"/>
          <w:szCs w:val="24"/>
        </w:rPr>
        <w:t xml:space="preserve"> As if this theory was not difficult enough, </w:t>
      </w:r>
      <w:proofErr w:type="gramStart"/>
      <w:r w:rsidR="00480F69">
        <w:rPr>
          <w:rFonts w:ascii="Times New Roman" w:hAnsi="Times New Roman" w:cs="Times New Roman"/>
          <w:sz w:val="24"/>
          <w:szCs w:val="24"/>
        </w:rPr>
        <w:t>in order to</w:t>
      </w:r>
      <w:proofErr w:type="gramEnd"/>
      <w:r w:rsidR="00480F69">
        <w:rPr>
          <w:rFonts w:ascii="Times New Roman" w:hAnsi="Times New Roman" w:cs="Times New Roman"/>
          <w:sz w:val="24"/>
          <w:szCs w:val="24"/>
        </w:rPr>
        <w:t xml:space="preserve"> generalise this theory to other cultures we must belief in </w:t>
      </w:r>
      <w:r w:rsidR="00480F69">
        <w:rPr>
          <w:rFonts w:ascii="Times New Roman" w:hAnsi="Times New Roman" w:cs="Times New Roman"/>
          <w:sz w:val="24"/>
          <w:szCs w:val="24"/>
        </w:rPr>
        <w:lastRenderedPageBreak/>
        <w:t>universal human psyche that allows us to analysis myths as dreams.</w:t>
      </w:r>
      <w:r w:rsidR="00480F69">
        <w:rPr>
          <w:rStyle w:val="FootnoteReference"/>
          <w:rFonts w:ascii="Times New Roman" w:hAnsi="Times New Roman" w:cs="Times New Roman"/>
          <w:sz w:val="24"/>
          <w:szCs w:val="24"/>
        </w:rPr>
        <w:footnoteReference w:id="11"/>
      </w:r>
      <w:r w:rsidR="002670F1">
        <w:rPr>
          <w:rFonts w:ascii="Times New Roman" w:hAnsi="Times New Roman" w:cs="Times New Roman"/>
          <w:sz w:val="24"/>
          <w:szCs w:val="24"/>
        </w:rPr>
        <w:t xml:space="preserve"> A further hindrance of psychoanalysis is that its phallocentric and shows little thought or care for the female experience. </w:t>
      </w:r>
      <w:proofErr w:type="gramStart"/>
      <w:r w:rsidR="002670F1">
        <w:rPr>
          <w:rFonts w:ascii="Times New Roman" w:hAnsi="Times New Roman" w:cs="Times New Roman"/>
          <w:sz w:val="24"/>
          <w:szCs w:val="24"/>
        </w:rPr>
        <w:t>In order to</w:t>
      </w:r>
      <w:proofErr w:type="gramEnd"/>
      <w:r w:rsidR="002670F1">
        <w:rPr>
          <w:rFonts w:ascii="Times New Roman" w:hAnsi="Times New Roman" w:cs="Times New Roman"/>
          <w:sz w:val="24"/>
          <w:szCs w:val="24"/>
        </w:rPr>
        <w:t xml:space="preserve"> make women fit with his theory, Freud developed the idea of “penis envy”, a</w:t>
      </w:r>
      <w:r w:rsidR="00926766">
        <w:rPr>
          <w:rFonts w:ascii="Times New Roman" w:hAnsi="Times New Roman" w:cs="Times New Roman"/>
          <w:sz w:val="24"/>
          <w:szCs w:val="24"/>
        </w:rPr>
        <w:t xml:space="preserve">s a way to reflect castration anxiety show in boys. This is troublesome theory as Freud has claimed children are unaware of the facts of birth. </w:t>
      </w:r>
      <w:r w:rsidR="00926766">
        <w:rPr>
          <w:rStyle w:val="FootnoteReference"/>
          <w:rFonts w:ascii="Times New Roman" w:hAnsi="Times New Roman" w:cs="Times New Roman"/>
          <w:sz w:val="24"/>
          <w:szCs w:val="24"/>
        </w:rPr>
        <w:footnoteReference w:id="12"/>
      </w:r>
      <w:r w:rsidR="002670F1">
        <w:rPr>
          <w:rFonts w:ascii="Times New Roman" w:hAnsi="Times New Roman" w:cs="Times New Roman"/>
          <w:sz w:val="24"/>
          <w:szCs w:val="24"/>
        </w:rPr>
        <w:t xml:space="preserve">  </w:t>
      </w:r>
    </w:p>
    <w:p w14:paraId="43C3E8ED" w14:textId="30F50CB3" w:rsidR="00926766" w:rsidRDefault="00926766" w:rsidP="00E65981">
      <w:pPr>
        <w:spacing w:line="240" w:lineRule="auto"/>
        <w:rPr>
          <w:rFonts w:ascii="Times New Roman" w:hAnsi="Times New Roman" w:cs="Times New Roman"/>
          <w:sz w:val="24"/>
          <w:szCs w:val="24"/>
        </w:rPr>
      </w:pPr>
      <w:r>
        <w:rPr>
          <w:rFonts w:ascii="Times New Roman" w:hAnsi="Times New Roman" w:cs="Times New Roman"/>
          <w:sz w:val="24"/>
          <w:szCs w:val="24"/>
        </w:rPr>
        <w:tab/>
      </w:r>
      <w:r w:rsidR="00DE1E82">
        <w:rPr>
          <w:rFonts w:ascii="Times New Roman" w:hAnsi="Times New Roman" w:cs="Times New Roman"/>
          <w:sz w:val="24"/>
          <w:szCs w:val="24"/>
        </w:rPr>
        <w:t xml:space="preserve">Ritualism links myth with rituals, in its more extreme form it is believed that all myths </w:t>
      </w:r>
      <w:r w:rsidR="00B95E03">
        <w:rPr>
          <w:rFonts w:ascii="Times New Roman" w:hAnsi="Times New Roman" w:cs="Times New Roman"/>
          <w:sz w:val="24"/>
          <w:szCs w:val="24"/>
        </w:rPr>
        <w:t>derive from rituals. By doing this the myth is no longer abstract but has been given a function. Jane Harrison is generally regarded as its founder.</w:t>
      </w:r>
      <w:r w:rsidR="00B95E03">
        <w:rPr>
          <w:rStyle w:val="FootnoteReference"/>
          <w:rFonts w:ascii="Times New Roman" w:hAnsi="Times New Roman" w:cs="Times New Roman"/>
          <w:sz w:val="24"/>
          <w:szCs w:val="24"/>
        </w:rPr>
        <w:footnoteReference w:id="13"/>
      </w:r>
      <w:r w:rsidR="00B95E03">
        <w:rPr>
          <w:rFonts w:ascii="Times New Roman" w:hAnsi="Times New Roman" w:cs="Times New Roman"/>
          <w:sz w:val="24"/>
          <w:szCs w:val="24"/>
        </w:rPr>
        <w:t xml:space="preserve"> Harrison theorised that the Olympians were not a true religion but used for art and literature, echoes of a true religion predating the Olympians.</w:t>
      </w:r>
      <w:r w:rsidR="00B95E03">
        <w:rPr>
          <w:rStyle w:val="FootnoteReference"/>
          <w:rFonts w:ascii="Times New Roman" w:hAnsi="Times New Roman" w:cs="Times New Roman"/>
          <w:sz w:val="24"/>
          <w:szCs w:val="24"/>
        </w:rPr>
        <w:footnoteReference w:id="14"/>
      </w:r>
      <w:r w:rsidR="00B95E03">
        <w:rPr>
          <w:rFonts w:ascii="Times New Roman" w:hAnsi="Times New Roman" w:cs="Times New Roman"/>
          <w:sz w:val="24"/>
          <w:szCs w:val="24"/>
        </w:rPr>
        <w:t xml:space="preserve"> Myths of children being taken or killed by family members are used as exampled of coming of age rituals. The death in the myth is a metaphorical death and they experience a cultural rebirth into the tribe as adults. Here is where we find an assumption, </w:t>
      </w:r>
      <w:proofErr w:type="gramStart"/>
      <w:r w:rsidR="00B95E03">
        <w:rPr>
          <w:rFonts w:ascii="Times New Roman" w:hAnsi="Times New Roman" w:cs="Times New Roman"/>
          <w:sz w:val="24"/>
          <w:szCs w:val="24"/>
        </w:rPr>
        <w:t>similar to</w:t>
      </w:r>
      <w:proofErr w:type="gramEnd"/>
      <w:r w:rsidR="00B95E03">
        <w:rPr>
          <w:rFonts w:ascii="Times New Roman" w:hAnsi="Times New Roman" w:cs="Times New Roman"/>
          <w:sz w:val="24"/>
          <w:szCs w:val="24"/>
        </w:rPr>
        <w:t xml:space="preserve"> that of comparative approach, that all rituals across the world are all alike rather than the myth itself.</w:t>
      </w:r>
      <w:r w:rsidR="00B95E03">
        <w:rPr>
          <w:rStyle w:val="FootnoteReference"/>
          <w:rFonts w:ascii="Times New Roman" w:hAnsi="Times New Roman" w:cs="Times New Roman"/>
          <w:sz w:val="24"/>
          <w:szCs w:val="24"/>
        </w:rPr>
        <w:footnoteReference w:id="15"/>
      </w:r>
      <w:r w:rsidR="005D3332">
        <w:rPr>
          <w:rFonts w:ascii="Times New Roman" w:hAnsi="Times New Roman" w:cs="Times New Roman"/>
          <w:sz w:val="24"/>
          <w:szCs w:val="24"/>
        </w:rPr>
        <w:t xml:space="preserve"> This approach is my choice, only by a slim margin, because I feel it emphasises the emotions and psychological links with religion and myth. </w:t>
      </w:r>
      <w:r w:rsidR="00B95E03">
        <w:rPr>
          <w:rFonts w:ascii="Times New Roman" w:hAnsi="Times New Roman" w:cs="Times New Roman"/>
          <w:sz w:val="24"/>
          <w:szCs w:val="24"/>
        </w:rPr>
        <w:t xml:space="preserve"> </w:t>
      </w:r>
    </w:p>
    <w:p w14:paraId="452BE72F" w14:textId="77777777" w:rsidR="004D3582" w:rsidRDefault="00B95E03" w:rsidP="00E65981">
      <w:pPr>
        <w:spacing w:line="240" w:lineRule="auto"/>
        <w:rPr>
          <w:rFonts w:ascii="Times New Roman" w:hAnsi="Times New Roman" w:cs="Times New Roman"/>
          <w:sz w:val="24"/>
          <w:szCs w:val="24"/>
        </w:rPr>
      </w:pPr>
      <w:r>
        <w:rPr>
          <w:rFonts w:ascii="Times New Roman" w:hAnsi="Times New Roman" w:cs="Times New Roman"/>
          <w:sz w:val="24"/>
          <w:szCs w:val="24"/>
        </w:rPr>
        <w:tab/>
      </w:r>
    </w:p>
    <w:p w14:paraId="5E594E20" w14:textId="64B94D49" w:rsidR="00B95E03" w:rsidRDefault="004D3582" w:rsidP="004D3582">
      <w:pPr>
        <w:spacing w:line="240" w:lineRule="auto"/>
        <w:ind w:firstLine="720"/>
        <w:rPr>
          <w:rFonts w:ascii="Times New Roman" w:hAnsi="Times New Roman" w:cs="Times New Roman"/>
          <w:sz w:val="24"/>
          <w:szCs w:val="24"/>
        </w:rPr>
      </w:pPr>
      <w:r>
        <w:rPr>
          <w:rFonts w:ascii="Times New Roman" w:hAnsi="Times New Roman" w:cs="Times New Roman"/>
          <w:sz w:val="24"/>
          <w:szCs w:val="24"/>
        </w:rPr>
        <w:t>Theories of mythology can be complex and abstract, addressing myths can be intimidating because not only is there a large variety of myths across cultures but there are also variations on the myths themselves. Which myth is the correct myth to then compare with other cultures, and so on go the complexity of tying down the elusive myth. Our own culture can influence the way we approach myths, aiding in western colonisation with the idea of the subjects being nothing but savages adding to the idea of “white man’s burden”.</w:t>
      </w:r>
      <w:r>
        <w:rPr>
          <w:rStyle w:val="FootnoteReference"/>
          <w:rFonts w:ascii="Times New Roman" w:hAnsi="Times New Roman" w:cs="Times New Roman"/>
          <w:sz w:val="24"/>
          <w:szCs w:val="24"/>
        </w:rPr>
        <w:footnoteReference w:id="16"/>
      </w:r>
      <w:r w:rsidR="00110766">
        <w:rPr>
          <w:rFonts w:ascii="Times New Roman" w:hAnsi="Times New Roman" w:cs="Times New Roman"/>
          <w:sz w:val="24"/>
          <w:szCs w:val="24"/>
        </w:rPr>
        <w:t xml:space="preserve"> This is also seen regarding women and myth, Freud did not </w:t>
      </w:r>
      <w:r w:rsidR="00E27034">
        <w:rPr>
          <w:rFonts w:ascii="Times New Roman" w:hAnsi="Times New Roman" w:cs="Times New Roman"/>
          <w:sz w:val="24"/>
          <w:szCs w:val="24"/>
        </w:rPr>
        <w:t xml:space="preserve">view women’s experience as priority because they were not a priority socially and savages had no place in the society of the time and therefore needed Christian charity. I disagree with the generalisation of cultures and religions regarding these theories because it feels limiting, myths are part of a large universe that we have very little information to then try and decipher and I think trying to put cultures into matching categories has us going </w:t>
      </w:r>
      <w:r w:rsidR="005D3332">
        <w:rPr>
          <w:rFonts w:ascii="Times New Roman" w:hAnsi="Times New Roman" w:cs="Times New Roman"/>
          <w:sz w:val="24"/>
          <w:szCs w:val="24"/>
        </w:rPr>
        <w:t>around</w:t>
      </w:r>
      <w:r w:rsidR="00E27034">
        <w:rPr>
          <w:rFonts w:ascii="Times New Roman" w:hAnsi="Times New Roman" w:cs="Times New Roman"/>
          <w:sz w:val="24"/>
          <w:szCs w:val="24"/>
        </w:rPr>
        <w:t xml:space="preserve"> in circles. </w:t>
      </w:r>
    </w:p>
    <w:p w14:paraId="33D6E899" w14:textId="56A611D1" w:rsidR="00B50C2E" w:rsidRDefault="00B50C2E" w:rsidP="004D3582">
      <w:pPr>
        <w:spacing w:line="240" w:lineRule="auto"/>
        <w:ind w:firstLine="720"/>
        <w:rPr>
          <w:rFonts w:ascii="Times New Roman" w:hAnsi="Times New Roman" w:cs="Times New Roman"/>
          <w:sz w:val="24"/>
          <w:szCs w:val="24"/>
        </w:rPr>
      </w:pPr>
    </w:p>
    <w:sdt>
      <w:sdtPr>
        <w:id w:val="-2010963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5DB2C5" w14:textId="597D52E5" w:rsidR="00B50C2E" w:rsidRDefault="00B50C2E">
          <w:pPr>
            <w:pStyle w:val="Heading1"/>
          </w:pPr>
          <w:r>
            <w:t>Bibliography</w:t>
          </w:r>
        </w:p>
        <w:sdt>
          <w:sdtPr>
            <w:id w:val="111145805"/>
            <w:bibliography/>
          </w:sdtPr>
          <w:sdtContent>
            <w:p w14:paraId="65DFEF71" w14:textId="77777777" w:rsidR="00B50C2E" w:rsidRDefault="00B50C2E" w:rsidP="00B50C2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Csapo, E. (2005). </w:t>
              </w:r>
              <w:r>
                <w:rPr>
                  <w:i/>
                  <w:iCs/>
                  <w:noProof/>
                  <w:lang w:val="en-US"/>
                </w:rPr>
                <w:t>Theories of Mythology.</w:t>
              </w:r>
              <w:r>
                <w:rPr>
                  <w:noProof/>
                  <w:lang w:val="en-US"/>
                </w:rPr>
                <w:t xml:space="preserve"> Malden: Blackwell Publishing .</w:t>
              </w:r>
            </w:p>
            <w:p w14:paraId="5AF1A302" w14:textId="77777777" w:rsidR="00B50C2E" w:rsidRDefault="00B50C2E" w:rsidP="00B50C2E">
              <w:pPr>
                <w:pStyle w:val="Bibliography"/>
                <w:ind w:left="720" w:hanging="720"/>
                <w:rPr>
                  <w:noProof/>
                  <w:lang w:val="en-US"/>
                </w:rPr>
              </w:pPr>
              <w:r>
                <w:rPr>
                  <w:i/>
                  <w:iCs/>
                  <w:noProof/>
                  <w:lang w:val="en-US"/>
                </w:rPr>
                <w:t>Myth</w:t>
              </w:r>
              <w:r>
                <w:rPr>
                  <w:noProof/>
                  <w:lang w:val="en-US"/>
                </w:rPr>
                <w:t>. (2018). Retrieved from Oxford Living Dictionary: https://en.oxforddictionaries.com/definition/myth</w:t>
              </w:r>
            </w:p>
            <w:p w14:paraId="03075F38" w14:textId="77777777" w:rsidR="00B50C2E" w:rsidRDefault="00B50C2E" w:rsidP="00B50C2E">
              <w:pPr>
                <w:pStyle w:val="Bibliography"/>
                <w:ind w:left="720" w:hanging="720"/>
                <w:rPr>
                  <w:noProof/>
                  <w:lang w:val="en-US"/>
                </w:rPr>
              </w:pPr>
              <w:r>
                <w:rPr>
                  <w:noProof/>
                  <w:lang w:val="en-US"/>
                </w:rPr>
                <w:t xml:space="preserve">Robinson, A. (2007). Review. </w:t>
              </w:r>
              <w:r>
                <w:rPr>
                  <w:i/>
                  <w:iCs/>
                  <w:noProof/>
                  <w:lang w:val="en-US"/>
                </w:rPr>
                <w:t>Review of 'Theories of Mythology' by Eric Csapo</w:t>
              </w:r>
              <w:r>
                <w:rPr>
                  <w:noProof/>
                  <w:lang w:val="en-US"/>
                </w:rPr>
                <w:t>, 362-364.</w:t>
              </w:r>
            </w:p>
            <w:p w14:paraId="079FF973" w14:textId="44ED2A52" w:rsidR="00B50C2E" w:rsidRDefault="00B50C2E" w:rsidP="00B50C2E">
              <w:r>
                <w:rPr>
                  <w:b/>
                  <w:bCs/>
                  <w:noProof/>
                </w:rPr>
                <w:fldChar w:fldCharType="end"/>
              </w:r>
            </w:p>
          </w:sdtContent>
        </w:sdt>
      </w:sdtContent>
    </w:sdt>
    <w:p w14:paraId="3C066FC5" w14:textId="77777777" w:rsidR="00B50C2E" w:rsidRDefault="00B50C2E" w:rsidP="004D3582">
      <w:pPr>
        <w:spacing w:line="240" w:lineRule="auto"/>
        <w:ind w:firstLine="720"/>
        <w:rPr>
          <w:rFonts w:ascii="Times New Roman" w:hAnsi="Times New Roman" w:cs="Times New Roman"/>
          <w:sz w:val="24"/>
          <w:szCs w:val="24"/>
        </w:rPr>
      </w:pPr>
      <w:bookmarkStart w:id="0" w:name="_GoBack"/>
      <w:bookmarkEnd w:id="0"/>
    </w:p>
    <w:p w14:paraId="51325B8E" w14:textId="77777777" w:rsidR="004D3582" w:rsidRPr="003E13F9" w:rsidRDefault="004D3582" w:rsidP="004D3582">
      <w:pPr>
        <w:spacing w:line="240" w:lineRule="auto"/>
        <w:rPr>
          <w:rFonts w:ascii="Times New Roman" w:hAnsi="Times New Roman" w:cs="Times New Roman"/>
          <w:sz w:val="24"/>
          <w:szCs w:val="24"/>
        </w:rPr>
      </w:pPr>
    </w:p>
    <w:sectPr w:rsidR="004D3582" w:rsidRPr="003E13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350AA" w14:textId="77777777" w:rsidR="00E804C6" w:rsidRDefault="00E804C6" w:rsidP="0025549E">
      <w:pPr>
        <w:spacing w:after="0" w:line="240" w:lineRule="auto"/>
      </w:pPr>
      <w:r>
        <w:separator/>
      </w:r>
    </w:p>
  </w:endnote>
  <w:endnote w:type="continuationSeparator" w:id="0">
    <w:p w14:paraId="4717F26E" w14:textId="77777777" w:rsidR="00E804C6" w:rsidRDefault="00E804C6" w:rsidP="00255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5D858A" w14:textId="77777777" w:rsidR="00E804C6" w:rsidRDefault="00E804C6" w:rsidP="0025549E">
      <w:pPr>
        <w:spacing w:after="0" w:line="240" w:lineRule="auto"/>
      </w:pPr>
      <w:r>
        <w:separator/>
      </w:r>
    </w:p>
  </w:footnote>
  <w:footnote w:type="continuationSeparator" w:id="0">
    <w:p w14:paraId="510B7A00" w14:textId="77777777" w:rsidR="00E804C6" w:rsidRDefault="00E804C6" w:rsidP="0025549E">
      <w:pPr>
        <w:spacing w:after="0" w:line="240" w:lineRule="auto"/>
      </w:pPr>
      <w:r>
        <w:continuationSeparator/>
      </w:r>
    </w:p>
  </w:footnote>
  <w:footnote w:id="1">
    <w:p w14:paraId="42042438" w14:textId="49E98D67" w:rsidR="0025549E" w:rsidRDefault="0025549E">
      <w:pPr>
        <w:pStyle w:val="FootnoteText"/>
      </w:pPr>
      <w:r>
        <w:rPr>
          <w:rStyle w:val="FootnoteReference"/>
        </w:rPr>
        <w:footnoteRef/>
      </w:r>
      <w:r>
        <w:t xml:space="preserve"> The Oxford Living Dictionary, Myth. Available:</w:t>
      </w:r>
      <w:r w:rsidRPr="0025549E">
        <w:t xml:space="preserve"> </w:t>
      </w:r>
      <w:hyperlink r:id="rId1" w:history="1">
        <w:r w:rsidRPr="00647DA4">
          <w:rPr>
            <w:rStyle w:val="Hyperlink"/>
          </w:rPr>
          <w:t>https://en.oxforddictionaries.com/definition/myth</w:t>
        </w:r>
      </w:hyperlink>
      <w:r>
        <w:t>. [Accessed: May 28</w:t>
      </w:r>
      <w:r w:rsidRPr="0025549E">
        <w:rPr>
          <w:vertAlign w:val="superscript"/>
        </w:rPr>
        <w:t>th</w:t>
      </w:r>
      <w:proofErr w:type="gramStart"/>
      <w:r>
        <w:t xml:space="preserve"> 2018</w:t>
      </w:r>
      <w:proofErr w:type="gramEnd"/>
      <w:r>
        <w:t>].</w:t>
      </w:r>
    </w:p>
  </w:footnote>
  <w:footnote w:id="2">
    <w:p w14:paraId="74849768" w14:textId="3A64171F" w:rsidR="0025549E" w:rsidRPr="0025549E" w:rsidRDefault="0025549E">
      <w:pPr>
        <w:pStyle w:val="FootnoteText"/>
      </w:pPr>
      <w:r>
        <w:rPr>
          <w:rStyle w:val="FootnoteReference"/>
        </w:rPr>
        <w:footnoteRef/>
      </w:r>
      <w:r>
        <w:t xml:space="preserve"> Eric </w:t>
      </w:r>
      <w:proofErr w:type="spellStart"/>
      <w:r>
        <w:t>Csapo</w:t>
      </w:r>
      <w:proofErr w:type="spellEnd"/>
      <w:r>
        <w:t xml:space="preserve">, </w:t>
      </w:r>
      <w:r>
        <w:rPr>
          <w:i/>
        </w:rPr>
        <w:t xml:space="preserve">Theories of Mythology </w:t>
      </w:r>
      <w:r>
        <w:t>(Malden: Blackwell Publishing, 2005). p.33.</w:t>
      </w:r>
    </w:p>
  </w:footnote>
  <w:footnote w:id="3">
    <w:p w14:paraId="1BD47A2D" w14:textId="02D363B6" w:rsidR="0025549E" w:rsidRPr="0025549E" w:rsidRDefault="0025549E">
      <w:pPr>
        <w:pStyle w:val="FootnoteText"/>
      </w:pPr>
      <w:r>
        <w:rPr>
          <w:rStyle w:val="FootnoteReference"/>
        </w:rPr>
        <w:footnoteRef/>
      </w:r>
      <w:r>
        <w:t xml:space="preserve"> Eric </w:t>
      </w:r>
      <w:proofErr w:type="spellStart"/>
      <w:r>
        <w:t>Csapo</w:t>
      </w:r>
      <w:proofErr w:type="spellEnd"/>
      <w:r>
        <w:t xml:space="preserve">, </w:t>
      </w:r>
      <w:r>
        <w:rPr>
          <w:i/>
        </w:rPr>
        <w:t xml:space="preserve">Theories of Mythology. </w:t>
      </w:r>
      <w:r>
        <w:t>p.66.</w:t>
      </w:r>
    </w:p>
  </w:footnote>
  <w:footnote w:id="4">
    <w:p w14:paraId="46CB7BB3" w14:textId="147993C8" w:rsidR="0025549E" w:rsidRPr="0025549E" w:rsidRDefault="0025549E">
      <w:pPr>
        <w:pStyle w:val="FootnoteText"/>
      </w:pPr>
      <w:r>
        <w:rPr>
          <w:rStyle w:val="FootnoteReference"/>
        </w:rPr>
        <w:footnoteRef/>
      </w:r>
      <w:r>
        <w:t xml:space="preserve"> Eric </w:t>
      </w:r>
      <w:proofErr w:type="spellStart"/>
      <w:r>
        <w:t>Csapo</w:t>
      </w:r>
      <w:proofErr w:type="spellEnd"/>
      <w:r>
        <w:t xml:space="preserve">, </w:t>
      </w:r>
      <w:r>
        <w:rPr>
          <w:i/>
        </w:rPr>
        <w:t xml:space="preserve">Theories of Mythology. </w:t>
      </w:r>
      <w:r>
        <w:t>p.35.</w:t>
      </w:r>
    </w:p>
  </w:footnote>
  <w:footnote w:id="5">
    <w:p w14:paraId="65C74D67" w14:textId="5FE848E7" w:rsidR="0025549E" w:rsidRPr="00B42348" w:rsidRDefault="0025549E">
      <w:pPr>
        <w:pStyle w:val="FootnoteText"/>
      </w:pPr>
      <w:r>
        <w:rPr>
          <w:rStyle w:val="FootnoteReference"/>
        </w:rPr>
        <w:footnoteRef/>
      </w:r>
      <w:r>
        <w:t xml:space="preserve"> Annabel Robinson, ‘Review’</w:t>
      </w:r>
      <w:r w:rsidR="00B42348">
        <w:t xml:space="preserve">, </w:t>
      </w:r>
      <w:r w:rsidR="00B42348">
        <w:rPr>
          <w:i/>
        </w:rPr>
        <w:t xml:space="preserve">Theories of Mythology by Eric </w:t>
      </w:r>
      <w:proofErr w:type="spellStart"/>
      <w:r w:rsidR="00B42348">
        <w:rPr>
          <w:i/>
        </w:rPr>
        <w:t>Csapo</w:t>
      </w:r>
      <w:proofErr w:type="spellEnd"/>
      <w:r w:rsidR="00B42348">
        <w:rPr>
          <w:i/>
        </w:rPr>
        <w:t>.</w:t>
      </w:r>
      <w:r w:rsidR="00B42348">
        <w:t xml:space="preserve"> (2007). p.363.</w:t>
      </w:r>
    </w:p>
  </w:footnote>
  <w:footnote w:id="6">
    <w:p w14:paraId="1D1CE8E1" w14:textId="46EEC0D6" w:rsidR="001B6636" w:rsidRPr="00CE611E" w:rsidRDefault="001B6636">
      <w:pPr>
        <w:pStyle w:val="FootnoteText"/>
        <w:rPr>
          <w:i/>
        </w:rPr>
      </w:pPr>
      <w:r>
        <w:rPr>
          <w:rStyle w:val="FootnoteReference"/>
        </w:rPr>
        <w:footnoteRef/>
      </w:r>
      <w:r>
        <w:t xml:space="preserve"> </w:t>
      </w:r>
      <w:r w:rsidR="00CE611E">
        <w:t xml:space="preserve">Eric </w:t>
      </w:r>
      <w:proofErr w:type="spellStart"/>
      <w:r w:rsidR="00CE611E">
        <w:t>Csapo</w:t>
      </w:r>
      <w:proofErr w:type="spellEnd"/>
      <w:r w:rsidR="00CE611E">
        <w:t xml:space="preserve">, </w:t>
      </w:r>
      <w:r w:rsidR="00CE611E">
        <w:rPr>
          <w:i/>
        </w:rPr>
        <w:t>Theories of Mythology. p.44.</w:t>
      </w:r>
    </w:p>
  </w:footnote>
  <w:footnote w:id="7">
    <w:p w14:paraId="51EB1355" w14:textId="4B65C93E" w:rsidR="00CE611E" w:rsidRPr="00CE611E" w:rsidRDefault="00CE611E">
      <w:pPr>
        <w:pStyle w:val="FootnoteText"/>
      </w:pPr>
      <w:r>
        <w:rPr>
          <w:rStyle w:val="FootnoteReference"/>
        </w:rPr>
        <w:footnoteRef/>
      </w:r>
      <w:r>
        <w:t xml:space="preserve"> Eric </w:t>
      </w:r>
      <w:proofErr w:type="spellStart"/>
      <w:r>
        <w:t>Csapo</w:t>
      </w:r>
      <w:proofErr w:type="spellEnd"/>
      <w:r>
        <w:t xml:space="preserve">, </w:t>
      </w:r>
      <w:r>
        <w:rPr>
          <w:i/>
        </w:rPr>
        <w:t xml:space="preserve">Theories of Mythology. </w:t>
      </w:r>
      <w:r>
        <w:t>p.75.</w:t>
      </w:r>
    </w:p>
  </w:footnote>
  <w:footnote w:id="8">
    <w:p w14:paraId="018E7750" w14:textId="2EAD84B1" w:rsidR="008D3725" w:rsidRPr="008D3725" w:rsidRDefault="008D3725">
      <w:pPr>
        <w:pStyle w:val="FootnoteText"/>
      </w:pPr>
      <w:r>
        <w:rPr>
          <w:rStyle w:val="FootnoteReference"/>
        </w:rPr>
        <w:footnoteRef/>
      </w:r>
      <w:r>
        <w:t xml:space="preserve"> Annabel Robinson, </w:t>
      </w:r>
      <w:r>
        <w:rPr>
          <w:i/>
        </w:rPr>
        <w:t xml:space="preserve">Review. </w:t>
      </w:r>
      <w:r>
        <w:t>p.363.</w:t>
      </w:r>
    </w:p>
  </w:footnote>
  <w:footnote w:id="9">
    <w:p w14:paraId="7B1BD7C7" w14:textId="6C3F1D90" w:rsidR="007657EF" w:rsidRPr="007657EF" w:rsidRDefault="007657EF">
      <w:pPr>
        <w:pStyle w:val="FootnoteText"/>
      </w:pPr>
      <w:r>
        <w:rPr>
          <w:rStyle w:val="FootnoteReference"/>
        </w:rPr>
        <w:footnoteRef/>
      </w:r>
      <w:r>
        <w:t xml:space="preserve"> Eric </w:t>
      </w:r>
      <w:proofErr w:type="spellStart"/>
      <w:r>
        <w:t>Csapon</w:t>
      </w:r>
      <w:proofErr w:type="spellEnd"/>
      <w:r>
        <w:t xml:space="preserve">, </w:t>
      </w:r>
      <w:r>
        <w:rPr>
          <w:i/>
        </w:rPr>
        <w:t>Theories of Mythology.</w:t>
      </w:r>
      <w:r>
        <w:t xml:space="preserve"> p.91</w:t>
      </w:r>
      <w:r w:rsidR="00480F69">
        <w:t>.</w:t>
      </w:r>
    </w:p>
  </w:footnote>
  <w:footnote w:id="10">
    <w:p w14:paraId="551E70EE" w14:textId="4C5E1FB0" w:rsidR="00480F69" w:rsidRPr="00480F69" w:rsidRDefault="00480F69">
      <w:pPr>
        <w:pStyle w:val="FootnoteText"/>
      </w:pPr>
      <w:r>
        <w:rPr>
          <w:rStyle w:val="FootnoteReference"/>
        </w:rPr>
        <w:footnoteRef/>
      </w:r>
      <w:r>
        <w:t xml:space="preserve"> Eric </w:t>
      </w:r>
      <w:proofErr w:type="spellStart"/>
      <w:r>
        <w:t>Csapon</w:t>
      </w:r>
      <w:proofErr w:type="spellEnd"/>
      <w:r>
        <w:t xml:space="preserve">, </w:t>
      </w:r>
      <w:r>
        <w:rPr>
          <w:i/>
        </w:rPr>
        <w:t xml:space="preserve">Theories of Mythology. </w:t>
      </w:r>
      <w:r>
        <w:t>p.104.</w:t>
      </w:r>
    </w:p>
  </w:footnote>
  <w:footnote w:id="11">
    <w:p w14:paraId="679123B9" w14:textId="1C905B61" w:rsidR="00480F69" w:rsidRPr="00480F69" w:rsidRDefault="00480F69">
      <w:pPr>
        <w:pStyle w:val="FootnoteText"/>
      </w:pPr>
      <w:r>
        <w:rPr>
          <w:rStyle w:val="FootnoteReference"/>
        </w:rPr>
        <w:footnoteRef/>
      </w:r>
      <w:r>
        <w:t xml:space="preserve"> Eric </w:t>
      </w:r>
      <w:proofErr w:type="spellStart"/>
      <w:r>
        <w:t>Csapon</w:t>
      </w:r>
      <w:proofErr w:type="spellEnd"/>
      <w:r>
        <w:t xml:space="preserve">, </w:t>
      </w:r>
      <w:r>
        <w:rPr>
          <w:i/>
        </w:rPr>
        <w:t xml:space="preserve">Theories of Mythology. </w:t>
      </w:r>
      <w:r>
        <w:t>p.94.</w:t>
      </w:r>
    </w:p>
  </w:footnote>
  <w:footnote w:id="12">
    <w:p w14:paraId="5D31AFDC" w14:textId="12D0AE0D" w:rsidR="00926766" w:rsidRPr="00926766" w:rsidRDefault="00926766">
      <w:pPr>
        <w:pStyle w:val="FootnoteText"/>
      </w:pPr>
      <w:r>
        <w:rPr>
          <w:rStyle w:val="FootnoteReference"/>
        </w:rPr>
        <w:footnoteRef/>
      </w:r>
      <w:r>
        <w:t xml:space="preserve"> Eric </w:t>
      </w:r>
      <w:proofErr w:type="spellStart"/>
      <w:r>
        <w:t>Csapon</w:t>
      </w:r>
      <w:proofErr w:type="spellEnd"/>
      <w:r>
        <w:t xml:space="preserve">, </w:t>
      </w:r>
      <w:r>
        <w:rPr>
          <w:i/>
        </w:rPr>
        <w:t xml:space="preserve">Theories of Mythology. </w:t>
      </w:r>
      <w:r>
        <w:t>p.129.</w:t>
      </w:r>
    </w:p>
  </w:footnote>
  <w:footnote w:id="13">
    <w:p w14:paraId="0D548F12" w14:textId="766E7FA9" w:rsidR="00B95E03" w:rsidRPr="00B95E03" w:rsidRDefault="00B95E03">
      <w:pPr>
        <w:pStyle w:val="FootnoteText"/>
      </w:pPr>
      <w:r>
        <w:rPr>
          <w:rStyle w:val="FootnoteReference"/>
        </w:rPr>
        <w:footnoteRef/>
      </w:r>
      <w:r>
        <w:t xml:space="preserve"> Eric </w:t>
      </w:r>
      <w:proofErr w:type="spellStart"/>
      <w:r>
        <w:t>Csapon</w:t>
      </w:r>
      <w:proofErr w:type="spellEnd"/>
      <w:r>
        <w:t xml:space="preserve">, </w:t>
      </w:r>
      <w:r>
        <w:rPr>
          <w:i/>
        </w:rPr>
        <w:t xml:space="preserve">Theories of Mythology. </w:t>
      </w:r>
      <w:r>
        <w:t>p.145.</w:t>
      </w:r>
    </w:p>
  </w:footnote>
  <w:footnote w:id="14">
    <w:p w14:paraId="6EC94923" w14:textId="1EAD58F0" w:rsidR="00B95E03" w:rsidRPr="00B95E03" w:rsidRDefault="00B95E03">
      <w:pPr>
        <w:pStyle w:val="FootnoteText"/>
      </w:pPr>
      <w:r>
        <w:rPr>
          <w:rStyle w:val="FootnoteReference"/>
        </w:rPr>
        <w:footnoteRef/>
      </w:r>
      <w:r>
        <w:t xml:space="preserve"> Eric </w:t>
      </w:r>
      <w:proofErr w:type="spellStart"/>
      <w:r>
        <w:t>Csapon</w:t>
      </w:r>
      <w:proofErr w:type="spellEnd"/>
      <w:r>
        <w:t xml:space="preserve">, </w:t>
      </w:r>
      <w:r>
        <w:rPr>
          <w:i/>
        </w:rPr>
        <w:t xml:space="preserve">Theories of Mythology. </w:t>
      </w:r>
      <w:r>
        <w:t>p.146.</w:t>
      </w:r>
    </w:p>
  </w:footnote>
  <w:footnote w:id="15">
    <w:p w14:paraId="49E23997" w14:textId="53655CB1" w:rsidR="00B95E03" w:rsidRDefault="00B95E03">
      <w:pPr>
        <w:pStyle w:val="FootnoteText"/>
      </w:pPr>
      <w:r>
        <w:rPr>
          <w:rStyle w:val="FootnoteReference"/>
        </w:rPr>
        <w:footnoteRef/>
      </w:r>
      <w:r>
        <w:t xml:space="preserve"> Eric </w:t>
      </w:r>
      <w:proofErr w:type="spellStart"/>
      <w:r>
        <w:t>Csapon</w:t>
      </w:r>
      <w:proofErr w:type="spellEnd"/>
      <w:r>
        <w:t xml:space="preserve">, </w:t>
      </w:r>
      <w:r w:rsidRPr="00B95E03">
        <w:rPr>
          <w:i/>
        </w:rPr>
        <w:t>Theories of Mythology</w:t>
      </w:r>
      <w:r>
        <w:t>. p.149.</w:t>
      </w:r>
    </w:p>
  </w:footnote>
  <w:footnote w:id="16">
    <w:p w14:paraId="7B0B414C" w14:textId="27221EF0" w:rsidR="004D3582" w:rsidRPr="004D3582" w:rsidRDefault="004D3582">
      <w:pPr>
        <w:pStyle w:val="FootnoteText"/>
      </w:pPr>
      <w:r>
        <w:rPr>
          <w:rStyle w:val="FootnoteReference"/>
        </w:rPr>
        <w:footnoteRef/>
      </w:r>
      <w:r>
        <w:t xml:space="preserve"> Eric </w:t>
      </w:r>
      <w:proofErr w:type="spellStart"/>
      <w:r>
        <w:t>Csapon</w:t>
      </w:r>
      <w:proofErr w:type="spellEnd"/>
      <w:r>
        <w:t xml:space="preserve">, </w:t>
      </w:r>
      <w:r>
        <w:rPr>
          <w:i/>
        </w:rPr>
        <w:t xml:space="preserve">Theories of Mythology. </w:t>
      </w:r>
      <w:r>
        <w:t>p.45.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981"/>
    <w:rsid w:val="00110766"/>
    <w:rsid w:val="00141BB6"/>
    <w:rsid w:val="001B6636"/>
    <w:rsid w:val="0025549E"/>
    <w:rsid w:val="002670F1"/>
    <w:rsid w:val="003E13F9"/>
    <w:rsid w:val="00480F69"/>
    <w:rsid w:val="004D3582"/>
    <w:rsid w:val="005D3332"/>
    <w:rsid w:val="006E3E57"/>
    <w:rsid w:val="007657EF"/>
    <w:rsid w:val="008D3725"/>
    <w:rsid w:val="00926766"/>
    <w:rsid w:val="00A9542A"/>
    <w:rsid w:val="00B42348"/>
    <w:rsid w:val="00B50C2E"/>
    <w:rsid w:val="00B95E03"/>
    <w:rsid w:val="00CE611E"/>
    <w:rsid w:val="00DA29AF"/>
    <w:rsid w:val="00DE1E82"/>
    <w:rsid w:val="00DE4F91"/>
    <w:rsid w:val="00E27034"/>
    <w:rsid w:val="00E65981"/>
    <w:rsid w:val="00E80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FAB8C"/>
  <w15:chartTrackingRefBased/>
  <w15:docId w15:val="{0F67898F-3125-4A21-B9AD-D4CE5AB5D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C2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54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549E"/>
    <w:rPr>
      <w:sz w:val="20"/>
      <w:szCs w:val="20"/>
    </w:rPr>
  </w:style>
  <w:style w:type="character" w:styleId="FootnoteReference">
    <w:name w:val="footnote reference"/>
    <w:basedOn w:val="DefaultParagraphFont"/>
    <w:uiPriority w:val="99"/>
    <w:semiHidden/>
    <w:unhideWhenUsed/>
    <w:rsid w:val="0025549E"/>
    <w:rPr>
      <w:vertAlign w:val="superscript"/>
    </w:rPr>
  </w:style>
  <w:style w:type="character" w:styleId="Hyperlink">
    <w:name w:val="Hyperlink"/>
    <w:basedOn w:val="DefaultParagraphFont"/>
    <w:uiPriority w:val="99"/>
    <w:unhideWhenUsed/>
    <w:rsid w:val="0025549E"/>
    <w:rPr>
      <w:color w:val="0563C1" w:themeColor="hyperlink"/>
      <w:u w:val="single"/>
    </w:rPr>
  </w:style>
  <w:style w:type="character" w:styleId="UnresolvedMention">
    <w:name w:val="Unresolved Mention"/>
    <w:basedOn w:val="DefaultParagraphFont"/>
    <w:uiPriority w:val="99"/>
    <w:semiHidden/>
    <w:unhideWhenUsed/>
    <w:rsid w:val="0025549E"/>
    <w:rPr>
      <w:color w:val="808080"/>
      <w:shd w:val="clear" w:color="auto" w:fill="E6E6E6"/>
    </w:rPr>
  </w:style>
  <w:style w:type="character" w:customStyle="1" w:styleId="Heading1Char">
    <w:name w:val="Heading 1 Char"/>
    <w:basedOn w:val="DefaultParagraphFont"/>
    <w:link w:val="Heading1"/>
    <w:uiPriority w:val="9"/>
    <w:rsid w:val="00B50C2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0C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32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en.oxforddictionaries.com/definition/my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Eri05</b:Tag>
    <b:SourceType>Book</b:SourceType>
    <b:Guid>{D1AE645F-6F34-40D5-BDAE-5DC8F1F32E11}</b:Guid>
    <b:Author>
      <b:Author>
        <b:NameList>
          <b:Person>
            <b:Last>Csapo</b:Last>
            <b:First>Eric</b:First>
          </b:Person>
        </b:NameList>
      </b:Author>
    </b:Author>
    <b:Title>Theories of Mythology</b:Title>
    <b:Year>2005</b:Year>
    <b:City>Malden</b:City>
    <b:Publisher>Blackwell Publishing </b:Publisher>
    <b:RefOrder>1</b:RefOrder>
  </b:Source>
  <b:Source>
    <b:Tag>Myt18</b:Tag>
    <b:SourceType>InternetSite</b:SourceType>
    <b:Guid>{FD32C03F-D9EB-43FF-9C89-CFAE2D1A7E86}</b:Guid>
    <b:Title>Myth</b:Title>
    <b:Year>2018</b:Year>
    <b:InternetSiteTitle>Oxford Living Dictionary</b:InternetSiteTitle>
    <b:URL>https://en.oxforddictionaries.com/definition/myth</b:URL>
    <b:RefOrder>2</b:RefOrder>
  </b:Source>
  <b:Source>
    <b:Tag>Ann07</b:Tag>
    <b:SourceType>JournalArticle</b:SourceType>
    <b:Guid>{0DEE9A5E-18B9-4081-81D4-FEDCFAC21BA0}</b:Guid>
    <b:Author>
      <b:Author>
        <b:NameList>
          <b:Person>
            <b:Last>Robinson</b:Last>
            <b:First>Annabel</b:First>
          </b:Person>
        </b:NameList>
      </b:Author>
    </b:Author>
    <b:Title>Review</b:Title>
    <b:JournalName>Review of 'Theories of Mythology' by Eric Csapo</b:JournalName>
    <b:Year>2007</b:Year>
    <b:Pages>362-364</b:Pages>
    <b:RefOrder>3</b:RefOrder>
  </b:Source>
</b:Sources>
</file>

<file path=customXml/itemProps1.xml><?xml version="1.0" encoding="utf-8"?>
<ds:datastoreItem xmlns:ds="http://schemas.openxmlformats.org/officeDocument/2006/customXml" ds:itemID="{32BB3A6F-5B07-4698-969D-1B947B441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3</Pages>
  <Words>782</Words>
  <Characters>4460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10</cp:revision>
  <dcterms:created xsi:type="dcterms:W3CDTF">2018-05-27T21:17:00Z</dcterms:created>
  <dcterms:modified xsi:type="dcterms:W3CDTF">2018-05-28T18:36:00Z</dcterms:modified>
</cp:coreProperties>
</file>