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68E851">
      <w:pPr>
        <w:rPr>
          <w:rFonts w:ascii="Arial" w:hAnsi="Arial" w:cs="Arial"/>
          <w:sz w:val="22"/>
          <w:szCs w:val="22"/>
        </w:rPr>
      </w:pPr>
    </w:p>
    <w:p w14:paraId="5BA5378D">
      <w:pPr>
        <w:rPr>
          <w:rFonts w:ascii="Arial" w:hAnsi="Arial" w:cs="Arial"/>
          <w:sz w:val="22"/>
          <w:szCs w:val="22"/>
        </w:rPr>
      </w:pPr>
    </w:p>
    <w:p w14:paraId="6C510B0A">
      <w:pPr>
        <w:jc w:val="center"/>
        <w:rPr>
          <w:rFonts w:ascii="Arial" w:hAnsi="Arial" w:cs="Arial"/>
          <w:b/>
          <w:bCs/>
          <w:sz w:val="22"/>
          <w:szCs w:val="22"/>
        </w:rPr>
      </w:pPr>
    </w:p>
    <w:p w14:paraId="7C217145">
      <w:pPr>
        <w:jc w:val="center"/>
        <w:rPr>
          <w:rFonts w:ascii="Arial" w:hAnsi="Arial" w:cs="Arial"/>
          <w:b/>
          <w:bCs/>
          <w:sz w:val="22"/>
          <w:szCs w:val="22"/>
        </w:rPr>
      </w:pPr>
    </w:p>
    <w:p w14:paraId="2A0360F9">
      <w:pPr>
        <w:jc w:val="center"/>
        <w:rPr>
          <w:rFonts w:ascii="Arial" w:hAnsi="Arial" w:cs="Arial"/>
          <w:b/>
          <w:bCs/>
          <w:sz w:val="22"/>
          <w:szCs w:val="22"/>
        </w:rPr>
      </w:pPr>
    </w:p>
    <w:p w14:paraId="5EAC0281">
      <w:pPr>
        <w:jc w:val="center"/>
        <w:rPr>
          <w:rFonts w:ascii="Arial" w:hAnsi="Arial" w:cs="Arial"/>
          <w:b/>
          <w:bCs/>
          <w:sz w:val="22"/>
          <w:szCs w:val="22"/>
        </w:rPr>
      </w:pPr>
      <w:r>
        <w:rPr>
          <w:rFonts w:ascii="Arial" w:hAnsi="Arial" w:cs="Arial"/>
          <w:b/>
          <w:bCs/>
          <w:sz w:val="22"/>
          <w:szCs w:val="22"/>
        </w:rPr>
        <w:t>Psychological Classifications and Provisions: 6A70 Single Episode Depressive Disorder</w:t>
      </w:r>
    </w:p>
    <w:p w14:paraId="07E8E4BC">
      <w:pPr>
        <w:jc w:val="center"/>
        <w:rPr>
          <w:rFonts w:ascii="Arial" w:hAnsi="Arial" w:cs="Arial"/>
          <w:b/>
          <w:bCs/>
          <w:sz w:val="22"/>
          <w:szCs w:val="22"/>
        </w:rPr>
      </w:pPr>
    </w:p>
    <w:p w14:paraId="0C9BB9EC">
      <w:pPr>
        <w:jc w:val="center"/>
        <w:rPr>
          <w:rFonts w:ascii="Arial" w:hAnsi="Arial" w:cs="Arial"/>
          <w:b/>
          <w:bCs/>
          <w:sz w:val="22"/>
          <w:szCs w:val="22"/>
        </w:rPr>
      </w:pPr>
    </w:p>
    <w:p w14:paraId="4D3839FF">
      <w:pPr>
        <w:jc w:val="center"/>
        <w:rPr>
          <w:rFonts w:ascii="Arial" w:hAnsi="Arial" w:cs="Arial"/>
          <w:b/>
          <w:bCs/>
          <w:sz w:val="22"/>
          <w:szCs w:val="22"/>
        </w:rPr>
      </w:pPr>
    </w:p>
    <w:p w14:paraId="0115CC60">
      <w:pPr>
        <w:jc w:val="center"/>
        <w:rPr>
          <w:rFonts w:ascii="Arial" w:hAnsi="Arial" w:cs="Arial"/>
          <w:b/>
          <w:bCs/>
          <w:sz w:val="22"/>
          <w:szCs w:val="22"/>
        </w:rPr>
      </w:pPr>
    </w:p>
    <w:p w14:paraId="3C4E1F18">
      <w:pPr>
        <w:jc w:val="center"/>
        <w:rPr>
          <w:rFonts w:ascii="Arial" w:hAnsi="Arial" w:cs="Arial"/>
          <w:b/>
          <w:bCs/>
          <w:sz w:val="22"/>
          <w:szCs w:val="22"/>
        </w:rPr>
      </w:pPr>
    </w:p>
    <w:p w14:paraId="1C0BB99C">
      <w:pPr>
        <w:jc w:val="center"/>
        <w:rPr>
          <w:rFonts w:ascii="Arial" w:hAnsi="Arial" w:cs="Arial"/>
          <w:b/>
          <w:bCs/>
          <w:sz w:val="22"/>
          <w:szCs w:val="22"/>
        </w:rPr>
      </w:pPr>
    </w:p>
    <w:p w14:paraId="08DC451B">
      <w:pPr>
        <w:jc w:val="center"/>
        <w:rPr>
          <w:rFonts w:ascii="Arial" w:hAnsi="Arial" w:cs="Arial"/>
          <w:b/>
          <w:bCs/>
          <w:sz w:val="22"/>
          <w:szCs w:val="22"/>
        </w:rPr>
      </w:pPr>
    </w:p>
    <w:p w14:paraId="0553CF77">
      <w:pPr>
        <w:jc w:val="center"/>
        <w:rPr>
          <w:rFonts w:ascii="Arial" w:hAnsi="Arial" w:cs="Arial"/>
          <w:sz w:val="22"/>
          <w:szCs w:val="22"/>
        </w:rPr>
      </w:pPr>
      <w:r>
        <w:rPr>
          <w:rFonts w:ascii="Arial" w:hAnsi="Arial" w:cs="Arial"/>
          <w:sz w:val="22"/>
          <w:szCs w:val="22"/>
        </w:rPr>
        <w:t>by</w:t>
      </w:r>
    </w:p>
    <w:p w14:paraId="7B4AB39C">
      <w:pPr>
        <w:jc w:val="center"/>
        <w:rPr>
          <w:rFonts w:ascii="Arial" w:hAnsi="Arial" w:cs="Arial"/>
          <w:sz w:val="22"/>
          <w:szCs w:val="22"/>
        </w:rPr>
      </w:pPr>
    </w:p>
    <w:p w14:paraId="7BD96E64">
      <w:pPr>
        <w:jc w:val="center"/>
        <w:rPr>
          <w:rFonts w:ascii="Arial" w:hAnsi="Arial" w:cs="Arial"/>
          <w:sz w:val="22"/>
          <w:szCs w:val="22"/>
        </w:rPr>
      </w:pPr>
    </w:p>
    <w:p w14:paraId="5F6CE2F2">
      <w:pPr>
        <w:jc w:val="center"/>
        <w:rPr>
          <w:rFonts w:ascii="Arial" w:hAnsi="Arial" w:cs="Arial"/>
          <w:sz w:val="22"/>
          <w:szCs w:val="22"/>
          <w:lang w:val="en"/>
          <w:woUserID w:val="1"/>
        </w:rPr>
      </w:pPr>
      <w:r>
        <w:rPr>
          <w:rFonts w:ascii="Arial" w:hAnsi="Arial" w:cs="Arial"/>
          <w:sz w:val="22"/>
          <w:szCs w:val="22"/>
        </w:rPr>
        <w:t>Student Name</w:t>
      </w:r>
      <w:r>
        <w:rPr>
          <w:rFonts w:ascii="Arial" w:hAnsi="Arial" w:cs="Arial"/>
          <w:sz w:val="22"/>
          <w:szCs w:val="22"/>
          <w:lang w:val="en"/>
          <w:woUserID w:val="1"/>
        </w:rPr>
        <w:t xml:space="preserve">: Pavlin Enchev </w:t>
      </w:r>
    </w:p>
    <w:p w14:paraId="4EE54568">
      <w:pPr>
        <w:jc w:val="center"/>
        <w:rPr>
          <w:rFonts w:hint="default" w:ascii="Arial" w:hAnsi="Arial" w:cs="Arial"/>
          <w:sz w:val="22"/>
          <w:szCs w:val="22"/>
          <w:lang w:val="en"/>
          <w:woUserID w:val="1"/>
        </w:rPr>
      </w:pPr>
      <w:r>
        <w:rPr>
          <w:rFonts w:ascii="Arial" w:hAnsi="Arial" w:cs="Arial"/>
          <w:sz w:val="22"/>
          <w:szCs w:val="22"/>
          <w:lang w:val="en"/>
          <w:woUserID w:val="1"/>
        </w:rPr>
        <w:t>Student Number:2327272</w:t>
      </w:r>
    </w:p>
    <w:p w14:paraId="33B23845">
      <w:pPr>
        <w:jc w:val="center"/>
        <w:rPr>
          <w:rFonts w:hint="default" w:ascii="Arial" w:hAnsi="Arial" w:cs="Arial"/>
          <w:sz w:val="22"/>
          <w:szCs w:val="22"/>
          <w:lang w:val="en"/>
          <w:woUserID w:val="1"/>
        </w:rPr>
      </w:pPr>
      <w:r>
        <w:rPr>
          <w:rFonts w:ascii="Arial" w:hAnsi="Arial" w:cs="Arial"/>
          <w:sz w:val="22"/>
          <w:szCs w:val="22"/>
        </w:rPr>
        <w:t>BMHP6029: Psychological Classifications and Provision</w:t>
      </w:r>
      <w:r>
        <w:rPr>
          <w:rFonts w:ascii="Arial" w:hAnsi="Arial" w:cs="Arial"/>
          <w:sz w:val="22"/>
          <w:szCs w:val="22"/>
          <w:lang w:val="en"/>
          <w:woUserID w:val="1"/>
        </w:rPr>
        <w:t>s</w:t>
      </w:r>
    </w:p>
    <w:p w14:paraId="5725781F">
      <w:pPr>
        <w:jc w:val="center"/>
        <w:rPr>
          <w:rFonts w:ascii="Arial" w:hAnsi="Arial" w:cs="Arial"/>
          <w:sz w:val="22"/>
          <w:szCs w:val="22"/>
        </w:rPr>
      </w:pPr>
    </w:p>
    <w:p w14:paraId="073E2ABD">
      <w:pPr>
        <w:jc w:val="center"/>
        <w:rPr>
          <w:rFonts w:ascii="Arial" w:hAnsi="Arial" w:cs="Arial"/>
          <w:sz w:val="22"/>
          <w:szCs w:val="22"/>
        </w:rPr>
      </w:pPr>
    </w:p>
    <w:p w14:paraId="22DF9FED">
      <w:pPr>
        <w:jc w:val="center"/>
        <w:rPr>
          <w:rFonts w:ascii="Arial" w:hAnsi="Arial" w:cs="Arial"/>
          <w:sz w:val="22"/>
          <w:szCs w:val="22"/>
        </w:rPr>
      </w:pPr>
    </w:p>
    <w:p w14:paraId="3CF5DD80">
      <w:pPr>
        <w:jc w:val="center"/>
        <w:rPr>
          <w:rFonts w:ascii="Arial" w:hAnsi="Arial" w:cs="Arial"/>
          <w:sz w:val="22"/>
          <w:szCs w:val="22"/>
        </w:rPr>
      </w:pPr>
    </w:p>
    <w:p w14:paraId="6F830C43">
      <w:pPr>
        <w:jc w:val="center"/>
        <w:rPr>
          <w:rFonts w:ascii="Arial" w:hAnsi="Arial" w:cs="Arial"/>
          <w:sz w:val="22"/>
          <w:szCs w:val="22"/>
        </w:rPr>
      </w:pPr>
    </w:p>
    <w:p w14:paraId="757D050C">
      <w:pPr>
        <w:jc w:val="center"/>
        <w:rPr>
          <w:rFonts w:ascii="Arial" w:hAnsi="Arial" w:cs="Arial"/>
          <w:sz w:val="22"/>
          <w:szCs w:val="22"/>
        </w:rPr>
      </w:pPr>
    </w:p>
    <w:p w14:paraId="4366AABD">
      <w:pPr>
        <w:jc w:val="center"/>
        <w:rPr>
          <w:rFonts w:ascii="Arial" w:hAnsi="Arial" w:cs="Arial"/>
          <w:sz w:val="22"/>
          <w:szCs w:val="22"/>
        </w:rPr>
      </w:pPr>
    </w:p>
    <w:p w14:paraId="537E1AEC">
      <w:pPr>
        <w:rPr>
          <w:rFonts w:ascii="Arial" w:hAnsi="Arial" w:cs="Arial"/>
          <w:sz w:val="22"/>
          <w:szCs w:val="22"/>
        </w:rPr>
      </w:pPr>
    </w:p>
    <w:p w14:paraId="4B0EB99C">
      <w:pPr>
        <w:rPr>
          <w:rFonts w:ascii="Arial" w:hAnsi="Arial" w:cs="Arial"/>
          <w:b/>
          <w:bCs/>
          <w:sz w:val="22"/>
          <w:szCs w:val="22"/>
        </w:rPr>
      </w:pPr>
      <w:r>
        <w:rPr>
          <w:rFonts w:ascii="Arial" w:hAnsi="Arial" w:cs="Arial"/>
          <w:b/>
          <w:bCs/>
          <w:sz w:val="22"/>
          <w:szCs w:val="22"/>
        </w:rPr>
        <w:br w:type="page"/>
      </w:r>
    </w:p>
    <w:sdt>
      <w:sdtPr>
        <w:rPr>
          <w:rFonts w:ascii="Arial" w:hAnsi="Arial" w:cs="Arial" w:eastAsiaTheme="minorHAnsi"/>
          <w:color w:val="auto"/>
          <w:kern w:val="2"/>
          <w:sz w:val="22"/>
          <w:szCs w:val="22"/>
          <w14:ligatures w14:val="standardContextual"/>
        </w:rPr>
        <w:id w:val="-1"/>
        <w:docPartObj>
          <w:docPartGallery w:val="Table of Contents"/>
          <w:docPartUnique/>
        </w:docPartObj>
      </w:sdtPr>
      <w:sdtEndPr>
        <w:rPr>
          <w:rFonts w:ascii="Arial" w:hAnsi="Arial" w:cs="Arial" w:eastAsiaTheme="minorHAnsi"/>
          <w:color w:val="auto"/>
          <w:kern w:val="2"/>
          <w:sz w:val="22"/>
          <w:szCs w:val="22"/>
          <w14:ligatures w14:val="standardContextual"/>
        </w:rPr>
      </w:sdtEndPr>
      <w:sdtContent>
        <w:p w14:paraId="0EF36985">
          <w:pPr>
            <w:pStyle w:val="37"/>
            <w:rPr>
              <w:rFonts w:ascii="Arial" w:hAnsi="Arial" w:cs="Arial"/>
              <w:sz w:val="22"/>
              <w:szCs w:val="22"/>
            </w:rPr>
          </w:pPr>
          <w:r>
            <w:rPr>
              <w:rFonts w:ascii="Arial" w:hAnsi="Arial" w:cs="Arial"/>
              <w:sz w:val="22"/>
              <w:szCs w:val="22"/>
            </w:rPr>
            <w:t>Table of Contents</w:t>
          </w:r>
        </w:p>
        <w:p w14:paraId="6C8A127C">
          <w:pPr>
            <w:pStyle w:val="18"/>
            <w:tabs>
              <w:tab w:val="right" w:leader="dot" w:pos="9350"/>
            </w:tabs>
            <w:rPr>
              <w:rFonts w:eastAsiaTheme="minorEastAsia"/>
            </w:rPr>
          </w:pPr>
          <w:r>
            <w:rPr>
              <w:rFonts w:ascii="Arial" w:hAnsi="Arial" w:cs="Arial"/>
              <w:sz w:val="22"/>
              <w:szCs w:val="22"/>
            </w:rPr>
            <w:fldChar w:fldCharType="begin"/>
          </w:r>
          <w:r>
            <w:rPr>
              <w:rFonts w:ascii="Arial" w:hAnsi="Arial" w:cs="Arial"/>
              <w:sz w:val="22"/>
              <w:szCs w:val="22"/>
            </w:rPr>
            <w:instrText xml:space="preserve"> TOC \o "1-3" \h \z \u </w:instrText>
          </w:r>
          <w:r>
            <w:rPr>
              <w:rFonts w:ascii="Arial" w:hAnsi="Arial" w:cs="Arial"/>
              <w:sz w:val="22"/>
              <w:szCs w:val="22"/>
            </w:rPr>
            <w:fldChar w:fldCharType="separate"/>
          </w:r>
          <w:r>
            <w:fldChar w:fldCharType="begin"/>
          </w:r>
          <w:r>
            <w:instrText xml:space="preserve"> HYPERLINK \l "_Toc236747715" </w:instrText>
          </w:r>
          <w:r>
            <w:fldChar w:fldCharType="separate"/>
          </w:r>
          <w:r>
            <w:rPr>
              <w:rStyle w:val="15"/>
              <w:rFonts w:ascii="Arial" w:hAnsi="Arial" w:cs="Arial"/>
            </w:rPr>
            <w:t>1. Introduction</w:t>
          </w:r>
          <w:r>
            <w:tab/>
          </w:r>
          <w:r>
            <w:fldChar w:fldCharType="begin"/>
          </w:r>
          <w:r>
            <w:instrText xml:space="preserve"> PAGEREF _Toc236747715 \h </w:instrText>
          </w:r>
          <w:r>
            <w:fldChar w:fldCharType="separate"/>
          </w:r>
          <w:r>
            <w:t>3</w:t>
          </w:r>
          <w:r>
            <w:fldChar w:fldCharType="end"/>
          </w:r>
          <w:r>
            <w:fldChar w:fldCharType="end"/>
          </w:r>
        </w:p>
        <w:p w14:paraId="07F41AC2">
          <w:pPr>
            <w:pStyle w:val="18"/>
            <w:tabs>
              <w:tab w:val="right" w:leader="dot" w:pos="9350"/>
            </w:tabs>
            <w:rPr>
              <w:rFonts w:eastAsiaTheme="minorEastAsia"/>
            </w:rPr>
          </w:pPr>
          <w:r>
            <w:fldChar w:fldCharType="begin"/>
          </w:r>
          <w:r>
            <w:instrText xml:space="preserve"> HYPERLINK \l "_Toc236747716" </w:instrText>
          </w:r>
          <w:r>
            <w:fldChar w:fldCharType="separate"/>
          </w:r>
          <w:r>
            <w:rPr>
              <w:rStyle w:val="15"/>
              <w:rFonts w:ascii="Arial" w:hAnsi="Arial" w:cs="Arial"/>
            </w:rPr>
            <w:t>2. Classification of Single Episode Depressive Disorder in ICD-11</w:t>
          </w:r>
          <w:r>
            <w:tab/>
          </w:r>
          <w:r>
            <w:fldChar w:fldCharType="begin"/>
          </w:r>
          <w:r>
            <w:instrText xml:space="preserve"> PAGEREF _Toc236747716 \h </w:instrText>
          </w:r>
          <w:r>
            <w:fldChar w:fldCharType="separate"/>
          </w:r>
          <w:r>
            <w:t>3</w:t>
          </w:r>
          <w:r>
            <w:fldChar w:fldCharType="end"/>
          </w:r>
          <w:r>
            <w:fldChar w:fldCharType="end"/>
          </w:r>
        </w:p>
        <w:p w14:paraId="3AB333C2">
          <w:pPr>
            <w:pStyle w:val="18"/>
            <w:tabs>
              <w:tab w:val="right" w:leader="dot" w:pos="9350"/>
            </w:tabs>
            <w:rPr>
              <w:rFonts w:eastAsiaTheme="minorEastAsia"/>
            </w:rPr>
          </w:pPr>
          <w:r>
            <w:fldChar w:fldCharType="begin"/>
          </w:r>
          <w:r>
            <w:instrText xml:space="preserve"> HYPERLINK \l "_Toc236747717" </w:instrText>
          </w:r>
          <w:r>
            <w:fldChar w:fldCharType="separate"/>
          </w:r>
          <w:r>
            <w:rPr>
              <w:rStyle w:val="15"/>
              <w:rFonts w:ascii="Arial" w:hAnsi="Arial" w:cs="Arial"/>
            </w:rPr>
            <w:t>3. Diagnosis of Single Episode Depressive Disorder</w:t>
          </w:r>
          <w:r>
            <w:tab/>
          </w:r>
          <w:r>
            <w:fldChar w:fldCharType="begin"/>
          </w:r>
          <w:r>
            <w:instrText xml:space="preserve"> PAGEREF _Toc236747717 \h </w:instrText>
          </w:r>
          <w:r>
            <w:fldChar w:fldCharType="separate"/>
          </w:r>
          <w:r>
            <w:t>5</w:t>
          </w:r>
          <w:r>
            <w:fldChar w:fldCharType="end"/>
          </w:r>
          <w:r>
            <w:fldChar w:fldCharType="end"/>
          </w:r>
        </w:p>
        <w:p w14:paraId="07D5648F">
          <w:pPr>
            <w:pStyle w:val="18"/>
            <w:tabs>
              <w:tab w:val="right" w:leader="dot" w:pos="9350"/>
            </w:tabs>
            <w:rPr>
              <w:rFonts w:eastAsiaTheme="minorEastAsia"/>
            </w:rPr>
          </w:pPr>
          <w:r>
            <w:fldChar w:fldCharType="begin"/>
          </w:r>
          <w:r>
            <w:instrText xml:space="preserve"> HYPERLINK \l "_Toc236747718" </w:instrText>
          </w:r>
          <w:r>
            <w:fldChar w:fldCharType="separate"/>
          </w:r>
          <w:r>
            <w:rPr>
              <w:rStyle w:val="15"/>
              <w:rFonts w:ascii="Arial" w:hAnsi="Arial" w:cs="Arial"/>
            </w:rPr>
            <w:t>4. Treatment of Single Episode Depressive Disorder</w:t>
          </w:r>
          <w:r>
            <w:tab/>
          </w:r>
          <w:r>
            <w:fldChar w:fldCharType="begin"/>
          </w:r>
          <w:r>
            <w:instrText xml:space="preserve"> PAGEREF _Toc236747718 \h </w:instrText>
          </w:r>
          <w:r>
            <w:fldChar w:fldCharType="separate"/>
          </w:r>
          <w:r>
            <w:t>6</w:t>
          </w:r>
          <w:r>
            <w:fldChar w:fldCharType="end"/>
          </w:r>
          <w:r>
            <w:fldChar w:fldCharType="end"/>
          </w:r>
        </w:p>
        <w:p w14:paraId="207F7594">
          <w:pPr>
            <w:pStyle w:val="18"/>
            <w:tabs>
              <w:tab w:val="right" w:leader="dot" w:pos="9350"/>
            </w:tabs>
            <w:rPr>
              <w:rFonts w:eastAsiaTheme="minorEastAsia"/>
            </w:rPr>
          </w:pPr>
          <w:r>
            <w:fldChar w:fldCharType="begin"/>
          </w:r>
          <w:r>
            <w:instrText xml:space="preserve"> HYPERLINK \l "_Toc236747719" </w:instrText>
          </w:r>
          <w:r>
            <w:fldChar w:fldCharType="separate"/>
          </w:r>
          <w:r>
            <w:rPr>
              <w:rStyle w:val="15"/>
              <w:rFonts w:ascii="Arial" w:hAnsi="Arial" w:cs="Arial"/>
            </w:rPr>
            <w:t>5. Rehabilitation</w:t>
          </w:r>
          <w:r>
            <w:tab/>
          </w:r>
          <w:r>
            <w:fldChar w:fldCharType="begin"/>
          </w:r>
          <w:r>
            <w:instrText xml:space="preserve"> PAGEREF _Toc236747719 \h </w:instrText>
          </w:r>
          <w:r>
            <w:fldChar w:fldCharType="separate"/>
          </w:r>
          <w:r>
            <w:t>7</w:t>
          </w:r>
          <w:r>
            <w:fldChar w:fldCharType="end"/>
          </w:r>
          <w:r>
            <w:fldChar w:fldCharType="end"/>
          </w:r>
        </w:p>
        <w:p w14:paraId="54CE6803">
          <w:pPr>
            <w:pStyle w:val="18"/>
            <w:tabs>
              <w:tab w:val="right" w:leader="dot" w:pos="9350"/>
            </w:tabs>
            <w:rPr>
              <w:rFonts w:eastAsiaTheme="minorEastAsia"/>
            </w:rPr>
          </w:pPr>
          <w:r>
            <w:fldChar w:fldCharType="begin"/>
          </w:r>
          <w:r>
            <w:instrText xml:space="preserve"> HYPERLINK \l "_Toc236747720" </w:instrText>
          </w:r>
          <w:r>
            <w:fldChar w:fldCharType="separate"/>
          </w:r>
          <w:r>
            <w:rPr>
              <w:rStyle w:val="15"/>
              <w:rFonts w:ascii="Arial" w:hAnsi="Arial" w:cs="Arial"/>
            </w:rPr>
            <w:t>6. Current Debates and Emerging Issues</w:t>
          </w:r>
          <w:r>
            <w:tab/>
          </w:r>
          <w:r>
            <w:fldChar w:fldCharType="begin"/>
          </w:r>
          <w:r>
            <w:instrText xml:space="preserve"> PAGEREF _Toc236747720 \h </w:instrText>
          </w:r>
          <w:r>
            <w:fldChar w:fldCharType="separate"/>
          </w:r>
          <w:r>
            <w:t>9</w:t>
          </w:r>
          <w:r>
            <w:fldChar w:fldCharType="end"/>
          </w:r>
          <w:r>
            <w:fldChar w:fldCharType="end"/>
          </w:r>
        </w:p>
        <w:p w14:paraId="0D790C3E">
          <w:pPr>
            <w:pStyle w:val="18"/>
            <w:tabs>
              <w:tab w:val="right" w:leader="dot" w:pos="9350"/>
            </w:tabs>
            <w:rPr>
              <w:rFonts w:eastAsiaTheme="minorEastAsia"/>
            </w:rPr>
          </w:pPr>
          <w:r>
            <w:fldChar w:fldCharType="begin"/>
          </w:r>
          <w:r>
            <w:instrText xml:space="preserve"> HYPERLINK \l "_Toc236747721" </w:instrText>
          </w:r>
          <w:r>
            <w:fldChar w:fldCharType="separate"/>
          </w:r>
          <w:r>
            <w:rPr>
              <w:rStyle w:val="15"/>
              <w:rFonts w:ascii="Arial" w:hAnsi="Arial" w:cs="Arial"/>
            </w:rPr>
            <w:t>7. Recommendations</w:t>
          </w:r>
          <w:r>
            <w:tab/>
          </w:r>
          <w:r>
            <w:fldChar w:fldCharType="begin"/>
          </w:r>
          <w:r>
            <w:instrText xml:space="preserve"> PAGEREF _Toc236747721 \h </w:instrText>
          </w:r>
          <w:r>
            <w:fldChar w:fldCharType="separate"/>
          </w:r>
          <w:r>
            <w:t>10</w:t>
          </w:r>
          <w:r>
            <w:fldChar w:fldCharType="end"/>
          </w:r>
          <w:r>
            <w:fldChar w:fldCharType="end"/>
          </w:r>
        </w:p>
        <w:p w14:paraId="77D74F22">
          <w:pPr>
            <w:pStyle w:val="18"/>
            <w:tabs>
              <w:tab w:val="right" w:leader="dot" w:pos="9350"/>
            </w:tabs>
            <w:rPr>
              <w:rFonts w:eastAsiaTheme="minorEastAsia"/>
            </w:rPr>
          </w:pPr>
          <w:r>
            <w:fldChar w:fldCharType="begin"/>
          </w:r>
          <w:r>
            <w:instrText xml:space="preserve"> HYPERLINK \l "_Toc236747722" </w:instrText>
          </w:r>
          <w:r>
            <w:fldChar w:fldCharType="separate"/>
          </w:r>
          <w:r>
            <w:rPr>
              <w:rStyle w:val="15"/>
              <w:rFonts w:ascii="Arial" w:hAnsi="Arial" w:cs="Arial"/>
            </w:rPr>
            <w:t>8. Conclusion</w:t>
          </w:r>
          <w:r>
            <w:tab/>
          </w:r>
          <w:r>
            <w:fldChar w:fldCharType="begin"/>
          </w:r>
          <w:r>
            <w:instrText xml:space="preserve"> PAGEREF _Toc236747722 \h </w:instrText>
          </w:r>
          <w:r>
            <w:fldChar w:fldCharType="separate"/>
          </w:r>
          <w:r>
            <w:t>11</w:t>
          </w:r>
          <w:r>
            <w:fldChar w:fldCharType="end"/>
          </w:r>
          <w:r>
            <w:fldChar w:fldCharType="end"/>
          </w:r>
        </w:p>
        <w:p w14:paraId="1A03B66D">
          <w:pPr>
            <w:pStyle w:val="18"/>
            <w:tabs>
              <w:tab w:val="right" w:leader="dot" w:pos="9350"/>
            </w:tabs>
            <w:rPr>
              <w:rFonts w:eastAsiaTheme="minorEastAsia"/>
            </w:rPr>
          </w:pPr>
          <w:r>
            <w:fldChar w:fldCharType="begin"/>
          </w:r>
          <w:r>
            <w:instrText xml:space="preserve"> HYPERLINK \l "_Toc236747723" </w:instrText>
          </w:r>
          <w:r>
            <w:fldChar w:fldCharType="separate"/>
          </w:r>
          <w:r>
            <w:rPr>
              <w:rStyle w:val="15"/>
              <w:rFonts w:ascii="Arial" w:hAnsi="Arial" w:cs="Arial"/>
            </w:rPr>
            <w:t>References List</w:t>
          </w:r>
          <w:r>
            <w:tab/>
          </w:r>
          <w:r>
            <w:fldChar w:fldCharType="begin"/>
          </w:r>
          <w:r>
            <w:instrText xml:space="preserve"> PAGEREF _Toc236747723 \h </w:instrText>
          </w:r>
          <w:r>
            <w:fldChar w:fldCharType="separate"/>
          </w:r>
          <w:r>
            <w:t>13</w:t>
          </w:r>
          <w:r>
            <w:fldChar w:fldCharType="end"/>
          </w:r>
          <w:r>
            <w:fldChar w:fldCharType="end"/>
          </w:r>
        </w:p>
        <w:p w14:paraId="2C146FF3">
          <w:pPr>
            <w:rPr>
              <w:rFonts w:ascii="Arial" w:hAnsi="Arial" w:cs="Arial"/>
              <w:sz w:val="22"/>
              <w:szCs w:val="22"/>
            </w:rPr>
          </w:pPr>
          <w:r>
            <w:rPr>
              <w:rFonts w:ascii="Arial" w:hAnsi="Arial" w:cs="Arial"/>
              <w:sz w:val="22"/>
              <w:szCs w:val="22"/>
            </w:rPr>
            <w:fldChar w:fldCharType="end"/>
          </w:r>
        </w:p>
      </w:sdtContent>
    </w:sdt>
    <w:p w14:paraId="27177ACC">
      <w:pPr>
        <w:rPr>
          <w:rFonts w:ascii="Arial" w:hAnsi="Arial" w:cs="Arial"/>
          <w:sz w:val="22"/>
          <w:szCs w:val="22"/>
        </w:rPr>
      </w:pPr>
    </w:p>
    <w:p w14:paraId="4ACE9C75">
      <w:pPr>
        <w:rPr>
          <w:rFonts w:ascii="Arial" w:hAnsi="Arial" w:cs="Arial"/>
          <w:sz w:val="22"/>
          <w:szCs w:val="22"/>
        </w:rPr>
      </w:pPr>
    </w:p>
    <w:p w14:paraId="7354FEC1">
      <w:pPr>
        <w:rPr>
          <w:rFonts w:ascii="Arial" w:hAnsi="Arial" w:cs="Arial"/>
          <w:b/>
          <w:bCs/>
          <w:sz w:val="22"/>
          <w:szCs w:val="22"/>
        </w:rPr>
      </w:pPr>
      <w:bookmarkStart w:id="9" w:name="_GoBack"/>
      <w:r>
        <w:rPr>
          <w:rFonts w:ascii="Arial" w:hAnsi="Arial" w:cs="Arial"/>
          <w:b/>
          <w:bCs/>
          <w:sz w:val="22"/>
          <w:szCs w:val="22"/>
        </w:rPr>
        <w:br w:type="page"/>
      </w:r>
    </w:p>
    <w:bookmarkEnd w:id="9"/>
    <w:p w14:paraId="1EBE328B">
      <w:pPr>
        <w:pStyle w:val="2"/>
        <w:rPr>
          <w:rFonts w:ascii="Arial" w:hAnsi="Arial" w:cs="Arial"/>
          <w:sz w:val="22"/>
          <w:szCs w:val="22"/>
        </w:rPr>
      </w:pPr>
      <w:bookmarkStart w:id="0" w:name="_Toc236747715"/>
      <w:r>
        <w:rPr>
          <w:rFonts w:ascii="Arial" w:hAnsi="Arial" w:cs="Arial"/>
          <w:sz w:val="22"/>
          <w:szCs w:val="22"/>
        </w:rPr>
        <w:t>1. Introduction</w:t>
      </w:r>
      <w:bookmarkEnd w:id="0"/>
      <w:r>
        <w:rPr>
          <w:rFonts w:ascii="Arial" w:hAnsi="Arial" w:cs="Arial"/>
          <w:sz w:val="22"/>
          <w:szCs w:val="22"/>
        </w:rPr>
        <w:t xml:space="preserve"> </w:t>
      </w:r>
    </w:p>
    <w:p w14:paraId="1289740F">
      <w:pPr>
        <w:spacing w:line="480" w:lineRule="auto"/>
        <w:rPr>
          <w:rFonts w:ascii="Arial" w:hAnsi="Arial" w:cs="Arial"/>
          <w:sz w:val="22"/>
          <w:szCs w:val="22"/>
          <w:highlight w:val="yellow"/>
        </w:rPr>
      </w:pPr>
      <w:r>
        <w:rPr>
          <w:rFonts w:ascii="Arial" w:hAnsi="Arial" w:cs="Arial"/>
          <w:sz w:val="22"/>
          <w:szCs w:val="22"/>
        </w:rPr>
        <w:t>Single Episode Depressive Disorder (SEDD) is a prevalent mental disorder that is connected to a single, persistent episode of low mood or loss of interest that causes dysfunction. Individuals may also report disturbances in sleep appetite concentration, energy levels and self-esteem. A proportion of sufferers develop hopelessness and suicidal ideas</w:t>
      </w:r>
      <w:r>
        <w:rPr>
          <w:rFonts w:ascii="Inter Fallback" w:hAnsi="Inter Fallback"/>
          <w:color w:val="00CEC8"/>
          <w:bdr w:val="single" w:color="2D3843" w:sz="2" w:space="0"/>
          <w:shd w:val="clear" w:color="auto" w:fill="111A22"/>
        </w:rPr>
        <w:t xml:space="preserve"> </w:t>
      </w:r>
      <w:r>
        <w:rPr>
          <w:rFonts w:ascii="Arial" w:hAnsi="Arial" w:cs="Arial"/>
          <w:sz w:val="22"/>
          <w:szCs w:val="22"/>
        </w:rPr>
        <w:t xml:space="preserve">While this treatment is effective for many, the untreated depression is essentially a drain on both the personal and regional economy. WHO (2024) states that depression is one of the most common illnesses, affecting hundreds of millions of people. </w:t>
      </w:r>
    </w:p>
    <w:p w14:paraId="3E361CEB">
      <w:pPr>
        <w:spacing w:line="480" w:lineRule="auto"/>
        <w:rPr>
          <w:rFonts w:ascii="Arial" w:hAnsi="Arial" w:cs="Arial"/>
          <w:sz w:val="22"/>
          <w:szCs w:val="22"/>
        </w:rPr>
      </w:pPr>
      <w:r>
        <w:rPr>
          <w:rFonts w:ascii="Arial" w:hAnsi="Arial" w:cs="Arial"/>
          <w:sz w:val="22"/>
          <w:szCs w:val="22"/>
        </w:rPr>
        <w:t>The ICD-11the International Classification of Diseases, 11 th Edition (ICD is a standardized approach to diagnosing and classifying depression in all areas of health, social and mental health. The revised classification sought to increase diagnostic reliability whilst acknowledging variation in symptom severity and level of impairment (WHO, 2024). Yet, there remains discussion over the diagnostic threshold, potential over diagnosis, ethnic differences and relation to medical and psychosocial factors.</w:t>
      </w:r>
    </w:p>
    <w:p w14:paraId="666ABEF0">
      <w:pPr>
        <w:spacing w:line="480" w:lineRule="auto"/>
        <w:rPr>
          <w:rFonts w:ascii="Arial" w:hAnsi="Arial" w:cs="Arial"/>
          <w:sz w:val="22"/>
          <w:szCs w:val="22"/>
        </w:rPr>
      </w:pPr>
      <w:r>
        <w:rPr>
          <w:rFonts w:ascii="Arial" w:hAnsi="Arial" w:cs="Arial"/>
          <w:sz w:val="22"/>
          <w:szCs w:val="22"/>
        </w:rPr>
        <w:t> This report assesses the diagnosis of Single Episode Depressive Disorder per ICD-11.</w:t>
      </w:r>
    </w:p>
    <w:p w14:paraId="4E97D8E2">
      <w:pPr>
        <w:spacing w:line="480" w:lineRule="auto"/>
        <w:rPr>
          <w:rFonts w:ascii="Arial" w:hAnsi="Arial" w:cs="Arial"/>
          <w:sz w:val="22"/>
          <w:szCs w:val="22"/>
        </w:rPr>
      </w:pPr>
      <w:r>
        <w:rPr>
          <w:rFonts w:ascii="Arial" w:hAnsi="Arial" w:cs="Arial"/>
          <w:sz w:val="22"/>
          <w:szCs w:val="22"/>
        </w:rPr>
        <w:t>The diagnostic classification process treatment and rehabilitation strategies are reviewed and the current controversies of the condition are debated and recommendations are made to improve future practice.</w:t>
      </w:r>
    </w:p>
    <w:p w14:paraId="32684393">
      <w:pPr>
        <w:pStyle w:val="2"/>
        <w:rPr>
          <w:rFonts w:ascii="Arial" w:hAnsi="Arial" w:cs="Arial"/>
          <w:sz w:val="22"/>
          <w:szCs w:val="22"/>
        </w:rPr>
      </w:pPr>
      <w:bookmarkStart w:id="1" w:name="_Toc236747716"/>
      <w:r>
        <w:rPr>
          <w:rFonts w:ascii="Arial" w:hAnsi="Arial" w:cs="Arial"/>
          <w:sz w:val="22"/>
          <w:szCs w:val="22"/>
        </w:rPr>
        <w:t>2. Classification of Single Episode Depressive Disorder in ICD-11</w:t>
      </w:r>
      <w:bookmarkEnd w:id="1"/>
    </w:p>
    <w:p w14:paraId="45B1D984">
      <w:pPr>
        <w:spacing w:line="480" w:lineRule="auto"/>
        <w:rPr>
          <w:rFonts w:ascii="Arial" w:hAnsi="Arial" w:cs="Arial"/>
          <w:sz w:val="22"/>
          <w:szCs w:val="22"/>
        </w:rPr>
      </w:pPr>
      <w:r>
        <w:rPr>
          <w:rFonts w:ascii="Arial" w:hAnsi="Arial" w:cs="Arial"/>
          <w:sz w:val="22"/>
          <w:szCs w:val="22"/>
        </w:rPr>
        <w:t xml:space="preserve">Within the classification system for mental disorders, ICD-11, a single episode ofDepressive Disorder is located in the block of Depressive Disorders in Chapter 6 Mental Behavioural or Neurodevelopmental Disorders (WHO, 2024). The criteria for diagnosis centres on an individual suffering from one episode (no previous episodes of major depression). Symptoms are rated as being of mild, moderate or severe levels based on severity and disability (psychotic features may be present if severe). </w:t>
      </w:r>
    </w:p>
    <w:p w14:paraId="52F267CE">
      <w:pPr>
        <w:spacing w:line="480" w:lineRule="auto"/>
        <w:rPr>
          <w:rFonts w:ascii="Arial" w:hAnsi="Arial" w:cs="Arial"/>
          <w:sz w:val="22"/>
          <w:szCs w:val="22"/>
        </w:rPr>
      </w:pPr>
      <w:r>
        <w:rPr>
          <w:rFonts w:ascii="Arial" w:hAnsi="Arial" w:cs="Arial"/>
          <w:sz w:val="22"/>
          <w:szCs w:val="22"/>
        </w:rPr>
        <w:t>This may be an improvement upon classifications used previously because it acknowledges that depression exists as a continuum and does not manifest the same for everybody. Severity categories assist in choosing the most suitable treatment for a case and enhance communication between professionals. Reed et al. (2022) suggest that the ICD-11 offers more clinical utility, because of its attempt to streamline diagnostic guidelines while maintaining a balance with evidence.</w:t>
      </w:r>
    </w:p>
    <w:p w14:paraId="38853549">
      <w:pPr>
        <w:spacing w:line="480" w:lineRule="auto"/>
        <w:rPr>
          <w:rFonts w:ascii="Arial" w:hAnsi="Arial" w:cs="Arial"/>
          <w:sz w:val="22"/>
          <w:szCs w:val="22"/>
        </w:rPr>
      </w:pPr>
      <w:r>
        <w:rPr>
          <w:rFonts w:ascii="Arial" w:hAnsi="Arial" w:cs="Arial"/>
          <w:sz w:val="22"/>
          <w:szCs w:val="22"/>
        </w:rPr>
        <w:t>Another benefit of ICD-11 is that it relies on impaired functioning as the basis for diagnosis rather than the simple count of symptoms. In regards to diagnosis, symptoms must cause disruption to work education relationships or to general functioning. This also reduces the likeliness of conflating normal sadness with clinical depression, and encourages clinicians to stay vigilant to the patients general functioning (WHO, 2024).</w:t>
      </w:r>
    </w:p>
    <w:p w14:paraId="6959F720">
      <w:pPr>
        <w:spacing w:line="480" w:lineRule="auto"/>
        <w:rPr>
          <w:rFonts w:ascii="Arial" w:hAnsi="Arial" w:cs="Arial"/>
          <w:sz w:val="22"/>
          <w:szCs w:val="22"/>
        </w:rPr>
      </w:pPr>
      <w:r>
        <w:rPr>
          <w:rFonts w:ascii="Arial" w:hAnsi="Arial" w:cs="Arial"/>
          <w:sz w:val="22"/>
          <w:szCs w:val="22"/>
        </w:rPr>
        <w:t>Despite these improvements, several limitations remain. Diagnosis is still based on clinical assessment as currently there is no laboratory or imaging test capable of diagnosing depression. Malhi and Mann (2018) state that because depression has both a biological and psychological component, state it is extremely difficult to objectively diagnose; instead, symptomology is used.</w:t>
      </w:r>
    </w:p>
    <w:p w14:paraId="3B6A7D03">
      <w:pPr>
        <w:spacing w:line="480" w:lineRule="auto"/>
        <w:rPr>
          <w:rFonts w:ascii="Arial" w:hAnsi="Arial" w:cs="Arial"/>
          <w:sz w:val="22"/>
          <w:szCs w:val="22"/>
          <w:highlight w:val="yellow"/>
        </w:rPr>
      </w:pPr>
      <w:r>
        <w:rPr>
          <w:rFonts w:ascii="Arial" w:hAnsi="Arial" w:cs="Arial"/>
          <w:sz w:val="22"/>
          <w:szCs w:val="22"/>
        </w:rPr>
        <w:t>Another challenge is cultural diversity. Emotions are displayed in various ways between different cultures. Others, pain or tiredness rather than feelings of unhappiness may be the first indicator of depression, while for others there may be hesitance to talk about feelings of unhappiness for social or cultural reasons. Those making a diagnosis are advised to take culture into account before diagnosing, under the recommendations of ICD-11 (WHO, 2024).</w:t>
      </w:r>
    </w:p>
    <w:p w14:paraId="609C840F">
      <w:pPr>
        <w:spacing w:line="480" w:lineRule="auto"/>
        <w:rPr>
          <w:rFonts w:ascii="Arial" w:hAnsi="Arial" w:cs="Arial"/>
          <w:sz w:val="22"/>
          <w:szCs w:val="22"/>
        </w:rPr>
      </w:pPr>
      <w:r>
        <w:rPr>
          <w:rFonts w:ascii="Arial" w:hAnsi="Arial" w:cs="Arial"/>
          <w:sz w:val="22"/>
          <w:szCs w:val="22"/>
        </w:rPr>
        <w:t>Some researchers that present diagnostic approaches are in danger of pathologising normative emotional reactions to stressful life events. Although grief following bereavement, unemployment or relationship dissolution is a normative response, the ICD-11 stipulates that to diagnose depression symptoms must be persistent, clinically significant and linked to impairment in quality of life.</w:t>
      </w:r>
    </w:p>
    <w:p w14:paraId="6F832BEF">
      <w:pPr>
        <w:pStyle w:val="2"/>
        <w:jc w:val="center"/>
        <w:rPr>
          <w:rFonts w:ascii="Arial" w:hAnsi="Arial" w:cs="Arial"/>
          <w:sz w:val="22"/>
          <w:szCs w:val="22"/>
        </w:rPr>
      </w:pPr>
      <w:bookmarkStart w:id="2" w:name="_Toc236747717"/>
      <w:r>
        <w:rPr>
          <w:rFonts w:ascii="Arial" w:hAnsi="Arial" w:cs="Arial"/>
          <w:sz w:val="22"/>
          <w:szCs w:val="22"/>
        </w:rPr>
        <w:t>3. Diagnosis of Single Episode Depressive Disorder</w:t>
      </w:r>
      <w:bookmarkEnd w:id="2"/>
    </w:p>
    <w:p w14:paraId="085C09EA">
      <w:pPr>
        <w:spacing w:line="480" w:lineRule="auto"/>
        <w:rPr>
          <w:rFonts w:ascii="Arial" w:hAnsi="Arial" w:cs="Arial"/>
          <w:sz w:val="22"/>
          <w:szCs w:val="22"/>
        </w:rPr>
      </w:pPr>
      <w:r>
        <w:rPr>
          <w:rFonts w:ascii="Arial" w:hAnsi="Arial" w:cs="Arial"/>
          <w:sz w:val="22"/>
          <w:szCs w:val="22"/>
        </w:rPr>
        <w:t>Although a useful criterion, this is a difficult message for practitioners to maintain. A diagnosis is necessary as depression can overlap with anxiety disorders, bipolar disorder, alcohol/drug misuse and various illnesses. ICD-11 explains that depression can be assigned to a patient if "a depressive episode is recorded that involves depressed mood, loss of interest or pleasure, and other symptoms that cause clinically significant impairment in function" (WHO, 2024).</w:t>
      </w:r>
    </w:p>
    <w:p w14:paraId="4DF5104D">
      <w:pPr>
        <w:spacing w:line="480" w:lineRule="auto"/>
        <w:rPr>
          <w:rFonts w:ascii="Arial" w:hAnsi="Arial" w:cs="Arial"/>
          <w:sz w:val="22"/>
          <w:szCs w:val="22"/>
        </w:rPr>
      </w:pPr>
      <w:r>
        <w:rPr>
          <w:rFonts w:ascii="Arial" w:hAnsi="Arial" w:cs="Arial"/>
          <w:sz w:val="22"/>
          <w:szCs w:val="22"/>
        </w:rPr>
        <w:t>Diagnosis is a clinical judgement based on consultation not a positive test. Factors considered include severity and duration of symptoms functioning wellbeing and emotional state. Information is also gathered on sleep, eating habits concentration energy, suicidal ideation and past mental health. The use of validated assessment tools combined with clinical interview has been recommended by NICE (2022), but assessments should be adjunct to basic clinical judgement.</w:t>
      </w:r>
    </w:p>
    <w:p w14:paraId="4D7F3FF3">
      <w:pPr>
        <w:spacing w:line="480" w:lineRule="auto"/>
        <w:rPr>
          <w:rFonts w:ascii="Arial" w:hAnsi="Arial" w:cs="Arial"/>
          <w:sz w:val="22"/>
          <w:szCs w:val="22"/>
        </w:rPr>
      </w:pPr>
      <w:r>
        <w:rPr>
          <w:rFonts w:ascii="Arial" w:hAnsi="Arial" w:cs="Arial"/>
          <w:sz w:val="22"/>
          <w:szCs w:val="22"/>
        </w:rPr>
        <w:t>Assessment should be specific to ruling out any differential diagnoses. For example, endocrine conditions such as hypothyroidism or neurological conditions may cause depressive symptoms (Donaghy et al, 2017). Other differential diagnoses should be established, including substance misuse and bipolar disorder, as these conditions require different treatment (NICE, 2022).</w:t>
      </w:r>
    </w:p>
    <w:p w14:paraId="25C52F49">
      <w:pPr>
        <w:spacing w:line="480" w:lineRule="auto"/>
        <w:rPr>
          <w:rFonts w:ascii="Arial" w:hAnsi="Arial" w:cs="Arial"/>
          <w:sz w:val="22"/>
          <w:szCs w:val="22"/>
        </w:rPr>
      </w:pPr>
      <w:r>
        <w:rPr>
          <w:rFonts w:ascii="Arial" w:hAnsi="Arial" w:cs="Arial"/>
          <w:sz w:val="22"/>
          <w:szCs w:val="22"/>
        </w:rPr>
        <w:t>The diagnostic process needs to evaluate psychological and social functioning more in-depth. Depression commonly impacts on many areas including work/education, family relationships and participation in social activities. Cuijpers et al. (2021) note that functional impairment may persist even after mood symptoms have improved. Consequently, the clinician needs to evaluate the wider impact of depression rather than emotional symptoms alone.</w:t>
      </w:r>
    </w:p>
    <w:p w14:paraId="557F2D27">
      <w:pPr>
        <w:spacing w:line="480" w:lineRule="auto"/>
        <w:rPr>
          <w:rFonts w:ascii="Arial" w:hAnsi="Arial" w:cs="Arial"/>
          <w:sz w:val="22"/>
          <w:szCs w:val="22"/>
        </w:rPr>
      </w:pPr>
      <w:r>
        <w:rPr>
          <w:rFonts w:ascii="Arial" w:hAnsi="Arial" w:cs="Arial"/>
          <w:sz w:val="22"/>
          <w:szCs w:val="22"/>
        </w:rPr>
        <w:t xml:space="preserve">While the ICD-11 gives explicit guidance, diagnosis can still be difficult. There is no biological indicator for depressive disorder and the symptoms can manifest quite differently from person to person. Much of the delay in diagnosis can be attributed to individuals' fears of stigma and discrimination or their general lack of knowledge of mental health symptoms. A delayed diagnosis is correlated with more severe illness, poorer outcomes and higher recurrence, (WHO, 2024). </w:t>
      </w:r>
    </w:p>
    <w:p w14:paraId="0AF40611">
      <w:pPr>
        <w:pStyle w:val="2"/>
        <w:rPr>
          <w:rFonts w:ascii="Arial" w:hAnsi="Arial" w:cs="Arial"/>
          <w:b/>
          <w:bCs/>
          <w:sz w:val="22"/>
          <w:szCs w:val="22"/>
        </w:rPr>
      </w:pPr>
      <w:bookmarkStart w:id="3" w:name="_Toc236747718"/>
      <w:r>
        <w:rPr>
          <w:rFonts w:ascii="Arial" w:hAnsi="Arial" w:cs="Arial"/>
          <w:sz w:val="22"/>
          <w:szCs w:val="22"/>
        </w:rPr>
        <w:t xml:space="preserve">4. </w:t>
      </w:r>
      <w:r>
        <w:rPr>
          <w:rFonts w:ascii="Arial" w:hAnsi="Arial" w:cs="Arial"/>
          <w:b/>
          <w:bCs/>
          <w:sz w:val="22"/>
          <w:szCs w:val="22"/>
        </w:rPr>
        <w:t>Treatment of Single Episode Depressive Disorder</w:t>
      </w:r>
      <w:bookmarkEnd w:id="3"/>
    </w:p>
    <w:p w14:paraId="013E12B2">
      <w:pPr>
        <w:spacing w:line="480" w:lineRule="auto"/>
        <w:rPr>
          <w:rFonts w:ascii="Arial" w:hAnsi="Arial" w:cs="Arial"/>
          <w:sz w:val="22"/>
          <w:szCs w:val="22"/>
          <w:highlight w:val="yellow"/>
        </w:rPr>
      </w:pPr>
      <w:r>
        <w:rPr>
          <w:rFonts w:ascii="Arial" w:hAnsi="Arial" w:cs="Arial"/>
          <w:sz w:val="22"/>
          <w:szCs w:val="22"/>
        </w:rPr>
        <w:t>Treatment plan aims at reduction of depressive symptoms, improvement of functioning and relapse prevention. ICD-11 supports a person-centred management of depression, which includes psychological treatment, pharmacotherapy and social support depending of the severity of symptoms and individual needs (WHO, 2024). Recent researches indicate that integrated approaches lead to better prognosis faster than single intervention.</w:t>
      </w:r>
    </w:p>
    <w:p w14:paraId="455FD6F5">
      <w:pPr>
        <w:spacing w:line="480" w:lineRule="auto"/>
        <w:rPr>
          <w:rFonts w:ascii="Arial" w:hAnsi="Arial" w:cs="Arial"/>
          <w:sz w:val="22"/>
          <w:szCs w:val="22"/>
        </w:rPr>
      </w:pPr>
      <w:r>
        <w:rPr>
          <w:rFonts w:ascii="Arial" w:hAnsi="Arial" w:cs="Arial"/>
          <w:sz w:val="22"/>
          <w:szCs w:val="22"/>
        </w:rPr>
        <w:t xml:space="preserve">Psychological therapies are the recommended initial course of treatment for depression that is classified as mild/moderate. Cognitive Behavioural Therapy (CBT) is the most common form used as it can help patients identify and alter their depressive thought processes to negative ones as well as learn new and effective coping mechanisms. NICE (2022) also suggests guided self-help and behavioural activation as these can Much decrease symptoms and improve impairments. Cuijpers </w:t>
      </w:r>
      <w:r>
        <w:rPr>
          <w:rFonts w:ascii="Arial" w:hAnsi="Arial" w:cs="Arial"/>
          <w:i/>
          <w:iCs/>
          <w:sz w:val="22"/>
          <w:szCs w:val="22"/>
        </w:rPr>
        <w:t>et al.</w:t>
      </w:r>
      <w:r>
        <w:rPr>
          <w:rFonts w:ascii="Arial" w:hAnsi="Arial" w:cs="Arial"/>
          <w:sz w:val="22"/>
          <w:szCs w:val="22"/>
        </w:rPr>
        <w:t xml:space="preserve"> (2021) note that psychological therapies are highly efficacious Mostly when implemented at an earlier stage with illness.</w:t>
      </w:r>
    </w:p>
    <w:p w14:paraId="08C659DD">
      <w:pPr>
        <w:spacing w:line="480" w:lineRule="auto"/>
        <w:rPr>
          <w:rFonts w:ascii="Arial" w:hAnsi="Arial" w:cs="Arial"/>
          <w:sz w:val="22"/>
          <w:szCs w:val="22"/>
        </w:rPr>
      </w:pPr>
      <w:r>
        <w:rPr>
          <w:rFonts w:ascii="Arial" w:hAnsi="Arial" w:cs="Arial"/>
          <w:sz w:val="22"/>
          <w:szCs w:val="22"/>
        </w:rPr>
        <w:t xml:space="preserve">Medication should be used in moderate to severe depression or where psychotherapy alone has not worked. First line intervention is the SSRIS, such as sertraline and fluoxetine which contain less adverse effects in softer mood than older drugs. The NICE 2022 has recommended that clinicians and patients should work together to reach a shared decision about the expected benefits and adverse effects. </w:t>
      </w:r>
    </w:p>
    <w:p w14:paraId="3C721E98">
      <w:pPr>
        <w:spacing w:line="480" w:lineRule="auto"/>
        <w:rPr>
          <w:rFonts w:ascii="Arial" w:hAnsi="Arial" w:cs="Arial"/>
          <w:sz w:val="22"/>
          <w:szCs w:val="22"/>
        </w:rPr>
      </w:pPr>
      <w:r>
        <w:rPr>
          <w:rFonts w:ascii="Arial" w:hAnsi="Arial" w:cs="Arial"/>
          <w:sz w:val="22"/>
          <w:szCs w:val="22"/>
        </w:rPr>
        <w:t>Treatment has proven effective for many suffering with depression, mainly plus psychological therapy. Antidepressants are proven to A lot decrease depressive symptoms in depressed adults (Cipriani et al. 2018). Yet there are limitations to drug use. Nausea, sleep disturbance, change in weight or sexual functioning can discourage taking medication. However, some patients only improve a lot partly which indicates medication alone is often not enough (Malhi and Mann, 2018).</w:t>
      </w:r>
    </w:p>
    <w:p w14:paraId="010C869D">
      <w:pPr>
        <w:spacing w:line="480" w:lineRule="auto"/>
        <w:rPr>
          <w:rFonts w:ascii="Arial" w:hAnsi="Arial" w:cs="Arial"/>
          <w:sz w:val="22"/>
          <w:szCs w:val="22"/>
        </w:rPr>
      </w:pPr>
      <w:r>
        <w:rPr>
          <w:rFonts w:ascii="Arial" w:hAnsi="Arial" w:cs="Arial"/>
          <w:sz w:val="22"/>
          <w:szCs w:val="22"/>
        </w:rPr>
        <w:t>In the management of depression, collaborative care has been developed to promote the management of depression. It consists of a partnership between general practitioners and psychiatrist/psychologist, to ensure adherence and ongoing support. Collaborative care may be the most effective form of treatment in primary care settings to: enhance treatment adherence, reduce symptoms, increase satisfaction with treatment (Cuijpers et al. 2021).</w:t>
      </w:r>
    </w:p>
    <w:p w14:paraId="1DC79321">
      <w:pPr>
        <w:spacing w:line="480" w:lineRule="auto"/>
        <w:rPr>
          <w:rFonts w:ascii="Arial" w:hAnsi="Arial" w:cs="Arial"/>
          <w:sz w:val="22"/>
          <w:szCs w:val="22"/>
        </w:rPr>
      </w:pPr>
      <w:r>
        <w:rPr>
          <w:rFonts w:ascii="Arial" w:hAnsi="Arial" w:cs="Arial"/>
          <w:sz w:val="22"/>
          <w:szCs w:val="22"/>
        </w:rPr>
        <w:t xml:space="preserve">Even with these improvements, disparities in treatment still exist. Delays in psychological therapies caused by long waiting times and under supply of mental health workforce mean that some patients are unable to receive proper psychological support and rely on pharmacological approaches. Improving access to integrative mental health care should still be a healthcare priority. </w:t>
      </w:r>
    </w:p>
    <w:p w14:paraId="0C641DC7">
      <w:pPr>
        <w:pStyle w:val="2"/>
        <w:rPr>
          <w:rFonts w:ascii="Arial" w:hAnsi="Arial" w:cs="Arial"/>
          <w:sz w:val="22"/>
          <w:szCs w:val="22"/>
        </w:rPr>
      </w:pPr>
      <w:bookmarkStart w:id="4" w:name="_Toc236747719"/>
      <w:r>
        <w:rPr>
          <w:rFonts w:ascii="Arial" w:hAnsi="Arial" w:cs="Arial"/>
          <w:sz w:val="22"/>
          <w:szCs w:val="22"/>
        </w:rPr>
        <w:t>5. Rehabilitation</w:t>
      </w:r>
      <w:bookmarkEnd w:id="4"/>
    </w:p>
    <w:p w14:paraId="720EE2D9">
      <w:pPr>
        <w:spacing w:line="480" w:lineRule="auto"/>
        <w:rPr>
          <w:rFonts w:ascii="Arial" w:hAnsi="Arial" w:cs="Arial"/>
          <w:sz w:val="22"/>
          <w:szCs w:val="22"/>
        </w:rPr>
      </w:pPr>
      <w:r>
        <w:rPr>
          <w:rFonts w:ascii="Arial" w:hAnsi="Arial" w:cs="Arial"/>
          <w:sz w:val="22"/>
          <w:szCs w:val="22"/>
        </w:rPr>
        <w:t>Rehabilitation is an essential aspect of recovery as depression impacts on more than just mood. A lot of individuals retain residual symptoms which impair on functioning in the areas of employment education relationships and social participation despite remission. The WHO ICD-11 has So advocated for enhanced rehabilitation which focuses on functioning and resumption within the community (WHO, 2024).</w:t>
      </w:r>
    </w:p>
    <w:p w14:paraId="08F2BF9A">
      <w:pPr>
        <w:spacing w:line="480" w:lineRule="auto"/>
        <w:rPr>
          <w:rFonts w:ascii="Arial" w:hAnsi="Arial" w:cs="Arial"/>
          <w:sz w:val="22"/>
          <w:szCs w:val="22"/>
        </w:rPr>
      </w:pPr>
      <w:r>
        <w:rPr>
          <w:rFonts w:ascii="Arial" w:hAnsi="Arial" w:cs="Arial"/>
          <w:sz w:val="22"/>
          <w:szCs w:val="22"/>
        </w:rPr>
        <w:t>Multidisciplinary rehabilitation has proved to be more effective. During discussions with teams of psychiatrists, psychologists, nurses, occupational therapists and social workers, the care plan will be established as the psychological, social and occupational needs of the individual. This all-round community-based service suggested by NICE (2022) aid recovery and minimizes the chances of relapse. </w:t>
      </w:r>
    </w:p>
    <w:p w14:paraId="63AB5BC7">
      <w:pPr>
        <w:spacing w:line="480" w:lineRule="auto"/>
        <w:rPr>
          <w:rFonts w:ascii="Arial" w:hAnsi="Arial" w:cs="Arial"/>
          <w:sz w:val="22"/>
          <w:szCs w:val="22"/>
        </w:rPr>
      </w:pPr>
      <w:r>
        <w:rPr>
          <w:rFonts w:ascii="Arial" w:hAnsi="Arial" w:cs="Arial"/>
          <w:sz w:val="22"/>
          <w:szCs w:val="22"/>
        </w:rPr>
        <w:t>Also relevant is the area of vocational rehabilitation. Those with depression often have problems concentrating and lacking confidence, causing them to experience problems at work. Occupational therapy and supported employment and educational help people return to work or study at a pace that restores confidence and independence. This benefits quality of life and the wider economic impact of depression.</w:t>
      </w:r>
    </w:p>
    <w:p w14:paraId="3FECCDA4">
      <w:pPr>
        <w:spacing w:line="480" w:lineRule="auto"/>
        <w:rPr>
          <w:rFonts w:ascii="Arial" w:hAnsi="Arial" w:cs="Arial"/>
          <w:sz w:val="22"/>
          <w:szCs w:val="22"/>
        </w:rPr>
      </w:pPr>
      <w:r>
        <w:rPr>
          <w:rFonts w:ascii="Arial" w:hAnsi="Arial" w:cs="Arial"/>
          <w:sz w:val="22"/>
          <w:szCs w:val="22"/>
        </w:rPr>
        <w:t>The data also indicate that psychoeducation plays an important role in long term recovery. Being educated about depression, its treatments, relapse prevention, lifestyle change empowering individuals and family members to take increased control and management of their mental health. This understanding enhances treatment uptake and encourages treatment adherence, as well as empowering patients to identify early signs of relapse with greater certainty, thereby enabling prompt action, more significant self-management and lessen burden on crisis intervention in the future.</w:t>
      </w:r>
    </w:p>
    <w:p w14:paraId="7A99D914">
      <w:pPr>
        <w:spacing w:line="480" w:lineRule="auto"/>
        <w:rPr>
          <w:rFonts w:ascii="Arial" w:hAnsi="Arial" w:cs="Arial"/>
          <w:sz w:val="22"/>
          <w:szCs w:val="22"/>
        </w:rPr>
      </w:pPr>
      <w:r>
        <w:rPr>
          <w:rFonts w:ascii="Arial" w:hAnsi="Arial" w:cs="Arial"/>
          <w:sz w:val="22"/>
          <w:szCs w:val="22"/>
        </w:rPr>
        <w:t>However, provision of rehabilitation services still remains patchy across systems of care. Availability of community-based services is dependent upon funding levels, geographical location and native workforce capacity, strength and flexibility. Many service users are able to access various specialist community-based services. Others have to put up with a lack of access to psychotherapy counseling social work, occupational therapy or a varied range of additional supportive services. These inequalities reduce opportunities for full recovery.</w:t>
      </w:r>
    </w:p>
    <w:p w14:paraId="11CFD0C4">
      <w:pPr>
        <w:spacing w:line="480" w:lineRule="auto"/>
        <w:rPr>
          <w:rFonts w:ascii="Arial" w:hAnsi="Arial" w:cs="Arial"/>
          <w:sz w:val="22"/>
          <w:szCs w:val="22"/>
        </w:rPr>
      </w:pPr>
      <w:r>
        <w:rPr>
          <w:rFonts w:ascii="Arial" w:hAnsi="Arial" w:cs="Arial"/>
          <w:sz w:val="22"/>
          <w:szCs w:val="22"/>
        </w:rPr>
        <w:t>The discrimination of the mentally ill still contributes to the stigma of mental illness so a large proportion of people diagnosed with depression do not engage in normal social activity because of the fear of such discrimination. So, programs of stigma reduction and long-term service provision need to be implemented to encourage social use and ensure stability of mental health.</w:t>
      </w:r>
    </w:p>
    <w:p w14:paraId="6C88B316">
      <w:pPr>
        <w:pStyle w:val="2"/>
        <w:rPr>
          <w:rFonts w:ascii="Arial" w:hAnsi="Arial" w:cs="Arial"/>
          <w:sz w:val="22"/>
          <w:szCs w:val="22"/>
        </w:rPr>
      </w:pPr>
      <w:bookmarkStart w:id="5" w:name="_Toc236747720"/>
      <w:r>
        <w:rPr>
          <w:rFonts w:ascii="Arial" w:hAnsi="Arial" w:cs="Arial"/>
          <w:sz w:val="22"/>
          <w:szCs w:val="22"/>
        </w:rPr>
        <w:t>6. Current Debates and Emerging Issues</w:t>
      </w:r>
      <w:bookmarkEnd w:id="5"/>
    </w:p>
    <w:p w14:paraId="75D59863">
      <w:pPr>
        <w:spacing w:line="480" w:lineRule="auto"/>
        <w:rPr>
          <w:rFonts w:ascii="Arial" w:hAnsi="Arial" w:cs="Arial"/>
          <w:sz w:val="22"/>
          <w:szCs w:val="22"/>
        </w:rPr>
      </w:pPr>
      <w:r>
        <w:rPr>
          <w:rFonts w:ascii="Arial" w:hAnsi="Arial" w:cs="Arial"/>
          <w:sz w:val="22"/>
          <w:szCs w:val="22"/>
        </w:rPr>
        <w:t>One of the most significant debates relates to the medicalisation of everyday sadness. Various authors warn that diagnostic classifications will probably categorialise predictable negative reactions to life stressors as clinical depression. Still, scholars conclude that ICD-11 clearly codifies long-lasting symptoms and considerable interference with functioning before diagnosing Single Episode Depressive Disorder, so differentiating disorder from emotional distress (WHO, 2024).</w:t>
      </w:r>
    </w:p>
    <w:p w14:paraId="1E440C5F">
      <w:pPr>
        <w:spacing w:line="480" w:lineRule="auto"/>
        <w:rPr>
          <w:rFonts w:ascii="Arial" w:hAnsi="Arial" w:cs="Arial"/>
          <w:sz w:val="22"/>
          <w:szCs w:val="22"/>
        </w:rPr>
      </w:pPr>
      <w:r>
        <w:rPr>
          <w:rFonts w:ascii="Arial" w:hAnsi="Arial" w:cs="Arial"/>
          <w:sz w:val="22"/>
          <w:szCs w:val="22"/>
        </w:rPr>
        <w:t>Another debate revolves around biological explanations for depression. Progress in fields like genetics, neurosciences and brain imaging have helped explain depressive disorders, but a true biological marker has not been discovered that can diagnose depression or indicate its likely treatment response. Malhi and Mann (2018) suggest depression is caused by interaction of the biological, psychological and social.</w:t>
      </w:r>
    </w:p>
    <w:p w14:paraId="43A5D546">
      <w:pPr>
        <w:spacing w:line="480" w:lineRule="auto"/>
        <w:rPr>
          <w:rFonts w:ascii="Arial" w:hAnsi="Arial" w:cs="Arial"/>
          <w:sz w:val="22"/>
          <w:szCs w:val="22"/>
        </w:rPr>
      </w:pPr>
      <w:r>
        <w:rPr>
          <w:rFonts w:ascii="Arial" w:hAnsi="Arial" w:cs="Arial"/>
          <w:sz w:val="22"/>
          <w:szCs w:val="22"/>
        </w:rPr>
        <w:t xml:space="preserve">Recovery-oriented practice impacts current depression treatment practices as well. Setup shifts from symptom reduction to an emphasis on personal recovery, social participation, employment, and quality of life, is expanding the use of person-centred mental care and focusing on longer-term wellbeing. </w:t>
      </w:r>
    </w:p>
    <w:p w14:paraId="4BF3C874">
      <w:pPr>
        <w:pStyle w:val="2"/>
        <w:rPr>
          <w:rFonts w:ascii="Arial" w:hAnsi="Arial" w:cs="Arial"/>
          <w:sz w:val="22"/>
          <w:szCs w:val="22"/>
        </w:rPr>
      </w:pPr>
      <w:bookmarkStart w:id="6" w:name="_Toc236747721"/>
      <w:r>
        <w:rPr>
          <w:rFonts w:ascii="Arial" w:hAnsi="Arial" w:cs="Arial"/>
          <w:sz w:val="22"/>
          <w:szCs w:val="22"/>
        </w:rPr>
        <w:t>7. Recommendations</w:t>
      </w:r>
      <w:bookmarkEnd w:id="6"/>
    </w:p>
    <w:p w14:paraId="12B63672">
      <w:pPr>
        <w:spacing w:line="480" w:lineRule="auto"/>
        <w:rPr>
          <w:rFonts w:ascii="Arial" w:hAnsi="Arial" w:cs="Arial"/>
          <w:sz w:val="22"/>
          <w:szCs w:val="22"/>
        </w:rPr>
      </w:pPr>
      <w:r>
        <w:rPr>
          <w:rFonts w:ascii="Arial" w:hAnsi="Arial" w:cs="Arial"/>
          <w:sz w:val="22"/>
          <w:szCs w:val="22"/>
        </w:rPr>
        <w:t>The evidence presented has indicated that both classification and management of the SEDD has evolved and improved, but there still remain significant issues and many areas for future success. Five recommendations have been highlighted:</w:t>
      </w:r>
    </w:p>
    <w:p w14:paraId="73535BA6">
      <w:pPr>
        <w:spacing w:line="480" w:lineRule="auto"/>
        <w:rPr>
          <w:rFonts w:ascii="Arial" w:hAnsi="Arial" w:cs="Arial"/>
          <w:sz w:val="22"/>
          <w:szCs w:val="22"/>
        </w:rPr>
      </w:pPr>
      <w:r>
        <w:rPr>
          <w:rFonts w:ascii="Arial" w:hAnsi="Arial" w:cs="Arial"/>
          <w:sz w:val="22"/>
          <w:szCs w:val="22"/>
        </w:rPr>
        <w:t>First, there should be further clarification of the type of depressive disorders as new evidence emerges. While the standardization offered by the current classification aids diagnosis in general, the new edition should also be revised to include any pathogenic biological markers if valid evidence is to be found that they exist, Because of this facilitating specific and targeted treatment (Malhi and Mann, 2018).</w:t>
      </w:r>
    </w:p>
    <w:p w14:paraId="5FEFDDE6">
      <w:pPr>
        <w:spacing w:line="480" w:lineRule="auto"/>
        <w:rPr>
          <w:rFonts w:ascii="Arial" w:hAnsi="Arial" w:cs="Arial"/>
          <w:sz w:val="22"/>
          <w:szCs w:val="22"/>
        </w:rPr>
      </w:pPr>
      <w:r>
        <w:rPr>
          <w:rFonts w:ascii="Arial" w:hAnsi="Arial" w:cs="Arial"/>
          <w:sz w:val="22"/>
          <w:szCs w:val="22"/>
        </w:rPr>
        <w:t xml:space="preserve">Second, prevention by earlier identification of depression will need to be addressed as a healthcare priority. Many delays in help-seeking are reported due to stigma or lack of knowledge of mental health signs and symptoms, earlier identification in primary care, schools and workplaces will enable better access to treatment and improve recovery rates (WHO, 2024). </w:t>
      </w:r>
    </w:p>
    <w:p w14:paraId="10209E4B">
      <w:pPr>
        <w:spacing w:line="480" w:lineRule="auto"/>
        <w:rPr>
          <w:rFonts w:ascii="Arial" w:hAnsi="Arial" w:cs="Arial"/>
          <w:sz w:val="22"/>
          <w:szCs w:val="22"/>
        </w:rPr>
      </w:pPr>
      <w:r>
        <w:rPr>
          <w:rFonts w:ascii="Arial" w:hAnsi="Arial" w:cs="Arial"/>
          <w:sz w:val="22"/>
          <w:szCs w:val="22"/>
        </w:rPr>
        <w:t>Thirdly, the availability of evidence based psychological therapies needs to be increased. While Bath and CBT are very effective forms of therapy, long waiting lists often delay access for many. Increasing funding into MH services would allow faster availability of psychological treatment, as well as less reliance on drugs to treat MH problems (NICE, 2022).</w:t>
      </w:r>
    </w:p>
    <w:p w14:paraId="4E655FA3">
      <w:pPr>
        <w:spacing w:line="480" w:lineRule="auto"/>
        <w:rPr>
          <w:rFonts w:ascii="Arial" w:hAnsi="Arial" w:cs="Arial"/>
          <w:sz w:val="22"/>
          <w:szCs w:val="22"/>
        </w:rPr>
      </w:pPr>
      <w:r>
        <w:rPr>
          <w:rFonts w:ascii="Arial" w:hAnsi="Arial" w:cs="Arial"/>
          <w:sz w:val="22"/>
          <w:szCs w:val="22"/>
        </w:rPr>
        <w:t>Fourth, rehabilitation must be enhanced in long-term-care. Occupational therapy, supported employment and community-based services should be injected into recovery as standard practice. These help the individual but also lessen the wider socio-economic burdens caused by depression.</w:t>
      </w:r>
    </w:p>
    <w:p w14:paraId="6C4739BB">
      <w:pPr>
        <w:spacing w:line="480" w:lineRule="auto"/>
        <w:rPr>
          <w:rFonts w:ascii="Arial" w:hAnsi="Arial" w:cs="Arial"/>
          <w:sz w:val="22"/>
          <w:szCs w:val="22"/>
        </w:rPr>
      </w:pPr>
      <w:r>
        <w:rPr>
          <w:rFonts w:ascii="Arial" w:hAnsi="Arial" w:cs="Arial"/>
          <w:sz w:val="22"/>
          <w:szCs w:val="22"/>
        </w:rPr>
        <w:t>Finally, stigma reduction should not be a neglected public issue because of changing times. To help with that a lot, educational campaigns that raise public awareness can be a great source of changing attitudes to depression. They can help to open up channels of conversation and at the same time discourage people who have discrimination in mind. Also, services that focus on recovery should give priority to the patient's choice and social inclusion and have them further developed in line with the patient's own preferences, such as choice and social inclusion.</w:t>
      </w:r>
    </w:p>
    <w:p w14:paraId="037EACAE">
      <w:pPr>
        <w:pStyle w:val="2"/>
        <w:rPr>
          <w:rFonts w:ascii="Arial" w:hAnsi="Arial" w:cs="Arial"/>
          <w:sz w:val="22"/>
          <w:szCs w:val="22"/>
        </w:rPr>
      </w:pPr>
      <w:bookmarkStart w:id="7" w:name="_Toc236747722"/>
      <w:r>
        <w:rPr>
          <w:rFonts w:ascii="Arial" w:hAnsi="Arial" w:cs="Arial"/>
          <w:sz w:val="22"/>
          <w:szCs w:val="22"/>
        </w:rPr>
        <w:t>8. Conclusion</w:t>
      </w:r>
      <w:bookmarkEnd w:id="7"/>
      <w:r>
        <w:rPr>
          <w:rFonts w:ascii="Arial" w:hAnsi="Arial" w:cs="Arial"/>
          <w:sz w:val="22"/>
          <w:szCs w:val="22"/>
        </w:rPr>
        <w:t xml:space="preserve"> </w:t>
      </w:r>
    </w:p>
    <w:p w14:paraId="2E87D6D2">
      <w:pPr>
        <w:spacing w:line="480" w:lineRule="auto"/>
        <w:rPr>
          <w:rFonts w:ascii="Arial" w:hAnsi="Arial" w:cs="Arial"/>
          <w:sz w:val="22"/>
          <w:szCs w:val="22"/>
        </w:rPr>
      </w:pPr>
      <w:r>
        <w:rPr>
          <w:rFonts w:ascii="Arial" w:hAnsi="Arial" w:cs="Arial"/>
          <w:sz w:val="22"/>
          <w:szCs w:val="22"/>
        </w:rPr>
        <w:t>Single Episode Depressive Disorder remains one of the main types of mental disorders under the ICD-11 classification. One of the strengths of the present categorization that ICD-11 is recognized by clinicians at the moment is that apart from differentiating between mild, moderate, and severe cases, it focuses on impairing functions and gives a better basis for consistent diagnostic and management decisions.</w:t>
      </w:r>
    </w:p>
    <w:p w14:paraId="2C48F575">
      <w:pPr>
        <w:spacing w:line="480" w:lineRule="auto"/>
        <w:rPr>
          <w:rFonts w:ascii="Arial" w:hAnsi="Arial" w:cs="Arial"/>
          <w:sz w:val="22"/>
          <w:szCs w:val="22"/>
        </w:rPr>
      </w:pPr>
      <w:r>
        <w:rPr>
          <w:rFonts w:ascii="Arial" w:hAnsi="Arial" w:cs="Arial"/>
          <w:sz w:val="22"/>
          <w:szCs w:val="22"/>
        </w:rPr>
        <w:t>Determination of the illness remains to depend largely on the doctor's complete assessment since no definitive laboratory test has yet been developed for the mental disorder. Though it coming up with well-illustrated criteria for diagnosis, ICD-11 cannot completely put symptom similarity, cultural variations, delay in getting help among others away which will still be the sources of problem and disagreement in diagnosing depression. Early detection and intervention are still the key factors for enhancing therapeutic results.</w:t>
      </w:r>
    </w:p>
    <w:p w14:paraId="05FD41B4">
      <w:pPr>
        <w:spacing w:line="480" w:lineRule="auto"/>
        <w:rPr>
          <w:rFonts w:ascii="Arial" w:hAnsi="Arial" w:cs="Arial"/>
          <w:sz w:val="22"/>
          <w:szCs w:val="22"/>
        </w:rPr>
      </w:pPr>
      <w:r>
        <w:rPr>
          <w:rFonts w:ascii="Arial" w:hAnsi="Arial" w:cs="Arial"/>
          <w:sz w:val="22"/>
          <w:szCs w:val="22"/>
        </w:rPr>
        <w:t>Depression therapy should include counseling with antidepressants, and many multidisciplinary approaches per each person's particular requirements. Per clinical studies, a combined approach is very helpful and brings about rapid symptomatic remission and functional restoration. In practice, a lot of patients will find difficulty in seeing a therapist, which is a big issue to deal with. In addition, a major aspect of the recovery process is being able to obtain and maintain a job education independence, and active social life.</w:t>
      </w:r>
    </w:p>
    <w:p w14:paraId="3D4C6D76">
      <w:pPr>
        <w:spacing w:line="480" w:lineRule="auto"/>
        <w:rPr>
          <w:rFonts w:ascii="Arial" w:hAnsi="Arial" w:cs="Arial"/>
          <w:sz w:val="22"/>
          <w:szCs w:val="22"/>
        </w:rPr>
      </w:pPr>
      <w:r>
        <w:rPr>
          <w:rFonts w:ascii="Arial" w:hAnsi="Arial" w:cs="Arial"/>
          <w:sz w:val="22"/>
          <w:szCs w:val="22"/>
        </w:rPr>
        <w:t>Issues on the minimum diagnostic requirements, how genes and the brain's chemicals work in depression, plus whether a purely medical explanation of depression is sufficient are being discussed and written about even now. On top of that, to provide high-quality care and to reach all depressed persons with effective help, it will require integrating and tailoring treatment and rehabilitation to an individual's preferences, evidence-based decisions, and a care pathway that promotes recovery. Continued refinements of the ICD-11 system, faster diagnosis, broad psychological treatment availability, and more effective social rehabilitation and support programs will bring about major changes in the long and short-term results for people with Single Episode Depressive Disorder.</w:t>
      </w:r>
      <w:r>
        <w:rPr>
          <w:rFonts w:ascii="Arial" w:hAnsi="Arial" w:cs="Arial"/>
          <w:b/>
          <w:bCs/>
          <w:sz w:val="22"/>
          <w:szCs w:val="22"/>
        </w:rPr>
        <w:br w:type="page"/>
      </w:r>
    </w:p>
    <w:p w14:paraId="38102634">
      <w:pPr>
        <w:pStyle w:val="2"/>
        <w:jc w:val="center"/>
        <w:rPr>
          <w:rFonts w:ascii="Arial" w:hAnsi="Arial" w:cs="Arial"/>
          <w:sz w:val="22"/>
          <w:szCs w:val="22"/>
        </w:rPr>
      </w:pPr>
      <w:bookmarkStart w:id="8" w:name="_Toc236747723"/>
      <w:r>
        <w:rPr>
          <w:rFonts w:ascii="Arial" w:hAnsi="Arial" w:cs="Arial"/>
          <w:sz w:val="22"/>
          <w:szCs w:val="22"/>
        </w:rPr>
        <w:t>References List</w:t>
      </w:r>
      <w:bookmarkEnd w:id="8"/>
    </w:p>
    <w:p w14:paraId="7861A0CF">
      <w:pPr>
        <w:ind w:left="720" w:hanging="720"/>
        <w:rPr>
          <w:rFonts w:ascii="Arial" w:hAnsi="Arial" w:cs="Arial"/>
          <w:sz w:val="22"/>
          <w:szCs w:val="22"/>
        </w:rPr>
      </w:pPr>
      <w:r>
        <w:rPr>
          <w:rFonts w:ascii="Arial" w:hAnsi="Arial" w:cs="Arial"/>
          <w:sz w:val="22"/>
          <w:szCs w:val="22"/>
        </w:rPr>
        <w:t xml:space="preserve">American Psychological Association (2023). </w:t>
      </w:r>
      <w:r>
        <w:rPr>
          <w:rFonts w:ascii="Arial" w:hAnsi="Arial" w:cs="Arial"/>
          <w:i/>
          <w:iCs/>
          <w:sz w:val="22"/>
          <w:szCs w:val="22"/>
        </w:rPr>
        <w:t>Practice Guideline for the Treatment of Patients with Major Depressive Disorder. Washington, DC: American Psychiatric Association.</w:t>
      </w:r>
      <w:r>
        <w:rPr>
          <w:rFonts w:ascii="Arial" w:hAnsi="Arial" w:cs="Arial"/>
          <w:sz w:val="22"/>
          <w:szCs w:val="22"/>
        </w:rPr>
        <w:t xml:space="preserve"> [online] </w:t>
      </w:r>
      <w:r>
        <w:rPr>
          <w:rFonts w:ascii="Arial" w:hAnsi="Arial" w:cs="Arial"/>
          <w:i/>
          <w:iCs/>
          <w:sz w:val="22"/>
          <w:szCs w:val="22"/>
        </w:rPr>
        <w:t>Apa.org</w:t>
      </w:r>
      <w:r>
        <w:rPr>
          <w:rFonts w:ascii="Arial" w:hAnsi="Arial" w:cs="Arial"/>
          <w:sz w:val="22"/>
          <w:szCs w:val="22"/>
        </w:rPr>
        <w:t>. Available at: https://www.apa.org/depression-guideline [Accessed 4 Aug. 2026].</w:t>
      </w:r>
    </w:p>
    <w:p w14:paraId="54631A50">
      <w:pPr>
        <w:ind w:left="720" w:hanging="720"/>
        <w:rPr>
          <w:rFonts w:ascii="Arial" w:hAnsi="Arial" w:cs="Arial"/>
          <w:sz w:val="22"/>
          <w:szCs w:val="22"/>
        </w:rPr>
      </w:pPr>
      <w:r>
        <w:rPr>
          <w:rFonts w:ascii="Arial" w:hAnsi="Arial" w:cs="Arial"/>
          <w:sz w:val="22"/>
          <w:szCs w:val="22"/>
        </w:rPr>
        <w:t xml:space="preserve">Cipriani, A., Furukawa, T.A., Salanti, G., Chaimani, A., Atkinson, L.Z., Ogawa, Y., Leucht, S., Ruhe, H.G., Turner, E.H., Higgins, J.P.T., Egger, M., Takeshima, N., Hayasaka, Y., Imai, H., Shinohara, K., Tajika, A., Ioannidis, J.P.A. and Geddes, J.R. (2018). Comparative efficacy and acceptability of 21 antidepressant drugs for the acute treatment of adults with major depressive disorder: A systematic review and network meta-analysis. </w:t>
      </w:r>
      <w:r>
        <w:rPr>
          <w:rFonts w:ascii="Arial" w:hAnsi="Arial" w:cs="Arial"/>
          <w:i/>
          <w:iCs/>
          <w:sz w:val="22"/>
          <w:szCs w:val="22"/>
        </w:rPr>
        <w:t>FOCUS</w:t>
      </w:r>
      <w:r>
        <w:rPr>
          <w:rFonts w:ascii="Arial" w:hAnsi="Arial" w:cs="Arial"/>
          <w:sz w:val="22"/>
          <w:szCs w:val="22"/>
        </w:rPr>
        <w:t>, 16(4), pp.420–429. doi:10.1176/appi.focus.16407.</w:t>
      </w:r>
    </w:p>
    <w:p w14:paraId="78F5454D">
      <w:pPr>
        <w:ind w:left="720" w:hanging="720"/>
        <w:rPr>
          <w:rFonts w:ascii="Arial" w:hAnsi="Arial" w:cs="Arial"/>
          <w:sz w:val="22"/>
          <w:szCs w:val="22"/>
        </w:rPr>
      </w:pPr>
      <w:r>
        <w:rPr>
          <w:rFonts w:ascii="Arial" w:hAnsi="Arial" w:cs="Arial"/>
          <w:sz w:val="22"/>
          <w:szCs w:val="22"/>
        </w:rPr>
        <w:t xml:space="preserve">Cuijpers, P., Karyotaki, E., Reijnders, M. and Ebert, D.D. (2021). Was Eysenck right after all? A reassessment of the effects of psychotherapy for adult depression. </w:t>
      </w:r>
      <w:r>
        <w:rPr>
          <w:rFonts w:ascii="Arial" w:hAnsi="Arial" w:cs="Arial"/>
          <w:i/>
          <w:iCs/>
          <w:sz w:val="22"/>
          <w:szCs w:val="22"/>
        </w:rPr>
        <w:t>Epidemiology and Psychiatric Sciences</w:t>
      </w:r>
      <w:r>
        <w:rPr>
          <w:rFonts w:ascii="Arial" w:hAnsi="Arial" w:cs="Arial"/>
          <w:sz w:val="22"/>
          <w:szCs w:val="22"/>
        </w:rPr>
        <w:t>, 28(1), pp.21–30. doi:10.1017/s2045796018000057.</w:t>
      </w:r>
    </w:p>
    <w:p w14:paraId="74709DCB">
      <w:pPr>
        <w:ind w:left="720" w:hanging="720"/>
        <w:rPr>
          <w:rFonts w:ascii="Arial" w:hAnsi="Arial" w:cs="Arial"/>
          <w:sz w:val="22"/>
          <w:szCs w:val="22"/>
        </w:rPr>
      </w:pPr>
      <w:r>
        <w:rPr>
          <w:rFonts w:ascii="Arial" w:hAnsi="Arial" w:cs="Arial"/>
          <w:sz w:val="22"/>
          <w:szCs w:val="22"/>
        </w:rPr>
        <w:t xml:space="preserve">Kendler, K.S. (2020). The phenomenology of major depression and the representativeness and nature of DSM criteria. </w:t>
      </w:r>
      <w:r>
        <w:rPr>
          <w:rFonts w:ascii="Arial" w:hAnsi="Arial" w:cs="Arial"/>
          <w:i/>
          <w:iCs/>
          <w:sz w:val="22"/>
          <w:szCs w:val="22"/>
        </w:rPr>
        <w:t>American Journal of Psychiatry</w:t>
      </w:r>
      <w:r>
        <w:rPr>
          <w:rFonts w:ascii="Arial" w:hAnsi="Arial" w:cs="Arial"/>
          <w:sz w:val="22"/>
          <w:szCs w:val="22"/>
        </w:rPr>
        <w:t>, 173(8), pp.771–780. doi:10.1176/appi.ajp.2016.15121509.</w:t>
      </w:r>
    </w:p>
    <w:p w14:paraId="1F627AA5">
      <w:pPr>
        <w:ind w:left="720" w:hanging="720"/>
        <w:rPr>
          <w:rFonts w:ascii="Arial" w:hAnsi="Arial" w:cs="Arial"/>
          <w:sz w:val="22"/>
          <w:szCs w:val="22"/>
        </w:rPr>
      </w:pPr>
      <w:r>
        <w:rPr>
          <w:rFonts w:ascii="Arial" w:hAnsi="Arial" w:cs="Arial"/>
          <w:sz w:val="22"/>
          <w:szCs w:val="22"/>
        </w:rPr>
        <w:t xml:space="preserve">Malhi, G.S. and Mann, J.J. (2018). Depression. </w:t>
      </w:r>
      <w:r>
        <w:rPr>
          <w:rFonts w:ascii="Arial" w:hAnsi="Arial" w:cs="Arial"/>
          <w:i/>
          <w:iCs/>
          <w:sz w:val="22"/>
          <w:szCs w:val="22"/>
        </w:rPr>
        <w:t>The Lancet</w:t>
      </w:r>
      <w:r>
        <w:rPr>
          <w:rFonts w:ascii="Arial" w:hAnsi="Arial" w:cs="Arial"/>
          <w:sz w:val="22"/>
          <w:szCs w:val="22"/>
        </w:rPr>
        <w:t>, 392(10161), pp.2299–2312. doi:10.1016/s0140-6736(18)31948-2.</w:t>
      </w:r>
    </w:p>
    <w:p w14:paraId="2007D633">
      <w:pPr>
        <w:ind w:left="720" w:hanging="720"/>
        <w:rPr>
          <w:rFonts w:ascii="Arial" w:hAnsi="Arial" w:cs="Arial"/>
          <w:sz w:val="22"/>
          <w:szCs w:val="22"/>
        </w:rPr>
      </w:pPr>
      <w:r>
        <w:rPr>
          <w:rFonts w:ascii="Arial" w:hAnsi="Arial" w:cs="Arial"/>
          <w:sz w:val="22"/>
          <w:szCs w:val="22"/>
        </w:rPr>
        <w:t xml:space="preserve">National Institute for Health and Care Excellence (2022). </w:t>
      </w:r>
      <w:r>
        <w:rPr>
          <w:rFonts w:ascii="Arial" w:hAnsi="Arial" w:cs="Arial"/>
          <w:i/>
          <w:iCs/>
          <w:sz w:val="22"/>
          <w:szCs w:val="22"/>
        </w:rPr>
        <w:t>Depression in adults: Treatment and management</w:t>
      </w:r>
      <w:r>
        <w:rPr>
          <w:rFonts w:ascii="Arial" w:hAnsi="Arial" w:cs="Arial"/>
          <w:sz w:val="22"/>
          <w:szCs w:val="22"/>
        </w:rPr>
        <w:t xml:space="preserve">. [online] </w:t>
      </w:r>
      <w:r>
        <w:rPr>
          <w:rFonts w:ascii="Arial" w:hAnsi="Arial" w:cs="Arial"/>
          <w:i/>
          <w:iCs/>
          <w:sz w:val="22"/>
          <w:szCs w:val="22"/>
        </w:rPr>
        <w:t>www.nice.org.uk</w:t>
      </w:r>
      <w:r>
        <w:rPr>
          <w:rFonts w:ascii="Arial" w:hAnsi="Arial" w:cs="Arial"/>
          <w:sz w:val="22"/>
          <w:szCs w:val="22"/>
        </w:rPr>
        <w:t>. Available at: https://www.nice.org.uk/guidance/ng222 [Accessed 4 Aug. 2026].</w:t>
      </w:r>
    </w:p>
    <w:p w14:paraId="67B1163A">
      <w:pPr>
        <w:ind w:left="720" w:hanging="720"/>
        <w:rPr>
          <w:rFonts w:ascii="Arial" w:hAnsi="Arial" w:cs="Arial"/>
          <w:sz w:val="22"/>
          <w:szCs w:val="22"/>
        </w:rPr>
      </w:pPr>
      <w:r>
        <w:rPr>
          <w:rFonts w:ascii="Arial" w:hAnsi="Arial" w:cs="Arial"/>
          <w:sz w:val="22"/>
          <w:szCs w:val="22"/>
        </w:rPr>
        <w:t xml:space="preserve">Park, L.T. and Zarate, C.A. (2019). Depression in the primary care setting. </w:t>
      </w:r>
      <w:r>
        <w:rPr>
          <w:rFonts w:ascii="Arial" w:hAnsi="Arial" w:cs="Arial"/>
          <w:i/>
          <w:iCs/>
          <w:sz w:val="22"/>
          <w:szCs w:val="22"/>
        </w:rPr>
        <w:t>New England Journal of Medicine</w:t>
      </w:r>
      <w:r>
        <w:rPr>
          <w:rFonts w:ascii="Arial" w:hAnsi="Arial" w:cs="Arial"/>
          <w:sz w:val="22"/>
          <w:szCs w:val="22"/>
        </w:rPr>
        <w:t>, [online] 380(6), pp.559–568. doi:10.1056/nejmcp1712493.</w:t>
      </w:r>
    </w:p>
    <w:p w14:paraId="0FAE95A7">
      <w:pPr>
        <w:ind w:left="720" w:hanging="720"/>
        <w:rPr>
          <w:rFonts w:ascii="Arial" w:hAnsi="Arial" w:cs="Arial"/>
          <w:sz w:val="22"/>
          <w:szCs w:val="22"/>
        </w:rPr>
      </w:pPr>
      <w:r>
        <w:rPr>
          <w:rFonts w:ascii="Arial" w:hAnsi="Arial" w:cs="Arial"/>
          <w:sz w:val="22"/>
          <w:szCs w:val="22"/>
        </w:rPr>
        <w:t xml:space="preserve">Reed, G.M., First, M.B., Kogan, C.S., Hyman, S.E., Gureje, O., Gaebel, W., Maj, M., Stein, D.J., Maercker, A., Tyrer, P., Claudino, A., Garralda, E., Salvador-Carulla, L., Ray, R., Saunders, J.B., Dua, T., Poznyak, V., Medina-Mora, M.E., Pike, K.M., Ayuso-Mateos, J.L., Kanba, S., Keeley, J.W., Khoury, B., Krasnov, V.N., Kulygina, M., Lovell, A.M., de Jesus Mari, J., Maruta, T., Matsumoto, C., Rebello, T.J., Roberts, M.C., Robles, R., Sharan, P., Zhao, M., Jablensky, A., Udomratn, P., Rahimi-Movaghar, A., Rydelius, P.-A., Bährer-Kohler, S., Watts, A.D. and Saxena, S. (2022). Innovations and changes in the ICD-11 classification of mental, behavioural and neurodevelopmental disorders. </w:t>
      </w:r>
      <w:r>
        <w:rPr>
          <w:rFonts w:ascii="Arial" w:hAnsi="Arial" w:cs="Arial"/>
          <w:i/>
          <w:iCs/>
          <w:sz w:val="22"/>
          <w:szCs w:val="22"/>
        </w:rPr>
        <w:t>World Psychiatry</w:t>
      </w:r>
      <w:r>
        <w:rPr>
          <w:rFonts w:ascii="Arial" w:hAnsi="Arial" w:cs="Arial"/>
          <w:sz w:val="22"/>
          <w:szCs w:val="22"/>
        </w:rPr>
        <w:t>, [online] 18(1), pp.3–19. Available at: https://onlinelibrary.wiley.com/doi/full/10.1002/wps.20611 [Accessed 4 Aug. 2026].</w:t>
      </w:r>
    </w:p>
    <w:p w14:paraId="37AFCE55">
      <w:pPr>
        <w:ind w:left="720" w:hanging="720"/>
        <w:rPr>
          <w:rFonts w:ascii="Arial" w:hAnsi="Arial" w:cs="Arial"/>
          <w:sz w:val="22"/>
          <w:szCs w:val="22"/>
        </w:rPr>
      </w:pPr>
      <w:r>
        <w:rPr>
          <w:rFonts w:ascii="Arial" w:hAnsi="Arial" w:cs="Arial"/>
          <w:sz w:val="22"/>
          <w:szCs w:val="22"/>
        </w:rPr>
        <w:t xml:space="preserve">Royal College of Psychiatrists (2023). </w:t>
      </w:r>
      <w:r>
        <w:rPr>
          <w:rFonts w:ascii="Arial" w:hAnsi="Arial" w:cs="Arial"/>
          <w:i/>
          <w:iCs/>
          <w:sz w:val="22"/>
          <w:szCs w:val="22"/>
        </w:rPr>
        <w:t>Depression in older adults | royal college of psychiatrists</w:t>
      </w:r>
      <w:r>
        <w:rPr>
          <w:rFonts w:ascii="Arial" w:hAnsi="Arial" w:cs="Arial"/>
          <w:sz w:val="22"/>
          <w:szCs w:val="22"/>
        </w:rPr>
        <w:t xml:space="preserve">. [online] </w:t>
      </w:r>
      <w:r>
        <w:rPr>
          <w:rFonts w:ascii="Arial" w:hAnsi="Arial" w:cs="Arial"/>
          <w:i/>
          <w:iCs/>
          <w:sz w:val="22"/>
          <w:szCs w:val="22"/>
        </w:rPr>
        <w:t>www.rcpsych.ac.uk</w:t>
      </w:r>
      <w:r>
        <w:rPr>
          <w:rFonts w:ascii="Arial" w:hAnsi="Arial" w:cs="Arial"/>
          <w:sz w:val="22"/>
          <w:szCs w:val="22"/>
        </w:rPr>
        <w:t>. Available at: https://www.rcpsych.ac.uk/mental-health/mental-illnesses-and-mental-health-problems/depression-in-older-adults [Accessed 4 Aug. 2026].</w:t>
      </w:r>
    </w:p>
    <w:p w14:paraId="6E8B623A">
      <w:pPr>
        <w:ind w:left="720" w:hanging="720"/>
        <w:rPr>
          <w:rFonts w:ascii="Arial" w:hAnsi="Arial" w:cs="Arial"/>
          <w:sz w:val="22"/>
          <w:szCs w:val="22"/>
        </w:rPr>
      </w:pPr>
      <w:r>
        <w:rPr>
          <w:rFonts w:ascii="Arial" w:hAnsi="Arial" w:cs="Arial"/>
          <w:sz w:val="22"/>
          <w:szCs w:val="22"/>
        </w:rPr>
        <w:t xml:space="preserve">World Health Organization (2024a). </w:t>
      </w:r>
      <w:r>
        <w:rPr>
          <w:rFonts w:ascii="Arial" w:hAnsi="Arial" w:cs="Arial"/>
          <w:i/>
          <w:iCs/>
          <w:sz w:val="22"/>
          <w:szCs w:val="22"/>
        </w:rPr>
        <w:t>Depression</w:t>
      </w:r>
      <w:r>
        <w:rPr>
          <w:rFonts w:ascii="Arial" w:hAnsi="Arial" w:cs="Arial"/>
          <w:sz w:val="22"/>
          <w:szCs w:val="22"/>
        </w:rPr>
        <w:t xml:space="preserve">. [online] </w:t>
      </w:r>
      <w:r>
        <w:rPr>
          <w:rFonts w:ascii="Arial" w:hAnsi="Arial" w:cs="Arial"/>
          <w:i/>
          <w:iCs/>
          <w:sz w:val="22"/>
          <w:szCs w:val="22"/>
        </w:rPr>
        <w:t>www.who.int</w:t>
      </w:r>
      <w:r>
        <w:rPr>
          <w:rFonts w:ascii="Arial" w:hAnsi="Arial" w:cs="Arial"/>
          <w:sz w:val="22"/>
          <w:szCs w:val="22"/>
        </w:rPr>
        <w:t>. Available at: https://www.who.int/health-topics/depression [Accessed 4 Aug. 2026].</w:t>
      </w:r>
    </w:p>
    <w:p w14:paraId="7444329E">
      <w:pPr>
        <w:ind w:left="720" w:hanging="720"/>
        <w:rPr>
          <w:rFonts w:ascii="Arial" w:hAnsi="Arial" w:cs="Arial"/>
          <w:sz w:val="22"/>
          <w:szCs w:val="22"/>
        </w:rPr>
      </w:pPr>
      <w:r>
        <w:rPr>
          <w:rFonts w:ascii="Arial" w:hAnsi="Arial" w:cs="Arial"/>
          <w:sz w:val="22"/>
          <w:szCs w:val="22"/>
        </w:rPr>
        <w:t xml:space="preserve">World Health Organization (2024b). </w:t>
      </w:r>
      <w:r>
        <w:rPr>
          <w:rFonts w:ascii="Arial" w:hAnsi="Arial" w:cs="Arial"/>
          <w:i/>
          <w:iCs/>
          <w:sz w:val="22"/>
          <w:szCs w:val="22"/>
        </w:rPr>
        <w:t>International classification of diseases (ICD)</w:t>
      </w:r>
      <w:r>
        <w:rPr>
          <w:rFonts w:ascii="Arial" w:hAnsi="Arial" w:cs="Arial"/>
          <w:sz w:val="22"/>
          <w:szCs w:val="22"/>
        </w:rPr>
        <w:t xml:space="preserve">. [online] </w:t>
      </w:r>
      <w:r>
        <w:rPr>
          <w:rFonts w:ascii="Arial" w:hAnsi="Arial" w:cs="Arial"/>
          <w:i/>
          <w:iCs/>
          <w:sz w:val="22"/>
          <w:szCs w:val="22"/>
        </w:rPr>
        <w:t>www.who.int</w:t>
      </w:r>
      <w:r>
        <w:rPr>
          <w:rFonts w:ascii="Arial" w:hAnsi="Arial" w:cs="Arial"/>
          <w:sz w:val="22"/>
          <w:szCs w:val="22"/>
        </w:rPr>
        <w:t>. Available at: https://www.who.int/standards/classifications/classification-of-diseases [Accessed 4 Aug. 2026].</w:t>
      </w:r>
    </w:p>
    <w:p w14:paraId="7756D8CC">
      <w:pPr>
        <w:ind w:left="720" w:hanging="720"/>
        <w:rPr>
          <w:rFonts w:ascii="Arial" w:hAnsi="Arial" w:cs="Arial"/>
          <w:sz w:val="22"/>
          <w:szCs w:val="22"/>
        </w:rPr>
      </w:pPr>
      <w:r>
        <w:rPr>
          <w:rFonts w:ascii="Arial" w:hAnsi="Arial" w:cs="Arial"/>
          <w:sz w:val="22"/>
          <w:szCs w:val="22"/>
        </w:rPr>
        <w:t xml:space="preserve">Zimmerman, M., Ellison, W., Young, D., Chelminski, I. and Dalrymple, K. (2020). How many different ways do patients meet the diagnostic criteria for major depressive disorder? </w:t>
      </w:r>
      <w:r>
        <w:rPr>
          <w:rFonts w:ascii="Arial" w:hAnsi="Arial" w:cs="Arial"/>
          <w:i/>
          <w:iCs/>
          <w:sz w:val="22"/>
          <w:szCs w:val="22"/>
        </w:rPr>
        <w:t>Comprehensive Psychiatry</w:t>
      </w:r>
      <w:r>
        <w:rPr>
          <w:rFonts w:ascii="Arial" w:hAnsi="Arial" w:cs="Arial"/>
          <w:sz w:val="22"/>
          <w:szCs w:val="22"/>
        </w:rPr>
        <w:t>, 56, pp.29–34. doi:10.1016/j.comppsych.2014.09.007.</w:t>
      </w:r>
    </w:p>
    <w:p w14:paraId="08C7BCEA">
      <w:pPr>
        <w:rPr>
          <w:rFonts w:ascii="Arial" w:hAnsi="Arial" w:cs="Arial"/>
          <w:sz w:val="22"/>
          <w:szCs w:val="22"/>
        </w:rPr>
      </w:pPr>
    </w:p>
    <w:p w14:paraId="7EBE2D32"/>
    <w:sectPr>
      <w:head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汉仪中等线KW">
    <w:altName w:val="SimSun"/>
    <w:panose1 w:val="01010104010101010101"/>
    <w:charset w:val="86"/>
    <w:family w:val="auto"/>
    <w:pitch w:val="default"/>
    <w:sig w:usb0="00000000" w:usb1="00000000" w:usb2="00000000" w:usb3="00000000" w:csb0="00040001" w:csb1="00000000"/>
  </w:font>
  <w:font w:name="Arial">
    <w:panose1 w:val="020B0604020202020204"/>
    <w:charset w:val="01"/>
    <w:family w:val="swiss"/>
    <w:pitch w:val="default"/>
    <w:sig w:usb0="E0002EFF" w:usb1="C000785B" w:usb2="00000009" w:usb3="00000000" w:csb0="400001FF" w:csb1="FFFF0000"/>
  </w:font>
  <w:font w:name="等线">
    <w:altName w:val="Microsoft YaHei"/>
    <w:panose1 w:val="00000000000000000000"/>
    <w:charset w:val="00"/>
    <w:family w:val="auto"/>
    <w:pitch w:val="default"/>
    <w:sig w:usb0="00000000" w:usb1="00000000" w:usb2="00000000" w:usb3="00000000" w:csb0="00000000" w:csb1="00000000"/>
  </w:font>
  <w:font w:name="Inter Fallback">
    <w:altName w:val="Arial"/>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58488670"/>
      <w:docPartObj>
        <w:docPartGallery w:val="autotext"/>
      </w:docPartObj>
    </w:sdtPr>
    <w:sdtContent>
      <w:p w14:paraId="47B354AF">
        <w:pPr>
          <w:pStyle w:val="14"/>
          <w:jc w:val="right"/>
        </w:pPr>
        <w:r>
          <w:fldChar w:fldCharType="begin"/>
        </w:r>
        <w:r>
          <w:instrText xml:space="preserve"> PAGE   \* MERGEFORMAT </w:instrText>
        </w:r>
        <w:r>
          <w:fldChar w:fldCharType="separate"/>
        </w:r>
        <w:r>
          <w:t>2</w:t>
        </w:r>
        <w:r>
          <w:fldChar w:fldCharType="end"/>
        </w:r>
      </w:p>
    </w:sdtContent>
  </w:sdt>
  <w:p w14:paraId="48AE85B0">
    <w:pPr>
      <w:pStyle w:val="1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F95"/>
    <w:rsid w:val="00080C31"/>
    <w:rsid w:val="000935AB"/>
    <w:rsid w:val="000F2591"/>
    <w:rsid w:val="0010094D"/>
    <w:rsid w:val="003F7025"/>
    <w:rsid w:val="00507916"/>
    <w:rsid w:val="00527115"/>
    <w:rsid w:val="00602F1D"/>
    <w:rsid w:val="007C07D6"/>
    <w:rsid w:val="007E3751"/>
    <w:rsid w:val="009539BF"/>
    <w:rsid w:val="00A55BC3"/>
    <w:rsid w:val="00AF2043"/>
    <w:rsid w:val="00B423DD"/>
    <w:rsid w:val="00B5438D"/>
    <w:rsid w:val="00C61F95"/>
    <w:rsid w:val="00DE5D31"/>
    <w:rsid w:val="00DF74E3"/>
    <w:rsid w:val="00F77417"/>
    <w:rsid w:val="00FB216F"/>
    <w:rsid w:val="24753161"/>
    <w:rsid w:val="333C1B98"/>
    <w:rsid w:val="36104FF7"/>
    <w:rsid w:val="3EFB4BD4"/>
    <w:rsid w:val="691B6CF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US" w:eastAsia="en-US" w:bidi="ar-SA"/>
      <w14:ligatures w14:val="standardContextual"/>
    </w:rPr>
  </w:style>
  <w:style w:type="paragraph" w:styleId="2">
    <w:name w:val="heading 1"/>
    <w:basedOn w:val="1"/>
    <w:next w:val="1"/>
    <w:link w:val="19"/>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0"/>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1"/>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2"/>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3"/>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4"/>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5"/>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6"/>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7"/>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footer"/>
    <w:basedOn w:val="1"/>
    <w:link w:val="39"/>
    <w:unhideWhenUsed/>
    <w:uiPriority w:val="99"/>
    <w:pPr>
      <w:tabs>
        <w:tab w:val="center" w:pos="4680"/>
        <w:tab w:val="right" w:pos="9360"/>
      </w:tabs>
      <w:spacing w:after="0" w:line="240" w:lineRule="auto"/>
    </w:pPr>
  </w:style>
  <w:style w:type="paragraph" w:styleId="14">
    <w:name w:val="header"/>
    <w:basedOn w:val="1"/>
    <w:link w:val="38"/>
    <w:unhideWhenUsed/>
    <w:uiPriority w:val="99"/>
    <w:pPr>
      <w:tabs>
        <w:tab w:val="center" w:pos="4680"/>
        <w:tab w:val="right" w:pos="9360"/>
      </w:tabs>
      <w:spacing w:after="0" w:line="240" w:lineRule="auto"/>
    </w:pPr>
  </w:style>
  <w:style w:type="character" w:styleId="15">
    <w:name w:val="Hyperlink"/>
    <w:basedOn w:val="11"/>
    <w:unhideWhenUsed/>
    <w:uiPriority w:val="99"/>
    <w:rPr>
      <w:color w:val="0563C1" w:themeColor="hyperlink"/>
      <w:u w:val="single"/>
      <w14:textFill>
        <w14:solidFill>
          <w14:schemeClr w14:val="hlink"/>
        </w14:solidFill>
      </w14:textFill>
    </w:rPr>
  </w:style>
  <w:style w:type="paragraph" w:styleId="16">
    <w:name w:val="Subtitle"/>
    <w:basedOn w:val="1"/>
    <w:next w:val="1"/>
    <w:link w:val="29"/>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Title"/>
    <w:basedOn w:val="1"/>
    <w:next w:val="1"/>
    <w:link w:val="28"/>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18">
    <w:name w:val="toc 1"/>
    <w:basedOn w:val="1"/>
    <w:next w:val="1"/>
    <w:autoRedefine/>
    <w:unhideWhenUsed/>
    <w:qFormat/>
    <w:uiPriority w:val="39"/>
    <w:pPr>
      <w:spacing w:after="100"/>
    </w:pPr>
  </w:style>
  <w:style w:type="character" w:customStyle="1" w:styleId="19">
    <w:name w:val="Heading 1 Char"/>
    <w:basedOn w:val="11"/>
    <w:link w:val="2"/>
    <w:uiPriority w:val="9"/>
    <w:rPr>
      <w:rFonts w:asciiTheme="majorHAnsi" w:hAnsiTheme="majorHAnsi" w:eastAsiaTheme="majorEastAsia" w:cstheme="majorBidi"/>
      <w:color w:val="2F5597" w:themeColor="accent1" w:themeShade="BF"/>
      <w:sz w:val="40"/>
      <w:szCs w:val="40"/>
    </w:rPr>
  </w:style>
  <w:style w:type="character" w:customStyle="1" w:styleId="20">
    <w:name w:val="Heading 2 Char"/>
    <w:basedOn w:val="11"/>
    <w:link w:val="3"/>
    <w:semiHidden/>
    <w:uiPriority w:val="9"/>
    <w:rPr>
      <w:rFonts w:asciiTheme="majorHAnsi" w:hAnsiTheme="majorHAnsi" w:eastAsiaTheme="majorEastAsia" w:cstheme="majorBidi"/>
      <w:color w:val="2F5597" w:themeColor="accent1" w:themeShade="BF"/>
      <w:sz w:val="32"/>
      <w:szCs w:val="32"/>
    </w:rPr>
  </w:style>
  <w:style w:type="character" w:customStyle="1" w:styleId="21">
    <w:name w:val="Heading 3 Char"/>
    <w:basedOn w:val="11"/>
    <w:link w:val="4"/>
    <w:semiHidden/>
    <w:uiPriority w:val="9"/>
    <w:rPr>
      <w:rFonts w:eastAsiaTheme="majorEastAsia" w:cstheme="majorBidi"/>
      <w:color w:val="2F5597" w:themeColor="accent1" w:themeShade="BF"/>
      <w:sz w:val="28"/>
      <w:szCs w:val="28"/>
    </w:rPr>
  </w:style>
  <w:style w:type="character" w:customStyle="1" w:styleId="22">
    <w:name w:val="Heading 4 Char"/>
    <w:basedOn w:val="11"/>
    <w:link w:val="5"/>
    <w:semiHidden/>
    <w:uiPriority w:val="9"/>
    <w:rPr>
      <w:rFonts w:eastAsiaTheme="majorEastAsia" w:cstheme="majorBidi"/>
      <w:i/>
      <w:iCs/>
      <w:color w:val="2F5597" w:themeColor="accent1" w:themeShade="BF"/>
    </w:rPr>
  </w:style>
  <w:style w:type="character" w:customStyle="1" w:styleId="23">
    <w:name w:val="Heading 5 Char"/>
    <w:basedOn w:val="11"/>
    <w:link w:val="6"/>
    <w:semiHidden/>
    <w:uiPriority w:val="9"/>
    <w:rPr>
      <w:rFonts w:eastAsiaTheme="majorEastAsia" w:cstheme="majorBidi"/>
      <w:color w:val="2F5597" w:themeColor="accent1" w:themeShade="BF"/>
    </w:rPr>
  </w:style>
  <w:style w:type="character" w:customStyle="1" w:styleId="24">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5">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Heading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7">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8">
    <w:name w:val="Title Char"/>
    <w:basedOn w:val="11"/>
    <w:link w:val="17"/>
    <w:uiPriority w:val="10"/>
    <w:rPr>
      <w:rFonts w:asciiTheme="majorHAnsi" w:hAnsiTheme="majorHAnsi" w:eastAsiaTheme="majorEastAsia" w:cstheme="majorBidi"/>
      <w:spacing w:val="-10"/>
      <w:kern w:val="28"/>
      <w:sz w:val="56"/>
      <w:szCs w:val="56"/>
    </w:rPr>
  </w:style>
  <w:style w:type="character" w:customStyle="1" w:styleId="29">
    <w:name w:val="Subtitle Char"/>
    <w:basedOn w:val="11"/>
    <w:link w:val="16"/>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0">
    <w:name w:val="Quote"/>
    <w:basedOn w:val="1"/>
    <w:next w:val="1"/>
    <w:link w:val="31"/>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1">
    <w:name w:val="Quote Char"/>
    <w:basedOn w:val="11"/>
    <w:link w:val="30"/>
    <w:uiPriority w:val="29"/>
    <w:rPr>
      <w:i/>
      <w:iCs/>
      <w:color w:val="404040" w:themeColor="text1" w:themeTint="BF"/>
      <w14:textFill>
        <w14:solidFill>
          <w14:schemeClr w14:val="tx1">
            <w14:lumMod w14:val="75000"/>
            <w14:lumOff w14:val="25000"/>
          </w14:schemeClr>
        </w14:solidFill>
      </w14:textFill>
    </w:rPr>
  </w:style>
  <w:style w:type="paragraph" w:styleId="32">
    <w:name w:val="List Paragraph"/>
    <w:basedOn w:val="1"/>
    <w:qFormat/>
    <w:uiPriority w:val="34"/>
    <w:pPr>
      <w:ind w:left="720"/>
      <w:contextualSpacing/>
    </w:pPr>
  </w:style>
  <w:style w:type="character" w:customStyle="1" w:styleId="33">
    <w:name w:val="Intense Emphasis"/>
    <w:basedOn w:val="11"/>
    <w:qFormat/>
    <w:uiPriority w:val="21"/>
    <w:rPr>
      <w:i/>
      <w:iCs/>
      <w:color w:val="2F5597" w:themeColor="accent1" w:themeShade="BF"/>
    </w:rPr>
  </w:style>
  <w:style w:type="paragraph" w:styleId="34">
    <w:name w:val="Intense Quote"/>
    <w:basedOn w:val="1"/>
    <w:next w:val="1"/>
    <w:link w:val="35"/>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5">
    <w:name w:val="Intense Quote Char"/>
    <w:basedOn w:val="11"/>
    <w:link w:val="34"/>
    <w:uiPriority w:val="30"/>
    <w:rPr>
      <w:i/>
      <w:iCs/>
      <w:color w:val="2F5597" w:themeColor="accent1" w:themeShade="BF"/>
    </w:rPr>
  </w:style>
  <w:style w:type="character" w:customStyle="1" w:styleId="36">
    <w:name w:val="Intense Reference"/>
    <w:basedOn w:val="11"/>
    <w:qFormat/>
    <w:uiPriority w:val="32"/>
    <w:rPr>
      <w:b/>
      <w:bCs/>
      <w:smallCaps/>
      <w:color w:val="2F5597" w:themeColor="accent1" w:themeShade="BF"/>
      <w:spacing w:val="5"/>
    </w:rPr>
  </w:style>
  <w:style w:type="paragraph" w:customStyle="1" w:styleId="37">
    <w:name w:val="TOC Heading"/>
    <w:basedOn w:val="2"/>
    <w:next w:val="1"/>
    <w:unhideWhenUsed/>
    <w:qFormat/>
    <w:uiPriority w:val="39"/>
    <w:pPr>
      <w:spacing w:before="240" w:after="0" w:line="259" w:lineRule="auto"/>
      <w:outlineLvl w:val="9"/>
    </w:pPr>
    <w:rPr>
      <w:kern w:val="0"/>
      <w:sz w:val="32"/>
      <w:szCs w:val="32"/>
      <w14:ligatures w14:val="none"/>
    </w:rPr>
  </w:style>
  <w:style w:type="character" w:customStyle="1" w:styleId="38">
    <w:name w:val="Header Char"/>
    <w:basedOn w:val="11"/>
    <w:link w:val="14"/>
    <w:uiPriority w:val="99"/>
  </w:style>
  <w:style w:type="character" w:customStyle="1" w:styleId="39">
    <w:name w:val="Footer Char"/>
    <w:basedOn w:val="11"/>
    <w:link w:val="13"/>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14</Pages>
  <Words>2984</Words>
  <Characters>18656</Characters>
  <Lines>158</Lines>
  <Paragraphs>44</Paragraphs>
  <TotalTime>167</TotalTime>
  <ScaleCrop>false</ScaleCrop>
  <LinksUpToDate>false</LinksUpToDate>
  <CharactersWithSpaces>21630</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2026-08-05T00:55:00Z</dcterms:created>
  <dc:creator>Peter Oundo</dc:creator>
  <cp:lastModifiedBy>pavlin enchev</cp:lastModifiedBy>
  <dcterms:modified xsi:type="dcterms:W3CDTF">2026-08-12T02:16:48Z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1033-12.1.0.28032</vt:lpwstr>
  </property>
  <property fmtid="{D5CDD505-2E9C-101B-9397-08002B2CF9AE}" pid="3" name="ICV">
    <vt:lpwstr>E73D89655C364B2D9A0BE13C3BDD4336_13</vt:lpwstr>
  </property>
</Properties>
</file>