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Psychology in Health and Social Care</w:t>
      </w:r>
    </w:p>
    <w:p w:rsidR="00000000" w:rsidDel="00000000" w:rsidP="00000000" w:rsidRDefault="00000000" w:rsidRPr="00000000" w14:paraId="000000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LCHS4010</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Assessment 2: Essay</w:t>
      </w:r>
    </w:p>
    <w:p w:rsidR="00000000" w:rsidDel="00000000" w:rsidP="00000000" w:rsidRDefault="00000000" w:rsidRPr="00000000" w14:paraId="000000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Lecturer: Rizwan Nadim</w:t>
      </w:r>
    </w:p>
    <w:p w:rsidR="00000000" w:rsidDel="00000000" w:rsidP="00000000" w:rsidRDefault="00000000" w:rsidRPr="00000000" w14:paraId="000000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Title: Discuss the impact of social media on mental health in adolescence.</w:t>
      </w:r>
    </w:p>
    <w:p w:rsidR="00000000" w:rsidDel="00000000" w:rsidP="00000000" w:rsidRDefault="00000000" w:rsidRPr="00000000" w14:paraId="000000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Student Name: Fatoumata Diabate Soropogui</w:t>
      </w:r>
    </w:p>
    <w:p w:rsidR="00000000" w:rsidDel="00000000" w:rsidP="00000000" w:rsidRDefault="00000000" w:rsidRPr="00000000" w14:paraId="00000008">
      <w:pPr>
        <w:jc w:val="center"/>
        <w:rPr>
          <w:rFonts w:ascii="Arial" w:cs="Arial" w:eastAsia="Arial" w:hAnsi="Arial"/>
          <w:color w:val="2f5496"/>
          <w:sz w:val="22"/>
          <w:szCs w:val="22"/>
        </w:rPr>
      </w:pPr>
      <w:r w:rsidDel="00000000" w:rsidR="00000000" w:rsidRPr="00000000">
        <w:rPr>
          <w:rFonts w:ascii="Arial" w:cs="Arial" w:eastAsia="Arial" w:hAnsi="Arial"/>
          <w:sz w:val="22"/>
          <w:szCs w:val="22"/>
          <w:rtl w:val="0"/>
        </w:rPr>
        <w:t xml:space="preserve">ID: 2505200</w:t>
      </w:r>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Bdr>
          <w:top w:space="0" w:sz="0" w:val="nil"/>
          <w:left w:space="0" w:sz="0" w:val="nil"/>
          <w:bottom w:space="0" w:sz="0" w:val="nil"/>
          <w:right w:space="0" w:sz="0" w:val="nil"/>
          <w:between w:space="0" w:sz="0" w:val="nil"/>
        </w:pBdr>
        <w:spacing w:before="240" w:line="259" w:lineRule="auto"/>
        <w:jc w:val="left"/>
        <w:rPr>
          <w:rFonts w:ascii="Arial" w:cs="Arial" w:eastAsia="Arial" w:hAnsi="Arial"/>
          <w:color w:val="2f5496"/>
          <w:sz w:val="22"/>
          <w:szCs w:val="22"/>
        </w:rPr>
      </w:pPr>
      <w:r w:rsidDel="00000000" w:rsidR="00000000" w:rsidRPr="00000000">
        <w:rPr>
          <w:rFonts w:ascii="Arial" w:cs="Arial" w:eastAsia="Arial" w:hAnsi="Arial"/>
          <w:color w:val="2f5496"/>
          <w:sz w:val="22"/>
          <w:szCs w:val="22"/>
          <w:rtl w:val="0"/>
        </w:rPr>
        <w:t xml:space="preserve">Table of Contents</w:t>
      </w:r>
    </w:p>
    <w:sdt>
      <w:sdtPr>
        <w:id w:val="-102382340"/>
        <w:docPartObj>
          <w:docPartGallery w:val="Table of Contents"/>
          <w:docPartUnique w:val="1"/>
        </w:docPartObj>
      </w:sdtPr>
      <w:sdtContent>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right" w:leader="none" w:pos="9350"/>
            </w:tabs>
            <w:rPr>
              <w:rFonts w:ascii="Arial" w:cs="Arial" w:eastAsia="Arial" w:hAnsi="Arial"/>
              <w:color w:val="000000"/>
              <w:sz w:val="22"/>
              <w:szCs w:val="22"/>
            </w:rPr>
          </w:pPr>
          <w:r w:rsidDel="00000000" w:rsidR="00000000" w:rsidRPr="00000000">
            <w:fldChar w:fldCharType="begin"/>
            <w:instrText xml:space="preserve"> TOC \h \u \z \t "Heading 1,1,Heading 2,2,Heading 3,3,"</w:instrText>
            <w:fldChar w:fldCharType="separate"/>
          </w:r>
          <w:hyperlink w:anchor="_heading=h.vx575itqa1">
            <w:r w:rsidDel="00000000" w:rsidR="00000000" w:rsidRPr="00000000">
              <w:rPr>
                <w:rFonts w:ascii="Arial" w:cs="Arial" w:eastAsia="Arial" w:hAnsi="Arial"/>
                <w:color w:val="000000"/>
                <w:sz w:val="22"/>
                <w:szCs w:val="22"/>
                <w:rtl w:val="0"/>
              </w:rPr>
              <w:t xml:space="preserve">Introduction</w:t>
              <w:tab/>
              <w:t xml:space="preserve">1</w:t>
            </w:r>
          </w:hyperlink>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right" w:leader="none" w:pos="9350"/>
            </w:tabs>
            <w:rPr>
              <w:rFonts w:ascii="Arial" w:cs="Arial" w:eastAsia="Arial" w:hAnsi="Arial"/>
              <w:color w:val="000000"/>
              <w:sz w:val="22"/>
              <w:szCs w:val="22"/>
            </w:rPr>
          </w:pPr>
          <w:hyperlink w:anchor="_heading=h.u8h0t02glhb4">
            <w:r w:rsidDel="00000000" w:rsidR="00000000" w:rsidRPr="00000000">
              <w:rPr>
                <w:rFonts w:ascii="Arial" w:cs="Arial" w:eastAsia="Arial" w:hAnsi="Arial"/>
                <w:color w:val="000000"/>
                <w:sz w:val="22"/>
                <w:szCs w:val="22"/>
                <w:rtl w:val="0"/>
              </w:rPr>
              <w:t xml:space="preserve">Main body</w:t>
              <w:tab/>
              <w:t xml:space="preserve">1</w:t>
            </w:r>
          </w:hyperlink>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right" w:leader="none" w:pos="9350"/>
            </w:tabs>
            <w:rPr>
              <w:rFonts w:ascii="Arial" w:cs="Arial" w:eastAsia="Arial" w:hAnsi="Arial"/>
              <w:color w:val="000000"/>
              <w:sz w:val="22"/>
              <w:szCs w:val="22"/>
            </w:rPr>
          </w:pPr>
          <w:hyperlink w:anchor="_heading=h.bv9gkr6r2jop">
            <w:r w:rsidDel="00000000" w:rsidR="00000000" w:rsidRPr="00000000">
              <w:rPr>
                <w:rFonts w:ascii="Arial" w:cs="Arial" w:eastAsia="Arial" w:hAnsi="Arial"/>
                <w:color w:val="000000"/>
                <w:sz w:val="22"/>
                <w:szCs w:val="22"/>
                <w:rtl w:val="0"/>
              </w:rPr>
              <w:t xml:space="preserve">Conclusion</w:t>
              <w:tab/>
              <w:t xml:space="preserve">4</w:t>
            </w:r>
          </w:hyperlink>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right" w:leader="none" w:pos="9350"/>
            </w:tabs>
            <w:rPr>
              <w:rFonts w:ascii="Arial" w:cs="Arial" w:eastAsia="Arial" w:hAnsi="Arial"/>
              <w:color w:val="000000"/>
              <w:sz w:val="22"/>
              <w:szCs w:val="22"/>
            </w:rPr>
          </w:pPr>
          <w:hyperlink w:anchor="_heading=h.d37ks1euhfbp">
            <w:r w:rsidDel="00000000" w:rsidR="00000000" w:rsidRPr="00000000">
              <w:rPr>
                <w:rFonts w:ascii="Arial" w:cs="Arial" w:eastAsia="Arial" w:hAnsi="Arial"/>
                <w:color w:val="000000"/>
                <w:sz w:val="22"/>
                <w:szCs w:val="22"/>
                <w:rtl w:val="0"/>
              </w:rPr>
              <w:t xml:space="preserve">References</w:t>
              <w:tab/>
              <w:t xml:space="preserve">5</w:t>
            </w:r>
          </w:hyperlink>
          <w:r w:rsidDel="00000000" w:rsidR="00000000" w:rsidRPr="00000000">
            <w:rPr>
              <w:rtl w:val="0"/>
            </w:rPr>
          </w:r>
        </w:p>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Style w:val="Heading1"/>
        <w:rPr>
          <w:rFonts w:ascii="Arial" w:cs="Arial" w:eastAsia="Arial" w:hAnsi="Arial"/>
          <w:sz w:val="22"/>
          <w:szCs w:val="22"/>
        </w:rPr>
        <w:sectPr>
          <w:footerReference r:id="rId7" w:type="default"/>
          <w:pgSz w:h="15840" w:w="12240"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010">
      <w:pPr>
        <w:pStyle w:val="Heading1"/>
        <w:rPr>
          <w:rFonts w:ascii="Arial" w:cs="Arial" w:eastAsia="Arial" w:hAnsi="Arial"/>
          <w:sz w:val="22"/>
          <w:szCs w:val="22"/>
        </w:rPr>
      </w:pPr>
      <w:bookmarkStart w:colFirst="0" w:colLast="0" w:name="_heading=h.vx575itqa1" w:id="0"/>
      <w:bookmarkEnd w:id="0"/>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current time, social media has become a daily use concept to connect people, but often people are highly connected with it, which impacts their psychological health. This writing will be based on the impact of social media on mental health in adolescence. The impact is a complex one to understand and interpret because it connects people and reduces stress; however, it hinders brain development by reducing real-life experiences with people. To evaluate the concept, various theories will be utilised to ensure an effective understanding of it. In this case, Erikson’s theory of psychosocial development, and Bowlby’s attachment theory will be considered to tell how and why adolescent mental health may be affected by the increment to social media platforms in livelihood.</w:t>
      </w:r>
    </w:p>
    <w:p w:rsidR="00000000" w:rsidDel="00000000" w:rsidP="00000000" w:rsidRDefault="00000000" w:rsidRPr="00000000" w14:paraId="00000012">
      <w:pPr>
        <w:pStyle w:val="Heading1"/>
        <w:rPr>
          <w:rFonts w:ascii="Arial" w:cs="Arial" w:eastAsia="Arial" w:hAnsi="Arial"/>
          <w:sz w:val="22"/>
          <w:szCs w:val="22"/>
        </w:rPr>
      </w:pPr>
      <w:bookmarkStart w:colFirst="0" w:colLast="0" w:name="_heading=h.u8h0t02glhb4" w:id="1"/>
      <w:bookmarkEnd w:id="1"/>
      <w:r w:rsidDel="00000000" w:rsidR="00000000" w:rsidRPr="00000000">
        <w:rPr>
          <w:rFonts w:ascii="Arial" w:cs="Arial" w:eastAsia="Arial" w:hAnsi="Arial"/>
          <w:sz w:val="22"/>
          <w:szCs w:val="22"/>
          <w:rtl w:val="0"/>
        </w:rPr>
        <w:t xml:space="preserve">Main body</w:t>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The impact of social media on adolescent mental health is profound and highly complex, acting as a double-edged concept that can exacerbate psychological distress and influence through social connection during a vulnerable stage of brain development. In this case, clinical and empirical data evaluate that spending more than 3 hours per day on social media doubles the risk of a teenager developing poor mental health outcomes with symptoms of anxiety and depression (Canady, 2019). The excessive scrolling connects directly with heightened psychological distress. The meta-analysis confirms the effective link between increased usage and spikes in depression, anxiety, and loneliness. In this case, platforms increase the fear of missing out (FOMO). Adolescents constantly compare their everyday realities to the curated, seemingly “perfect” lives of their peers, which heavily erodes self-esteem. While considering different risks, social media is not uniformly toxic. It serves as a tool for positive development when managed correctly. In the current time, social media has become a daily use concept to connect people, but often people are highly connected with it, which impacts their psychological health. It gives marginalised youth, such as sexual and ethnic minorities, a space to find community, acceptance, and shared identity.  In the current time, teens utilise digital platforms to discuss mental health struggles, which can make it easier to connect with different people to learn about their health. It allows adolescents to control long-distance friendships and form supportive peer networks that mitigate feelings of isolation (Douglass and Moy, 2019). Based on Erikson’s stages of psychosocial development, it is evaluated that social media alters how adolescents navigate their primary developmental tasks. In Erikson's framework, teens have to integrate their physical changes, cognitive abilities, and social expectations into a coherent sense of self. Social media gives adolescents the chance to experiment with different personas, hobbies, and aesthetics. However, there is the hardness of the role of confusion. Erikson evaluated that the need for a psychological moratorium is a time and safe space during adolescence to experiment, make mistakes, and try out roles without permanent consequences. Any kind of social error, awkward phase, or impulsive post is archived (Gupta, 2026). Knowing about things that their peers judge them for permanently prevents adolescents from taking the healthy emotional risks, which are necessary to discover who they truly are. While considering fidelity vs. fanaticism, the kind of virtue needed to be gained in this stage is fidelity, which is the ability to sustain loyalties to shared values, ideologies, and communities despite contradictions. In this case, those platforms assist young people in finding global communities, social justice movements, or support groups that align with their values and needs. In their search for belonging, adolescents can fall prey to extremist ideologies, toxic internet subcultures, or hyperpolarised groups, which can lead to a dogmatic identity. In the area of spillovers from earlier stages, based on Erikson, unresolved crises from earlier childhood stages resurface during adolescence (Kumar Bisen and Tiwari, 2025). If the adolescent lacks quality trust, the unpredictable nature of social media can bring social anxiety. Then, the constant online surveillance by peers and public call-out culture can induce intense shame and self-doubt.  Then, the industry vs. inferiority concentrates on competence and skill. Social media now replaces healthy real-world skill-building with metric-driven comparisons, reinforcing a profound sense of inferiority.  </w:t>
      </w:r>
    </w:p>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Then, Bowlby’s attachment theory evaluates that age reveals that social media alters how adolescents prefer safety, process emotional distress, and form internal models of human relationships. Bowlby evaluated that human beings are biologically driven to seek proximity to attachment figures for safety and emotional regulation. When it is utilised in digital spaces, social media functions are as highly volatile (Nayak Manikant Rajni, 2024). In this case, Bowlby identified two core functions of an attachment figure: one is a Safe Haven (somewhere to return for comfort when threatened) and another is a Secure Base (a launchpad from which to explore the world). In a shift to the screen, when modern adolescents experience real-world stress, academic anxiety, or loneliness, they turn to social media as a digital heaven. They want immediate comfort through algorithmic distractions, likes, or direct messages. In this case, a smartphone is a passive device, and the online peer connectivity is unpredictable. Turning to social media fails to co-regulate the adolescent’s nervous system, which leaves them feeling more isolated than before. Bowlby said that early experiences with caregivers form Internal Working Models (IWMs), which are cognitive frameworks of expectations about the self and others. These models dictate how a person navigates relationships. In the area of secure attachment, secure adolescents considered themselves as worthy of love and others as reliable (Ndindeng, 2025). They utilise those platforms as a tool to enhance existing, healthy friendships. They are resilient to online rejections like being left on read. In this case, these individuals possess an IWM characterised by a negative view of self and a positive view of others. They utilise that to seek constant reassurance and think that their attitudes are the perfect ones. They check views, likes, and comments, which hinders a slow response as a catastrophic sign of social abandonment. Often, those teens prefer themselves as completely self-sufficient and others as unworthy. They utilise social media passively, and close their vulnerability behind highly cold, or hyper-independent online personas without the actual feeling. Bowlby noted that when an attachment bond is threatened, individuals utilise survival strategies to establish closeness (Zhe, 2025). Social media gives tools that dangerously amplify those behaviours. In this case, features like live location sharing and read receipts allow for an unnatural, 24/7 digital proximity. In this case, if an anxious adolescent feels excluded, social media enables immediate, impulsive bids for attention. It posts provocative selfies for rapid validation or messages to a peer. If these bids fail, it triggers intense psychological distress. In the case of traditional development, a brief separation from peers is normal and healthy. Social media eliminates the protective boundaries of physical distance, and it makes the connection acute. It is evaluated nowadays; it works like the visualised rejection. Seeing photos of the party to which they were not informed or noticing a group is developed without them, it works like a direct impact on the adolescent’s attachment system.  In this case, it is evaluated that the evolutionary survival once depended on group belonging; the brain processes this digital exclusion as a severe physical threat, triggering chronic activation of the fight-or-flight response. While taking ideas from those theories, it is evaluated that the impact of social media on adolescent mental health is a complex one, because it often acts as a double-edged element that can increase psychological distress and vital social connections during the vulnerable stage of brain development (Tarik Ikbal, 2023). It is evaluated that it works to decrease the isolation, but the higher utilisation hinders getting real-world skills development chances, which is not effective for brain development.</w:t>
      </w:r>
    </w:p>
    <w:p w:rsidR="00000000" w:rsidDel="00000000" w:rsidP="00000000" w:rsidRDefault="00000000" w:rsidRPr="00000000" w14:paraId="00000015">
      <w:pPr>
        <w:pStyle w:val="Heading1"/>
        <w:rPr>
          <w:rFonts w:ascii="Arial" w:cs="Arial" w:eastAsia="Arial" w:hAnsi="Arial"/>
          <w:sz w:val="22"/>
          <w:szCs w:val="22"/>
        </w:rPr>
      </w:pPr>
      <w:bookmarkStart w:colFirst="0" w:colLast="0" w:name="_heading=h.bv9gkr6r2jop" w:id="2"/>
      <w:bookmarkEnd w:id="2"/>
      <w:r w:rsidDel="00000000" w:rsidR="00000000" w:rsidRPr="00000000">
        <w:rPr>
          <w:rFonts w:ascii="Arial" w:cs="Arial" w:eastAsia="Arial" w:hAnsi="Arial"/>
          <w:sz w:val="22"/>
          <w:szCs w:val="22"/>
          <w:rtl w:val="0"/>
        </w:rPr>
        <w:t xml:space="preserve">Conclusion</w:t>
      </w:r>
    </w:p>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This writing is based on the impact of social media on mental health in adolescence. While considering the impact, the utilisation of that closely impacts brain development.  In the current time, social media has become a daily use concept to connect people, but often people are highly connected with it, which impacts their psychological health. While giving an in-depth understanding, Erikson’s theory of psychological development and Bowlby’s attachment theory are considered. Erikson’s theory discusses that social media alters how an adolescent navigates their basic developmental tasks. In this case, social media acts as the digital accelerator and disruptor for this stage, which is impacting how identity is formed or fractured. Then, John Bowlby’s attachment theory in the digital age evaluates that social media alters how adolescents seek safety, process emotional distress, and form internal models of human relationships. When a group is developed without notifying them, it impacts the adolescent’s attachment system. It is evaluated based on Bowlby’s theory that social media now impacts brain development. Based on theories, social media assists in reducing isolation, but often, the higher involvement with those hinder the real-world skills development, and it impacts brain development in life.</w:t>
      </w:r>
    </w:p>
    <w:p w:rsidR="00000000" w:rsidDel="00000000" w:rsidP="00000000" w:rsidRDefault="00000000" w:rsidRPr="00000000" w14:paraId="00000017">
      <w:pPr>
        <w:rPr>
          <w:rFonts w:ascii="Arial" w:cs="Arial" w:eastAsia="Arial" w:hAnsi="Arial"/>
          <w:sz w:val="22"/>
          <w:szCs w:val="22"/>
        </w:rPr>
        <w:sectPr>
          <w:footerReference r:id="rId8" w:type="default"/>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8">
      <w:pPr>
        <w:pStyle w:val="Heading1"/>
        <w:rPr>
          <w:rFonts w:ascii="Arial" w:cs="Arial" w:eastAsia="Arial" w:hAnsi="Arial"/>
          <w:sz w:val="22"/>
          <w:szCs w:val="22"/>
        </w:rPr>
      </w:pPr>
      <w:bookmarkStart w:colFirst="0" w:colLast="0" w:name="_heading=h.d37ks1euhfbp" w:id="3"/>
      <w:bookmarkEnd w:id="3"/>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19">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Canady, V.A. (2019). APA poll: Social media has negative impact on mental health. </w:t>
      </w:r>
      <w:r w:rsidDel="00000000" w:rsidR="00000000" w:rsidRPr="00000000">
        <w:rPr>
          <w:rFonts w:ascii="Arial" w:cs="Arial" w:eastAsia="Arial" w:hAnsi="Arial"/>
          <w:i w:val="1"/>
          <w:iCs w:val="1"/>
          <w:color w:val="000000"/>
          <w:sz w:val="22"/>
          <w:szCs w:val="22"/>
          <w:rtl w:val="0"/>
        </w:rPr>
        <w:t xml:space="preserve">Mental Health Weekly</w:t>
      </w:r>
      <w:r w:rsidDel="00000000" w:rsidR="00000000" w:rsidRPr="00000000">
        <w:rPr>
          <w:rFonts w:ascii="Arial" w:cs="Arial" w:eastAsia="Arial" w:hAnsi="Arial"/>
          <w:color w:val="000000"/>
          <w:sz w:val="22"/>
          <w:szCs w:val="22"/>
          <w:rtl w:val="0"/>
        </w:rPr>
        <w:t xml:space="preserve">, 29(21), pp.6–6.</w:t>
      </w:r>
    </w:p>
    <w:p w:rsidR="00000000" w:rsidDel="00000000" w:rsidP="00000000" w:rsidRDefault="00000000" w:rsidRPr="00000000" w14:paraId="0000001A">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Douglass, M. and Moy, B. (2019). Evaluation of the impact </w:t>
      </w:r>
      <w:r w:rsidDel="00000000" w:rsidR="00000000" w:rsidRPr="00000000">
        <w:rPr>
          <w:rFonts w:ascii="Arial" w:cs="Arial" w:eastAsia="Arial" w:hAnsi="Arial"/>
          <w:sz w:val="22"/>
          <w:szCs w:val="22"/>
          <w:rtl w:val="0"/>
        </w:rPr>
        <w:t xml:space="preserve">of social</w:t>
      </w:r>
      <w:r w:rsidDel="00000000" w:rsidR="00000000" w:rsidRPr="00000000">
        <w:rPr>
          <w:rFonts w:ascii="Arial" w:cs="Arial" w:eastAsia="Arial" w:hAnsi="Arial"/>
          <w:color w:val="000000"/>
          <w:sz w:val="22"/>
          <w:szCs w:val="22"/>
          <w:rtl w:val="0"/>
        </w:rPr>
        <w:t xml:space="preserve"> media–focused intervention on reducing mental health stigma among pharmacy students. </w:t>
      </w:r>
      <w:r w:rsidDel="00000000" w:rsidR="00000000" w:rsidRPr="00000000">
        <w:rPr>
          <w:rFonts w:ascii="Arial" w:cs="Arial" w:eastAsia="Arial" w:hAnsi="Arial"/>
          <w:i w:val="1"/>
          <w:iCs w:val="1"/>
          <w:color w:val="000000"/>
          <w:sz w:val="22"/>
          <w:szCs w:val="22"/>
          <w:rtl w:val="0"/>
        </w:rPr>
        <w:t xml:space="preserve">Mental Health Clinician</w:t>
      </w:r>
      <w:r w:rsidDel="00000000" w:rsidR="00000000" w:rsidRPr="00000000">
        <w:rPr>
          <w:rFonts w:ascii="Arial" w:cs="Arial" w:eastAsia="Arial" w:hAnsi="Arial"/>
          <w:color w:val="000000"/>
          <w:sz w:val="22"/>
          <w:szCs w:val="22"/>
          <w:rtl w:val="0"/>
        </w:rPr>
        <w:t xml:space="preserve">, 9(3), pp.110–115.</w:t>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Gupta, S. (2026). The Impact of Social Media on Teenagers Mental Health. </w:t>
      </w:r>
      <w:r w:rsidDel="00000000" w:rsidR="00000000" w:rsidRPr="00000000">
        <w:rPr>
          <w:rFonts w:ascii="Arial" w:cs="Arial" w:eastAsia="Arial" w:hAnsi="Arial"/>
          <w:i w:val="1"/>
          <w:iCs w:val="1"/>
          <w:color w:val="000000"/>
          <w:sz w:val="22"/>
          <w:szCs w:val="22"/>
          <w:rtl w:val="0"/>
        </w:rPr>
        <w:t xml:space="preserve">International Journal of Science and Research (IJSR)</w:t>
      </w:r>
      <w:r w:rsidDel="00000000" w:rsidR="00000000" w:rsidRPr="00000000">
        <w:rPr>
          <w:rFonts w:ascii="Arial" w:cs="Arial" w:eastAsia="Arial" w:hAnsi="Arial"/>
          <w:color w:val="000000"/>
          <w:sz w:val="22"/>
          <w:szCs w:val="22"/>
          <w:rtl w:val="0"/>
        </w:rPr>
        <w:t xml:space="preserve">, pp.1298–1298.</w:t>
      </w:r>
    </w:p>
    <w:p w:rsidR="00000000" w:rsidDel="00000000" w:rsidP="00000000" w:rsidRDefault="00000000" w:rsidRPr="00000000" w14:paraId="0000001C">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Kumar Bisen, M. and Tiwari, P. (2025). A Study to Assess the Impact of Social Media Usage on the Mental Health of Adolescents. </w:t>
      </w:r>
      <w:r w:rsidDel="00000000" w:rsidR="00000000" w:rsidRPr="00000000">
        <w:rPr>
          <w:rFonts w:ascii="Arial" w:cs="Arial" w:eastAsia="Arial" w:hAnsi="Arial"/>
          <w:i w:val="1"/>
          <w:iCs w:val="1"/>
          <w:color w:val="000000"/>
          <w:sz w:val="22"/>
          <w:szCs w:val="22"/>
          <w:rtl w:val="0"/>
        </w:rPr>
        <w:t xml:space="preserve">International Journal of Science and Research (IJSR)</w:t>
      </w:r>
      <w:r w:rsidDel="00000000" w:rsidR="00000000" w:rsidRPr="00000000">
        <w:rPr>
          <w:rFonts w:ascii="Arial" w:cs="Arial" w:eastAsia="Arial" w:hAnsi="Arial"/>
          <w:color w:val="000000"/>
          <w:sz w:val="22"/>
          <w:szCs w:val="22"/>
          <w:rtl w:val="0"/>
        </w:rPr>
        <w:t xml:space="preserve">, pp.1154–1158.</w:t>
      </w:r>
    </w:p>
    <w:p w:rsidR="00000000" w:rsidDel="00000000" w:rsidP="00000000" w:rsidRDefault="00000000" w:rsidRPr="00000000" w14:paraId="0000001D">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Nayak Manikant Rajni, S. (2024). Impact of Social Media on Students’ Mental Health and Learning: A Brief Review. </w:t>
      </w:r>
      <w:r w:rsidDel="00000000" w:rsidR="00000000" w:rsidRPr="00000000">
        <w:rPr>
          <w:rFonts w:ascii="Arial" w:cs="Arial" w:eastAsia="Arial" w:hAnsi="Arial"/>
          <w:i w:val="1"/>
          <w:iCs w:val="1"/>
          <w:color w:val="000000"/>
          <w:sz w:val="22"/>
          <w:szCs w:val="22"/>
          <w:rtl w:val="0"/>
        </w:rPr>
        <w:t xml:space="preserve">International Journal of Science and Research (IJSR)</w:t>
      </w:r>
      <w:r w:rsidDel="00000000" w:rsidR="00000000" w:rsidRPr="00000000">
        <w:rPr>
          <w:rFonts w:ascii="Arial" w:cs="Arial" w:eastAsia="Arial" w:hAnsi="Arial"/>
          <w:color w:val="000000"/>
          <w:sz w:val="22"/>
          <w:szCs w:val="22"/>
          <w:rtl w:val="0"/>
        </w:rPr>
        <w:t xml:space="preserve">, 13(3), pp.1777–1783.</w:t>
      </w:r>
    </w:p>
    <w:p w:rsidR="00000000" w:rsidDel="00000000" w:rsidP="00000000" w:rsidRDefault="00000000" w:rsidRPr="00000000" w14:paraId="0000001E">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Ndindeng, A. (2025). The impact of social media on mental health. </w:t>
      </w:r>
      <w:r w:rsidDel="00000000" w:rsidR="00000000" w:rsidRPr="00000000">
        <w:rPr>
          <w:rFonts w:ascii="Arial" w:cs="Arial" w:eastAsia="Arial" w:hAnsi="Arial"/>
          <w:i w:val="1"/>
          <w:iCs w:val="1"/>
          <w:color w:val="000000"/>
          <w:sz w:val="22"/>
          <w:szCs w:val="22"/>
          <w:rtl w:val="0"/>
        </w:rPr>
        <w:t xml:space="preserve">Mental Health and Digital Technologies</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1F">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Tarik Ikbal (2023). A Comprehensive Evaluation of the Impact of Social Media on Mental Health Reveals Noteworthy Effects. </w:t>
      </w:r>
      <w:r w:rsidDel="00000000" w:rsidR="00000000" w:rsidRPr="00000000">
        <w:rPr>
          <w:rFonts w:ascii="Arial" w:cs="Arial" w:eastAsia="Arial" w:hAnsi="Arial"/>
          <w:i w:val="1"/>
          <w:iCs w:val="1"/>
          <w:color w:val="000000"/>
          <w:sz w:val="22"/>
          <w:szCs w:val="22"/>
          <w:rtl w:val="0"/>
        </w:rPr>
        <w:t xml:space="preserve">Praxis international journal of social science and literature</w:t>
      </w:r>
      <w:r w:rsidDel="00000000" w:rsidR="00000000" w:rsidRPr="00000000">
        <w:rPr>
          <w:rFonts w:ascii="Arial" w:cs="Arial" w:eastAsia="Arial" w:hAnsi="Arial"/>
          <w:color w:val="000000"/>
          <w:sz w:val="22"/>
          <w:szCs w:val="22"/>
          <w:rtl w:val="0"/>
        </w:rPr>
        <w:t xml:space="preserve">, 6(8), pp.64–72.</w:t>
      </w:r>
    </w:p>
    <w:p w:rsidR="00000000" w:rsidDel="00000000" w:rsidP="00000000" w:rsidRDefault="00000000" w:rsidRPr="00000000" w14:paraId="00000020">
      <w:pPr>
        <w:pBdr>
          <w:top w:space="0" w:sz="0" w:val="nil"/>
          <w:left w:space="0" w:sz="0" w:val="nil"/>
          <w:bottom w:space="0" w:sz="0" w:val="nil"/>
          <w:right w:space="0" w:sz="0" w:val="nil"/>
          <w:between w:space="0" w:sz="0" w:val="nil"/>
        </w:pBdr>
        <w:ind w:left="720" w:hanging="72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Zhe, L. (2025). The Impact of Social Media on Adolescent Mental Health Education. </w:t>
      </w:r>
      <w:r w:rsidDel="00000000" w:rsidR="00000000" w:rsidRPr="00000000">
        <w:rPr>
          <w:rFonts w:ascii="Arial" w:cs="Arial" w:eastAsia="Arial" w:hAnsi="Arial"/>
          <w:i w:val="1"/>
          <w:iCs w:val="1"/>
          <w:color w:val="000000"/>
          <w:sz w:val="22"/>
          <w:szCs w:val="22"/>
          <w:rtl w:val="0"/>
        </w:rPr>
        <w:t xml:space="preserve">Arts, Culture and Language</w:t>
      </w:r>
      <w:r w:rsidDel="00000000" w:rsidR="00000000" w:rsidRPr="00000000">
        <w:rPr>
          <w:rFonts w:ascii="Arial" w:cs="Arial" w:eastAsia="Arial" w:hAnsi="Arial"/>
          <w:color w:val="000000"/>
          <w:sz w:val="22"/>
          <w:szCs w:val="22"/>
          <w:rtl w:val="0"/>
        </w:rPr>
        <w:t xml:space="preserve">, 1(3).</w:t>
      </w:r>
    </w:p>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rPr>
          <w:rFonts w:ascii="Arial" w:cs="Arial" w:eastAsia="Arial" w:hAnsi="Arial"/>
          <w:sz w:val="22"/>
          <w:szCs w:val="22"/>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color w:val="2f5496"/>
    </w:rPr>
  </w:style>
  <w:style w:type="paragraph" w:styleId="Heading2">
    <w:name w:val="heading 2"/>
    <w:basedOn w:val="Normal"/>
    <w:next w:val="Normal"/>
    <w:pPr>
      <w:keepNext w:val="1"/>
      <w:keepLines w:val="1"/>
      <w:spacing w:before="40" w:lineRule="auto"/>
    </w:pPr>
    <w:rPr>
      <w:color w:val="2f549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YuGEvVp+WPlN56pdHa4vQ5bHSg==">CgMxLjAyDGgudng1NzVpdHFhMTIOaC51OGgwdDAyZ2xoYjQyDmguYnY5Z2tyNnIyam9wMg5oLmQzN2tzMWV1aGZicDgAciExRVlnZzc0WURBaHJPR0VURFJTU0pPd2E2QUJWZHZEaW0=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