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2D3E0A" w14:textId="395CC32B" w:rsidR="00932C27" w:rsidRPr="00DE1026" w:rsidRDefault="00DE1026" w:rsidP="00932C27">
      <w:pPr>
        <w:autoSpaceDE w:val="0"/>
        <w:autoSpaceDN w:val="0"/>
        <w:adjustRightInd w:val="0"/>
        <w:spacing w:after="0" w:line="360" w:lineRule="auto"/>
        <w:jc w:val="both"/>
        <w:rPr>
          <w:rFonts w:ascii="Arial" w:hAnsi="Arial" w:cs="Arial"/>
          <w:kern w:val="0"/>
          <w:lang w:val="en-GB"/>
        </w:rPr>
      </w:pPr>
      <w:r>
        <w:rPr>
          <w:rFonts w:ascii="Times New Roman"/>
          <w:noProof/>
          <w:sz w:val="20"/>
        </w:rPr>
        <w:drawing>
          <wp:anchor distT="0" distB="0" distL="114300" distR="114300" simplePos="0" relativeHeight="251658240" behindDoc="0" locked="0" layoutInCell="1" allowOverlap="1" wp14:anchorId="33107EB6" wp14:editId="35185E31">
            <wp:simplePos x="0" y="0"/>
            <wp:positionH relativeFrom="column">
              <wp:posOffset>38100</wp:posOffset>
            </wp:positionH>
            <wp:positionV relativeFrom="paragraph">
              <wp:posOffset>161925</wp:posOffset>
            </wp:positionV>
            <wp:extent cx="1819836" cy="594074"/>
            <wp:effectExtent l="0" t="0" r="0" b="317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19836" cy="594074"/>
                    </a:xfrm>
                    <a:prstGeom prst="rect">
                      <a:avLst/>
                    </a:prstGeom>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margin" w:tblpXSpec="center" w:tblpY="2183"/>
        <w:tblW w:w="99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1"/>
        <w:gridCol w:w="3301"/>
        <w:gridCol w:w="2266"/>
        <w:gridCol w:w="2271"/>
      </w:tblGrid>
      <w:tr w:rsidR="00F92AC3" w14:paraId="69C85D61" w14:textId="77777777" w:rsidTr="00F92AC3">
        <w:trPr>
          <w:trHeight w:val="650"/>
        </w:trPr>
        <w:tc>
          <w:tcPr>
            <w:tcW w:w="9929" w:type="dxa"/>
            <w:gridSpan w:val="4"/>
            <w:shd w:val="clear" w:color="auto" w:fill="C0C0C0"/>
          </w:tcPr>
          <w:p w14:paraId="4DB3120D" w14:textId="77777777" w:rsidR="00F92AC3" w:rsidRDefault="00F92AC3" w:rsidP="00F92AC3">
            <w:pPr>
              <w:pStyle w:val="TableParagraph"/>
              <w:spacing w:before="130"/>
              <w:ind w:left="13"/>
              <w:jc w:val="center"/>
              <w:rPr>
                <w:rFonts w:ascii="Arial"/>
                <w:b/>
                <w:sz w:val="32"/>
              </w:rPr>
            </w:pPr>
            <w:r>
              <w:rPr>
                <w:rFonts w:ascii="Arial"/>
                <w:b/>
                <w:sz w:val="32"/>
              </w:rPr>
              <w:t>LEVEL</w:t>
            </w:r>
            <w:r>
              <w:rPr>
                <w:rFonts w:ascii="Arial"/>
                <w:b/>
                <w:spacing w:val="-21"/>
                <w:sz w:val="32"/>
              </w:rPr>
              <w:t xml:space="preserve"> </w:t>
            </w:r>
            <w:r>
              <w:rPr>
                <w:rFonts w:ascii="Arial"/>
                <w:b/>
                <w:sz w:val="32"/>
              </w:rPr>
              <w:t>4</w:t>
            </w:r>
            <w:r>
              <w:rPr>
                <w:rFonts w:ascii="Arial"/>
                <w:b/>
                <w:spacing w:val="-20"/>
                <w:sz w:val="32"/>
              </w:rPr>
              <w:t xml:space="preserve"> </w:t>
            </w:r>
            <w:r>
              <w:rPr>
                <w:rFonts w:ascii="Arial"/>
                <w:b/>
                <w:sz w:val="32"/>
              </w:rPr>
              <w:t>ASSESSMENT</w:t>
            </w:r>
            <w:r>
              <w:rPr>
                <w:rFonts w:ascii="Arial"/>
                <w:b/>
                <w:spacing w:val="-15"/>
                <w:sz w:val="32"/>
              </w:rPr>
              <w:t xml:space="preserve"> </w:t>
            </w:r>
            <w:r>
              <w:rPr>
                <w:rFonts w:ascii="Arial"/>
                <w:b/>
                <w:spacing w:val="-2"/>
                <w:sz w:val="32"/>
              </w:rPr>
              <w:t>SPECIFICATION</w:t>
            </w:r>
          </w:p>
        </w:tc>
      </w:tr>
      <w:tr w:rsidR="00F92AC3" w14:paraId="2F87EEDE" w14:textId="77777777" w:rsidTr="00F92AC3">
        <w:trPr>
          <w:trHeight w:val="545"/>
        </w:trPr>
        <w:tc>
          <w:tcPr>
            <w:tcW w:w="2091" w:type="dxa"/>
          </w:tcPr>
          <w:p w14:paraId="46B33837" w14:textId="3FA48E5D" w:rsidR="00F92AC3" w:rsidRDefault="00BC1B36" w:rsidP="00F92AC3">
            <w:pPr>
              <w:pStyle w:val="TableParagraph"/>
              <w:spacing w:before="143"/>
              <w:ind w:left="120"/>
              <w:rPr>
                <w:rFonts w:ascii="Arial"/>
                <w:b/>
              </w:rPr>
            </w:pPr>
            <w:r>
              <w:rPr>
                <w:rFonts w:ascii="Arial"/>
                <w:b/>
                <w:spacing w:val="-2"/>
              </w:rPr>
              <w:t>Program</w:t>
            </w:r>
            <w:r w:rsidR="00F92AC3">
              <w:rPr>
                <w:rFonts w:ascii="Arial"/>
                <w:b/>
                <w:spacing w:val="-2"/>
              </w:rPr>
              <w:t>:</w:t>
            </w:r>
          </w:p>
        </w:tc>
        <w:tc>
          <w:tcPr>
            <w:tcW w:w="7838" w:type="dxa"/>
            <w:gridSpan w:val="3"/>
          </w:tcPr>
          <w:p w14:paraId="648077FC" w14:textId="77777777" w:rsidR="00F92AC3" w:rsidRDefault="00F92AC3" w:rsidP="00F92AC3">
            <w:pPr>
              <w:pStyle w:val="TableParagraph"/>
              <w:spacing w:before="143"/>
              <w:ind w:left="120"/>
              <w:rPr>
                <w:rFonts w:ascii="Arial"/>
                <w:b/>
              </w:rPr>
            </w:pPr>
            <w:r>
              <w:rPr>
                <w:rFonts w:ascii="Arial"/>
                <w:b/>
              </w:rPr>
              <w:t>Certificate</w:t>
            </w:r>
            <w:r>
              <w:rPr>
                <w:rFonts w:ascii="Arial"/>
                <w:b/>
                <w:spacing w:val="-5"/>
              </w:rPr>
              <w:t xml:space="preserve"> </w:t>
            </w:r>
            <w:r>
              <w:rPr>
                <w:rFonts w:ascii="Arial"/>
                <w:b/>
              </w:rPr>
              <w:t>of</w:t>
            </w:r>
            <w:r>
              <w:rPr>
                <w:rFonts w:ascii="Arial"/>
                <w:b/>
                <w:spacing w:val="-7"/>
              </w:rPr>
              <w:t xml:space="preserve"> </w:t>
            </w:r>
            <w:r>
              <w:rPr>
                <w:rFonts w:ascii="Arial"/>
                <w:b/>
              </w:rPr>
              <w:t>Higher</w:t>
            </w:r>
            <w:r>
              <w:rPr>
                <w:rFonts w:ascii="Arial"/>
                <w:b/>
                <w:spacing w:val="-8"/>
              </w:rPr>
              <w:t xml:space="preserve"> </w:t>
            </w:r>
            <w:r>
              <w:rPr>
                <w:rFonts w:ascii="Arial"/>
                <w:b/>
              </w:rPr>
              <w:t>Education</w:t>
            </w:r>
            <w:r>
              <w:rPr>
                <w:rFonts w:ascii="Arial"/>
                <w:b/>
                <w:spacing w:val="-6"/>
              </w:rPr>
              <w:t xml:space="preserve"> </w:t>
            </w:r>
            <w:r>
              <w:rPr>
                <w:rFonts w:ascii="Arial"/>
                <w:b/>
              </w:rPr>
              <w:t>in</w:t>
            </w:r>
            <w:r>
              <w:rPr>
                <w:rFonts w:ascii="Arial"/>
                <w:b/>
                <w:spacing w:val="-8"/>
              </w:rPr>
              <w:t xml:space="preserve"> </w:t>
            </w:r>
            <w:r>
              <w:rPr>
                <w:rFonts w:ascii="Arial"/>
                <w:b/>
              </w:rPr>
              <w:t>Health</w:t>
            </w:r>
            <w:r>
              <w:rPr>
                <w:rFonts w:ascii="Arial"/>
                <w:b/>
                <w:spacing w:val="-12"/>
              </w:rPr>
              <w:t xml:space="preserve"> </w:t>
            </w:r>
            <w:r>
              <w:rPr>
                <w:rFonts w:ascii="Arial"/>
                <w:b/>
              </w:rPr>
              <w:t>and</w:t>
            </w:r>
            <w:r>
              <w:rPr>
                <w:rFonts w:ascii="Arial"/>
                <w:b/>
                <w:spacing w:val="-7"/>
              </w:rPr>
              <w:t xml:space="preserve"> </w:t>
            </w:r>
            <w:r>
              <w:rPr>
                <w:rFonts w:ascii="Arial"/>
                <w:b/>
              </w:rPr>
              <w:t>Social</w:t>
            </w:r>
            <w:r>
              <w:rPr>
                <w:rFonts w:ascii="Arial"/>
                <w:b/>
                <w:spacing w:val="-8"/>
              </w:rPr>
              <w:t xml:space="preserve"> </w:t>
            </w:r>
            <w:r>
              <w:rPr>
                <w:rFonts w:ascii="Arial"/>
                <w:b/>
                <w:spacing w:val="-4"/>
              </w:rPr>
              <w:t>Care</w:t>
            </w:r>
          </w:p>
        </w:tc>
      </w:tr>
      <w:tr w:rsidR="00F92AC3" w14:paraId="3FE8CA5D" w14:textId="77777777" w:rsidTr="00F92AC3">
        <w:trPr>
          <w:trHeight w:val="535"/>
        </w:trPr>
        <w:tc>
          <w:tcPr>
            <w:tcW w:w="2091" w:type="dxa"/>
          </w:tcPr>
          <w:p w14:paraId="0CE378D8" w14:textId="77777777" w:rsidR="00F92AC3" w:rsidRDefault="00F92AC3" w:rsidP="00F92AC3">
            <w:pPr>
              <w:pStyle w:val="TableParagraph"/>
              <w:spacing w:before="139"/>
              <w:ind w:left="120"/>
              <w:rPr>
                <w:rFonts w:ascii="Arial"/>
                <w:b/>
              </w:rPr>
            </w:pPr>
            <w:r>
              <w:rPr>
                <w:rFonts w:ascii="Arial"/>
                <w:b/>
                <w:spacing w:val="-2"/>
              </w:rPr>
              <w:t>Module:</w:t>
            </w:r>
          </w:p>
        </w:tc>
        <w:tc>
          <w:tcPr>
            <w:tcW w:w="7838" w:type="dxa"/>
            <w:gridSpan w:val="3"/>
          </w:tcPr>
          <w:p w14:paraId="0D9FA0CF" w14:textId="77777777" w:rsidR="00F92AC3" w:rsidRDefault="00F92AC3" w:rsidP="00F92AC3">
            <w:pPr>
              <w:pStyle w:val="TableParagraph"/>
              <w:spacing w:before="139"/>
              <w:ind w:left="120"/>
              <w:rPr>
                <w:rFonts w:ascii="Arial"/>
                <w:b/>
              </w:rPr>
            </w:pPr>
            <w:r>
              <w:rPr>
                <w:rFonts w:ascii="Arial"/>
                <w:b/>
              </w:rPr>
              <w:t>Psychology</w:t>
            </w:r>
            <w:r>
              <w:rPr>
                <w:rFonts w:ascii="Arial"/>
                <w:b/>
                <w:spacing w:val="-7"/>
              </w:rPr>
              <w:t xml:space="preserve"> </w:t>
            </w:r>
            <w:r>
              <w:rPr>
                <w:rFonts w:ascii="Arial"/>
                <w:b/>
              </w:rPr>
              <w:t>in</w:t>
            </w:r>
            <w:r>
              <w:rPr>
                <w:rFonts w:ascii="Arial"/>
                <w:b/>
                <w:spacing w:val="-6"/>
              </w:rPr>
              <w:t xml:space="preserve"> </w:t>
            </w:r>
            <w:r>
              <w:rPr>
                <w:rFonts w:ascii="Arial"/>
                <w:b/>
              </w:rPr>
              <w:t>Health</w:t>
            </w:r>
            <w:r>
              <w:rPr>
                <w:rFonts w:ascii="Arial"/>
                <w:b/>
                <w:spacing w:val="-4"/>
              </w:rPr>
              <w:t xml:space="preserve"> </w:t>
            </w:r>
            <w:r>
              <w:rPr>
                <w:rFonts w:ascii="Arial"/>
                <w:b/>
              </w:rPr>
              <w:t>and</w:t>
            </w:r>
            <w:r>
              <w:rPr>
                <w:rFonts w:ascii="Arial"/>
                <w:b/>
                <w:spacing w:val="-5"/>
              </w:rPr>
              <w:t xml:space="preserve"> </w:t>
            </w:r>
            <w:r>
              <w:rPr>
                <w:rFonts w:ascii="Arial"/>
                <w:b/>
              </w:rPr>
              <w:t>Social</w:t>
            </w:r>
            <w:r>
              <w:rPr>
                <w:rFonts w:ascii="Arial"/>
                <w:b/>
                <w:spacing w:val="-7"/>
              </w:rPr>
              <w:t xml:space="preserve"> </w:t>
            </w:r>
            <w:r>
              <w:rPr>
                <w:rFonts w:ascii="Arial"/>
                <w:b/>
                <w:spacing w:val="-4"/>
              </w:rPr>
              <w:t>Care</w:t>
            </w:r>
          </w:p>
        </w:tc>
      </w:tr>
      <w:tr w:rsidR="00F92AC3" w14:paraId="330263A4" w14:textId="77777777" w:rsidTr="00F92AC3">
        <w:trPr>
          <w:trHeight w:val="855"/>
        </w:trPr>
        <w:tc>
          <w:tcPr>
            <w:tcW w:w="2091" w:type="dxa"/>
          </w:tcPr>
          <w:p w14:paraId="60A82F38" w14:textId="77777777" w:rsidR="00F92AC3" w:rsidRDefault="00F92AC3" w:rsidP="00F92AC3">
            <w:pPr>
              <w:pStyle w:val="TableParagraph"/>
              <w:spacing w:before="18"/>
              <w:ind w:left="120"/>
              <w:rPr>
                <w:rFonts w:ascii="Arial"/>
                <w:b/>
              </w:rPr>
            </w:pPr>
            <w:r>
              <w:rPr>
                <w:rFonts w:ascii="Arial"/>
                <w:b/>
              </w:rPr>
              <w:t>Module</w:t>
            </w:r>
            <w:r>
              <w:rPr>
                <w:rFonts w:ascii="Arial"/>
                <w:b/>
                <w:spacing w:val="-9"/>
              </w:rPr>
              <w:t xml:space="preserve"> </w:t>
            </w:r>
            <w:r>
              <w:rPr>
                <w:rFonts w:ascii="Arial"/>
                <w:b/>
                <w:spacing w:val="-2"/>
              </w:rPr>
              <w:t>code:</w:t>
            </w:r>
          </w:p>
        </w:tc>
        <w:tc>
          <w:tcPr>
            <w:tcW w:w="3301" w:type="dxa"/>
            <w:tcBorders>
              <w:right w:val="single" w:sz="6" w:space="0" w:color="000000"/>
            </w:tcBorders>
          </w:tcPr>
          <w:p w14:paraId="2F286497" w14:textId="77777777" w:rsidR="00F92AC3" w:rsidRDefault="00F92AC3" w:rsidP="00F92AC3">
            <w:pPr>
              <w:pStyle w:val="TableParagraph"/>
              <w:spacing w:before="18"/>
              <w:ind w:left="120"/>
              <w:rPr>
                <w:rFonts w:ascii="Arial"/>
                <w:b/>
              </w:rPr>
            </w:pPr>
            <w:r>
              <w:rPr>
                <w:rFonts w:ascii="Arial"/>
                <w:b/>
                <w:spacing w:val="-2"/>
              </w:rPr>
              <w:t>LCHS4010</w:t>
            </w:r>
          </w:p>
        </w:tc>
        <w:tc>
          <w:tcPr>
            <w:tcW w:w="2266" w:type="dxa"/>
            <w:tcBorders>
              <w:left w:val="single" w:sz="6" w:space="0" w:color="000000"/>
            </w:tcBorders>
            <w:shd w:val="clear" w:color="auto" w:fill="D9D9D9"/>
          </w:tcPr>
          <w:p w14:paraId="3BA7C840" w14:textId="77777777" w:rsidR="00F92AC3" w:rsidRDefault="00F92AC3" w:rsidP="00F92AC3">
            <w:pPr>
              <w:pStyle w:val="TableParagraph"/>
              <w:spacing w:before="18"/>
              <w:ind w:left="7"/>
              <w:rPr>
                <w:rFonts w:ascii="Arial"/>
                <w:b/>
              </w:rPr>
            </w:pPr>
            <w:r>
              <w:rPr>
                <w:rFonts w:ascii="Arial"/>
                <w:b/>
                <w:spacing w:val="-2"/>
              </w:rPr>
              <w:t>Contribution</w:t>
            </w:r>
            <w:r>
              <w:rPr>
                <w:rFonts w:ascii="Arial"/>
                <w:b/>
                <w:spacing w:val="-4"/>
              </w:rPr>
              <w:t xml:space="preserve"> </w:t>
            </w:r>
            <w:r>
              <w:rPr>
                <w:rFonts w:ascii="Arial"/>
                <w:b/>
                <w:spacing w:val="-5"/>
              </w:rPr>
              <w:t>to</w:t>
            </w:r>
          </w:p>
          <w:p w14:paraId="2EBA1F76" w14:textId="77777777" w:rsidR="00F92AC3" w:rsidRDefault="00F92AC3" w:rsidP="00F92AC3">
            <w:pPr>
              <w:pStyle w:val="TableParagraph"/>
              <w:spacing w:before="10" w:line="270" w:lineRule="atLeast"/>
              <w:ind w:left="117" w:right="362"/>
              <w:rPr>
                <w:rFonts w:ascii="Arial"/>
                <w:b/>
              </w:rPr>
            </w:pPr>
            <w:r>
              <w:rPr>
                <w:rFonts w:ascii="Arial"/>
                <w:b/>
              </w:rPr>
              <w:t>Overall Module Assessment</w:t>
            </w:r>
            <w:r>
              <w:rPr>
                <w:rFonts w:ascii="Arial"/>
                <w:b/>
                <w:spacing w:val="-16"/>
              </w:rPr>
              <w:t xml:space="preserve"> </w:t>
            </w:r>
            <w:r>
              <w:rPr>
                <w:rFonts w:ascii="Arial"/>
                <w:b/>
              </w:rPr>
              <w:t>(%):</w:t>
            </w:r>
          </w:p>
        </w:tc>
        <w:tc>
          <w:tcPr>
            <w:tcW w:w="2271" w:type="dxa"/>
          </w:tcPr>
          <w:p w14:paraId="3555AE09" w14:textId="77777777" w:rsidR="00F92AC3" w:rsidRDefault="00F92AC3" w:rsidP="00F92AC3">
            <w:pPr>
              <w:pStyle w:val="TableParagraph"/>
              <w:spacing w:before="18"/>
              <w:ind w:left="130"/>
              <w:rPr>
                <w:rFonts w:ascii="Arial"/>
                <w:b/>
              </w:rPr>
            </w:pPr>
            <w:r>
              <w:rPr>
                <w:rFonts w:ascii="Arial"/>
                <w:b/>
                <w:spacing w:val="-5"/>
              </w:rPr>
              <w:t>50%</w:t>
            </w:r>
          </w:p>
        </w:tc>
      </w:tr>
      <w:tr w:rsidR="00F92AC3" w14:paraId="077CF7DF" w14:textId="77777777" w:rsidTr="00F92AC3">
        <w:trPr>
          <w:trHeight w:val="1235"/>
        </w:trPr>
        <w:tc>
          <w:tcPr>
            <w:tcW w:w="2091" w:type="dxa"/>
          </w:tcPr>
          <w:p w14:paraId="7DB55248" w14:textId="77777777" w:rsidR="00F92AC3" w:rsidRDefault="00F92AC3" w:rsidP="00F92AC3">
            <w:pPr>
              <w:pStyle w:val="TableParagraph"/>
              <w:spacing w:before="141"/>
              <w:rPr>
                <w:rFonts w:ascii="Arial"/>
                <w:b/>
              </w:rPr>
            </w:pPr>
          </w:p>
          <w:p w14:paraId="30228DD7" w14:textId="77777777" w:rsidR="00F92AC3" w:rsidRDefault="00F92AC3" w:rsidP="00F92AC3">
            <w:pPr>
              <w:pStyle w:val="TableParagraph"/>
              <w:ind w:left="180"/>
              <w:rPr>
                <w:rFonts w:ascii="Arial"/>
                <w:b/>
              </w:rPr>
            </w:pPr>
            <w:r>
              <w:rPr>
                <w:rFonts w:ascii="Arial"/>
                <w:b/>
              </w:rPr>
              <w:t>Module</w:t>
            </w:r>
            <w:r>
              <w:rPr>
                <w:rFonts w:ascii="Arial"/>
                <w:b/>
                <w:spacing w:val="-4"/>
              </w:rPr>
              <w:t xml:space="preserve"> </w:t>
            </w:r>
            <w:r>
              <w:rPr>
                <w:rFonts w:ascii="Arial"/>
                <w:b/>
                <w:spacing w:val="-2"/>
              </w:rPr>
              <w:t>lead:</w:t>
            </w:r>
          </w:p>
        </w:tc>
        <w:tc>
          <w:tcPr>
            <w:tcW w:w="3301" w:type="dxa"/>
            <w:tcBorders>
              <w:right w:val="single" w:sz="6" w:space="0" w:color="000000"/>
            </w:tcBorders>
          </w:tcPr>
          <w:p w14:paraId="38A84A59" w14:textId="77777777" w:rsidR="00F92AC3" w:rsidRDefault="00F92AC3" w:rsidP="00F92AC3">
            <w:pPr>
              <w:pStyle w:val="TableParagraph"/>
              <w:spacing w:before="243"/>
              <w:ind w:left="65"/>
              <w:rPr>
                <w:rFonts w:ascii="Arial"/>
                <w:b/>
              </w:rPr>
            </w:pPr>
            <w:r>
              <w:rPr>
                <w:rFonts w:ascii="Arial"/>
                <w:b/>
              </w:rPr>
              <w:t>Neale</w:t>
            </w:r>
            <w:r>
              <w:rPr>
                <w:rFonts w:ascii="Arial"/>
                <w:b/>
                <w:spacing w:val="-1"/>
              </w:rPr>
              <w:t xml:space="preserve"> </w:t>
            </w:r>
            <w:r>
              <w:rPr>
                <w:rFonts w:ascii="Arial"/>
                <w:b/>
              </w:rPr>
              <w:t>Haddon</w:t>
            </w:r>
            <w:r>
              <w:rPr>
                <w:rFonts w:ascii="Arial"/>
                <w:b/>
                <w:spacing w:val="-5"/>
              </w:rPr>
              <w:t xml:space="preserve"> </w:t>
            </w:r>
            <w:r>
              <w:rPr>
                <w:rFonts w:ascii="Arial"/>
                <w:b/>
              </w:rPr>
              <w:t>(Module</w:t>
            </w:r>
            <w:r>
              <w:rPr>
                <w:rFonts w:ascii="Arial"/>
                <w:b/>
                <w:spacing w:val="1"/>
              </w:rPr>
              <w:t xml:space="preserve"> </w:t>
            </w:r>
            <w:r>
              <w:rPr>
                <w:rFonts w:ascii="Arial"/>
                <w:b/>
                <w:spacing w:val="-2"/>
              </w:rPr>
              <w:t>lead)</w:t>
            </w:r>
          </w:p>
        </w:tc>
        <w:tc>
          <w:tcPr>
            <w:tcW w:w="2266" w:type="dxa"/>
            <w:tcBorders>
              <w:left w:val="single" w:sz="6" w:space="0" w:color="000000"/>
            </w:tcBorders>
            <w:shd w:val="clear" w:color="auto" w:fill="D9D9D9"/>
          </w:tcPr>
          <w:p w14:paraId="2B38F89F" w14:textId="77777777" w:rsidR="00F92AC3" w:rsidRDefault="00F92AC3" w:rsidP="00F92AC3">
            <w:pPr>
              <w:pStyle w:val="TableParagraph"/>
              <w:spacing w:before="141"/>
              <w:rPr>
                <w:rFonts w:ascii="Arial"/>
                <w:b/>
              </w:rPr>
            </w:pPr>
          </w:p>
          <w:p w14:paraId="43A6BFC2" w14:textId="77777777" w:rsidR="00F92AC3" w:rsidRDefault="00F92AC3" w:rsidP="00F92AC3">
            <w:pPr>
              <w:pStyle w:val="TableParagraph"/>
              <w:ind w:left="117"/>
              <w:rPr>
                <w:rFonts w:ascii="Arial"/>
                <w:b/>
              </w:rPr>
            </w:pPr>
            <w:r>
              <w:rPr>
                <w:rFonts w:ascii="Arial"/>
                <w:b/>
              </w:rPr>
              <w:t>Internal</w:t>
            </w:r>
            <w:r>
              <w:rPr>
                <w:rFonts w:ascii="Arial"/>
                <w:b/>
                <w:spacing w:val="-10"/>
              </w:rPr>
              <w:t xml:space="preserve"> </w:t>
            </w:r>
            <w:r>
              <w:rPr>
                <w:rFonts w:ascii="Arial"/>
                <w:b/>
                <w:spacing w:val="-2"/>
              </w:rPr>
              <w:t>Verifier:</w:t>
            </w:r>
          </w:p>
        </w:tc>
        <w:tc>
          <w:tcPr>
            <w:tcW w:w="2271" w:type="dxa"/>
          </w:tcPr>
          <w:p w14:paraId="6F1740B4" w14:textId="77777777" w:rsidR="00F92AC3" w:rsidRDefault="00F92AC3" w:rsidP="00F92AC3">
            <w:pPr>
              <w:pStyle w:val="TableParagraph"/>
              <w:rPr>
                <w:rFonts w:ascii="Arial"/>
                <w:b/>
              </w:rPr>
            </w:pPr>
          </w:p>
          <w:p w14:paraId="6A1A2150" w14:textId="77777777" w:rsidR="00F92AC3" w:rsidRDefault="00F92AC3" w:rsidP="00F92AC3">
            <w:pPr>
              <w:pStyle w:val="TableParagraph"/>
              <w:ind w:left="64"/>
              <w:rPr>
                <w:rFonts w:ascii="Arial"/>
                <w:b/>
              </w:rPr>
            </w:pPr>
            <w:r>
              <w:rPr>
                <w:rFonts w:ascii="Arial"/>
                <w:b/>
              </w:rPr>
              <w:t>Dr</w:t>
            </w:r>
            <w:r>
              <w:rPr>
                <w:rFonts w:ascii="Arial"/>
                <w:b/>
                <w:spacing w:val="-1"/>
              </w:rPr>
              <w:t xml:space="preserve"> </w:t>
            </w:r>
            <w:r>
              <w:rPr>
                <w:rFonts w:ascii="Arial"/>
                <w:b/>
              </w:rPr>
              <w:t>Besty</w:t>
            </w:r>
            <w:r>
              <w:rPr>
                <w:rFonts w:ascii="Arial"/>
                <w:b/>
                <w:spacing w:val="-1"/>
              </w:rPr>
              <w:t xml:space="preserve"> </w:t>
            </w:r>
            <w:r>
              <w:rPr>
                <w:rFonts w:ascii="Arial"/>
                <w:b/>
                <w:spacing w:val="-4"/>
              </w:rPr>
              <w:t>Jose</w:t>
            </w:r>
          </w:p>
        </w:tc>
      </w:tr>
      <w:tr w:rsidR="00F92AC3" w14:paraId="451AB3F2" w14:textId="77777777" w:rsidTr="00F92AC3">
        <w:trPr>
          <w:trHeight w:val="1745"/>
        </w:trPr>
        <w:tc>
          <w:tcPr>
            <w:tcW w:w="2091" w:type="dxa"/>
          </w:tcPr>
          <w:p w14:paraId="603DD883" w14:textId="77777777" w:rsidR="00F92AC3" w:rsidRDefault="00F92AC3" w:rsidP="00F92AC3">
            <w:pPr>
              <w:pStyle w:val="TableParagraph"/>
              <w:spacing w:before="13"/>
              <w:ind w:left="120"/>
              <w:rPr>
                <w:rFonts w:ascii="Arial"/>
                <w:b/>
              </w:rPr>
            </w:pPr>
            <w:r>
              <w:rPr>
                <w:rFonts w:ascii="Arial"/>
                <w:b/>
              </w:rPr>
              <w:t>Assignment</w:t>
            </w:r>
            <w:r>
              <w:rPr>
                <w:rFonts w:ascii="Arial"/>
                <w:b/>
                <w:spacing w:val="-15"/>
              </w:rPr>
              <w:t xml:space="preserve"> </w:t>
            </w:r>
            <w:r>
              <w:rPr>
                <w:rFonts w:ascii="Arial"/>
                <w:b/>
                <w:spacing w:val="-2"/>
              </w:rPr>
              <w:t>Title:</w:t>
            </w:r>
          </w:p>
        </w:tc>
        <w:tc>
          <w:tcPr>
            <w:tcW w:w="3301" w:type="dxa"/>
            <w:tcBorders>
              <w:right w:val="single" w:sz="6" w:space="0" w:color="000000"/>
            </w:tcBorders>
          </w:tcPr>
          <w:p w14:paraId="3FA803C3" w14:textId="77777777" w:rsidR="00F92AC3" w:rsidRDefault="00F92AC3" w:rsidP="00F92AC3">
            <w:pPr>
              <w:pStyle w:val="TableParagraph"/>
              <w:spacing w:before="138" w:line="254" w:lineRule="auto"/>
              <w:ind w:left="120" w:right="1648"/>
              <w:rPr>
                <w:rFonts w:ascii="Arial"/>
                <w:b/>
              </w:rPr>
            </w:pPr>
            <w:r>
              <w:rPr>
                <w:rFonts w:ascii="Arial"/>
                <w:b/>
              </w:rPr>
              <w:t>Assignment</w:t>
            </w:r>
            <w:r>
              <w:rPr>
                <w:rFonts w:ascii="Arial"/>
                <w:b/>
                <w:spacing w:val="-16"/>
              </w:rPr>
              <w:t xml:space="preserve"> </w:t>
            </w:r>
            <w:r>
              <w:rPr>
                <w:rFonts w:ascii="Arial"/>
                <w:b/>
              </w:rPr>
              <w:t>2: Written Task (To be submitted</w:t>
            </w:r>
            <w:r>
              <w:rPr>
                <w:rFonts w:ascii="Arial"/>
                <w:b/>
                <w:spacing w:val="-5"/>
              </w:rPr>
              <w:t xml:space="preserve"> </w:t>
            </w:r>
            <w:r>
              <w:rPr>
                <w:rFonts w:ascii="Arial"/>
                <w:b/>
              </w:rPr>
              <w:t>in</w:t>
            </w:r>
            <w:r>
              <w:rPr>
                <w:rFonts w:ascii="Arial"/>
                <w:b/>
                <w:spacing w:val="-11"/>
              </w:rPr>
              <w:t xml:space="preserve"> </w:t>
            </w:r>
            <w:r>
              <w:rPr>
                <w:rFonts w:ascii="Arial"/>
                <w:b/>
              </w:rPr>
              <w:t xml:space="preserve">a </w:t>
            </w:r>
            <w:r>
              <w:rPr>
                <w:rFonts w:ascii="Arial"/>
                <w:b/>
                <w:spacing w:val="-4"/>
              </w:rPr>
              <w:t>Word</w:t>
            </w:r>
          </w:p>
          <w:p w14:paraId="2BA53871" w14:textId="77777777" w:rsidR="00F92AC3" w:rsidRDefault="00F92AC3" w:rsidP="00F92AC3">
            <w:pPr>
              <w:pStyle w:val="TableParagraph"/>
              <w:spacing w:line="246" w:lineRule="exact"/>
              <w:ind w:left="120"/>
              <w:rPr>
                <w:rFonts w:ascii="Arial"/>
                <w:b/>
              </w:rPr>
            </w:pPr>
            <w:r>
              <w:rPr>
                <w:rFonts w:ascii="Arial"/>
                <w:b/>
                <w:spacing w:val="-2"/>
              </w:rPr>
              <w:t>document)</w:t>
            </w:r>
          </w:p>
        </w:tc>
        <w:tc>
          <w:tcPr>
            <w:tcW w:w="2266" w:type="dxa"/>
            <w:tcBorders>
              <w:left w:val="single" w:sz="6" w:space="0" w:color="000000"/>
            </w:tcBorders>
          </w:tcPr>
          <w:p w14:paraId="7C731067" w14:textId="77777777" w:rsidR="00F92AC3" w:rsidRDefault="00F92AC3" w:rsidP="00F92AC3">
            <w:pPr>
              <w:pStyle w:val="TableParagraph"/>
              <w:spacing w:before="13" w:line="261" w:lineRule="auto"/>
              <w:ind w:left="117"/>
              <w:rPr>
                <w:rFonts w:ascii="Arial"/>
                <w:b/>
              </w:rPr>
            </w:pPr>
            <w:r>
              <w:rPr>
                <w:rFonts w:ascii="Arial"/>
                <w:b/>
                <w:spacing w:val="-2"/>
              </w:rPr>
              <w:t>Word</w:t>
            </w:r>
            <w:r>
              <w:rPr>
                <w:rFonts w:ascii="Arial"/>
                <w:b/>
                <w:spacing w:val="-16"/>
              </w:rPr>
              <w:t xml:space="preserve"> </w:t>
            </w:r>
            <w:r>
              <w:rPr>
                <w:rFonts w:ascii="Arial"/>
                <w:b/>
                <w:spacing w:val="-2"/>
              </w:rPr>
              <w:t>count</w:t>
            </w:r>
            <w:r>
              <w:rPr>
                <w:rFonts w:ascii="Arial"/>
                <w:b/>
                <w:spacing w:val="-14"/>
              </w:rPr>
              <w:t xml:space="preserve"> </w:t>
            </w:r>
            <w:r>
              <w:rPr>
                <w:rFonts w:ascii="Arial"/>
                <w:b/>
                <w:spacing w:val="-2"/>
              </w:rPr>
              <w:t>(or equivalent):</w:t>
            </w:r>
          </w:p>
        </w:tc>
        <w:tc>
          <w:tcPr>
            <w:tcW w:w="2271" w:type="dxa"/>
          </w:tcPr>
          <w:p w14:paraId="654938F3" w14:textId="77777777" w:rsidR="00F92AC3" w:rsidRDefault="00F92AC3" w:rsidP="00F92AC3">
            <w:pPr>
              <w:pStyle w:val="TableParagraph"/>
              <w:spacing w:before="13"/>
              <w:ind w:left="130"/>
              <w:rPr>
                <w:rFonts w:ascii="Arial"/>
                <w:b/>
              </w:rPr>
            </w:pPr>
            <w:r>
              <w:rPr>
                <w:rFonts w:ascii="Arial"/>
                <w:b/>
              </w:rPr>
              <w:t>1500</w:t>
            </w:r>
            <w:r>
              <w:rPr>
                <w:rFonts w:ascii="Arial"/>
                <w:b/>
                <w:spacing w:val="-5"/>
              </w:rPr>
              <w:t xml:space="preserve"> </w:t>
            </w:r>
            <w:r>
              <w:rPr>
                <w:rFonts w:ascii="Arial"/>
                <w:b/>
                <w:spacing w:val="-2"/>
              </w:rPr>
              <w:t>words</w:t>
            </w:r>
          </w:p>
        </w:tc>
      </w:tr>
    </w:tbl>
    <w:p w14:paraId="315FBF83" w14:textId="0B9FADBA" w:rsidR="00CB4405" w:rsidRDefault="00CB4405">
      <w:pPr>
        <w:rPr>
          <w:rFonts w:ascii="Arial" w:hAnsi="Arial" w:cs="Arial"/>
          <w:b/>
          <w:bCs/>
          <w:lang w:val="en-GB"/>
        </w:rPr>
      </w:pPr>
    </w:p>
    <w:p w14:paraId="217D9B00" w14:textId="77777777" w:rsidR="00F92AC3" w:rsidRDefault="00F92AC3">
      <w:pPr>
        <w:rPr>
          <w:rFonts w:ascii="Arial" w:hAnsi="Arial" w:cs="Arial"/>
          <w:b/>
          <w:bCs/>
          <w:lang w:val="en-GB"/>
        </w:rPr>
      </w:pPr>
    </w:p>
    <w:p w14:paraId="7D44D506" w14:textId="77777777" w:rsidR="00F92AC3" w:rsidRDefault="00F92AC3">
      <w:pPr>
        <w:rPr>
          <w:rFonts w:ascii="Arial" w:hAnsi="Arial" w:cs="Arial"/>
          <w:b/>
          <w:bCs/>
          <w:lang w:val="en-GB"/>
        </w:rPr>
      </w:pPr>
    </w:p>
    <w:p w14:paraId="60477765" w14:textId="77777777" w:rsidR="00F92AC3" w:rsidRDefault="00F92AC3">
      <w:pPr>
        <w:rPr>
          <w:rFonts w:ascii="Arial" w:hAnsi="Arial" w:cs="Arial"/>
          <w:b/>
          <w:bCs/>
          <w:lang w:val="en-GB"/>
        </w:rPr>
      </w:pPr>
    </w:p>
    <w:p w14:paraId="447C5699" w14:textId="77777777" w:rsidR="00F92AC3" w:rsidRDefault="00F92AC3">
      <w:pPr>
        <w:rPr>
          <w:rFonts w:ascii="Arial" w:hAnsi="Arial" w:cs="Arial"/>
          <w:b/>
          <w:bCs/>
          <w:lang w:val="en-GB"/>
        </w:rPr>
      </w:pPr>
    </w:p>
    <w:p w14:paraId="4E343CA5" w14:textId="1B33D901" w:rsidR="00F92AC3" w:rsidRPr="00F92AC3" w:rsidRDefault="00F92AC3">
      <w:pPr>
        <w:rPr>
          <w:rFonts w:ascii="Arial" w:hAnsi="Arial" w:cs="Arial"/>
          <w:b/>
          <w:bCs/>
          <w:i/>
          <w:iCs/>
          <w:lang w:val="en-GB"/>
        </w:rPr>
      </w:pPr>
      <w:r>
        <w:rPr>
          <w:rFonts w:ascii="Arial" w:hAnsi="Arial" w:cs="Arial"/>
          <w:b/>
          <w:bCs/>
          <w:lang w:val="en-GB"/>
        </w:rPr>
        <w:t>Student name:</w:t>
      </w:r>
      <w:r w:rsidR="00BC1B36">
        <w:rPr>
          <w:rFonts w:ascii="Arial" w:hAnsi="Arial" w:cs="Arial"/>
          <w:b/>
          <w:bCs/>
          <w:lang w:val="en-GB"/>
        </w:rPr>
        <w:t xml:space="preserve"> Abraham Andom</w:t>
      </w:r>
    </w:p>
    <w:p w14:paraId="675B62F2" w14:textId="21D3FEAB" w:rsidR="00F92AC3" w:rsidRDefault="00F92AC3">
      <w:pPr>
        <w:rPr>
          <w:rFonts w:ascii="Arial" w:hAnsi="Arial" w:cs="Arial"/>
          <w:b/>
          <w:bCs/>
          <w:i/>
          <w:iCs/>
          <w:lang w:val="en-GB"/>
        </w:rPr>
      </w:pPr>
      <w:r w:rsidRPr="00F92AC3">
        <w:rPr>
          <w:rFonts w:ascii="Arial" w:hAnsi="Arial" w:cs="Arial"/>
          <w:b/>
          <w:bCs/>
          <w:i/>
          <w:iCs/>
          <w:lang w:val="en-GB"/>
        </w:rPr>
        <w:t>Student ID:</w:t>
      </w:r>
      <w:r w:rsidR="00BC1B36">
        <w:rPr>
          <w:rFonts w:ascii="Arial" w:hAnsi="Arial" w:cs="Arial"/>
          <w:b/>
          <w:bCs/>
          <w:i/>
          <w:iCs/>
          <w:lang w:val="en-GB"/>
        </w:rPr>
        <w:t xml:space="preserve"> 2414479</w:t>
      </w:r>
    </w:p>
    <w:p w14:paraId="78C289FB" w14:textId="3FCD4288" w:rsidR="00F92AC3" w:rsidRPr="00F92AC3" w:rsidRDefault="00F92AC3">
      <w:pPr>
        <w:rPr>
          <w:rFonts w:ascii="Arial" w:hAnsi="Arial" w:cs="Arial"/>
          <w:b/>
          <w:bCs/>
          <w:i/>
          <w:iCs/>
          <w:lang w:val="en-GB"/>
        </w:rPr>
      </w:pPr>
      <w:r>
        <w:rPr>
          <w:rFonts w:ascii="Arial" w:hAnsi="Arial" w:cs="Arial"/>
          <w:b/>
          <w:bCs/>
          <w:i/>
          <w:iCs/>
          <w:lang w:val="en-GB"/>
        </w:rPr>
        <w:br w:type="page"/>
      </w:r>
    </w:p>
    <w:bookmarkStart w:id="0" w:name="_Toc213332533" w:displacedByCustomXml="next"/>
    <w:sdt>
      <w:sdtPr>
        <w:rPr>
          <w:rFonts w:ascii="Arial" w:eastAsiaTheme="minorHAnsi" w:hAnsi="Arial" w:cs="Arial"/>
          <w:b w:val="0"/>
          <w:bCs w:val="0"/>
          <w:color w:val="auto"/>
          <w:kern w:val="2"/>
          <w:sz w:val="22"/>
          <w:szCs w:val="22"/>
          <w:lang w:val="en-IN"/>
          <w14:ligatures w14:val="standardContextual"/>
        </w:rPr>
        <w:id w:val="1403558834"/>
        <w:docPartObj>
          <w:docPartGallery w:val="Table of Contents"/>
          <w:docPartUnique/>
        </w:docPartObj>
      </w:sdtPr>
      <w:sdtEndPr>
        <w:rPr>
          <w:noProof/>
        </w:rPr>
      </w:sdtEndPr>
      <w:sdtContent>
        <w:p w14:paraId="6882D8DA" w14:textId="7E4EA31B" w:rsidR="006E1C32" w:rsidRPr="006E1C32" w:rsidRDefault="006E1C32">
          <w:pPr>
            <w:pStyle w:val="TOCHeading"/>
            <w:rPr>
              <w:rFonts w:ascii="Arial" w:hAnsi="Arial" w:cs="Arial"/>
              <w:sz w:val="22"/>
              <w:szCs w:val="22"/>
            </w:rPr>
          </w:pPr>
          <w:r w:rsidRPr="006E1C32">
            <w:rPr>
              <w:rFonts w:ascii="Arial" w:hAnsi="Arial" w:cs="Arial"/>
              <w:sz w:val="22"/>
              <w:szCs w:val="22"/>
            </w:rPr>
            <w:t>Table of Contents</w:t>
          </w:r>
        </w:p>
        <w:p w14:paraId="3667D4FF" w14:textId="502125EA" w:rsidR="006E1C32" w:rsidRPr="006E1C32" w:rsidRDefault="006E1C32">
          <w:pPr>
            <w:pStyle w:val="TOC1"/>
            <w:tabs>
              <w:tab w:val="right" w:leader="dot" w:pos="9350"/>
            </w:tabs>
            <w:rPr>
              <w:rFonts w:ascii="Arial" w:eastAsiaTheme="minorEastAsia" w:hAnsi="Arial" w:cs="Arial"/>
              <w:b w:val="0"/>
              <w:bCs w:val="0"/>
              <w:caps w:val="0"/>
              <w:noProof/>
              <w:sz w:val="22"/>
              <w:szCs w:val="22"/>
              <w:lang w:eastAsia="en-GB"/>
            </w:rPr>
          </w:pPr>
          <w:r w:rsidRPr="006E1C32">
            <w:rPr>
              <w:rFonts w:ascii="Arial" w:hAnsi="Arial" w:cs="Arial"/>
              <w:b w:val="0"/>
              <w:bCs w:val="0"/>
              <w:sz w:val="22"/>
              <w:szCs w:val="22"/>
            </w:rPr>
            <w:fldChar w:fldCharType="begin"/>
          </w:r>
          <w:r w:rsidRPr="006E1C32">
            <w:rPr>
              <w:rFonts w:ascii="Arial" w:hAnsi="Arial" w:cs="Arial"/>
              <w:b w:val="0"/>
              <w:bCs w:val="0"/>
              <w:sz w:val="22"/>
              <w:szCs w:val="22"/>
            </w:rPr>
            <w:instrText xml:space="preserve"> TOC \o "1-3" \h \z \u </w:instrText>
          </w:r>
          <w:r w:rsidRPr="006E1C32">
            <w:rPr>
              <w:rFonts w:ascii="Arial" w:hAnsi="Arial" w:cs="Arial"/>
              <w:b w:val="0"/>
              <w:bCs w:val="0"/>
              <w:sz w:val="22"/>
              <w:szCs w:val="22"/>
            </w:rPr>
            <w:fldChar w:fldCharType="separate"/>
          </w:r>
          <w:hyperlink w:anchor="_Toc213672841" w:history="1">
            <w:r w:rsidRPr="006E1C32">
              <w:rPr>
                <w:rStyle w:val="Hyperlink"/>
                <w:rFonts w:ascii="Arial" w:hAnsi="Arial" w:cs="Arial"/>
                <w:b w:val="0"/>
                <w:bCs w:val="0"/>
                <w:noProof/>
                <w:sz w:val="22"/>
                <w:szCs w:val="22"/>
                <w:lang w:val="en-GB"/>
              </w:rPr>
              <w:t>Introduction</w:t>
            </w:r>
            <w:r w:rsidRPr="006E1C32">
              <w:rPr>
                <w:rFonts w:ascii="Arial" w:hAnsi="Arial" w:cs="Arial"/>
                <w:b w:val="0"/>
                <w:bCs w:val="0"/>
                <w:noProof/>
                <w:webHidden/>
                <w:sz w:val="22"/>
                <w:szCs w:val="22"/>
              </w:rPr>
              <w:tab/>
            </w:r>
            <w:r w:rsidRPr="006E1C32">
              <w:rPr>
                <w:rFonts w:ascii="Arial" w:hAnsi="Arial" w:cs="Arial"/>
                <w:b w:val="0"/>
                <w:bCs w:val="0"/>
                <w:noProof/>
                <w:webHidden/>
                <w:sz w:val="22"/>
                <w:szCs w:val="22"/>
              </w:rPr>
              <w:fldChar w:fldCharType="begin"/>
            </w:r>
            <w:r w:rsidRPr="006E1C32">
              <w:rPr>
                <w:rFonts w:ascii="Arial" w:hAnsi="Arial" w:cs="Arial"/>
                <w:b w:val="0"/>
                <w:bCs w:val="0"/>
                <w:noProof/>
                <w:webHidden/>
                <w:sz w:val="22"/>
                <w:szCs w:val="22"/>
              </w:rPr>
              <w:instrText xml:space="preserve"> PAGEREF _Toc213672841 \h </w:instrText>
            </w:r>
            <w:r w:rsidRPr="006E1C32">
              <w:rPr>
                <w:rFonts w:ascii="Arial" w:hAnsi="Arial" w:cs="Arial"/>
                <w:b w:val="0"/>
                <w:bCs w:val="0"/>
                <w:noProof/>
                <w:webHidden/>
                <w:sz w:val="22"/>
                <w:szCs w:val="22"/>
              </w:rPr>
            </w:r>
            <w:r w:rsidRPr="006E1C32">
              <w:rPr>
                <w:rFonts w:ascii="Arial" w:hAnsi="Arial" w:cs="Arial"/>
                <w:b w:val="0"/>
                <w:bCs w:val="0"/>
                <w:noProof/>
                <w:webHidden/>
                <w:sz w:val="22"/>
                <w:szCs w:val="22"/>
              </w:rPr>
              <w:fldChar w:fldCharType="separate"/>
            </w:r>
            <w:r w:rsidRPr="006E1C32">
              <w:rPr>
                <w:rFonts w:ascii="Arial" w:hAnsi="Arial" w:cs="Arial"/>
                <w:b w:val="0"/>
                <w:bCs w:val="0"/>
                <w:noProof/>
                <w:webHidden/>
                <w:sz w:val="22"/>
                <w:szCs w:val="22"/>
              </w:rPr>
              <w:t>3</w:t>
            </w:r>
            <w:r w:rsidRPr="006E1C32">
              <w:rPr>
                <w:rFonts w:ascii="Arial" w:hAnsi="Arial" w:cs="Arial"/>
                <w:b w:val="0"/>
                <w:bCs w:val="0"/>
                <w:noProof/>
                <w:webHidden/>
                <w:sz w:val="22"/>
                <w:szCs w:val="22"/>
              </w:rPr>
              <w:fldChar w:fldCharType="end"/>
            </w:r>
          </w:hyperlink>
        </w:p>
        <w:p w14:paraId="4862FDC6" w14:textId="18A5031B" w:rsidR="006E1C32" w:rsidRPr="006E1C32" w:rsidRDefault="006E1C32">
          <w:pPr>
            <w:pStyle w:val="TOC1"/>
            <w:tabs>
              <w:tab w:val="right" w:leader="dot" w:pos="9350"/>
            </w:tabs>
            <w:rPr>
              <w:rFonts w:ascii="Arial" w:eastAsiaTheme="minorEastAsia" w:hAnsi="Arial" w:cs="Arial"/>
              <w:b w:val="0"/>
              <w:bCs w:val="0"/>
              <w:caps w:val="0"/>
              <w:noProof/>
              <w:sz w:val="22"/>
              <w:szCs w:val="22"/>
              <w:lang w:eastAsia="en-GB"/>
            </w:rPr>
          </w:pPr>
          <w:hyperlink w:anchor="_Toc213672842" w:history="1">
            <w:r w:rsidRPr="006E1C32">
              <w:rPr>
                <w:rStyle w:val="Hyperlink"/>
                <w:rFonts w:ascii="Arial" w:hAnsi="Arial" w:cs="Arial"/>
                <w:b w:val="0"/>
                <w:bCs w:val="0"/>
                <w:noProof/>
                <w:sz w:val="22"/>
                <w:szCs w:val="22"/>
              </w:rPr>
              <w:t>Comparison between Two Theories: Erikson Psychosocial Theory and Positive Psychology.</w:t>
            </w:r>
            <w:r w:rsidRPr="006E1C32">
              <w:rPr>
                <w:rFonts w:ascii="Arial" w:hAnsi="Arial" w:cs="Arial"/>
                <w:b w:val="0"/>
                <w:bCs w:val="0"/>
                <w:noProof/>
                <w:webHidden/>
                <w:sz w:val="22"/>
                <w:szCs w:val="22"/>
              </w:rPr>
              <w:tab/>
            </w:r>
            <w:r w:rsidRPr="006E1C32">
              <w:rPr>
                <w:rFonts w:ascii="Arial" w:hAnsi="Arial" w:cs="Arial"/>
                <w:b w:val="0"/>
                <w:bCs w:val="0"/>
                <w:noProof/>
                <w:webHidden/>
                <w:sz w:val="22"/>
                <w:szCs w:val="22"/>
              </w:rPr>
              <w:fldChar w:fldCharType="begin"/>
            </w:r>
            <w:r w:rsidRPr="006E1C32">
              <w:rPr>
                <w:rFonts w:ascii="Arial" w:hAnsi="Arial" w:cs="Arial"/>
                <w:b w:val="0"/>
                <w:bCs w:val="0"/>
                <w:noProof/>
                <w:webHidden/>
                <w:sz w:val="22"/>
                <w:szCs w:val="22"/>
              </w:rPr>
              <w:instrText xml:space="preserve"> PAGEREF _Toc213672842 \h </w:instrText>
            </w:r>
            <w:r w:rsidRPr="006E1C32">
              <w:rPr>
                <w:rFonts w:ascii="Arial" w:hAnsi="Arial" w:cs="Arial"/>
                <w:b w:val="0"/>
                <w:bCs w:val="0"/>
                <w:noProof/>
                <w:webHidden/>
                <w:sz w:val="22"/>
                <w:szCs w:val="22"/>
              </w:rPr>
            </w:r>
            <w:r w:rsidRPr="006E1C32">
              <w:rPr>
                <w:rFonts w:ascii="Arial" w:hAnsi="Arial" w:cs="Arial"/>
                <w:b w:val="0"/>
                <w:bCs w:val="0"/>
                <w:noProof/>
                <w:webHidden/>
                <w:sz w:val="22"/>
                <w:szCs w:val="22"/>
              </w:rPr>
              <w:fldChar w:fldCharType="separate"/>
            </w:r>
            <w:r w:rsidRPr="006E1C32">
              <w:rPr>
                <w:rFonts w:ascii="Arial" w:hAnsi="Arial" w:cs="Arial"/>
                <w:b w:val="0"/>
                <w:bCs w:val="0"/>
                <w:noProof/>
                <w:webHidden/>
                <w:sz w:val="22"/>
                <w:szCs w:val="22"/>
              </w:rPr>
              <w:t>4</w:t>
            </w:r>
            <w:r w:rsidRPr="006E1C32">
              <w:rPr>
                <w:rFonts w:ascii="Arial" w:hAnsi="Arial" w:cs="Arial"/>
                <w:b w:val="0"/>
                <w:bCs w:val="0"/>
                <w:noProof/>
                <w:webHidden/>
                <w:sz w:val="22"/>
                <w:szCs w:val="22"/>
              </w:rPr>
              <w:fldChar w:fldCharType="end"/>
            </w:r>
          </w:hyperlink>
        </w:p>
        <w:p w14:paraId="18AE652E" w14:textId="58AEE4C6" w:rsidR="006E1C32" w:rsidRPr="006E1C32" w:rsidRDefault="006E1C32">
          <w:pPr>
            <w:pStyle w:val="TOC1"/>
            <w:tabs>
              <w:tab w:val="right" w:leader="dot" w:pos="9350"/>
            </w:tabs>
            <w:rPr>
              <w:rFonts w:ascii="Arial" w:eastAsiaTheme="minorEastAsia" w:hAnsi="Arial" w:cs="Arial"/>
              <w:b w:val="0"/>
              <w:bCs w:val="0"/>
              <w:caps w:val="0"/>
              <w:noProof/>
              <w:sz w:val="22"/>
              <w:szCs w:val="22"/>
              <w:lang w:eastAsia="en-GB"/>
            </w:rPr>
          </w:pPr>
          <w:hyperlink w:anchor="_Toc213672843" w:history="1">
            <w:r w:rsidRPr="006E1C32">
              <w:rPr>
                <w:rStyle w:val="Hyperlink"/>
                <w:rFonts w:ascii="Arial" w:hAnsi="Arial" w:cs="Arial"/>
                <w:b w:val="0"/>
                <w:bCs w:val="0"/>
                <w:noProof/>
                <w:sz w:val="22"/>
                <w:szCs w:val="22"/>
                <w:lang w:val="en-GB"/>
              </w:rPr>
              <w:t>Usage in the Health and Social Care Situation</w:t>
            </w:r>
            <w:r w:rsidRPr="006E1C32">
              <w:rPr>
                <w:rFonts w:ascii="Arial" w:hAnsi="Arial" w:cs="Arial"/>
                <w:b w:val="0"/>
                <w:bCs w:val="0"/>
                <w:noProof/>
                <w:webHidden/>
                <w:sz w:val="22"/>
                <w:szCs w:val="22"/>
              </w:rPr>
              <w:tab/>
            </w:r>
            <w:r w:rsidRPr="006E1C32">
              <w:rPr>
                <w:rFonts w:ascii="Arial" w:hAnsi="Arial" w:cs="Arial"/>
                <w:b w:val="0"/>
                <w:bCs w:val="0"/>
                <w:noProof/>
                <w:webHidden/>
                <w:sz w:val="22"/>
                <w:szCs w:val="22"/>
              </w:rPr>
              <w:fldChar w:fldCharType="begin"/>
            </w:r>
            <w:r w:rsidRPr="006E1C32">
              <w:rPr>
                <w:rFonts w:ascii="Arial" w:hAnsi="Arial" w:cs="Arial"/>
                <w:b w:val="0"/>
                <w:bCs w:val="0"/>
                <w:noProof/>
                <w:webHidden/>
                <w:sz w:val="22"/>
                <w:szCs w:val="22"/>
              </w:rPr>
              <w:instrText xml:space="preserve"> PAGEREF _Toc213672843 \h </w:instrText>
            </w:r>
            <w:r w:rsidRPr="006E1C32">
              <w:rPr>
                <w:rFonts w:ascii="Arial" w:hAnsi="Arial" w:cs="Arial"/>
                <w:b w:val="0"/>
                <w:bCs w:val="0"/>
                <w:noProof/>
                <w:webHidden/>
                <w:sz w:val="22"/>
                <w:szCs w:val="22"/>
              </w:rPr>
            </w:r>
            <w:r w:rsidRPr="006E1C32">
              <w:rPr>
                <w:rFonts w:ascii="Arial" w:hAnsi="Arial" w:cs="Arial"/>
                <w:b w:val="0"/>
                <w:bCs w:val="0"/>
                <w:noProof/>
                <w:webHidden/>
                <w:sz w:val="22"/>
                <w:szCs w:val="22"/>
              </w:rPr>
              <w:fldChar w:fldCharType="separate"/>
            </w:r>
            <w:r w:rsidRPr="006E1C32">
              <w:rPr>
                <w:rFonts w:ascii="Arial" w:hAnsi="Arial" w:cs="Arial"/>
                <w:b w:val="0"/>
                <w:bCs w:val="0"/>
                <w:noProof/>
                <w:webHidden/>
                <w:sz w:val="22"/>
                <w:szCs w:val="22"/>
              </w:rPr>
              <w:t>5</w:t>
            </w:r>
            <w:r w:rsidRPr="006E1C32">
              <w:rPr>
                <w:rFonts w:ascii="Arial" w:hAnsi="Arial" w:cs="Arial"/>
                <w:b w:val="0"/>
                <w:bCs w:val="0"/>
                <w:noProof/>
                <w:webHidden/>
                <w:sz w:val="22"/>
                <w:szCs w:val="22"/>
              </w:rPr>
              <w:fldChar w:fldCharType="end"/>
            </w:r>
          </w:hyperlink>
        </w:p>
        <w:p w14:paraId="756C5DCA" w14:textId="263BDE04" w:rsidR="006E1C32" w:rsidRPr="006E1C32" w:rsidRDefault="006E1C32">
          <w:pPr>
            <w:pStyle w:val="TOC1"/>
            <w:tabs>
              <w:tab w:val="right" w:leader="dot" w:pos="9350"/>
            </w:tabs>
            <w:rPr>
              <w:rFonts w:ascii="Arial" w:eastAsiaTheme="minorEastAsia" w:hAnsi="Arial" w:cs="Arial"/>
              <w:b w:val="0"/>
              <w:bCs w:val="0"/>
              <w:caps w:val="0"/>
              <w:noProof/>
              <w:sz w:val="22"/>
              <w:szCs w:val="22"/>
              <w:lang w:eastAsia="en-GB"/>
            </w:rPr>
          </w:pPr>
          <w:hyperlink w:anchor="_Toc213672844" w:history="1">
            <w:r w:rsidRPr="006E1C32">
              <w:rPr>
                <w:rStyle w:val="Hyperlink"/>
                <w:rFonts w:ascii="Arial" w:hAnsi="Arial" w:cs="Arial"/>
                <w:b w:val="0"/>
                <w:bCs w:val="0"/>
                <w:noProof/>
                <w:sz w:val="22"/>
                <w:szCs w:val="22"/>
                <w:lang w:val="en-GB"/>
              </w:rPr>
              <w:t>Comparative Evaluation</w:t>
            </w:r>
            <w:r w:rsidRPr="006E1C32">
              <w:rPr>
                <w:rFonts w:ascii="Arial" w:hAnsi="Arial" w:cs="Arial"/>
                <w:b w:val="0"/>
                <w:bCs w:val="0"/>
                <w:noProof/>
                <w:webHidden/>
                <w:sz w:val="22"/>
                <w:szCs w:val="22"/>
              </w:rPr>
              <w:tab/>
            </w:r>
            <w:r w:rsidRPr="006E1C32">
              <w:rPr>
                <w:rFonts w:ascii="Arial" w:hAnsi="Arial" w:cs="Arial"/>
                <w:b w:val="0"/>
                <w:bCs w:val="0"/>
                <w:noProof/>
                <w:webHidden/>
                <w:sz w:val="22"/>
                <w:szCs w:val="22"/>
              </w:rPr>
              <w:fldChar w:fldCharType="begin"/>
            </w:r>
            <w:r w:rsidRPr="006E1C32">
              <w:rPr>
                <w:rFonts w:ascii="Arial" w:hAnsi="Arial" w:cs="Arial"/>
                <w:b w:val="0"/>
                <w:bCs w:val="0"/>
                <w:noProof/>
                <w:webHidden/>
                <w:sz w:val="22"/>
                <w:szCs w:val="22"/>
              </w:rPr>
              <w:instrText xml:space="preserve"> PAGEREF _Toc213672844 \h </w:instrText>
            </w:r>
            <w:r w:rsidRPr="006E1C32">
              <w:rPr>
                <w:rFonts w:ascii="Arial" w:hAnsi="Arial" w:cs="Arial"/>
                <w:b w:val="0"/>
                <w:bCs w:val="0"/>
                <w:noProof/>
                <w:webHidden/>
                <w:sz w:val="22"/>
                <w:szCs w:val="22"/>
              </w:rPr>
            </w:r>
            <w:r w:rsidRPr="006E1C32">
              <w:rPr>
                <w:rFonts w:ascii="Arial" w:hAnsi="Arial" w:cs="Arial"/>
                <w:b w:val="0"/>
                <w:bCs w:val="0"/>
                <w:noProof/>
                <w:webHidden/>
                <w:sz w:val="22"/>
                <w:szCs w:val="22"/>
              </w:rPr>
              <w:fldChar w:fldCharType="separate"/>
            </w:r>
            <w:r w:rsidRPr="006E1C32">
              <w:rPr>
                <w:rFonts w:ascii="Arial" w:hAnsi="Arial" w:cs="Arial"/>
                <w:b w:val="0"/>
                <w:bCs w:val="0"/>
                <w:noProof/>
                <w:webHidden/>
                <w:sz w:val="22"/>
                <w:szCs w:val="22"/>
              </w:rPr>
              <w:t>7</w:t>
            </w:r>
            <w:r w:rsidRPr="006E1C32">
              <w:rPr>
                <w:rFonts w:ascii="Arial" w:hAnsi="Arial" w:cs="Arial"/>
                <w:b w:val="0"/>
                <w:bCs w:val="0"/>
                <w:noProof/>
                <w:webHidden/>
                <w:sz w:val="22"/>
                <w:szCs w:val="22"/>
              </w:rPr>
              <w:fldChar w:fldCharType="end"/>
            </w:r>
          </w:hyperlink>
        </w:p>
        <w:p w14:paraId="5957048B" w14:textId="43315AC1" w:rsidR="006E1C32" w:rsidRPr="006E1C32" w:rsidRDefault="006E1C32">
          <w:pPr>
            <w:pStyle w:val="TOC1"/>
            <w:tabs>
              <w:tab w:val="right" w:leader="dot" w:pos="9350"/>
            </w:tabs>
            <w:rPr>
              <w:rFonts w:ascii="Arial" w:eastAsiaTheme="minorEastAsia" w:hAnsi="Arial" w:cs="Arial"/>
              <w:b w:val="0"/>
              <w:bCs w:val="0"/>
              <w:caps w:val="0"/>
              <w:noProof/>
              <w:sz w:val="22"/>
              <w:szCs w:val="22"/>
              <w:lang w:eastAsia="en-GB"/>
            </w:rPr>
          </w:pPr>
          <w:hyperlink w:anchor="_Toc213672845" w:history="1">
            <w:r w:rsidRPr="006E1C32">
              <w:rPr>
                <w:rStyle w:val="Hyperlink"/>
                <w:rFonts w:ascii="Arial" w:hAnsi="Arial" w:cs="Arial"/>
                <w:b w:val="0"/>
                <w:bCs w:val="0"/>
                <w:noProof/>
                <w:sz w:val="22"/>
                <w:szCs w:val="22"/>
                <w:lang w:val="en-GB"/>
              </w:rPr>
              <w:t>Conclusion</w:t>
            </w:r>
            <w:r w:rsidRPr="006E1C32">
              <w:rPr>
                <w:rFonts w:ascii="Arial" w:hAnsi="Arial" w:cs="Arial"/>
                <w:b w:val="0"/>
                <w:bCs w:val="0"/>
                <w:noProof/>
                <w:webHidden/>
                <w:sz w:val="22"/>
                <w:szCs w:val="22"/>
              </w:rPr>
              <w:tab/>
            </w:r>
            <w:r w:rsidRPr="006E1C32">
              <w:rPr>
                <w:rFonts w:ascii="Arial" w:hAnsi="Arial" w:cs="Arial"/>
                <w:b w:val="0"/>
                <w:bCs w:val="0"/>
                <w:noProof/>
                <w:webHidden/>
                <w:sz w:val="22"/>
                <w:szCs w:val="22"/>
              </w:rPr>
              <w:fldChar w:fldCharType="begin"/>
            </w:r>
            <w:r w:rsidRPr="006E1C32">
              <w:rPr>
                <w:rFonts w:ascii="Arial" w:hAnsi="Arial" w:cs="Arial"/>
                <w:b w:val="0"/>
                <w:bCs w:val="0"/>
                <w:noProof/>
                <w:webHidden/>
                <w:sz w:val="22"/>
                <w:szCs w:val="22"/>
              </w:rPr>
              <w:instrText xml:space="preserve"> PAGEREF _Toc213672845 \h </w:instrText>
            </w:r>
            <w:r w:rsidRPr="006E1C32">
              <w:rPr>
                <w:rFonts w:ascii="Arial" w:hAnsi="Arial" w:cs="Arial"/>
                <w:b w:val="0"/>
                <w:bCs w:val="0"/>
                <w:noProof/>
                <w:webHidden/>
                <w:sz w:val="22"/>
                <w:szCs w:val="22"/>
              </w:rPr>
            </w:r>
            <w:r w:rsidRPr="006E1C32">
              <w:rPr>
                <w:rFonts w:ascii="Arial" w:hAnsi="Arial" w:cs="Arial"/>
                <w:b w:val="0"/>
                <w:bCs w:val="0"/>
                <w:noProof/>
                <w:webHidden/>
                <w:sz w:val="22"/>
                <w:szCs w:val="22"/>
              </w:rPr>
              <w:fldChar w:fldCharType="separate"/>
            </w:r>
            <w:r w:rsidRPr="006E1C32">
              <w:rPr>
                <w:rFonts w:ascii="Arial" w:hAnsi="Arial" w:cs="Arial"/>
                <w:b w:val="0"/>
                <w:bCs w:val="0"/>
                <w:noProof/>
                <w:webHidden/>
                <w:sz w:val="22"/>
                <w:szCs w:val="22"/>
              </w:rPr>
              <w:t>8</w:t>
            </w:r>
            <w:r w:rsidRPr="006E1C32">
              <w:rPr>
                <w:rFonts w:ascii="Arial" w:hAnsi="Arial" w:cs="Arial"/>
                <w:b w:val="0"/>
                <w:bCs w:val="0"/>
                <w:noProof/>
                <w:webHidden/>
                <w:sz w:val="22"/>
                <w:szCs w:val="22"/>
              </w:rPr>
              <w:fldChar w:fldCharType="end"/>
            </w:r>
          </w:hyperlink>
        </w:p>
        <w:p w14:paraId="7A563391" w14:textId="01217C19" w:rsidR="006E1C32" w:rsidRPr="006E1C32" w:rsidRDefault="006E1C32">
          <w:pPr>
            <w:pStyle w:val="TOC1"/>
            <w:tabs>
              <w:tab w:val="right" w:leader="dot" w:pos="9350"/>
            </w:tabs>
            <w:rPr>
              <w:rFonts w:ascii="Arial" w:eastAsiaTheme="minorEastAsia" w:hAnsi="Arial" w:cs="Arial"/>
              <w:b w:val="0"/>
              <w:bCs w:val="0"/>
              <w:caps w:val="0"/>
              <w:noProof/>
              <w:sz w:val="22"/>
              <w:szCs w:val="22"/>
              <w:lang w:eastAsia="en-GB"/>
            </w:rPr>
          </w:pPr>
          <w:hyperlink w:anchor="_Toc213672846" w:history="1">
            <w:r w:rsidRPr="006E1C32">
              <w:rPr>
                <w:rStyle w:val="Hyperlink"/>
                <w:rFonts w:ascii="Arial" w:hAnsi="Arial" w:cs="Arial"/>
                <w:b w:val="0"/>
                <w:bCs w:val="0"/>
                <w:noProof/>
                <w:sz w:val="22"/>
                <w:szCs w:val="22"/>
                <w:lang w:val="en-GB"/>
              </w:rPr>
              <w:t>References</w:t>
            </w:r>
            <w:r w:rsidRPr="006E1C32">
              <w:rPr>
                <w:rFonts w:ascii="Arial" w:hAnsi="Arial" w:cs="Arial"/>
                <w:b w:val="0"/>
                <w:bCs w:val="0"/>
                <w:noProof/>
                <w:webHidden/>
                <w:sz w:val="22"/>
                <w:szCs w:val="22"/>
              </w:rPr>
              <w:tab/>
            </w:r>
            <w:r w:rsidRPr="006E1C32">
              <w:rPr>
                <w:rFonts w:ascii="Arial" w:hAnsi="Arial" w:cs="Arial"/>
                <w:b w:val="0"/>
                <w:bCs w:val="0"/>
                <w:noProof/>
                <w:webHidden/>
                <w:sz w:val="22"/>
                <w:szCs w:val="22"/>
              </w:rPr>
              <w:fldChar w:fldCharType="begin"/>
            </w:r>
            <w:r w:rsidRPr="006E1C32">
              <w:rPr>
                <w:rFonts w:ascii="Arial" w:hAnsi="Arial" w:cs="Arial"/>
                <w:b w:val="0"/>
                <w:bCs w:val="0"/>
                <w:noProof/>
                <w:webHidden/>
                <w:sz w:val="22"/>
                <w:szCs w:val="22"/>
              </w:rPr>
              <w:instrText xml:space="preserve"> PAGEREF _Toc213672846 \h </w:instrText>
            </w:r>
            <w:r w:rsidRPr="006E1C32">
              <w:rPr>
                <w:rFonts w:ascii="Arial" w:hAnsi="Arial" w:cs="Arial"/>
                <w:b w:val="0"/>
                <w:bCs w:val="0"/>
                <w:noProof/>
                <w:webHidden/>
                <w:sz w:val="22"/>
                <w:szCs w:val="22"/>
              </w:rPr>
            </w:r>
            <w:r w:rsidRPr="006E1C32">
              <w:rPr>
                <w:rFonts w:ascii="Arial" w:hAnsi="Arial" w:cs="Arial"/>
                <w:b w:val="0"/>
                <w:bCs w:val="0"/>
                <w:noProof/>
                <w:webHidden/>
                <w:sz w:val="22"/>
                <w:szCs w:val="22"/>
              </w:rPr>
              <w:fldChar w:fldCharType="separate"/>
            </w:r>
            <w:r w:rsidRPr="006E1C32">
              <w:rPr>
                <w:rFonts w:ascii="Arial" w:hAnsi="Arial" w:cs="Arial"/>
                <w:b w:val="0"/>
                <w:bCs w:val="0"/>
                <w:noProof/>
                <w:webHidden/>
                <w:sz w:val="22"/>
                <w:szCs w:val="22"/>
              </w:rPr>
              <w:t>9</w:t>
            </w:r>
            <w:r w:rsidRPr="006E1C32">
              <w:rPr>
                <w:rFonts w:ascii="Arial" w:hAnsi="Arial" w:cs="Arial"/>
                <w:b w:val="0"/>
                <w:bCs w:val="0"/>
                <w:noProof/>
                <w:webHidden/>
                <w:sz w:val="22"/>
                <w:szCs w:val="22"/>
              </w:rPr>
              <w:fldChar w:fldCharType="end"/>
            </w:r>
          </w:hyperlink>
        </w:p>
        <w:p w14:paraId="7EC60E30" w14:textId="7CA26D79" w:rsidR="006E1C32" w:rsidRPr="006E1C32" w:rsidRDefault="006E1C32">
          <w:pPr>
            <w:rPr>
              <w:rFonts w:ascii="Arial" w:hAnsi="Arial" w:cs="Arial"/>
              <w:sz w:val="22"/>
              <w:szCs w:val="22"/>
            </w:rPr>
          </w:pPr>
          <w:r w:rsidRPr="006E1C32">
            <w:rPr>
              <w:rFonts w:ascii="Arial" w:hAnsi="Arial" w:cs="Arial"/>
              <w:noProof/>
              <w:sz w:val="22"/>
              <w:szCs w:val="22"/>
            </w:rPr>
            <w:fldChar w:fldCharType="end"/>
          </w:r>
        </w:p>
      </w:sdtContent>
    </w:sdt>
    <w:p w14:paraId="5ED79030" w14:textId="77777777" w:rsidR="00686A94" w:rsidRDefault="00686A94" w:rsidP="00DE1026">
      <w:pPr>
        <w:pStyle w:val="Heading1"/>
        <w:spacing w:line="360" w:lineRule="auto"/>
        <w:rPr>
          <w:rFonts w:ascii="Arial" w:hAnsi="Arial" w:cs="Arial"/>
          <w:b/>
          <w:bCs/>
          <w:sz w:val="22"/>
          <w:szCs w:val="22"/>
          <w:lang w:val="en-GB"/>
        </w:rPr>
      </w:pPr>
    </w:p>
    <w:p w14:paraId="785ABB69" w14:textId="77777777" w:rsidR="00686A94" w:rsidRDefault="00686A94">
      <w:pPr>
        <w:rPr>
          <w:rFonts w:ascii="Arial" w:eastAsiaTheme="majorEastAsia" w:hAnsi="Arial" w:cs="Arial"/>
          <w:b/>
          <w:bCs/>
          <w:color w:val="2F5496" w:themeColor="accent1" w:themeShade="BF"/>
          <w:sz w:val="22"/>
          <w:szCs w:val="22"/>
          <w:lang w:val="en-GB"/>
        </w:rPr>
      </w:pPr>
      <w:r>
        <w:rPr>
          <w:rFonts w:ascii="Arial" w:hAnsi="Arial" w:cs="Arial"/>
          <w:b/>
          <w:bCs/>
          <w:sz w:val="22"/>
          <w:szCs w:val="22"/>
          <w:lang w:val="en-GB"/>
        </w:rPr>
        <w:br w:type="page"/>
      </w:r>
    </w:p>
    <w:p w14:paraId="6AB1DBF3" w14:textId="0EC36086" w:rsidR="00932C27" w:rsidRPr="00DE1026" w:rsidRDefault="00932C27" w:rsidP="00DE1026">
      <w:pPr>
        <w:pStyle w:val="Heading1"/>
        <w:spacing w:line="360" w:lineRule="auto"/>
        <w:rPr>
          <w:rFonts w:ascii="Arial" w:hAnsi="Arial" w:cs="Arial"/>
          <w:b/>
          <w:bCs/>
          <w:sz w:val="22"/>
          <w:szCs w:val="22"/>
          <w:lang w:val="en-GB"/>
        </w:rPr>
      </w:pPr>
      <w:bookmarkStart w:id="1" w:name="_Toc213580497"/>
      <w:bookmarkStart w:id="2" w:name="_Toc213672841"/>
      <w:r w:rsidRPr="00DE1026">
        <w:rPr>
          <w:rFonts w:ascii="Arial" w:hAnsi="Arial" w:cs="Arial"/>
          <w:b/>
          <w:bCs/>
          <w:sz w:val="22"/>
          <w:szCs w:val="22"/>
          <w:lang w:val="en-GB"/>
        </w:rPr>
        <w:lastRenderedPageBreak/>
        <w:t>Introduction</w:t>
      </w:r>
      <w:bookmarkEnd w:id="0"/>
      <w:bookmarkEnd w:id="1"/>
      <w:bookmarkEnd w:id="2"/>
    </w:p>
    <w:p w14:paraId="46D2E704" w14:textId="2B3A36A6" w:rsidR="00932C27" w:rsidRPr="00DE1026" w:rsidRDefault="00932C27" w:rsidP="00DE1026">
      <w:pPr>
        <w:autoSpaceDE w:val="0"/>
        <w:autoSpaceDN w:val="0"/>
        <w:adjustRightInd w:val="0"/>
        <w:spacing w:after="0" w:line="360" w:lineRule="auto"/>
        <w:jc w:val="both"/>
        <w:rPr>
          <w:rFonts w:ascii="Arial" w:hAnsi="Arial" w:cs="Arial"/>
          <w:kern w:val="0"/>
          <w:sz w:val="22"/>
          <w:szCs w:val="22"/>
          <w:lang w:val="en-GB"/>
        </w:rPr>
      </w:pPr>
      <w:r w:rsidRPr="00DE1026">
        <w:rPr>
          <w:rFonts w:ascii="Arial" w:hAnsi="Arial" w:cs="Arial"/>
          <w:kern w:val="0"/>
          <w:sz w:val="22"/>
          <w:szCs w:val="22"/>
          <w:lang w:val="en-GB"/>
        </w:rPr>
        <w:t xml:space="preserve">The frequency of the psychological health conditions among the adults (65 years and above) is growing as world population is aging. Specifically, in the context of a dementia care facility, professionals will have the dual threat of both cognitive impairment and mental and behavioural suffering (e.g., depression, anxiety, adjustment disorders). During this report, we give recommendations to health and social care employees on how psychological theories and related studies can guide the support of this group. The care context is described first after which we give detailed descriptions of two psychological theories that can be used in adult development and health behaviour and </w:t>
      </w:r>
      <w:r w:rsidR="00AC59A7" w:rsidRPr="00DE1026">
        <w:rPr>
          <w:rFonts w:ascii="Arial" w:hAnsi="Arial" w:cs="Arial"/>
          <w:kern w:val="0"/>
          <w:sz w:val="22"/>
          <w:szCs w:val="22"/>
          <w:lang w:val="en-GB"/>
        </w:rPr>
        <w:t>lastly,</w:t>
      </w:r>
      <w:r w:rsidRPr="00DE1026">
        <w:rPr>
          <w:rFonts w:ascii="Arial" w:hAnsi="Arial" w:cs="Arial"/>
          <w:kern w:val="0"/>
          <w:sz w:val="22"/>
          <w:szCs w:val="22"/>
          <w:lang w:val="en-GB"/>
        </w:rPr>
        <w:t xml:space="preserve"> we critically apply the two theories to adult care practice as applied to older adults in a dementia care home</w:t>
      </w:r>
      <w:r w:rsidR="005A59B1" w:rsidRPr="00DE1026">
        <w:rPr>
          <w:rFonts w:ascii="Arial" w:hAnsi="Arial" w:cs="Arial"/>
          <w:kern w:val="0"/>
          <w:sz w:val="22"/>
          <w:szCs w:val="22"/>
          <w:lang w:val="en-GB"/>
        </w:rPr>
        <w:t xml:space="preserve"> (</w:t>
      </w:r>
      <w:proofErr w:type="spellStart"/>
      <w:r w:rsidR="005A59B1" w:rsidRPr="00DE1026">
        <w:rPr>
          <w:rFonts w:ascii="Arial" w:hAnsi="Arial" w:cs="Arial"/>
          <w:kern w:val="0"/>
          <w:sz w:val="22"/>
          <w:szCs w:val="22"/>
          <w:lang w:val="en-GB"/>
        </w:rPr>
        <w:t>Holingue</w:t>
      </w:r>
      <w:proofErr w:type="spellEnd"/>
      <w:r w:rsidR="005A59B1" w:rsidRPr="00DE1026">
        <w:rPr>
          <w:rFonts w:ascii="Arial" w:hAnsi="Arial" w:cs="Arial"/>
          <w:kern w:val="0"/>
          <w:sz w:val="22"/>
          <w:szCs w:val="22"/>
          <w:lang w:val="en-GB"/>
        </w:rPr>
        <w:t xml:space="preserve"> </w:t>
      </w:r>
      <w:r w:rsidR="005A59B1" w:rsidRPr="00DE1026">
        <w:rPr>
          <w:rFonts w:ascii="Arial" w:hAnsi="Arial" w:cs="Arial"/>
          <w:i/>
          <w:iCs/>
          <w:kern w:val="0"/>
          <w:sz w:val="22"/>
          <w:szCs w:val="22"/>
          <w:lang w:val="en-GB"/>
        </w:rPr>
        <w:t>et al.,</w:t>
      </w:r>
      <w:r w:rsidR="005A59B1" w:rsidRPr="00DE1026">
        <w:rPr>
          <w:rFonts w:ascii="Arial" w:hAnsi="Arial" w:cs="Arial"/>
          <w:kern w:val="0"/>
          <w:sz w:val="22"/>
          <w:szCs w:val="22"/>
          <w:lang w:val="en-GB"/>
        </w:rPr>
        <w:t xml:space="preserve"> 2020)</w:t>
      </w:r>
      <w:r w:rsidRPr="00DE1026">
        <w:rPr>
          <w:rFonts w:ascii="Arial" w:hAnsi="Arial" w:cs="Arial"/>
          <w:kern w:val="0"/>
          <w:sz w:val="22"/>
          <w:szCs w:val="22"/>
          <w:lang w:val="en-GB"/>
        </w:rPr>
        <w:t xml:space="preserve"> </w:t>
      </w:r>
    </w:p>
    <w:p w14:paraId="6E505178" w14:textId="77777777" w:rsidR="00AC59A7" w:rsidRPr="00DE1026" w:rsidRDefault="00AC59A7" w:rsidP="00DE1026">
      <w:pPr>
        <w:spacing w:line="360" w:lineRule="auto"/>
        <w:rPr>
          <w:rFonts w:ascii="Arial" w:hAnsi="Arial" w:cs="Arial"/>
          <w:kern w:val="0"/>
          <w:sz w:val="22"/>
          <w:szCs w:val="22"/>
          <w:lang w:val="en-GB"/>
        </w:rPr>
      </w:pPr>
      <w:r w:rsidRPr="00DE1026">
        <w:rPr>
          <w:rFonts w:ascii="Arial" w:hAnsi="Arial" w:cs="Arial"/>
          <w:kern w:val="0"/>
          <w:sz w:val="22"/>
          <w:szCs w:val="22"/>
          <w:lang w:val="en-GB"/>
        </w:rPr>
        <w:br w:type="page"/>
      </w:r>
    </w:p>
    <w:p w14:paraId="00EEAE25" w14:textId="65103461" w:rsidR="00A00804" w:rsidRPr="006E1C32" w:rsidRDefault="00A00804" w:rsidP="006E1C32">
      <w:pPr>
        <w:pStyle w:val="Heading1"/>
        <w:spacing w:line="360" w:lineRule="auto"/>
        <w:jc w:val="both"/>
        <w:rPr>
          <w:rFonts w:ascii="Arial" w:hAnsi="Arial" w:cs="Arial"/>
          <w:b/>
          <w:bCs/>
          <w:sz w:val="22"/>
          <w:szCs w:val="22"/>
        </w:rPr>
      </w:pPr>
      <w:bookmarkStart w:id="3" w:name="_Toc213672842"/>
      <w:bookmarkStart w:id="4" w:name="_Toc213332543"/>
      <w:bookmarkStart w:id="5" w:name="_Toc213580503"/>
      <w:r w:rsidRPr="006E1C32">
        <w:rPr>
          <w:rFonts w:ascii="Arial" w:hAnsi="Arial" w:cs="Arial"/>
          <w:b/>
          <w:bCs/>
          <w:sz w:val="22"/>
          <w:szCs w:val="22"/>
        </w:rPr>
        <w:lastRenderedPageBreak/>
        <w:t>Comparison between Two Theories: Erikson Psychosocial Theory and Positive Psychology.</w:t>
      </w:r>
      <w:bookmarkEnd w:id="3"/>
    </w:p>
    <w:p w14:paraId="5F9B724B" w14:textId="43271111"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b/>
          <w:bCs/>
          <w:kern w:val="0"/>
          <w:sz w:val="22"/>
          <w:szCs w:val="22"/>
          <w:lang w:val="en-GB"/>
        </w:rPr>
        <w:t>Psychosocial Theory of Erikson</w:t>
      </w:r>
      <w:r w:rsidRPr="006E1C32">
        <w:rPr>
          <w:rFonts w:ascii="Arial" w:hAnsi="Arial" w:cs="Arial"/>
          <w:kern w:val="0"/>
          <w:sz w:val="22"/>
          <w:szCs w:val="22"/>
          <w:lang w:val="en-GB"/>
        </w:rPr>
        <w:t xml:space="preserve"> </w:t>
      </w:r>
    </w:p>
    <w:p w14:paraId="697C9191" w14:textId="6C198C3D"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 xml:space="preserve">The psychosocial theory by Erik Erikson includes eight steps of human development, which are characterized by a key psychological struggle that leads to personality development. The later stage among adults of 65 years and above is reflection whereby the elderly consider their life, accomplishments and relations with relationships with an aim of attaining a sense of fulfilment and acceptance. This phase is associated with life review and reminiscence in which adults are in pursuit of meaning in their past lives. The ability to successfully go through this process facilitates emotional stability, wisdom and </w:t>
      </w:r>
      <w:r w:rsidR="006E1C32" w:rsidRPr="006E1C32">
        <w:rPr>
          <w:rFonts w:ascii="Arial" w:hAnsi="Arial" w:cs="Arial"/>
          <w:kern w:val="0"/>
          <w:sz w:val="22"/>
          <w:szCs w:val="22"/>
          <w:lang w:val="en-GB"/>
        </w:rPr>
        <w:t>self-acceptance</w:t>
      </w:r>
      <w:r w:rsidRPr="006E1C32">
        <w:rPr>
          <w:rFonts w:ascii="Arial" w:hAnsi="Arial" w:cs="Arial"/>
          <w:kern w:val="0"/>
          <w:sz w:val="22"/>
          <w:szCs w:val="22"/>
          <w:lang w:val="en-GB"/>
        </w:rPr>
        <w:t xml:space="preserve"> that are essential towards mental health and </w:t>
      </w:r>
      <w:r w:rsidR="006E1C32" w:rsidRPr="006E1C32">
        <w:rPr>
          <w:rFonts w:ascii="Arial" w:hAnsi="Arial" w:cs="Arial"/>
          <w:kern w:val="0"/>
          <w:sz w:val="22"/>
          <w:szCs w:val="22"/>
          <w:lang w:val="en-GB"/>
        </w:rPr>
        <w:t>well-being</w:t>
      </w:r>
      <w:r w:rsidRPr="006E1C32">
        <w:rPr>
          <w:rFonts w:ascii="Arial" w:hAnsi="Arial" w:cs="Arial"/>
          <w:kern w:val="0"/>
          <w:sz w:val="22"/>
          <w:szCs w:val="22"/>
          <w:lang w:val="en-GB"/>
        </w:rPr>
        <w:t xml:space="preserve"> during old age.</w:t>
      </w:r>
    </w:p>
    <w:p w14:paraId="6AE969AD" w14:textId="1F048F08"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 xml:space="preserve">Losses that old people often face include loss of health, loss of loved ones and loss of social roles and all of these can be a danger to </w:t>
      </w:r>
      <w:r w:rsidR="006E1C32" w:rsidRPr="006E1C32">
        <w:rPr>
          <w:rFonts w:ascii="Arial" w:hAnsi="Arial" w:cs="Arial"/>
          <w:kern w:val="0"/>
          <w:sz w:val="22"/>
          <w:szCs w:val="22"/>
          <w:lang w:val="en-GB"/>
        </w:rPr>
        <w:t>self-identity</w:t>
      </w:r>
      <w:r w:rsidRPr="006E1C32">
        <w:rPr>
          <w:rFonts w:ascii="Arial" w:hAnsi="Arial" w:cs="Arial"/>
          <w:kern w:val="0"/>
          <w:sz w:val="22"/>
          <w:szCs w:val="22"/>
          <w:lang w:val="en-GB"/>
        </w:rPr>
        <w:t xml:space="preserve"> and meaning. As Erikson states, keeping the sense of continuity and integrity in the story of the life can help to retain the self-esteem and the fortitude. Positive self-concept and loneliness or regrets can be avoided by encouraging reminiscence and storytelling as well as intergenerational interactions.</w:t>
      </w:r>
    </w:p>
    <w:p w14:paraId="1787F14F" w14:textId="20CA5A86"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This theory is relevant in dementia care since a framework of thought can be used to examine how cognitive decline influences a person in relation to his or her sense of self and life story. When the memory becomes poor, one will find it hard to add previous experience together in a cohesive manner and this can result to frustration or confusion. Caregivers can use the principles of Erikson by ensuring that they provide encouraging environments where the remaining identity of the person is legitimi</w:t>
      </w:r>
      <w:r w:rsidR="00477BEE">
        <w:rPr>
          <w:rFonts w:ascii="Arial" w:hAnsi="Arial" w:cs="Arial"/>
          <w:kern w:val="0"/>
          <w:sz w:val="22"/>
          <w:szCs w:val="22"/>
          <w:lang w:val="en-GB"/>
        </w:rPr>
        <w:t>s</w:t>
      </w:r>
      <w:r w:rsidRPr="006E1C32">
        <w:rPr>
          <w:rFonts w:ascii="Arial" w:hAnsi="Arial" w:cs="Arial"/>
          <w:kern w:val="0"/>
          <w:sz w:val="22"/>
          <w:szCs w:val="22"/>
          <w:lang w:val="en-GB"/>
        </w:rPr>
        <w:t xml:space="preserve">ed and where dignity is upheld by reaffirming the past achievements, values, and preferences of the </w:t>
      </w:r>
      <w:r w:rsidRPr="00477BEE">
        <w:rPr>
          <w:rFonts w:ascii="Arial" w:hAnsi="Arial" w:cs="Arial"/>
          <w:kern w:val="0"/>
          <w:sz w:val="22"/>
          <w:szCs w:val="22"/>
          <w:lang w:val="en-GB"/>
        </w:rPr>
        <w:t>person</w:t>
      </w:r>
      <w:r w:rsidR="00477BEE" w:rsidRPr="00477BEE">
        <w:rPr>
          <w:rFonts w:ascii="Arial" w:hAnsi="Arial" w:cs="Arial"/>
          <w:color w:val="222222"/>
          <w:sz w:val="22"/>
          <w:szCs w:val="22"/>
          <w:shd w:val="clear" w:color="auto" w:fill="FFFFFF"/>
        </w:rPr>
        <w:t xml:space="preserve"> (Jones and Waite-Stupiansky, 2022)</w:t>
      </w:r>
      <w:r w:rsidRPr="00477BEE">
        <w:rPr>
          <w:rFonts w:ascii="Arial" w:hAnsi="Arial" w:cs="Arial"/>
          <w:kern w:val="0"/>
          <w:sz w:val="22"/>
          <w:szCs w:val="22"/>
          <w:lang w:val="en-GB"/>
        </w:rPr>
        <w:t>.</w:t>
      </w:r>
    </w:p>
    <w:p w14:paraId="3F7E8FDD" w14:textId="6C58DC69" w:rsidR="00A00804" w:rsidRPr="006E1C32" w:rsidRDefault="00A00804" w:rsidP="006E1C32">
      <w:pPr>
        <w:autoSpaceDE w:val="0"/>
        <w:autoSpaceDN w:val="0"/>
        <w:adjustRightInd w:val="0"/>
        <w:spacing w:after="0" w:line="360" w:lineRule="auto"/>
        <w:jc w:val="both"/>
        <w:rPr>
          <w:rFonts w:ascii="Arial" w:hAnsi="Arial" w:cs="Arial"/>
          <w:b/>
          <w:bCs/>
          <w:kern w:val="0"/>
          <w:sz w:val="22"/>
          <w:szCs w:val="22"/>
          <w:lang w:val="en-GB"/>
        </w:rPr>
      </w:pPr>
      <w:r w:rsidRPr="006E1C32">
        <w:rPr>
          <w:rFonts w:ascii="Arial" w:hAnsi="Arial" w:cs="Arial"/>
          <w:b/>
          <w:bCs/>
          <w:kern w:val="0"/>
          <w:sz w:val="22"/>
          <w:szCs w:val="22"/>
          <w:lang w:val="en-GB"/>
        </w:rPr>
        <w:t>Ageing and Positive Psychology</w:t>
      </w:r>
    </w:p>
    <w:p w14:paraId="7561D53E" w14:textId="77777777"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Positive Psychology is a relatively new concept founded by Martin Seligman which is aimed at improving well-being as opposed to illness treatment. It emphasizes strengths, hope, resilience, and positive emotional development as ways of achieving mental health. In the older adulthood setting, this method puts an emphasis on the ability to grow, find meaning, and be happy despite the challenges of old age.</w:t>
      </w:r>
    </w:p>
    <w:p w14:paraId="453EA20F" w14:textId="77777777"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 xml:space="preserve">Such notions like PERMA (Positive Emotion, Engagement, Relationships, Meaning, and Accomplishment) are very applicable among people in age 65 years and above. Although their physical or intellectual abilities are restricted, cultivating happiness, purposeful activities, and positive relationships can make a major contribution to the quality of life. Positive Psychology </w:t>
      </w:r>
      <w:r w:rsidRPr="006E1C32">
        <w:rPr>
          <w:rFonts w:ascii="Arial" w:hAnsi="Arial" w:cs="Arial"/>
          <w:kern w:val="0"/>
          <w:sz w:val="22"/>
          <w:szCs w:val="22"/>
          <w:lang w:val="en-GB"/>
        </w:rPr>
        <w:lastRenderedPageBreak/>
        <w:t>suggests that the well-being does not entirely rely on the external conditions, but it also depends on the way individuals perceive and react to them.</w:t>
      </w:r>
    </w:p>
    <w:p w14:paraId="291C5805" w14:textId="73E0B137"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 xml:space="preserve">In the case of older adults with dementia, the theory assists in transforming the existing disability to be left out and remaining strengths. Emotional stability and cognitive stimulation can be improved with the help of gratitude exercises, music therapy, mindfulness, and involvement in hobbies or social groups. These strategies increase self-worth and positive affect thereby decreasing agitation, depression and anxiety that is a typical occurrence in dementia care. Positive Psychology is congruent with person-centred approach which advocates dignity and individuality in the practices of </w:t>
      </w:r>
      <w:r w:rsidRPr="00477BEE">
        <w:rPr>
          <w:rFonts w:ascii="Arial" w:hAnsi="Arial" w:cs="Arial"/>
          <w:kern w:val="0"/>
          <w:sz w:val="22"/>
          <w:szCs w:val="22"/>
          <w:lang w:val="en-GB"/>
        </w:rPr>
        <w:t>care</w:t>
      </w:r>
      <w:r w:rsidR="00477BEE" w:rsidRPr="00477BEE">
        <w:rPr>
          <w:rFonts w:ascii="Arial" w:hAnsi="Arial" w:cs="Arial"/>
          <w:color w:val="222222"/>
          <w:sz w:val="22"/>
          <w:szCs w:val="22"/>
          <w:shd w:val="clear" w:color="auto" w:fill="FFFFFF"/>
        </w:rPr>
        <w:t xml:space="preserve"> (</w:t>
      </w:r>
      <w:proofErr w:type="spellStart"/>
      <w:r w:rsidR="00477BEE" w:rsidRPr="00477BEE">
        <w:rPr>
          <w:rFonts w:ascii="Arial" w:hAnsi="Arial" w:cs="Arial"/>
          <w:color w:val="222222"/>
          <w:sz w:val="22"/>
          <w:szCs w:val="22"/>
          <w:shd w:val="clear" w:color="auto" w:fill="FFFFFF"/>
        </w:rPr>
        <w:t>Rorije</w:t>
      </w:r>
      <w:proofErr w:type="spellEnd"/>
      <w:r w:rsidR="00477BEE" w:rsidRPr="00477BEE">
        <w:rPr>
          <w:rFonts w:ascii="Arial" w:hAnsi="Arial" w:cs="Arial"/>
          <w:color w:val="222222"/>
          <w:sz w:val="22"/>
          <w:szCs w:val="22"/>
          <w:shd w:val="clear" w:color="auto" w:fill="FFFFFF"/>
        </w:rPr>
        <w:t xml:space="preserve"> </w:t>
      </w:r>
      <w:r w:rsidR="00477BEE" w:rsidRPr="00477BEE">
        <w:rPr>
          <w:rFonts w:ascii="Arial" w:hAnsi="Arial" w:cs="Arial"/>
          <w:i/>
          <w:iCs/>
          <w:color w:val="222222"/>
          <w:sz w:val="22"/>
          <w:szCs w:val="22"/>
          <w:shd w:val="clear" w:color="auto" w:fill="FFFFFF"/>
        </w:rPr>
        <w:t>et al.,</w:t>
      </w:r>
      <w:r w:rsidR="00477BEE" w:rsidRPr="00477BEE">
        <w:rPr>
          <w:rFonts w:ascii="Arial" w:hAnsi="Arial" w:cs="Arial"/>
          <w:color w:val="222222"/>
          <w:sz w:val="22"/>
          <w:szCs w:val="22"/>
          <w:shd w:val="clear" w:color="auto" w:fill="FFFFFF"/>
        </w:rPr>
        <w:t xml:space="preserve"> 2023)</w:t>
      </w:r>
      <w:r w:rsidRPr="00477BEE">
        <w:rPr>
          <w:rFonts w:ascii="Arial" w:hAnsi="Arial" w:cs="Arial"/>
          <w:kern w:val="0"/>
          <w:sz w:val="22"/>
          <w:szCs w:val="22"/>
          <w:lang w:val="en-GB"/>
        </w:rPr>
        <w:t>.</w:t>
      </w:r>
    </w:p>
    <w:p w14:paraId="3F697C14" w14:textId="210E400A" w:rsidR="00A00804" w:rsidRPr="006E1C32" w:rsidRDefault="00A00804" w:rsidP="006E1C32">
      <w:pPr>
        <w:pStyle w:val="Heading1"/>
        <w:spacing w:line="360" w:lineRule="auto"/>
        <w:jc w:val="both"/>
        <w:rPr>
          <w:rFonts w:ascii="Arial" w:hAnsi="Arial" w:cs="Arial"/>
          <w:b/>
          <w:bCs/>
          <w:sz w:val="22"/>
          <w:szCs w:val="22"/>
          <w:lang w:val="en-GB"/>
        </w:rPr>
      </w:pPr>
      <w:bookmarkStart w:id="6" w:name="_Toc213672843"/>
      <w:r w:rsidRPr="006E1C32">
        <w:rPr>
          <w:rFonts w:ascii="Arial" w:hAnsi="Arial" w:cs="Arial"/>
          <w:b/>
          <w:bCs/>
          <w:sz w:val="22"/>
          <w:szCs w:val="22"/>
          <w:lang w:val="en-GB"/>
        </w:rPr>
        <w:t>Usage in the Health and Social Care Situation</w:t>
      </w:r>
      <w:bookmarkEnd w:id="6"/>
    </w:p>
    <w:p w14:paraId="4CC9D0F3" w14:textId="77777777"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b/>
          <w:bCs/>
          <w:kern w:val="0"/>
          <w:sz w:val="22"/>
          <w:szCs w:val="22"/>
          <w:lang w:val="en-GB"/>
        </w:rPr>
        <w:t>Erikson Theoretical Dementia Care</w:t>
      </w:r>
      <w:r w:rsidRPr="006E1C32">
        <w:rPr>
          <w:rFonts w:ascii="Arial" w:hAnsi="Arial" w:cs="Arial"/>
          <w:kern w:val="0"/>
          <w:sz w:val="22"/>
          <w:szCs w:val="22"/>
          <w:lang w:val="en-GB"/>
        </w:rPr>
        <w:t>.</w:t>
      </w:r>
    </w:p>
    <w:p w14:paraId="7561D144" w14:textId="77777777"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Erikson framework can be used in dementia care to aid in identity maintenance and continuity of emotions. Practical tools based on this theory are life review therapy and reminiscence activities. As an illustration, the employees can discuss the personal life of residents, their family, or professional success with them using photos, music, or common items. The activities stimulate long-term memory and strengthen personal identity despite a decline in short-term recollection.</w:t>
      </w:r>
    </w:p>
    <w:p w14:paraId="44A6197C" w14:textId="77777777"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Also, the knowledge of Erikson can be applied by care professionals to encourage independence and meaning. Engaging older people in minor decisions concerning their daily lives, e.g. selecting clothes or meals, will reinforce a feeling of being in control and dignified. Family involvement is also important in helping to strengthen the person life story that helps in continuality of self and stability of emotions.</w:t>
      </w:r>
    </w:p>
    <w:p w14:paraId="4E33E87B" w14:textId="1604BB8A"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Nevertheless, there are difficulties that come into play when these people suffer serious dementia and become unable to communicate or to remember important aspects. In those situations, practitioners might find it difficult to read non-verbal communication or keep meaningful communication. The only way to cope with such issues is to train the staff on emotional sensitivity, person-centred communication and non-verbal interaction. Sensory therapy, employment of memory boxes and routine use can also be used to enhance emotional security as well as alleviate confusion.</w:t>
      </w:r>
    </w:p>
    <w:p w14:paraId="386A952B" w14:textId="4E9B522E" w:rsidR="00A00804" w:rsidRPr="006E1C32" w:rsidRDefault="00A00804" w:rsidP="006E1C32">
      <w:pPr>
        <w:autoSpaceDE w:val="0"/>
        <w:autoSpaceDN w:val="0"/>
        <w:adjustRightInd w:val="0"/>
        <w:spacing w:after="0" w:line="360" w:lineRule="auto"/>
        <w:jc w:val="both"/>
        <w:rPr>
          <w:rFonts w:ascii="Arial" w:hAnsi="Arial" w:cs="Arial"/>
          <w:b/>
          <w:bCs/>
          <w:kern w:val="0"/>
          <w:sz w:val="22"/>
          <w:szCs w:val="22"/>
          <w:lang w:val="en-GB"/>
        </w:rPr>
      </w:pPr>
      <w:r w:rsidRPr="006E1C32">
        <w:rPr>
          <w:rFonts w:ascii="Arial" w:hAnsi="Arial" w:cs="Arial"/>
          <w:b/>
          <w:bCs/>
          <w:kern w:val="0"/>
          <w:sz w:val="22"/>
          <w:szCs w:val="22"/>
          <w:lang w:val="en-GB"/>
        </w:rPr>
        <w:t>Positive Psychology within Dementia Care</w:t>
      </w:r>
    </w:p>
    <w:p w14:paraId="6BE96E55" w14:textId="6F67BC27"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 xml:space="preserve">Positive Psychology has been suggested to be used in dementia care by interventions that enhance happiness, optimism, and social bonding. Activities that evoke positive emotions: music, therapy through laughter, gardening, or pet-assisted therapy are used to decrease anxiety and </w:t>
      </w:r>
      <w:r w:rsidRPr="006E1C32">
        <w:rPr>
          <w:rFonts w:ascii="Arial" w:hAnsi="Arial" w:cs="Arial"/>
          <w:kern w:val="0"/>
          <w:sz w:val="22"/>
          <w:szCs w:val="22"/>
          <w:lang w:val="en-GB"/>
        </w:rPr>
        <w:lastRenderedPageBreak/>
        <w:t xml:space="preserve">enhance the emotional state. Even the most basic forms of </w:t>
      </w:r>
      <w:r w:rsidRPr="00477BEE">
        <w:rPr>
          <w:rFonts w:ascii="Arial" w:hAnsi="Arial" w:cs="Arial"/>
          <w:kern w:val="0"/>
          <w:sz w:val="22"/>
          <w:szCs w:val="22"/>
          <w:lang w:val="en-GB"/>
        </w:rPr>
        <w:t>gratitude such as saying thank you at dinner can help an individual start seeing the good part of the day</w:t>
      </w:r>
      <w:r w:rsidR="00477BEE" w:rsidRPr="00477BEE">
        <w:rPr>
          <w:rFonts w:ascii="Arial" w:hAnsi="Arial" w:cs="Arial"/>
          <w:color w:val="222222"/>
          <w:sz w:val="22"/>
          <w:szCs w:val="22"/>
          <w:shd w:val="clear" w:color="auto" w:fill="FFFFFF"/>
        </w:rPr>
        <w:t xml:space="preserve"> (Lau </w:t>
      </w:r>
      <w:r w:rsidR="00477BEE" w:rsidRPr="00477BEE">
        <w:rPr>
          <w:rFonts w:ascii="Arial" w:hAnsi="Arial" w:cs="Arial"/>
          <w:i/>
          <w:iCs/>
          <w:color w:val="222222"/>
          <w:sz w:val="22"/>
          <w:szCs w:val="22"/>
          <w:shd w:val="clear" w:color="auto" w:fill="FFFFFF"/>
        </w:rPr>
        <w:t>et al.,</w:t>
      </w:r>
      <w:r w:rsidR="00477BEE" w:rsidRPr="00477BEE">
        <w:rPr>
          <w:rFonts w:ascii="Arial" w:hAnsi="Arial" w:cs="Arial"/>
          <w:color w:val="222222"/>
          <w:sz w:val="22"/>
          <w:szCs w:val="22"/>
          <w:shd w:val="clear" w:color="auto" w:fill="FFFFFF"/>
        </w:rPr>
        <w:t xml:space="preserve"> 2021)</w:t>
      </w:r>
      <w:r w:rsidRPr="00477BEE">
        <w:rPr>
          <w:rFonts w:ascii="Arial" w:hAnsi="Arial" w:cs="Arial"/>
          <w:kern w:val="0"/>
          <w:sz w:val="22"/>
          <w:szCs w:val="22"/>
          <w:lang w:val="en-GB"/>
        </w:rPr>
        <w:t>.</w:t>
      </w:r>
    </w:p>
    <w:p w14:paraId="753A994E" w14:textId="77777777"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Additionally, meaning and engagement can become the concept that will inform care planning. The residents should be encouraged to engage in an engaging or meaningful activity (e.g., folding napkins, assisting with water plants, and telling stories with their peers) to make them feel that they are contributing to something. The relationship aspect of the PERMA model emphasizes the efficacy of trustful relationships between caregivers and residents, which promotes the sense of emotional security and belonging.</w:t>
      </w:r>
    </w:p>
    <w:p w14:paraId="64182ADD" w14:textId="77777777"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Difficulties in implementing Positive Psychology comprise the difference in the degree of cognitive deficiency that can be restrictive to engagement in organized activities. Also, the lack of staff and heavy workloads in care facilities can be the obstacles to the steady application of such person-centred interventions. Interventions to address such obstacles are staff training on good care values, integration of micro-interventions (e.g., short daily compliments or mindfulness breaks) and the culture of positivity and empathy in the workplace.</w:t>
      </w:r>
    </w:p>
    <w:p w14:paraId="0E313EEC" w14:textId="77777777"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p>
    <w:p w14:paraId="3C0642E8" w14:textId="77777777" w:rsidR="006E1C32" w:rsidRPr="006E1C32" w:rsidRDefault="006E1C32" w:rsidP="006E1C32">
      <w:pPr>
        <w:spacing w:line="360" w:lineRule="auto"/>
        <w:jc w:val="both"/>
        <w:rPr>
          <w:rFonts w:ascii="Arial" w:hAnsi="Arial" w:cs="Arial"/>
          <w:kern w:val="0"/>
          <w:sz w:val="22"/>
          <w:szCs w:val="22"/>
          <w:lang w:val="en-GB"/>
        </w:rPr>
      </w:pPr>
      <w:r w:rsidRPr="006E1C32">
        <w:rPr>
          <w:rFonts w:ascii="Arial" w:hAnsi="Arial" w:cs="Arial"/>
          <w:kern w:val="0"/>
          <w:sz w:val="22"/>
          <w:szCs w:val="22"/>
          <w:lang w:val="en-GB"/>
        </w:rPr>
        <w:br w:type="page"/>
      </w:r>
    </w:p>
    <w:p w14:paraId="1247A706" w14:textId="7474B30F" w:rsidR="00A00804" w:rsidRPr="006E1C32" w:rsidRDefault="00A00804" w:rsidP="006E1C32">
      <w:pPr>
        <w:pStyle w:val="Heading1"/>
        <w:spacing w:line="360" w:lineRule="auto"/>
        <w:jc w:val="both"/>
        <w:rPr>
          <w:rFonts w:ascii="Arial" w:hAnsi="Arial" w:cs="Arial"/>
          <w:b/>
          <w:bCs/>
          <w:sz w:val="22"/>
          <w:szCs w:val="22"/>
          <w:lang w:val="en-GB"/>
        </w:rPr>
      </w:pPr>
      <w:bookmarkStart w:id="7" w:name="_Toc213672844"/>
      <w:r w:rsidRPr="006E1C32">
        <w:rPr>
          <w:rFonts w:ascii="Arial" w:hAnsi="Arial" w:cs="Arial"/>
          <w:b/>
          <w:bCs/>
          <w:sz w:val="22"/>
          <w:szCs w:val="22"/>
          <w:lang w:val="en-GB"/>
        </w:rPr>
        <w:lastRenderedPageBreak/>
        <w:t>Comparative Evaluation</w:t>
      </w:r>
      <w:bookmarkEnd w:id="7"/>
    </w:p>
    <w:p w14:paraId="61DF4900" w14:textId="77777777"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The theories of Erikson and Positive Psychology are based on the same humanistic approach, which is concerned with the meaning and identity of a person and well-being. Erikson method focuses on life review and acceptance of the past as a major part of emotional fulfilment, when Positive Psychology focuses on developing joy, purpose and relationships in the present.</w:t>
      </w:r>
    </w:p>
    <w:p w14:paraId="4E006B34" w14:textId="77777777"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The theory by Erikson can be used in dementia care to assist practitioners to view behavioural expressions as a failure of identity or life-stage conflict. Positive Psychology, on the contrary, provides practical methods to improve the well-being by positive emotions and interventions based on the strength. The two complement one another as Erikson is more insightful of the self, whereas Positive Psychology offers the means of maintaining well-being even in the face of deterioration.</w:t>
      </w:r>
    </w:p>
    <w:p w14:paraId="011D7A71" w14:textId="3FD71AB6" w:rsidR="00A00804" w:rsidRPr="006E1C32" w:rsidRDefault="00A00804" w:rsidP="006E1C32">
      <w:pPr>
        <w:autoSpaceDE w:val="0"/>
        <w:autoSpaceDN w:val="0"/>
        <w:adjustRightInd w:val="0"/>
        <w:spacing w:after="0" w:line="360" w:lineRule="auto"/>
        <w:jc w:val="both"/>
        <w:rPr>
          <w:rFonts w:ascii="Arial" w:hAnsi="Arial" w:cs="Arial"/>
          <w:kern w:val="0"/>
          <w:sz w:val="22"/>
          <w:szCs w:val="22"/>
          <w:lang w:val="en-GB"/>
        </w:rPr>
      </w:pPr>
      <w:r w:rsidRPr="006E1C32">
        <w:rPr>
          <w:rFonts w:ascii="Arial" w:hAnsi="Arial" w:cs="Arial"/>
          <w:kern w:val="0"/>
          <w:sz w:val="22"/>
          <w:szCs w:val="22"/>
          <w:lang w:val="en-GB"/>
        </w:rPr>
        <w:t>Nonetheless, both have to be adapted to the dementia environment when memory and cognition are impaired. The primary difficulty of the professionals is the balance between engagement with the therapeutic work and practical care activities. The two frameworks can be implemented in a meaningful way through continuous training, multidisciplinary collaboration and reflection practice</w:t>
      </w:r>
      <w:r w:rsidR="00477BEE">
        <w:rPr>
          <w:rFonts w:ascii="Arial" w:hAnsi="Arial" w:cs="Arial"/>
          <w:kern w:val="0"/>
          <w:sz w:val="22"/>
          <w:szCs w:val="22"/>
          <w:lang w:val="en-GB"/>
        </w:rPr>
        <w:t xml:space="preserve"> </w:t>
      </w:r>
      <w:r w:rsidR="00477BEE" w:rsidRPr="00477BEE">
        <w:rPr>
          <w:rFonts w:ascii="Arial" w:hAnsi="Arial" w:cs="Arial"/>
          <w:color w:val="222222"/>
          <w:sz w:val="22"/>
          <w:szCs w:val="22"/>
          <w:shd w:val="clear" w:color="auto" w:fill="FFFFFF"/>
        </w:rPr>
        <w:t>(Worth, 2022).</w:t>
      </w:r>
    </w:p>
    <w:p w14:paraId="690A660F" w14:textId="77777777" w:rsidR="00A00804" w:rsidRPr="006E1C32" w:rsidRDefault="00A00804" w:rsidP="006E1C32">
      <w:pPr>
        <w:spacing w:line="360" w:lineRule="auto"/>
        <w:jc w:val="both"/>
        <w:rPr>
          <w:rFonts w:ascii="Arial" w:eastAsiaTheme="majorEastAsia" w:hAnsi="Arial" w:cs="Arial"/>
          <w:b/>
          <w:bCs/>
          <w:color w:val="2F5496" w:themeColor="accent1" w:themeShade="BF"/>
          <w:sz w:val="22"/>
          <w:szCs w:val="22"/>
          <w:lang w:val="en-GB"/>
        </w:rPr>
      </w:pPr>
      <w:r w:rsidRPr="006E1C32">
        <w:rPr>
          <w:rFonts w:ascii="Arial" w:hAnsi="Arial" w:cs="Arial"/>
          <w:b/>
          <w:bCs/>
          <w:sz w:val="22"/>
          <w:szCs w:val="22"/>
          <w:lang w:val="en-GB"/>
        </w:rPr>
        <w:br w:type="page"/>
      </w:r>
    </w:p>
    <w:p w14:paraId="49674258" w14:textId="22DF3BEB" w:rsidR="00932C27" w:rsidRPr="00DE1026" w:rsidRDefault="00932C27" w:rsidP="00DE1026">
      <w:pPr>
        <w:pStyle w:val="Heading1"/>
        <w:spacing w:line="360" w:lineRule="auto"/>
        <w:rPr>
          <w:rFonts w:ascii="Arial" w:hAnsi="Arial" w:cs="Arial"/>
          <w:b/>
          <w:bCs/>
          <w:sz w:val="22"/>
          <w:szCs w:val="22"/>
          <w:lang w:val="en-GB"/>
        </w:rPr>
      </w:pPr>
      <w:bookmarkStart w:id="8" w:name="_Toc213672845"/>
      <w:r w:rsidRPr="00DE1026">
        <w:rPr>
          <w:rFonts w:ascii="Arial" w:hAnsi="Arial" w:cs="Arial"/>
          <w:b/>
          <w:bCs/>
          <w:sz w:val="22"/>
          <w:szCs w:val="22"/>
          <w:lang w:val="en-GB"/>
        </w:rPr>
        <w:lastRenderedPageBreak/>
        <w:t>Conclusion</w:t>
      </w:r>
      <w:bookmarkEnd w:id="4"/>
      <w:bookmarkEnd w:id="5"/>
      <w:bookmarkEnd w:id="8"/>
    </w:p>
    <w:p w14:paraId="19690349" w14:textId="341FA5D9" w:rsidR="00932C27" w:rsidRPr="00DE1026" w:rsidRDefault="00932C27" w:rsidP="00DE1026">
      <w:pPr>
        <w:autoSpaceDE w:val="0"/>
        <w:autoSpaceDN w:val="0"/>
        <w:adjustRightInd w:val="0"/>
        <w:spacing w:after="0" w:line="360" w:lineRule="auto"/>
        <w:jc w:val="both"/>
        <w:rPr>
          <w:rFonts w:ascii="Arial" w:hAnsi="Arial" w:cs="Arial"/>
          <w:kern w:val="0"/>
          <w:sz w:val="22"/>
          <w:szCs w:val="22"/>
          <w:lang w:val="en-GB"/>
        </w:rPr>
      </w:pPr>
      <w:r w:rsidRPr="00DE1026">
        <w:rPr>
          <w:rFonts w:ascii="Arial" w:hAnsi="Arial" w:cs="Arial"/>
          <w:kern w:val="0"/>
          <w:sz w:val="22"/>
          <w:szCs w:val="22"/>
          <w:lang w:val="en-GB"/>
        </w:rPr>
        <w:t xml:space="preserve">Psychological health and adaptive behaviour support is complicated in the environment of older adults 65 years and above residing in a dementia care home however, the implementation of psychological theory significantly improves the situation. Taking a developmental theory (Erikson Integrity vs Despair) and health-behaviour change model, professionals can use a sound framework to make meaningful, person-centred interventions. The developmental theory is based on identity, meaning-making and adaptation; the behavioural one has beliefs, self-efficacy and action. Life-story work, behaviour change techniques, the environmental modification and continuous monitoring are utilized in practice. Although there are obstacles (cognitive impairment, institutional constraints, motivating older adults), they can be overcome by providing training of staff, interventions specific to the patient, working in an interdisciplinary team and family engagement. </w:t>
      </w:r>
    </w:p>
    <w:p w14:paraId="6CAFCEC6" w14:textId="77777777" w:rsidR="00932C27" w:rsidRDefault="00932C27" w:rsidP="00932C27">
      <w:pPr>
        <w:autoSpaceDE w:val="0"/>
        <w:autoSpaceDN w:val="0"/>
        <w:adjustRightInd w:val="0"/>
        <w:spacing w:after="0" w:line="240" w:lineRule="auto"/>
        <w:rPr>
          <w:rFonts w:ascii="AppleSystemUIFont" w:hAnsi="AppleSystemUIFont" w:cs="AppleSystemUIFont"/>
          <w:kern w:val="0"/>
          <w:sz w:val="26"/>
          <w:szCs w:val="26"/>
          <w:lang w:val="en-GB"/>
        </w:rPr>
      </w:pPr>
    </w:p>
    <w:p w14:paraId="01746C52" w14:textId="77777777" w:rsidR="00CB4405" w:rsidRDefault="00CB4405">
      <w:pPr>
        <w:rPr>
          <w:rFonts w:ascii="Times New Roman" w:eastAsiaTheme="majorEastAsia" w:hAnsi="Times New Roman" w:cs="Times New Roman"/>
          <w:b/>
          <w:bCs/>
          <w:color w:val="2F5496" w:themeColor="accent1" w:themeShade="BF"/>
          <w:lang w:val="en-GB"/>
        </w:rPr>
      </w:pPr>
      <w:r>
        <w:rPr>
          <w:rFonts w:ascii="Times New Roman" w:hAnsi="Times New Roman" w:cs="Times New Roman"/>
          <w:b/>
          <w:bCs/>
          <w:lang w:val="en-GB"/>
        </w:rPr>
        <w:br w:type="page"/>
      </w:r>
    </w:p>
    <w:p w14:paraId="2F9C782B" w14:textId="5F289F63" w:rsidR="00932C27" w:rsidRPr="00CB4405" w:rsidRDefault="00BC1B36" w:rsidP="00CB4405">
      <w:pPr>
        <w:pStyle w:val="Heading1"/>
        <w:rPr>
          <w:rFonts w:ascii="Times New Roman" w:hAnsi="Times New Roman" w:cs="Times New Roman"/>
          <w:b/>
          <w:bCs/>
          <w:sz w:val="24"/>
          <w:szCs w:val="24"/>
          <w:lang w:val="en-GB"/>
        </w:rPr>
      </w:pPr>
      <w:bookmarkStart w:id="9" w:name="_Toc213332544"/>
      <w:bookmarkStart w:id="10" w:name="_Toc213580504"/>
      <w:bookmarkStart w:id="11" w:name="_Toc213672846"/>
      <w:r>
        <w:rPr>
          <w:rFonts w:ascii="Times New Roman" w:hAnsi="Times New Roman" w:cs="Times New Roman"/>
          <w:b/>
          <w:bCs/>
          <w:sz w:val="24"/>
          <w:szCs w:val="24"/>
          <w:lang w:val="en-GB"/>
        </w:rPr>
        <w:lastRenderedPageBreak/>
        <w:t xml:space="preserve">                                             </w:t>
      </w:r>
      <w:r w:rsidR="00932C27" w:rsidRPr="00CB4405">
        <w:rPr>
          <w:rFonts w:ascii="Times New Roman" w:hAnsi="Times New Roman" w:cs="Times New Roman"/>
          <w:b/>
          <w:bCs/>
          <w:sz w:val="24"/>
          <w:szCs w:val="24"/>
          <w:lang w:val="en-GB"/>
        </w:rPr>
        <w:t>References</w:t>
      </w:r>
      <w:bookmarkEnd w:id="9"/>
      <w:bookmarkEnd w:id="10"/>
      <w:bookmarkEnd w:id="11"/>
    </w:p>
    <w:p w14:paraId="42930A2E" w14:textId="77777777" w:rsidR="00477BEE" w:rsidRPr="00477BEE" w:rsidRDefault="00477BEE" w:rsidP="00477BEE">
      <w:pPr>
        <w:spacing w:line="360" w:lineRule="auto"/>
        <w:jc w:val="both"/>
        <w:rPr>
          <w:rFonts w:ascii="Arial" w:hAnsi="Arial" w:cs="Arial"/>
          <w:color w:val="222222"/>
          <w:sz w:val="22"/>
          <w:szCs w:val="22"/>
          <w:shd w:val="clear" w:color="auto" w:fill="FFFFFF"/>
        </w:rPr>
      </w:pPr>
      <w:r w:rsidRPr="00477BEE">
        <w:rPr>
          <w:rFonts w:ascii="Arial" w:hAnsi="Arial" w:cs="Arial"/>
          <w:color w:val="222222"/>
          <w:sz w:val="22"/>
          <w:szCs w:val="22"/>
          <w:shd w:val="clear" w:color="auto" w:fill="FFFFFF"/>
        </w:rPr>
        <w:t xml:space="preserve">Allen, J.G., </w:t>
      </w:r>
      <w:proofErr w:type="spellStart"/>
      <w:r w:rsidRPr="00477BEE">
        <w:rPr>
          <w:rFonts w:ascii="Arial" w:hAnsi="Arial" w:cs="Arial"/>
          <w:color w:val="222222"/>
          <w:sz w:val="22"/>
          <w:szCs w:val="22"/>
          <w:shd w:val="clear" w:color="auto" w:fill="FFFFFF"/>
        </w:rPr>
        <w:t>Romate</w:t>
      </w:r>
      <w:proofErr w:type="spellEnd"/>
      <w:r w:rsidRPr="00477BEE">
        <w:rPr>
          <w:rFonts w:ascii="Arial" w:hAnsi="Arial" w:cs="Arial"/>
          <w:color w:val="222222"/>
          <w:sz w:val="22"/>
          <w:szCs w:val="22"/>
          <w:shd w:val="clear" w:color="auto" w:fill="FFFFFF"/>
        </w:rPr>
        <w:t xml:space="preserve">, J. and Rajkumar, E., 2021. </w:t>
      </w:r>
      <w:r w:rsidRPr="00BC1B36">
        <w:rPr>
          <w:rFonts w:ascii="Arial" w:hAnsi="Arial" w:cs="Arial"/>
          <w:i/>
          <w:iCs/>
          <w:color w:val="222222"/>
          <w:sz w:val="22"/>
          <w:szCs w:val="22"/>
          <w:shd w:val="clear" w:color="auto" w:fill="FFFFFF"/>
        </w:rPr>
        <w:t>Mindfulness-based positive psychology interventions</w:t>
      </w:r>
      <w:r w:rsidRPr="00477BEE">
        <w:rPr>
          <w:rFonts w:ascii="Arial" w:hAnsi="Arial" w:cs="Arial"/>
          <w:color w:val="222222"/>
          <w:sz w:val="22"/>
          <w:szCs w:val="22"/>
          <w:shd w:val="clear" w:color="auto" w:fill="FFFFFF"/>
        </w:rPr>
        <w:t>: a systematic review. </w:t>
      </w:r>
      <w:r w:rsidRPr="00477BEE">
        <w:rPr>
          <w:rFonts w:ascii="Arial" w:hAnsi="Arial" w:cs="Arial"/>
          <w:i/>
          <w:iCs/>
          <w:color w:val="222222"/>
          <w:sz w:val="22"/>
          <w:szCs w:val="22"/>
          <w:shd w:val="clear" w:color="auto" w:fill="FFFFFF"/>
        </w:rPr>
        <w:t>BMC psychology</w:t>
      </w:r>
      <w:r w:rsidRPr="00477BEE">
        <w:rPr>
          <w:rFonts w:ascii="Arial" w:hAnsi="Arial" w:cs="Arial"/>
          <w:color w:val="222222"/>
          <w:sz w:val="22"/>
          <w:szCs w:val="22"/>
          <w:shd w:val="clear" w:color="auto" w:fill="FFFFFF"/>
        </w:rPr>
        <w:t>, </w:t>
      </w:r>
      <w:r w:rsidRPr="00477BEE">
        <w:rPr>
          <w:rFonts w:ascii="Arial" w:hAnsi="Arial" w:cs="Arial"/>
          <w:i/>
          <w:iCs/>
          <w:color w:val="222222"/>
          <w:sz w:val="22"/>
          <w:szCs w:val="22"/>
          <w:shd w:val="clear" w:color="auto" w:fill="FFFFFF"/>
        </w:rPr>
        <w:t>9</w:t>
      </w:r>
      <w:r w:rsidRPr="00477BEE">
        <w:rPr>
          <w:rFonts w:ascii="Arial" w:hAnsi="Arial" w:cs="Arial"/>
          <w:color w:val="222222"/>
          <w:sz w:val="22"/>
          <w:szCs w:val="22"/>
          <w:shd w:val="clear" w:color="auto" w:fill="FFFFFF"/>
        </w:rPr>
        <w:t>(1), p.116.</w:t>
      </w:r>
      <w:r w:rsidRPr="00477BEE">
        <w:rPr>
          <w:rFonts w:ascii="Arial" w:hAnsi="Arial" w:cs="Arial"/>
          <w:kern w:val="0"/>
          <w:sz w:val="22"/>
          <w:szCs w:val="22"/>
          <w:lang w:val="en-GB"/>
        </w:rPr>
        <w:t xml:space="preserve"> </w:t>
      </w:r>
      <w:r w:rsidRPr="00477BEE">
        <w:rPr>
          <w:rFonts w:ascii="Arial" w:hAnsi="Arial" w:cs="Arial"/>
          <w:color w:val="222222"/>
          <w:sz w:val="22"/>
          <w:szCs w:val="22"/>
          <w:shd w:val="clear" w:color="auto" w:fill="FFFFFF"/>
        </w:rPr>
        <w:t xml:space="preserve">Available at: </w:t>
      </w:r>
      <w:hyperlink r:id="rId8" w:history="1">
        <w:r w:rsidRPr="00477BEE">
          <w:rPr>
            <w:rStyle w:val="Hyperlink"/>
            <w:rFonts w:ascii="Arial" w:hAnsi="Arial" w:cs="Arial"/>
            <w:sz w:val="22"/>
            <w:szCs w:val="22"/>
            <w:shd w:val="clear" w:color="auto" w:fill="FFFFFF"/>
          </w:rPr>
          <w:t>https://link.springer.com/article/10.1186/s40359-021-00618-2</w:t>
        </w:r>
      </w:hyperlink>
      <w:r w:rsidRPr="00477BEE">
        <w:rPr>
          <w:rFonts w:ascii="Arial" w:hAnsi="Arial" w:cs="Arial"/>
          <w:color w:val="222222"/>
          <w:sz w:val="22"/>
          <w:szCs w:val="22"/>
          <w:shd w:val="clear" w:color="auto" w:fill="FFFFFF"/>
        </w:rPr>
        <w:t xml:space="preserve"> (Accessed 10th November 2025).</w:t>
      </w:r>
    </w:p>
    <w:p w14:paraId="1DFA5996" w14:textId="77777777" w:rsidR="00477BEE" w:rsidRPr="00477BEE" w:rsidRDefault="00477BEE" w:rsidP="00477BEE">
      <w:pPr>
        <w:spacing w:line="360" w:lineRule="auto"/>
        <w:jc w:val="both"/>
        <w:rPr>
          <w:rFonts w:ascii="Arial" w:hAnsi="Arial" w:cs="Arial"/>
          <w:kern w:val="0"/>
          <w:sz w:val="22"/>
          <w:szCs w:val="22"/>
          <w:lang w:val="en-GB"/>
        </w:rPr>
      </w:pPr>
      <w:proofErr w:type="spellStart"/>
      <w:r w:rsidRPr="00477BEE">
        <w:rPr>
          <w:rFonts w:ascii="Arial" w:hAnsi="Arial" w:cs="Arial"/>
          <w:kern w:val="0"/>
          <w:sz w:val="22"/>
          <w:szCs w:val="22"/>
          <w:lang w:val="en-GB"/>
        </w:rPr>
        <w:t>Holingue</w:t>
      </w:r>
      <w:proofErr w:type="spellEnd"/>
      <w:r w:rsidRPr="00477BEE">
        <w:rPr>
          <w:rFonts w:ascii="Arial" w:hAnsi="Arial" w:cs="Arial"/>
          <w:kern w:val="0"/>
          <w:sz w:val="22"/>
          <w:szCs w:val="22"/>
          <w:lang w:val="en-GB"/>
        </w:rPr>
        <w:t xml:space="preserve">, C., Badillo-Goicoechea, E., Riehm, K.E., Veldhuis, C.B., </w:t>
      </w:r>
      <w:proofErr w:type="spellStart"/>
      <w:r w:rsidRPr="00477BEE">
        <w:rPr>
          <w:rFonts w:ascii="Arial" w:hAnsi="Arial" w:cs="Arial"/>
          <w:kern w:val="0"/>
          <w:sz w:val="22"/>
          <w:szCs w:val="22"/>
          <w:lang w:val="en-GB"/>
        </w:rPr>
        <w:t>Thrul</w:t>
      </w:r>
      <w:proofErr w:type="spellEnd"/>
      <w:r w:rsidRPr="00477BEE">
        <w:rPr>
          <w:rFonts w:ascii="Arial" w:hAnsi="Arial" w:cs="Arial"/>
          <w:kern w:val="0"/>
          <w:sz w:val="22"/>
          <w:szCs w:val="22"/>
          <w:lang w:val="en-GB"/>
        </w:rPr>
        <w:t>, J., Johnson, R.M., Fallin, M.D., Kreuter, F., Stuart, E.A. and Kalb, L.G., (2020) ‘</w:t>
      </w:r>
      <w:r w:rsidRPr="00BC1B36">
        <w:rPr>
          <w:rFonts w:ascii="Arial" w:hAnsi="Arial" w:cs="Arial"/>
          <w:i/>
          <w:iCs/>
          <w:kern w:val="0"/>
          <w:sz w:val="22"/>
          <w:szCs w:val="22"/>
          <w:lang w:val="en-GB"/>
        </w:rPr>
        <w:t>Mental distress during the COVID-19 pandemic among US adults without a pre-existing mental health condition</w:t>
      </w:r>
      <w:r w:rsidRPr="00477BEE">
        <w:rPr>
          <w:rFonts w:ascii="Arial" w:hAnsi="Arial" w:cs="Arial"/>
          <w:kern w:val="0"/>
          <w:sz w:val="22"/>
          <w:szCs w:val="22"/>
          <w:lang w:val="en-GB"/>
        </w:rPr>
        <w:t>: Findings from American Trends Panel survey’. </w:t>
      </w:r>
      <w:r w:rsidRPr="00477BEE">
        <w:rPr>
          <w:rFonts w:ascii="Arial" w:hAnsi="Arial" w:cs="Arial"/>
          <w:i/>
          <w:iCs/>
          <w:kern w:val="0"/>
          <w:sz w:val="22"/>
          <w:szCs w:val="22"/>
          <w:lang w:val="en-GB"/>
        </w:rPr>
        <w:t>Preventive medicine</w:t>
      </w:r>
      <w:r w:rsidRPr="00477BEE">
        <w:rPr>
          <w:rFonts w:ascii="Arial" w:hAnsi="Arial" w:cs="Arial"/>
          <w:kern w:val="0"/>
          <w:sz w:val="22"/>
          <w:szCs w:val="22"/>
          <w:lang w:val="en-GB"/>
        </w:rPr>
        <w:t>, </w:t>
      </w:r>
      <w:r w:rsidRPr="00477BEE">
        <w:rPr>
          <w:rFonts w:ascii="Arial" w:hAnsi="Arial" w:cs="Arial"/>
          <w:i/>
          <w:iCs/>
          <w:kern w:val="0"/>
          <w:sz w:val="22"/>
          <w:szCs w:val="22"/>
          <w:lang w:val="en-GB"/>
        </w:rPr>
        <w:t>139</w:t>
      </w:r>
      <w:r w:rsidRPr="00477BEE">
        <w:rPr>
          <w:rFonts w:ascii="Arial" w:hAnsi="Arial" w:cs="Arial"/>
          <w:kern w:val="0"/>
          <w:sz w:val="22"/>
          <w:szCs w:val="22"/>
          <w:lang w:val="en-GB"/>
        </w:rPr>
        <w:t xml:space="preserve">, p.106231.Available at: </w:t>
      </w:r>
      <w:hyperlink r:id="rId9" w:history="1">
        <w:r w:rsidRPr="00477BEE">
          <w:rPr>
            <w:rStyle w:val="Hyperlink"/>
            <w:rFonts w:ascii="Arial" w:hAnsi="Arial" w:cs="Arial"/>
            <w:kern w:val="0"/>
            <w:sz w:val="22"/>
            <w:szCs w:val="22"/>
            <w:lang w:val="en-GB"/>
          </w:rPr>
          <w:t>https://www.sciencedirect.com/science/article/pii/S0091743520302553</w:t>
        </w:r>
      </w:hyperlink>
      <w:r w:rsidRPr="00477BEE">
        <w:rPr>
          <w:rFonts w:ascii="Arial" w:hAnsi="Arial" w:cs="Arial"/>
          <w:kern w:val="0"/>
          <w:sz w:val="22"/>
          <w:szCs w:val="22"/>
          <w:lang w:val="en-GB"/>
        </w:rPr>
        <w:t xml:space="preserve"> (Accessed 6th November 2025)</w:t>
      </w:r>
    </w:p>
    <w:p w14:paraId="284B7EEC" w14:textId="77777777" w:rsidR="00477BEE" w:rsidRPr="00477BEE" w:rsidRDefault="00477BEE" w:rsidP="00477BEE">
      <w:pPr>
        <w:spacing w:line="360" w:lineRule="auto"/>
        <w:jc w:val="both"/>
        <w:rPr>
          <w:rFonts w:ascii="Arial" w:hAnsi="Arial" w:cs="Arial"/>
          <w:color w:val="222222"/>
          <w:sz w:val="22"/>
          <w:szCs w:val="22"/>
          <w:shd w:val="clear" w:color="auto" w:fill="FFFFFF"/>
        </w:rPr>
      </w:pPr>
      <w:r w:rsidRPr="00477BEE">
        <w:rPr>
          <w:rFonts w:ascii="Arial" w:hAnsi="Arial" w:cs="Arial"/>
          <w:color w:val="222222"/>
          <w:sz w:val="22"/>
          <w:szCs w:val="22"/>
          <w:shd w:val="clear" w:color="auto" w:fill="FFFFFF"/>
        </w:rPr>
        <w:t>Jones, E. and Waite-Stupiansky, S., (2022) ‘</w:t>
      </w:r>
      <w:r w:rsidRPr="00BC1B36">
        <w:rPr>
          <w:rFonts w:ascii="Arial" w:hAnsi="Arial" w:cs="Arial"/>
          <w:i/>
          <w:iCs/>
          <w:color w:val="222222"/>
          <w:sz w:val="22"/>
          <w:szCs w:val="22"/>
          <w:shd w:val="clear" w:color="auto" w:fill="FFFFFF"/>
        </w:rPr>
        <w:t>The Eriksons' Psychosocial Developmental Theory’</w:t>
      </w:r>
      <w:r w:rsidRPr="00477BEE">
        <w:rPr>
          <w:rFonts w:ascii="Arial" w:hAnsi="Arial" w:cs="Arial"/>
          <w:color w:val="222222"/>
          <w:sz w:val="22"/>
          <w:szCs w:val="22"/>
          <w:shd w:val="clear" w:color="auto" w:fill="FFFFFF"/>
        </w:rPr>
        <w:t>. In </w:t>
      </w:r>
      <w:r w:rsidRPr="00477BEE">
        <w:rPr>
          <w:rFonts w:ascii="Arial" w:hAnsi="Arial" w:cs="Arial"/>
          <w:i/>
          <w:iCs/>
          <w:color w:val="222222"/>
          <w:sz w:val="22"/>
          <w:szCs w:val="22"/>
          <w:shd w:val="clear" w:color="auto" w:fill="FFFFFF"/>
        </w:rPr>
        <w:t>Theories of early childhood education</w:t>
      </w:r>
      <w:r w:rsidRPr="00477BEE">
        <w:rPr>
          <w:rFonts w:ascii="Arial" w:hAnsi="Arial" w:cs="Arial"/>
          <w:color w:val="222222"/>
          <w:sz w:val="22"/>
          <w:szCs w:val="22"/>
          <w:shd w:val="clear" w:color="auto" w:fill="FFFFFF"/>
        </w:rPr>
        <w:t> (pp. 34-49). Routledge.</w:t>
      </w:r>
    </w:p>
    <w:p w14:paraId="7350FCBF" w14:textId="77777777" w:rsidR="00477BEE" w:rsidRPr="00477BEE" w:rsidRDefault="00477BEE" w:rsidP="00477BEE">
      <w:pPr>
        <w:spacing w:line="360" w:lineRule="auto"/>
        <w:jc w:val="both"/>
        <w:rPr>
          <w:rFonts w:ascii="Arial" w:hAnsi="Arial" w:cs="Arial"/>
          <w:color w:val="222222"/>
          <w:sz w:val="22"/>
          <w:szCs w:val="22"/>
          <w:shd w:val="clear" w:color="auto" w:fill="FFFFFF"/>
        </w:rPr>
      </w:pPr>
      <w:r w:rsidRPr="00477BEE">
        <w:rPr>
          <w:rFonts w:ascii="Arial" w:hAnsi="Arial" w:cs="Arial"/>
          <w:color w:val="222222"/>
          <w:sz w:val="22"/>
          <w:szCs w:val="22"/>
          <w:shd w:val="clear" w:color="auto" w:fill="FFFFFF"/>
        </w:rPr>
        <w:t xml:space="preserve">Lau, W.Y.T., Stoner, C., Wong, G.H.Y. and Spector, A., (2021) </w:t>
      </w:r>
      <w:r w:rsidRPr="00BC1B36">
        <w:rPr>
          <w:rFonts w:ascii="Arial" w:hAnsi="Arial" w:cs="Arial"/>
          <w:i/>
          <w:iCs/>
          <w:color w:val="222222"/>
          <w:sz w:val="22"/>
          <w:szCs w:val="22"/>
          <w:shd w:val="clear" w:color="auto" w:fill="FFFFFF"/>
        </w:rPr>
        <w:t>‘New horizons in understanding the experience of Chinese people living with dementia</w:t>
      </w:r>
      <w:r w:rsidRPr="00477BEE">
        <w:rPr>
          <w:rFonts w:ascii="Arial" w:hAnsi="Arial" w:cs="Arial"/>
          <w:color w:val="222222"/>
          <w:sz w:val="22"/>
          <w:szCs w:val="22"/>
          <w:shd w:val="clear" w:color="auto" w:fill="FFFFFF"/>
        </w:rPr>
        <w:t>: a positive psychology approach’. </w:t>
      </w:r>
      <w:r w:rsidRPr="00477BEE">
        <w:rPr>
          <w:rFonts w:ascii="Arial" w:hAnsi="Arial" w:cs="Arial"/>
          <w:i/>
          <w:iCs/>
          <w:color w:val="222222"/>
          <w:sz w:val="22"/>
          <w:szCs w:val="22"/>
          <w:shd w:val="clear" w:color="auto" w:fill="FFFFFF"/>
        </w:rPr>
        <w:t>Age and Ageing</w:t>
      </w:r>
      <w:r w:rsidRPr="00477BEE">
        <w:rPr>
          <w:rFonts w:ascii="Arial" w:hAnsi="Arial" w:cs="Arial"/>
          <w:color w:val="222222"/>
          <w:sz w:val="22"/>
          <w:szCs w:val="22"/>
          <w:shd w:val="clear" w:color="auto" w:fill="FFFFFF"/>
        </w:rPr>
        <w:t>, </w:t>
      </w:r>
      <w:r w:rsidRPr="00477BEE">
        <w:rPr>
          <w:rFonts w:ascii="Arial" w:hAnsi="Arial" w:cs="Arial"/>
          <w:i/>
          <w:iCs/>
          <w:color w:val="222222"/>
          <w:sz w:val="22"/>
          <w:szCs w:val="22"/>
          <w:shd w:val="clear" w:color="auto" w:fill="FFFFFF"/>
        </w:rPr>
        <w:t>50</w:t>
      </w:r>
      <w:r w:rsidRPr="00477BEE">
        <w:rPr>
          <w:rFonts w:ascii="Arial" w:hAnsi="Arial" w:cs="Arial"/>
          <w:color w:val="222222"/>
          <w:sz w:val="22"/>
          <w:szCs w:val="22"/>
          <w:shd w:val="clear" w:color="auto" w:fill="FFFFFF"/>
        </w:rPr>
        <w:t>(5), pp.1493-1498.</w:t>
      </w:r>
    </w:p>
    <w:p w14:paraId="04FD2380" w14:textId="667C3640" w:rsidR="00477BEE" w:rsidRPr="00477BEE" w:rsidRDefault="00477BEE" w:rsidP="00477BEE">
      <w:pPr>
        <w:spacing w:line="360" w:lineRule="auto"/>
        <w:jc w:val="both"/>
        <w:rPr>
          <w:rFonts w:ascii="Arial" w:hAnsi="Arial" w:cs="Arial"/>
          <w:color w:val="222222"/>
          <w:sz w:val="22"/>
          <w:szCs w:val="22"/>
          <w:shd w:val="clear" w:color="auto" w:fill="FFFFFF"/>
        </w:rPr>
      </w:pPr>
      <w:r w:rsidRPr="00477BEE">
        <w:rPr>
          <w:rFonts w:ascii="Arial" w:hAnsi="Arial" w:cs="Arial"/>
          <w:color w:val="222222"/>
          <w:sz w:val="22"/>
          <w:szCs w:val="22"/>
          <w:shd w:val="clear" w:color="auto" w:fill="FFFFFF"/>
        </w:rPr>
        <w:t>Rorije, M., Damen, S., Janssen, M.J. and Minnaert, A., (2023</w:t>
      </w:r>
      <w:r w:rsidRPr="00BC1B36">
        <w:rPr>
          <w:rFonts w:ascii="Arial" w:hAnsi="Arial" w:cs="Arial"/>
          <w:i/>
          <w:iCs/>
          <w:color w:val="222222"/>
          <w:sz w:val="22"/>
          <w:szCs w:val="22"/>
          <w:shd w:val="clear" w:color="auto" w:fill="FFFFFF"/>
        </w:rPr>
        <w:t xml:space="preserve">) October ‘Applying Erikson’s theory of psychosocial development to understand autonomy development in children and youths with </w:t>
      </w:r>
      <w:r w:rsidR="00BC1B36" w:rsidRPr="00BC1B36">
        <w:rPr>
          <w:rFonts w:ascii="Arial" w:hAnsi="Arial" w:cs="Arial"/>
          <w:i/>
          <w:iCs/>
          <w:color w:val="222222"/>
          <w:sz w:val="22"/>
          <w:szCs w:val="22"/>
          <w:shd w:val="clear" w:color="auto" w:fill="FFFFFF"/>
        </w:rPr>
        <w:t>deaf blindness</w:t>
      </w:r>
      <w:r w:rsidRPr="00477BEE">
        <w:rPr>
          <w:rFonts w:ascii="Arial" w:hAnsi="Arial" w:cs="Arial"/>
          <w:color w:val="222222"/>
          <w:sz w:val="22"/>
          <w:szCs w:val="22"/>
          <w:shd w:val="clear" w:color="auto" w:fill="FFFFFF"/>
        </w:rPr>
        <w:t>: a systematic literature review’. In </w:t>
      </w:r>
      <w:r w:rsidRPr="00477BEE">
        <w:rPr>
          <w:rFonts w:ascii="Arial" w:hAnsi="Arial" w:cs="Arial"/>
          <w:i/>
          <w:iCs/>
          <w:color w:val="222222"/>
          <w:sz w:val="22"/>
          <w:szCs w:val="22"/>
          <w:shd w:val="clear" w:color="auto" w:fill="FFFFFF"/>
        </w:rPr>
        <w:t>Frontiers in Education</w:t>
      </w:r>
      <w:r w:rsidRPr="00477BEE">
        <w:rPr>
          <w:rFonts w:ascii="Arial" w:hAnsi="Arial" w:cs="Arial"/>
          <w:color w:val="222222"/>
          <w:sz w:val="22"/>
          <w:szCs w:val="22"/>
          <w:shd w:val="clear" w:color="auto" w:fill="FFFFFF"/>
        </w:rPr>
        <w:t> (Vol. 8, p. 1228905). Frontiers Media SA.</w:t>
      </w:r>
    </w:p>
    <w:p w14:paraId="7E479F91" w14:textId="334A1B8B" w:rsidR="00477BEE" w:rsidRPr="00477BEE" w:rsidRDefault="00477BEE" w:rsidP="00477BEE">
      <w:pPr>
        <w:spacing w:line="360" w:lineRule="auto"/>
        <w:jc w:val="both"/>
        <w:rPr>
          <w:rFonts w:ascii="Arial" w:hAnsi="Arial" w:cs="Arial"/>
          <w:kern w:val="0"/>
          <w:sz w:val="22"/>
          <w:szCs w:val="22"/>
          <w:lang w:val="en-GB"/>
        </w:rPr>
      </w:pPr>
      <w:r w:rsidRPr="00477BEE">
        <w:rPr>
          <w:rFonts w:ascii="Arial" w:hAnsi="Arial" w:cs="Arial"/>
          <w:color w:val="222222"/>
          <w:sz w:val="22"/>
          <w:szCs w:val="22"/>
          <w:shd w:val="clear" w:color="auto" w:fill="FFFFFF"/>
        </w:rPr>
        <w:t>Worth, P. ed., (2022) </w:t>
      </w:r>
      <w:r w:rsidRPr="00BC1B36">
        <w:rPr>
          <w:rFonts w:ascii="Arial" w:hAnsi="Arial" w:cs="Arial"/>
          <w:i/>
          <w:iCs/>
          <w:color w:val="222222"/>
          <w:sz w:val="22"/>
          <w:szCs w:val="22"/>
          <w:shd w:val="clear" w:color="auto" w:fill="FFFFFF"/>
        </w:rPr>
        <w:t>Positive psychology across the lifespan</w:t>
      </w:r>
      <w:r w:rsidRPr="00477BEE">
        <w:rPr>
          <w:rFonts w:ascii="Arial" w:hAnsi="Arial" w:cs="Arial"/>
          <w:i/>
          <w:iCs/>
          <w:color w:val="222222"/>
          <w:sz w:val="22"/>
          <w:szCs w:val="22"/>
          <w:shd w:val="clear" w:color="auto" w:fill="FFFFFF"/>
        </w:rPr>
        <w:t>: An existential perspective</w:t>
      </w:r>
      <w:r w:rsidRPr="00477BEE">
        <w:rPr>
          <w:rFonts w:ascii="Arial" w:hAnsi="Arial" w:cs="Arial"/>
          <w:color w:val="222222"/>
          <w:sz w:val="22"/>
          <w:szCs w:val="22"/>
          <w:shd w:val="clear" w:color="auto" w:fill="FFFFFF"/>
        </w:rPr>
        <w:t xml:space="preserve">. </w:t>
      </w:r>
      <w:proofErr w:type="gramStart"/>
      <w:r w:rsidRPr="00477BEE">
        <w:rPr>
          <w:rFonts w:ascii="Arial" w:hAnsi="Arial" w:cs="Arial"/>
          <w:color w:val="222222"/>
          <w:sz w:val="22"/>
          <w:szCs w:val="22"/>
          <w:shd w:val="clear" w:color="auto" w:fill="FFFFFF"/>
        </w:rPr>
        <w:t>Routledge.</w:t>
      </w:r>
      <w:r w:rsidR="00BC1B36">
        <w:rPr>
          <w:rFonts w:ascii="Arial" w:hAnsi="Arial" w:cs="Arial"/>
          <w:color w:val="222222"/>
          <w:sz w:val="22"/>
          <w:szCs w:val="22"/>
          <w:shd w:val="clear" w:color="auto" w:fill="FFFFFF"/>
        </w:rPr>
        <w:t>,;</w:t>
      </w:r>
      <w:proofErr w:type="gramEnd"/>
      <w:r w:rsidR="00BC1B36">
        <w:rPr>
          <w:rFonts w:ascii="Arial" w:hAnsi="Arial" w:cs="Arial"/>
          <w:color w:val="222222"/>
          <w:sz w:val="22"/>
          <w:szCs w:val="22"/>
          <w:shd w:val="clear" w:color="auto" w:fill="FFFFFF"/>
        </w:rPr>
        <w:t>;/.</w:t>
      </w:r>
    </w:p>
    <w:sectPr w:rsidR="00477BEE" w:rsidRPr="00477BEE" w:rsidSect="00932C27">
      <w:footerReference w:type="even" r:id="rId10"/>
      <w:footerReference w:type="default" r:id="rId11"/>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AE556" w14:textId="77777777" w:rsidR="005E09E7" w:rsidRDefault="005E09E7" w:rsidP="00CB4405">
      <w:pPr>
        <w:spacing w:after="0" w:line="240" w:lineRule="auto"/>
      </w:pPr>
      <w:r>
        <w:separator/>
      </w:r>
    </w:p>
  </w:endnote>
  <w:endnote w:type="continuationSeparator" w:id="0">
    <w:p w14:paraId="3C97AC86" w14:textId="77777777" w:rsidR="005E09E7" w:rsidRDefault="005E09E7" w:rsidP="00CB44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AppleSystemUIFont">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02323334"/>
      <w:docPartObj>
        <w:docPartGallery w:val="Page Numbers (Bottom of Page)"/>
        <w:docPartUnique/>
      </w:docPartObj>
    </w:sdtPr>
    <w:sdtContent>
      <w:p w14:paraId="0576016A" w14:textId="57AC7B06" w:rsidR="00CB4405" w:rsidRDefault="00CB4405" w:rsidP="00BF1AE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BC025C7" w14:textId="77777777" w:rsidR="00CB4405" w:rsidRDefault="00CB44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5820348"/>
      <w:docPartObj>
        <w:docPartGallery w:val="Page Numbers (Bottom of Page)"/>
        <w:docPartUnique/>
      </w:docPartObj>
    </w:sdtPr>
    <w:sdtContent>
      <w:p w14:paraId="45F621B9" w14:textId="68244BB7" w:rsidR="00CB4405" w:rsidRDefault="00CB4405" w:rsidP="00BF1AE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02B3C76C" w14:textId="77777777" w:rsidR="00CB4405" w:rsidRDefault="00CB44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5624FD" w14:textId="77777777" w:rsidR="005E09E7" w:rsidRDefault="005E09E7" w:rsidP="00CB4405">
      <w:pPr>
        <w:spacing w:after="0" w:line="240" w:lineRule="auto"/>
      </w:pPr>
      <w:r>
        <w:separator/>
      </w:r>
    </w:p>
  </w:footnote>
  <w:footnote w:type="continuationSeparator" w:id="0">
    <w:p w14:paraId="27448F22" w14:textId="77777777" w:rsidR="005E09E7" w:rsidRDefault="005E09E7" w:rsidP="00CB44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C27"/>
    <w:rsid w:val="00136329"/>
    <w:rsid w:val="00182686"/>
    <w:rsid w:val="00477BEE"/>
    <w:rsid w:val="00571B2A"/>
    <w:rsid w:val="005A59B1"/>
    <w:rsid w:val="005E09E7"/>
    <w:rsid w:val="006816FD"/>
    <w:rsid w:val="00686A94"/>
    <w:rsid w:val="006E1C32"/>
    <w:rsid w:val="00700F48"/>
    <w:rsid w:val="00781282"/>
    <w:rsid w:val="008E4D90"/>
    <w:rsid w:val="00932C27"/>
    <w:rsid w:val="00941BD7"/>
    <w:rsid w:val="00A00804"/>
    <w:rsid w:val="00A17016"/>
    <w:rsid w:val="00AC59A7"/>
    <w:rsid w:val="00BC1B36"/>
    <w:rsid w:val="00CB4405"/>
    <w:rsid w:val="00DE1026"/>
    <w:rsid w:val="00F92A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42A7B"/>
  <w15:chartTrackingRefBased/>
  <w15:docId w15:val="{77D0FA1D-AC98-B549-9649-E5369E359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C2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32C2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32C2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32C2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2C2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2C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2C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2C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2C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C2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32C2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32C2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32C2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32C2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32C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2C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2C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2C27"/>
    <w:rPr>
      <w:rFonts w:eastAsiaTheme="majorEastAsia" w:cstheme="majorBidi"/>
      <w:color w:val="272727" w:themeColor="text1" w:themeTint="D8"/>
    </w:rPr>
  </w:style>
  <w:style w:type="paragraph" w:styleId="Title">
    <w:name w:val="Title"/>
    <w:basedOn w:val="Normal"/>
    <w:next w:val="Normal"/>
    <w:link w:val="TitleChar"/>
    <w:uiPriority w:val="10"/>
    <w:qFormat/>
    <w:rsid w:val="00932C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C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2C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C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2C27"/>
    <w:pPr>
      <w:spacing w:before="160"/>
      <w:jc w:val="center"/>
    </w:pPr>
    <w:rPr>
      <w:i/>
      <w:iCs/>
      <w:color w:val="404040" w:themeColor="text1" w:themeTint="BF"/>
    </w:rPr>
  </w:style>
  <w:style w:type="character" w:customStyle="1" w:styleId="QuoteChar">
    <w:name w:val="Quote Char"/>
    <w:basedOn w:val="DefaultParagraphFont"/>
    <w:link w:val="Quote"/>
    <w:uiPriority w:val="29"/>
    <w:rsid w:val="00932C27"/>
    <w:rPr>
      <w:i/>
      <w:iCs/>
      <w:color w:val="404040" w:themeColor="text1" w:themeTint="BF"/>
    </w:rPr>
  </w:style>
  <w:style w:type="paragraph" w:styleId="ListParagraph">
    <w:name w:val="List Paragraph"/>
    <w:basedOn w:val="Normal"/>
    <w:uiPriority w:val="34"/>
    <w:qFormat/>
    <w:rsid w:val="00932C27"/>
    <w:pPr>
      <w:ind w:left="720"/>
      <w:contextualSpacing/>
    </w:pPr>
  </w:style>
  <w:style w:type="character" w:styleId="IntenseEmphasis">
    <w:name w:val="Intense Emphasis"/>
    <w:basedOn w:val="DefaultParagraphFont"/>
    <w:uiPriority w:val="21"/>
    <w:qFormat/>
    <w:rsid w:val="00932C27"/>
    <w:rPr>
      <w:i/>
      <w:iCs/>
      <w:color w:val="2F5496" w:themeColor="accent1" w:themeShade="BF"/>
    </w:rPr>
  </w:style>
  <w:style w:type="paragraph" w:styleId="IntenseQuote">
    <w:name w:val="Intense Quote"/>
    <w:basedOn w:val="Normal"/>
    <w:next w:val="Normal"/>
    <w:link w:val="IntenseQuoteChar"/>
    <w:uiPriority w:val="30"/>
    <w:qFormat/>
    <w:rsid w:val="00932C2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2C27"/>
    <w:rPr>
      <w:i/>
      <w:iCs/>
      <w:color w:val="2F5496" w:themeColor="accent1" w:themeShade="BF"/>
    </w:rPr>
  </w:style>
  <w:style w:type="character" w:styleId="IntenseReference">
    <w:name w:val="Intense Reference"/>
    <w:basedOn w:val="DefaultParagraphFont"/>
    <w:uiPriority w:val="32"/>
    <w:qFormat/>
    <w:rsid w:val="00932C27"/>
    <w:rPr>
      <w:b/>
      <w:bCs/>
      <w:smallCaps/>
      <w:color w:val="2F5496" w:themeColor="accent1" w:themeShade="BF"/>
      <w:spacing w:val="5"/>
    </w:rPr>
  </w:style>
  <w:style w:type="paragraph" w:styleId="Footer">
    <w:name w:val="footer"/>
    <w:basedOn w:val="Normal"/>
    <w:link w:val="FooterChar"/>
    <w:uiPriority w:val="99"/>
    <w:unhideWhenUsed/>
    <w:rsid w:val="00CB44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405"/>
  </w:style>
  <w:style w:type="character" w:styleId="PageNumber">
    <w:name w:val="page number"/>
    <w:basedOn w:val="DefaultParagraphFont"/>
    <w:uiPriority w:val="99"/>
    <w:semiHidden/>
    <w:unhideWhenUsed/>
    <w:rsid w:val="00CB4405"/>
  </w:style>
  <w:style w:type="paragraph" w:styleId="TOCHeading">
    <w:name w:val="TOC Heading"/>
    <w:basedOn w:val="Heading1"/>
    <w:next w:val="Normal"/>
    <w:uiPriority w:val="39"/>
    <w:unhideWhenUsed/>
    <w:qFormat/>
    <w:rsid w:val="00CB440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4405"/>
    <w:pPr>
      <w:spacing w:before="120" w:after="120"/>
    </w:pPr>
    <w:rPr>
      <w:rFonts w:cstheme="minorHAnsi"/>
      <w:b/>
      <w:bCs/>
      <w:caps/>
      <w:sz w:val="20"/>
      <w:szCs w:val="20"/>
    </w:rPr>
  </w:style>
  <w:style w:type="paragraph" w:styleId="TOC2">
    <w:name w:val="toc 2"/>
    <w:basedOn w:val="Normal"/>
    <w:next w:val="Normal"/>
    <w:autoRedefine/>
    <w:uiPriority w:val="39"/>
    <w:unhideWhenUsed/>
    <w:rsid w:val="00CB4405"/>
    <w:pPr>
      <w:spacing w:after="0"/>
      <w:ind w:left="240"/>
    </w:pPr>
    <w:rPr>
      <w:rFonts w:cstheme="minorHAnsi"/>
      <w:smallCaps/>
      <w:sz w:val="20"/>
      <w:szCs w:val="20"/>
    </w:rPr>
  </w:style>
  <w:style w:type="character" w:styleId="Hyperlink">
    <w:name w:val="Hyperlink"/>
    <w:basedOn w:val="DefaultParagraphFont"/>
    <w:uiPriority w:val="99"/>
    <w:unhideWhenUsed/>
    <w:rsid w:val="00CB4405"/>
    <w:rPr>
      <w:color w:val="0563C1" w:themeColor="hyperlink"/>
      <w:u w:val="single"/>
    </w:rPr>
  </w:style>
  <w:style w:type="paragraph" w:styleId="TOC3">
    <w:name w:val="toc 3"/>
    <w:basedOn w:val="Normal"/>
    <w:next w:val="Normal"/>
    <w:autoRedefine/>
    <w:uiPriority w:val="39"/>
    <w:semiHidden/>
    <w:unhideWhenUsed/>
    <w:rsid w:val="00CB4405"/>
    <w:pPr>
      <w:spacing w:after="0"/>
      <w:ind w:left="480"/>
    </w:pPr>
    <w:rPr>
      <w:rFonts w:cstheme="minorHAnsi"/>
      <w:i/>
      <w:iCs/>
      <w:sz w:val="20"/>
      <w:szCs w:val="20"/>
    </w:rPr>
  </w:style>
  <w:style w:type="paragraph" w:styleId="TOC4">
    <w:name w:val="toc 4"/>
    <w:basedOn w:val="Normal"/>
    <w:next w:val="Normal"/>
    <w:autoRedefine/>
    <w:uiPriority w:val="39"/>
    <w:semiHidden/>
    <w:unhideWhenUsed/>
    <w:rsid w:val="00CB4405"/>
    <w:pPr>
      <w:spacing w:after="0"/>
      <w:ind w:left="720"/>
    </w:pPr>
    <w:rPr>
      <w:rFonts w:cstheme="minorHAnsi"/>
      <w:sz w:val="18"/>
      <w:szCs w:val="18"/>
    </w:rPr>
  </w:style>
  <w:style w:type="paragraph" w:styleId="TOC5">
    <w:name w:val="toc 5"/>
    <w:basedOn w:val="Normal"/>
    <w:next w:val="Normal"/>
    <w:autoRedefine/>
    <w:uiPriority w:val="39"/>
    <w:semiHidden/>
    <w:unhideWhenUsed/>
    <w:rsid w:val="00CB4405"/>
    <w:pPr>
      <w:spacing w:after="0"/>
      <w:ind w:left="960"/>
    </w:pPr>
    <w:rPr>
      <w:rFonts w:cstheme="minorHAnsi"/>
      <w:sz w:val="18"/>
      <w:szCs w:val="18"/>
    </w:rPr>
  </w:style>
  <w:style w:type="paragraph" w:styleId="TOC6">
    <w:name w:val="toc 6"/>
    <w:basedOn w:val="Normal"/>
    <w:next w:val="Normal"/>
    <w:autoRedefine/>
    <w:uiPriority w:val="39"/>
    <w:semiHidden/>
    <w:unhideWhenUsed/>
    <w:rsid w:val="00CB4405"/>
    <w:pPr>
      <w:spacing w:after="0"/>
      <w:ind w:left="1200"/>
    </w:pPr>
    <w:rPr>
      <w:rFonts w:cstheme="minorHAnsi"/>
      <w:sz w:val="18"/>
      <w:szCs w:val="18"/>
    </w:rPr>
  </w:style>
  <w:style w:type="paragraph" w:styleId="TOC7">
    <w:name w:val="toc 7"/>
    <w:basedOn w:val="Normal"/>
    <w:next w:val="Normal"/>
    <w:autoRedefine/>
    <w:uiPriority w:val="39"/>
    <w:semiHidden/>
    <w:unhideWhenUsed/>
    <w:rsid w:val="00CB4405"/>
    <w:pPr>
      <w:spacing w:after="0"/>
      <w:ind w:left="1440"/>
    </w:pPr>
    <w:rPr>
      <w:rFonts w:cstheme="minorHAnsi"/>
      <w:sz w:val="18"/>
      <w:szCs w:val="18"/>
    </w:rPr>
  </w:style>
  <w:style w:type="paragraph" w:styleId="TOC8">
    <w:name w:val="toc 8"/>
    <w:basedOn w:val="Normal"/>
    <w:next w:val="Normal"/>
    <w:autoRedefine/>
    <w:uiPriority w:val="39"/>
    <w:semiHidden/>
    <w:unhideWhenUsed/>
    <w:rsid w:val="00CB4405"/>
    <w:pPr>
      <w:spacing w:after="0"/>
      <w:ind w:left="1680"/>
    </w:pPr>
    <w:rPr>
      <w:rFonts w:cstheme="minorHAnsi"/>
      <w:sz w:val="18"/>
      <w:szCs w:val="18"/>
    </w:rPr>
  </w:style>
  <w:style w:type="paragraph" w:styleId="TOC9">
    <w:name w:val="toc 9"/>
    <w:basedOn w:val="Normal"/>
    <w:next w:val="Normal"/>
    <w:autoRedefine/>
    <w:uiPriority w:val="39"/>
    <w:semiHidden/>
    <w:unhideWhenUsed/>
    <w:rsid w:val="00CB4405"/>
    <w:pPr>
      <w:spacing w:after="0"/>
      <w:ind w:left="1920"/>
    </w:pPr>
    <w:rPr>
      <w:rFonts w:cstheme="minorHAnsi"/>
      <w:sz w:val="18"/>
      <w:szCs w:val="18"/>
    </w:rPr>
  </w:style>
  <w:style w:type="character" w:styleId="UnresolvedMention">
    <w:name w:val="Unresolved Mention"/>
    <w:basedOn w:val="DefaultParagraphFont"/>
    <w:uiPriority w:val="99"/>
    <w:semiHidden/>
    <w:unhideWhenUsed/>
    <w:rsid w:val="005A59B1"/>
    <w:rPr>
      <w:color w:val="605E5C"/>
      <w:shd w:val="clear" w:color="auto" w:fill="E1DFDD"/>
    </w:rPr>
  </w:style>
  <w:style w:type="character" w:styleId="FollowedHyperlink">
    <w:name w:val="FollowedHyperlink"/>
    <w:basedOn w:val="DefaultParagraphFont"/>
    <w:uiPriority w:val="99"/>
    <w:semiHidden/>
    <w:unhideWhenUsed/>
    <w:rsid w:val="005A59B1"/>
    <w:rPr>
      <w:color w:val="954F72" w:themeColor="followedHyperlink"/>
      <w:u w:val="single"/>
    </w:rPr>
  </w:style>
  <w:style w:type="paragraph" w:customStyle="1" w:styleId="TableParagraph">
    <w:name w:val="Table Paragraph"/>
    <w:basedOn w:val="Normal"/>
    <w:uiPriority w:val="1"/>
    <w:qFormat/>
    <w:rsid w:val="00DE1026"/>
    <w:pPr>
      <w:widowControl w:val="0"/>
      <w:autoSpaceDE w:val="0"/>
      <w:autoSpaceDN w:val="0"/>
      <w:spacing w:after="0" w:line="240" w:lineRule="auto"/>
    </w:pPr>
    <w:rPr>
      <w:rFonts w:ascii="Arial MT" w:eastAsia="Arial MT" w:hAnsi="Arial MT" w:cs="Arial MT"/>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186/s40359-021-00618-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ciencedirect.com/science/article/pii/S00917435203025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31C2EB-7AA7-3946-8B74-1FCFA30B6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1873</Words>
  <Characters>10678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Abraham Andom</dc:creator>
  <cp:keywords/>
  <dc:description/>
  <cp:lastModifiedBy>Abraham Andom</cp:lastModifiedBy>
  <cp:revision>2</cp:revision>
  <dcterms:created xsi:type="dcterms:W3CDTF">2025-11-15T08:59:00Z</dcterms:created>
  <dcterms:modified xsi:type="dcterms:W3CDTF">2025-11-15T08:59:00Z</dcterms:modified>
</cp:coreProperties>
</file>