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B00" w:rsidRDefault="00730B00" w:rsidP="00730B00">
      <w:pPr>
        <w:spacing w:line="360" w:lineRule="auto"/>
        <w:jc w:val="center"/>
        <w:rPr>
          <w:rFonts w:ascii="Times New Roman" w:eastAsia="Times New Roman" w:hAnsi="Times New Roman" w:cs="Times New Roman"/>
          <w:b/>
          <w:bCs/>
          <w:sz w:val="24"/>
          <w:szCs w:val="24"/>
        </w:rPr>
      </w:pPr>
      <w:bookmarkStart w:id="0" w:name="_heading=h.a0dadwm9ke92" w:colFirst="0" w:colLast="0"/>
      <w:bookmarkEnd w:id="0"/>
      <w:r>
        <w:rPr>
          <w:rFonts w:ascii="Times New Roman" w:eastAsia="Times New Roman" w:hAnsi="Times New Roman" w:cs="Times New Roman"/>
          <w:b/>
          <w:bCs/>
          <w:noProof/>
          <w:sz w:val="24"/>
          <w:szCs w:val="24"/>
          <w:lang w:val="en-US" w:eastAsia="en-US"/>
        </w:rPr>
        <w:drawing>
          <wp:inline distT="0" distB="0" distL="0" distR="0" wp14:anchorId="4502796F" wp14:editId="0AF97DD4">
            <wp:extent cx="3515513" cy="130653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3515513" cy="1306532"/>
                    </a:xfrm>
                    <a:prstGeom prst="rect">
                      <a:avLst/>
                    </a:prstGeom>
                    <a:ln/>
                  </pic:spPr>
                </pic:pic>
              </a:graphicData>
            </a:graphic>
          </wp:inline>
        </w:drawing>
      </w:r>
    </w:p>
    <w:p w:rsidR="00730B00" w:rsidRDefault="00730B00" w:rsidP="00730B00">
      <w:pPr>
        <w:pStyle w:val="Heading1"/>
        <w:keepNext w:val="0"/>
        <w:keepLines w:val="0"/>
        <w:spacing w:before="280" w:line="360" w:lineRule="auto"/>
        <w:jc w:val="center"/>
        <w:rPr>
          <w:rFonts w:ascii="Times New Roman" w:eastAsia="Times New Roman" w:hAnsi="Times New Roman" w:cs="Times New Roman"/>
          <w:b/>
          <w:bCs/>
          <w:sz w:val="24"/>
          <w:szCs w:val="24"/>
        </w:rPr>
      </w:pPr>
      <w:bookmarkStart w:id="1" w:name="_heading=h.87g133afb4ra" w:colFirst="0" w:colLast="0"/>
      <w:bookmarkEnd w:id="1"/>
    </w:p>
    <w:p w:rsidR="00730B00" w:rsidRDefault="00730B00" w:rsidP="00730B00">
      <w:pPr>
        <w:pStyle w:val="Title"/>
        <w:keepNext w:val="0"/>
        <w:keepLines w:val="0"/>
        <w:spacing w:before="480" w:line="360" w:lineRule="auto"/>
        <w:jc w:val="center"/>
        <w:rPr>
          <w:rFonts w:ascii="Times New Roman" w:eastAsia="Times New Roman" w:hAnsi="Times New Roman" w:cs="Times New Roman"/>
          <w:b/>
          <w:bCs/>
          <w:sz w:val="48"/>
          <w:szCs w:val="48"/>
        </w:rPr>
      </w:pPr>
      <w:bookmarkStart w:id="2" w:name="_heading=h.dkw8vubkllv" w:colFirst="0" w:colLast="0"/>
      <w:bookmarkEnd w:id="2"/>
      <w:r>
        <w:rPr>
          <w:rFonts w:ascii="Times New Roman" w:eastAsia="Times New Roman" w:hAnsi="Times New Roman" w:cs="Times New Roman"/>
          <w:b/>
          <w:bCs/>
          <w:sz w:val="48"/>
          <w:szCs w:val="48"/>
        </w:rPr>
        <w:t>Evaluating the External Marketing Environment and Growth Strategies of Anglo American for Sustainable Business</w:t>
      </w:r>
    </w:p>
    <w:p w:rsidR="00730B00" w:rsidRDefault="00730B00" w:rsidP="00730B00">
      <w:pPr>
        <w:spacing w:line="360" w:lineRule="auto"/>
        <w:jc w:val="center"/>
        <w:rPr>
          <w:rFonts w:ascii="Times New Roman" w:eastAsia="Times New Roman" w:hAnsi="Times New Roman" w:cs="Times New Roman"/>
          <w:b/>
          <w:bCs/>
          <w:sz w:val="24"/>
          <w:szCs w:val="24"/>
        </w:rPr>
      </w:pPr>
      <w:bookmarkStart w:id="3" w:name="_heading=h.de2nwim36xqo" w:colFirst="0" w:colLast="0"/>
      <w:bookmarkEnd w:id="3"/>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Assignment Title: Marketing Environment Analysis</w:t>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 Laila Maazouz (London) - Taonga Kaonga Sobere- Snithers (Birmingham)</w:t>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Marketing Management</w:t>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Programme: Master of Business Administration</w:t>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code: LCMB7024</w:t>
      </w:r>
      <w:r>
        <w:rPr>
          <w:rFonts w:ascii="Times New Roman" w:eastAsia="Times New Roman" w:hAnsi="Times New Roman" w:cs="Times New Roman"/>
          <w:b/>
          <w:bCs/>
          <w:sz w:val="24"/>
          <w:szCs w:val="24"/>
        </w:rPr>
        <w:br/>
      </w:r>
      <w:r>
        <w:rPr>
          <w:rFonts w:ascii="Times New Roman" w:eastAsia="Times New Roman" w:hAnsi="Times New Roman" w:cs="Times New Roman"/>
          <w:b/>
          <w:bCs/>
          <w:sz w:val="24"/>
          <w:szCs w:val="24"/>
        </w:rPr>
        <w:br/>
        <w:t>Submitted by</w:t>
      </w:r>
      <w:r>
        <w:rPr>
          <w:rFonts w:ascii="Times New Roman" w:eastAsia="Times New Roman" w:hAnsi="Times New Roman" w:cs="Times New Roman"/>
          <w:b/>
          <w:bCs/>
          <w:sz w:val="24"/>
          <w:szCs w:val="24"/>
        </w:rPr>
        <w:br/>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name: prerna p padmani</w:t>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ID number: 2536257</w:t>
      </w:r>
    </w:p>
    <w:p w:rsidR="00730B00" w:rsidRDefault="00730B00" w:rsidP="00730B00">
      <w:pPr>
        <w:spacing w:line="360" w:lineRule="auto"/>
        <w:rPr>
          <w:rFonts w:ascii="Times New Roman" w:eastAsia="Times New Roman" w:hAnsi="Times New Roman" w:cs="Times New Roman"/>
          <w:sz w:val="24"/>
          <w:szCs w:val="24"/>
        </w:rPr>
      </w:pPr>
    </w:p>
    <w:p w:rsidR="00730B00" w:rsidRDefault="00730B00" w:rsidP="00730B00">
      <w:pPr>
        <w:spacing w:line="360" w:lineRule="auto"/>
        <w:rPr>
          <w:rFonts w:ascii="Times New Roman" w:eastAsia="Times New Roman" w:hAnsi="Times New Roman" w:cs="Times New Roman"/>
          <w:sz w:val="24"/>
          <w:szCs w:val="24"/>
        </w:rPr>
      </w:pPr>
    </w:p>
    <w:p w:rsidR="00730B00" w:rsidRDefault="00730B00" w:rsidP="00730B00">
      <w:pPr>
        <w:pStyle w:val="Heading1"/>
        <w:keepNext w:val="0"/>
        <w:keepLines w:val="0"/>
        <w:spacing w:before="280" w:line="360" w:lineRule="auto"/>
        <w:jc w:val="both"/>
        <w:rPr>
          <w:rFonts w:ascii="Times New Roman" w:eastAsia="Times New Roman" w:hAnsi="Times New Roman" w:cs="Times New Roman"/>
          <w:b/>
          <w:bCs/>
          <w:sz w:val="24"/>
          <w:szCs w:val="24"/>
        </w:rPr>
      </w:pPr>
      <w:r>
        <w:br w:type="page"/>
      </w:r>
    </w:p>
    <w:p w:rsidR="00730B00" w:rsidRDefault="00730B00" w:rsidP="00730B00">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4"/>
          <w:szCs w:val="24"/>
        </w:rPr>
      </w:pPr>
      <w:bookmarkStart w:id="4" w:name="_heading=h.5gzkvlk88msb" w:colFirst="0" w:colLast="0"/>
      <w:bookmarkEnd w:id="4"/>
      <w:r>
        <w:rPr>
          <w:rFonts w:ascii="Times New Roman" w:eastAsia="Times New Roman" w:hAnsi="Times New Roman" w:cs="Times New Roman"/>
          <w:b/>
          <w:bCs/>
          <w:color w:val="000000"/>
          <w:sz w:val="24"/>
          <w:szCs w:val="24"/>
        </w:rPr>
        <w:lastRenderedPageBreak/>
        <w:t>Table of Contents</w:t>
      </w:r>
    </w:p>
    <w:sdt>
      <w:sdtPr>
        <w:id w:val="40828609"/>
        <w:docPartObj>
          <w:docPartGallery w:val="Table of Contents"/>
          <w:docPartUnique/>
        </w:docPartObj>
      </w:sdtPr>
      <w:sdtContent>
        <w:p w:rsidR="00730B00" w:rsidRDefault="00730B00" w:rsidP="00730B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hm3x3poqhwv">
            <w:r>
              <w:rPr>
                <w:rFonts w:ascii="Times New Roman" w:eastAsia="Times New Roman" w:hAnsi="Times New Roman" w:cs="Times New Roman"/>
                <w:b/>
                <w:bCs/>
                <w:color w:val="000000"/>
                <w:sz w:val="24"/>
                <w:szCs w:val="24"/>
              </w:rPr>
              <w:t>Introduction</w:t>
            </w:r>
          </w:hyperlink>
          <w:hyperlink w:anchor="_heading=h.hm3x3poqhwv">
            <w:r>
              <w:rPr>
                <w:rFonts w:ascii="Times New Roman" w:eastAsia="Times New Roman" w:hAnsi="Times New Roman" w:cs="Times New Roman"/>
                <w:color w:val="000000"/>
                <w:sz w:val="24"/>
                <w:szCs w:val="24"/>
              </w:rPr>
              <w:tab/>
              <w:t>3</w:t>
            </w:r>
          </w:hyperlink>
        </w:p>
        <w:p w:rsidR="00730B00" w:rsidRDefault="00730B00" w:rsidP="00730B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nlmj1189lsii">
            <w:r>
              <w:rPr>
                <w:rFonts w:ascii="Times New Roman" w:eastAsia="Times New Roman" w:hAnsi="Times New Roman" w:cs="Times New Roman"/>
                <w:b/>
                <w:bCs/>
                <w:color w:val="000000"/>
                <w:sz w:val="24"/>
                <w:szCs w:val="24"/>
              </w:rPr>
              <w:t>2. Task 1: Marketing Environment Analysis</w:t>
            </w:r>
          </w:hyperlink>
          <w:hyperlink w:anchor="_heading=h.nlmj1189lsii">
            <w:r>
              <w:rPr>
                <w:rFonts w:ascii="Times New Roman" w:eastAsia="Times New Roman" w:hAnsi="Times New Roman" w:cs="Times New Roman"/>
                <w:color w:val="000000"/>
                <w:sz w:val="24"/>
                <w:szCs w:val="24"/>
              </w:rPr>
              <w:tab/>
              <w:t>3</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mpdyrbvfit7s">
            <w:r>
              <w:rPr>
                <w:rFonts w:ascii="Times New Roman" w:eastAsia="Times New Roman" w:hAnsi="Times New Roman" w:cs="Times New Roman"/>
                <w:b/>
                <w:bCs/>
                <w:color w:val="000000"/>
                <w:sz w:val="24"/>
                <w:szCs w:val="24"/>
              </w:rPr>
              <w:t>2.1 Overview of the Marketing Environment</w:t>
            </w:r>
          </w:hyperlink>
          <w:hyperlink w:anchor="_heading=h.mpdyrbvfit7s">
            <w:r>
              <w:rPr>
                <w:rFonts w:ascii="Times New Roman" w:eastAsia="Times New Roman" w:hAnsi="Times New Roman" w:cs="Times New Roman"/>
                <w:color w:val="000000"/>
                <w:sz w:val="24"/>
                <w:szCs w:val="24"/>
              </w:rPr>
              <w:tab/>
              <w:t>3</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a8d8b2pcadaq">
            <w:r>
              <w:rPr>
                <w:rFonts w:ascii="Times New Roman" w:eastAsia="Times New Roman" w:hAnsi="Times New Roman" w:cs="Times New Roman"/>
                <w:b/>
                <w:bCs/>
                <w:color w:val="000000"/>
                <w:sz w:val="24"/>
                <w:szCs w:val="24"/>
              </w:rPr>
              <w:t>2.2 Natural Environment Analysis (Main Focus)</w:t>
            </w:r>
          </w:hyperlink>
          <w:hyperlink w:anchor="_heading=h.a8d8b2pcadaq">
            <w:r>
              <w:rPr>
                <w:rFonts w:ascii="Times New Roman" w:eastAsia="Times New Roman" w:hAnsi="Times New Roman" w:cs="Times New Roman"/>
                <w:color w:val="000000"/>
                <w:sz w:val="24"/>
                <w:szCs w:val="24"/>
              </w:rPr>
              <w:tab/>
              <w:t>4</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9k5n2p3d70qc">
            <w:r>
              <w:rPr>
                <w:rFonts w:ascii="Times New Roman" w:eastAsia="Times New Roman" w:hAnsi="Times New Roman" w:cs="Times New Roman"/>
                <w:b/>
                <w:bCs/>
                <w:color w:val="000000"/>
                <w:sz w:val="24"/>
                <w:szCs w:val="24"/>
              </w:rPr>
              <w:t>2.3 Second External Marketing Environment Actor: Political and Regulatory Environment</w:t>
            </w:r>
          </w:hyperlink>
          <w:hyperlink w:anchor="_heading=h.9k5n2p3d70qc">
            <w:r>
              <w:rPr>
                <w:rFonts w:ascii="Times New Roman" w:eastAsia="Times New Roman" w:hAnsi="Times New Roman" w:cs="Times New Roman"/>
                <w:color w:val="000000"/>
                <w:sz w:val="24"/>
                <w:szCs w:val="24"/>
              </w:rPr>
              <w:tab/>
              <w:t>5</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6e9m9a5a2gma">
            <w:r>
              <w:rPr>
                <w:rFonts w:ascii="Times New Roman" w:eastAsia="Times New Roman" w:hAnsi="Times New Roman" w:cs="Times New Roman"/>
                <w:b/>
                <w:bCs/>
                <w:color w:val="000000"/>
                <w:sz w:val="24"/>
                <w:szCs w:val="24"/>
              </w:rPr>
              <w:t>2.4 Summary of Environmental Findings</w:t>
            </w:r>
          </w:hyperlink>
          <w:hyperlink w:anchor="_heading=h.6e9m9a5a2gma">
            <w:r>
              <w:rPr>
                <w:rFonts w:ascii="Times New Roman" w:eastAsia="Times New Roman" w:hAnsi="Times New Roman" w:cs="Times New Roman"/>
                <w:color w:val="000000"/>
                <w:sz w:val="24"/>
                <w:szCs w:val="24"/>
              </w:rPr>
              <w:tab/>
              <w:t>6</w:t>
            </w:r>
          </w:hyperlink>
        </w:p>
        <w:p w:rsidR="00730B00" w:rsidRDefault="00730B00" w:rsidP="00730B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jh7u4g8a6hnk">
            <w:r>
              <w:rPr>
                <w:rFonts w:ascii="Times New Roman" w:eastAsia="Times New Roman" w:hAnsi="Times New Roman" w:cs="Times New Roman"/>
                <w:b/>
                <w:bCs/>
                <w:color w:val="000000"/>
                <w:sz w:val="24"/>
                <w:szCs w:val="24"/>
              </w:rPr>
              <w:t>3. Task 2: Strategic Growth and Competitive Positioning</w:t>
            </w:r>
          </w:hyperlink>
          <w:hyperlink w:anchor="_heading=h.jh7u4g8a6hnk">
            <w:r>
              <w:rPr>
                <w:rFonts w:ascii="Times New Roman" w:eastAsia="Times New Roman" w:hAnsi="Times New Roman" w:cs="Times New Roman"/>
                <w:color w:val="000000"/>
                <w:sz w:val="24"/>
                <w:szCs w:val="24"/>
              </w:rPr>
              <w:tab/>
              <w:t>6</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8x5gk8lkrdor">
            <w:r>
              <w:rPr>
                <w:rFonts w:ascii="Times New Roman" w:eastAsia="Times New Roman" w:hAnsi="Times New Roman" w:cs="Times New Roman"/>
                <w:b/>
                <w:bCs/>
                <w:color w:val="000000"/>
                <w:sz w:val="24"/>
                <w:szCs w:val="24"/>
              </w:rPr>
              <w:t>3.1 Introduction to Growth Strategy</w:t>
            </w:r>
          </w:hyperlink>
          <w:hyperlink w:anchor="_heading=h.8x5gk8lkrdor">
            <w:r>
              <w:rPr>
                <w:rFonts w:ascii="Times New Roman" w:eastAsia="Times New Roman" w:hAnsi="Times New Roman" w:cs="Times New Roman"/>
                <w:color w:val="000000"/>
                <w:sz w:val="24"/>
                <w:szCs w:val="24"/>
              </w:rPr>
              <w:tab/>
              <w:t>6</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w13x32myxc22">
            <w:r>
              <w:rPr>
                <w:rFonts w:ascii="Times New Roman" w:eastAsia="Times New Roman" w:hAnsi="Times New Roman" w:cs="Times New Roman"/>
                <w:b/>
                <w:bCs/>
                <w:color w:val="000000"/>
                <w:sz w:val="24"/>
                <w:szCs w:val="24"/>
              </w:rPr>
              <w:t>3.2 Application of the Ansoff Matrix</w:t>
            </w:r>
          </w:hyperlink>
          <w:hyperlink w:anchor="_heading=h.w13x32myxc22">
            <w:r>
              <w:rPr>
                <w:rFonts w:ascii="Times New Roman" w:eastAsia="Times New Roman" w:hAnsi="Times New Roman" w:cs="Times New Roman"/>
                <w:color w:val="000000"/>
                <w:sz w:val="24"/>
                <w:szCs w:val="24"/>
              </w:rPr>
              <w:tab/>
              <w:t>7</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dmn2yict68xd">
            <w:r>
              <w:rPr>
                <w:rFonts w:ascii="Times New Roman" w:eastAsia="Times New Roman" w:hAnsi="Times New Roman" w:cs="Times New Roman"/>
                <w:b/>
                <w:bCs/>
                <w:color w:val="000000"/>
                <w:sz w:val="24"/>
                <w:szCs w:val="24"/>
              </w:rPr>
              <w:t>3.3 Achieving Competitive Advantage</w:t>
            </w:r>
          </w:hyperlink>
          <w:hyperlink w:anchor="_heading=h.dmn2yict68xd">
            <w:r>
              <w:rPr>
                <w:rFonts w:ascii="Times New Roman" w:eastAsia="Times New Roman" w:hAnsi="Times New Roman" w:cs="Times New Roman"/>
                <w:color w:val="000000"/>
                <w:sz w:val="24"/>
                <w:szCs w:val="24"/>
              </w:rPr>
              <w:tab/>
              <w:t>8</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xk10f0tvwodq">
            <w:r>
              <w:rPr>
                <w:rFonts w:ascii="Times New Roman" w:eastAsia="Times New Roman" w:hAnsi="Times New Roman" w:cs="Times New Roman"/>
                <w:b/>
                <w:bCs/>
                <w:color w:val="000000"/>
                <w:sz w:val="24"/>
                <w:szCs w:val="24"/>
              </w:rPr>
              <w:t>3.4 Competitive Advantage Through Sustainability</w:t>
            </w:r>
          </w:hyperlink>
          <w:hyperlink w:anchor="_heading=h.xk10f0tvwodq">
            <w:r>
              <w:rPr>
                <w:rFonts w:ascii="Times New Roman" w:eastAsia="Times New Roman" w:hAnsi="Times New Roman" w:cs="Times New Roman"/>
                <w:color w:val="000000"/>
                <w:sz w:val="24"/>
                <w:szCs w:val="24"/>
              </w:rPr>
              <w:tab/>
              <w:t>9</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jnl71vymlpe">
            <w:r>
              <w:rPr>
                <w:rFonts w:ascii="Times New Roman" w:eastAsia="Times New Roman" w:hAnsi="Times New Roman" w:cs="Times New Roman"/>
                <w:b/>
                <w:bCs/>
                <w:color w:val="000000"/>
                <w:sz w:val="24"/>
                <w:szCs w:val="24"/>
              </w:rPr>
              <w:t>3.5 Strategic Recommendations</w:t>
            </w:r>
          </w:hyperlink>
          <w:hyperlink w:anchor="_heading=h.jnl71vymlpe">
            <w:r>
              <w:rPr>
                <w:rFonts w:ascii="Times New Roman" w:eastAsia="Times New Roman" w:hAnsi="Times New Roman" w:cs="Times New Roman"/>
                <w:color w:val="000000"/>
                <w:sz w:val="24"/>
                <w:szCs w:val="24"/>
              </w:rPr>
              <w:tab/>
              <w:t>9</w:t>
            </w:r>
          </w:hyperlink>
        </w:p>
        <w:p w:rsidR="00730B00" w:rsidRDefault="00730B00" w:rsidP="00730B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oya3txgdcmwy">
            <w:r>
              <w:rPr>
                <w:rFonts w:ascii="Times New Roman" w:eastAsia="Times New Roman" w:hAnsi="Times New Roman" w:cs="Times New Roman"/>
                <w:b/>
                <w:bCs/>
                <w:color w:val="000000"/>
                <w:sz w:val="24"/>
                <w:szCs w:val="24"/>
              </w:rPr>
              <w:t>4. Task 3: Critical Reflection on AI Usage</w:t>
            </w:r>
          </w:hyperlink>
          <w:hyperlink w:anchor="_heading=h.oya3txgdcmwy">
            <w:r>
              <w:rPr>
                <w:rFonts w:ascii="Times New Roman" w:eastAsia="Times New Roman" w:hAnsi="Times New Roman" w:cs="Times New Roman"/>
                <w:color w:val="000000"/>
                <w:sz w:val="24"/>
                <w:szCs w:val="24"/>
              </w:rPr>
              <w:tab/>
              <w:t>10</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krciyjkhrgl8">
            <w:r>
              <w:rPr>
                <w:rFonts w:ascii="Times New Roman" w:eastAsia="Times New Roman" w:hAnsi="Times New Roman" w:cs="Times New Roman"/>
                <w:b/>
                <w:bCs/>
                <w:color w:val="000000"/>
                <w:sz w:val="24"/>
                <w:szCs w:val="24"/>
              </w:rPr>
              <w:t>4.1 AI Tool Disclosure</w:t>
            </w:r>
          </w:hyperlink>
          <w:hyperlink w:anchor="_heading=h.krciyjkhrgl8">
            <w:r>
              <w:rPr>
                <w:rFonts w:ascii="Times New Roman" w:eastAsia="Times New Roman" w:hAnsi="Times New Roman" w:cs="Times New Roman"/>
                <w:color w:val="000000"/>
                <w:sz w:val="24"/>
                <w:szCs w:val="24"/>
              </w:rPr>
              <w:tab/>
              <w:t>10</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cfsk9prmi8gp">
            <w:r>
              <w:rPr>
                <w:rFonts w:ascii="Times New Roman" w:eastAsia="Times New Roman" w:hAnsi="Times New Roman" w:cs="Times New Roman"/>
                <w:b/>
                <w:bCs/>
                <w:color w:val="000000"/>
                <w:sz w:val="24"/>
                <w:szCs w:val="24"/>
              </w:rPr>
              <w:t>4.2 Verification of AI Output</w:t>
            </w:r>
          </w:hyperlink>
          <w:hyperlink w:anchor="_heading=h.cfsk9prmi8gp">
            <w:r>
              <w:rPr>
                <w:rFonts w:ascii="Times New Roman" w:eastAsia="Times New Roman" w:hAnsi="Times New Roman" w:cs="Times New Roman"/>
                <w:color w:val="000000"/>
                <w:sz w:val="24"/>
                <w:szCs w:val="24"/>
              </w:rPr>
              <w:tab/>
              <w:t>10</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k2g5ccvlko87">
            <w:r>
              <w:rPr>
                <w:rFonts w:ascii="Times New Roman" w:eastAsia="Times New Roman" w:hAnsi="Times New Roman" w:cs="Times New Roman"/>
                <w:b/>
                <w:bCs/>
                <w:color w:val="000000"/>
                <w:sz w:val="24"/>
                <w:szCs w:val="24"/>
              </w:rPr>
              <w:t>4.3 Contribution Analysis</w:t>
            </w:r>
          </w:hyperlink>
          <w:hyperlink w:anchor="_heading=h.k2g5ccvlko87">
            <w:r>
              <w:rPr>
                <w:rFonts w:ascii="Times New Roman" w:eastAsia="Times New Roman" w:hAnsi="Times New Roman" w:cs="Times New Roman"/>
                <w:color w:val="000000"/>
                <w:sz w:val="24"/>
                <w:szCs w:val="24"/>
              </w:rPr>
              <w:tab/>
              <w:t>10</w:t>
            </w:r>
          </w:hyperlink>
        </w:p>
        <w:p w:rsidR="00730B00" w:rsidRDefault="00730B00" w:rsidP="00730B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dlrzgx4njb3v">
            <w:r>
              <w:rPr>
                <w:rFonts w:ascii="Times New Roman" w:eastAsia="Times New Roman" w:hAnsi="Times New Roman" w:cs="Times New Roman"/>
                <w:b/>
                <w:bCs/>
                <w:color w:val="000000"/>
                <w:sz w:val="24"/>
                <w:szCs w:val="24"/>
              </w:rPr>
              <w:t>4.4 Ethical and Professional Reflection</w:t>
            </w:r>
          </w:hyperlink>
          <w:hyperlink w:anchor="_heading=h.dlrzgx4njb3v">
            <w:r>
              <w:rPr>
                <w:rFonts w:ascii="Times New Roman" w:eastAsia="Times New Roman" w:hAnsi="Times New Roman" w:cs="Times New Roman"/>
                <w:color w:val="000000"/>
                <w:sz w:val="24"/>
                <w:szCs w:val="24"/>
              </w:rPr>
              <w:tab/>
              <w:t>10</w:t>
            </w:r>
          </w:hyperlink>
        </w:p>
        <w:p w:rsidR="00730B00" w:rsidRDefault="00730B00" w:rsidP="00730B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qkbqn9al5kt1">
            <w:r>
              <w:rPr>
                <w:rFonts w:ascii="Times New Roman" w:eastAsia="Times New Roman" w:hAnsi="Times New Roman" w:cs="Times New Roman"/>
                <w:b/>
                <w:bCs/>
                <w:color w:val="000000"/>
                <w:sz w:val="24"/>
                <w:szCs w:val="24"/>
              </w:rPr>
              <w:t>5. Conclusion</w:t>
            </w:r>
          </w:hyperlink>
          <w:hyperlink w:anchor="_heading=h.qkbqn9al5kt1">
            <w:r>
              <w:rPr>
                <w:rFonts w:ascii="Times New Roman" w:eastAsia="Times New Roman" w:hAnsi="Times New Roman" w:cs="Times New Roman"/>
                <w:color w:val="000000"/>
                <w:sz w:val="24"/>
                <w:szCs w:val="24"/>
              </w:rPr>
              <w:tab/>
              <w:t>11</w:t>
            </w:r>
          </w:hyperlink>
        </w:p>
        <w:p w:rsidR="00730B00" w:rsidRDefault="00730B00" w:rsidP="00730B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fa3ifax2m55p">
            <w:r>
              <w:rPr>
                <w:rFonts w:ascii="Times New Roman" w:eastAsia="Times New Roman" w:hAnsi="Times New Roman" w:cs="Times New Roman"/>
                <w:b/>
                <w:bCs/>
                <w:color w:val="000000"/>
                <w:sz w:val="24"/>
                <w:szCs w:val="24"/>
              </w:rPr>
              <w:t>References</w:t>
            </w:r>
          </w:hyperlink>
          <w:hyperlink w:anchor="_heading=h.fa3ifax2m55p">
            <w:r>
              <w:rPr>
                <w:rFonts w:ascii="Times New Roman" w:eastAsia="Times New Roman" w:hAnsi="Times New Roman" w:cs="Times New Roman"/>
                <w:color w:val="000000"/>
                <w:sz w:val="24"/>
                <w:szCs w:val="24"/>
              </w:rPr>
              <w:tab/>
              <w:t>11</w:t>
            </w:r>
          </w:hyperlink>
        </w:p>
        <w:p w:rsidR="00730B00" w:rsidRDefault="00730B00" w:rsidP="00730B00">
          <w:pPr>
            <w:spacing w:line="360" w:lineRule="auto"/>
            <w:jc w:val="both"/>
            <w:rPr>
              <w:rFonts w:ascii="Times New Roman" w:eastAsia="Times New Roman" w:hAnsi="Times New Roman" w:cs="Times New Roman"/>
              <w:b/>
              <w:bCs/>
              <w:sz w:val="24"/>
              <w:szCs w:val="24"/>
            </w:rPr>
          </w:pPr>
          <w:r>
            <w:fldChar w:fldCharType="end"/>
          </w:r>
        </w:p>
      </w:sdtContent>
    </w:sdt>
    <w:p w:rsidR="00730B00" w:rsidRDefault="00730B00" w:rsidP="00730B00">
      <w:pPr>
        <w:spacing w:line="360" w:lineRule="auto"/>
        <w:jc w:val="both"/>
        <w:rPr>
          <w:rFonts w:ascii="Times New Roman" w:eastAsia="Times New Roman" w:hAnsi="Times New Roman" w:cs="Times New Roman"/>
          <w:sz w:val="24"/>
          <w:szCs w:val="24"/>
        </w:rPr>
      </w:pPr>
      <w:r>
        <w:br w:type="page"/>
      </w:r>
    </w:p>
    <w:p w:rsidR="00730B00" w:rsidRDefault="00730B00" w:rsidP="00730B00">
      <w:pPr>
        <w:pStyle w:val="Heading1"/>
        <w:keepNext w:val="0"/>
        <w:keepLines w:val="0"/>
        <w:spacing w:before="280" w:line="360" w:lineRule="auto"/>
        <w:jc w:val="both"/>
        <w:rPr>
          <w:rFonts w:ascii="Times New Roman" w:eastAsia="Times New Roman" w:hAnsi="Times New Roman" w:cs="Times New Roman"/>
          <w:b/>
          <w:bCs/>
          <w:sz w:val="24"/>
          <w:szCs w:val="24"/>
        </w:rPr>
      </w:pPr>
      <w:bookmarkStart w:id="5" w:name="_heading=h.hm3x3poqhwv" w:colFirst="0" w:colLast="0"/>
      <w:bookmarkEnd w:id="5"/>
      <w:r>
        <w:rPr>
          <w:rFonts w:ascii="Times New Roman" w:eastAsia="Times New Roman" w:hAnsi="Times New Roman" w:cs="Times New Roman"/>
          <w:b/>
          <w:bCs/>
          <w:sz w:val="24"/>
          <w:szCs w:val="24"/>
        </w:rPr>
        <w:lastRenderedPageBreak/>
        <w:t xml:space="preserve">Introduction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Anglo American is a London-based global mining company that trades in copper, iron ore, platinum group metals, diamonds and crop nutrients. The company plays a significant role in supplying the raw materials that are crucial for the industrial growth and global shift to a low-carbon energy economy. In the metals and minerals sector, trends towards sustainability are resulting in greater demands for their behaviour to be aligned in a way that reduces their environmental footprint without compromising their profitability (Zrybnieva et al., 2025).</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threats of climate change, carbon emissions and environmental concerns grow ever greater and are compelling mining companies to adopt a responsible attitude towards their businesses. The Objective of this report is to analyse the external environment of marketing for Anglo American paying special attention to aspects related to sustainability that will affect the operations in the context of natural environment and political and other regulatory factors. In addition, options supporting strategic growth via the Ansoff Matrix are mapped out and strategies of positioning within competition are explored using sustainability options (Farhan, 2024). </w:t>
      </w:r>
    </w:p>
    <w:p w:rsidR="00730B00" w:rsidRDefault="00730B00" w:rsidP="00730B00">
      <w:bookmarkStart w:id="6" w:name="_heading=h.nlmj1189lsii" w:colFirst="0" w:colLast="0"/>
      <w:bookmarkEnd w:id="6"/>
      <w:r>
        <w:t xml:space="preserve">2. Task 1: Marketing Environment Analysis </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7" w:name="_heading=h.mpdyrbvfit7s" w:colFirst="0" w:colLast="0"/>
      <w:bookmarkEnd w:id="7"/>
      <w:r>
        <w:rPr>
          <w:rFonts w:ascii="Times New Roman" w:eastAsia="Times New Roman" w:hAnsi="Times New Roman" w:cs="Times New Roman"/>
          <w:b/>
          <w:bCs/>
          <w:sz w:val="24"/>
          <w:szCs w:val="24"/>
        </w:rPr>
        <w:t>2.1 Overview of the Marketing Environment</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Environment is the external and internal factors which affect the ability of an organisation to create value for the customers and to achieve the organisation's objectives. All these influence futures organisational performance, decision making, competitive positioning and resource allocation. These external forces have a substantial impact on business operations and market opportunities, but are typically outside of the manager's control.</w:t>
      </w:r>
    </w:p>
    <w:p w:rsidR="00730B00" w:rsidRDefault="00730B00" w:rsidP="00730B00">
      <w:pPr>
        <w:spacing w:line="360" w:lineRule="auto"/>
        <w:jc w:val="both"/>
        <w:rPr>
          <w:rFonts w:ascii="Times New Roman" w:eastAsia="Times New Roman" w:hAnsi="Times New Roman" w:cs="Times New Roman"/>
          <w:sz w:val="24"/>
          <w:szCs w:val="24"/>
        </w:rPr>
      </w:pP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Liquidating factors such as marimeters. Marimeters that may be liquidated are economic marimeters, political marimeters, technological marimeters, social and environmental marimeters (Alkaraan et al., 2024). Knowing what is happening to the marketing environment is definitely crucial for Anglo American since mining is tied to the world's questions on sustainability. The alteration of environmental laws, expectations from stakeholders, technological innovations, etc. has an impact on production as well as on profitability.</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205CF413" wp14:editId="290C5060">
            <wp:extent cx="2395538" cy="243879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395538" cy="2438798"/>
                    </a:xfrm>
                    <a:prstGeom prst="rect">
                      <a:avLst/>
                    </a:prstGeom>
                    <a:ln/>
                  </pic:spPr>
                </pic:pic>
              </a:graphicData>
            </a:graphic>
          </wp:inline>
        </w:drawing>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Marketing environment macro factors infographic PESTLE</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Zioło et al., 2023)</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mining sector is undergoing a change that has never been seen before due to the rise in importance of sustainability. Investors, governments, customers and local communities, on the other hand, are holding mining companies accountable for reducing carbon emissions, delivering green outcomes and making a positive contribution toward the Sustainable Development Goals (SDGs) today. Environmental analysis is thus not a compliance question, but rather a strategic one (Zioło et al., 2023). </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to the future with an eye for environmental conditions and reacting appropriately could improve Anglo American's reputation, help optimize their operations, and create long term competitive opportunities.</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8" w:name="_heading=h.a8d8b2pcadaq" w:colFirst="0" w:colLast="0"/>
      <w:bookmarkEnd w:id="8"/>
      <w:r>
        <w:rPr>
          <w:rFonts w:ascii="Times New Roman" w:eastAsia="Times New Roman" w:hAnsi="Times New Roman" w:cs="Times New Roman"/>
          <w:b/>
          <w:bCs/>
          <w:sz w:val="24"/>
          <w:szCs w:val="24"/>
        </w:rPr>
        <w:t>2.2 Natural Environment Analysis (Main Focus)</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natural environment is one of the most external factors that most has been impacted on Anglo American operations. Greenhouse gas emissions are one issue of concern to mining companies as pressure on them to decrease the amount of GHGs they generate gets worse. Many of the mining operations represent large energy consumption and are subject of critical carbon reduction strategies. But there are some things that need to be addressed because of its limited resources. With the accessibility of mineral deposits getting harder, companies need to put their money behind new, groundbreaking mining methods, as well as effective and efficient management systems of mineral resources (Ulanov, 2024).</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addition, the lack of water at many sites poses problems for this operation and there are concerns from stakeholders regarding the environment. As a way forward, Anglo American has concentrated on renewable energy, emission reduction and sustainable mining. The Company's goal is to reduce environmental load and assist in creating an economy for lowering carbon emissions. </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587433B0" wp14:editId="7CEFC558">
            <wp:extent cx="2644831" cy="1757363"/>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644831" cy="1757363"/>
                    </a:xfrm>
                    <a:prstGeom prst="rect">
                      <a:avLst/>
                    </a:prstGeom>
                    <a:ln/>
                  </pic:spPr>
                </pic:pic>
              </a:graphicData>
            </a:graphic>
          </wp:inline>
        </w:drawing>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Renewable energy at mining sites solar wind power mining industry</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Gerged et al., 2023)</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and threats can be found within the natural environment, critically. Implementing sustainable products can enhance the added value of brands and set advantages for the company's products and services. However, not responding to environmental issues could lead to reputation loss, regulatory fines and loss of trust from stakeholders (Gerged et al., 2023). </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9" w:name="_heading=h.9k5n2p3d70qc" w:colFirst="0" w:colLast="0"/>
      <w:bookmarkEnd w:id="9"/>
      <w:r>
        <w:rPr>
          <w:rFonts w:ascii="Times New Roman" w:eastAsia="Times New Roman" w:hAnsi="Times New Roman" w:cs="Times New Roman"/>
          <w:b/>
          <w:bCs/>
          <w:sz w:val="24"/>
          <w:szCs w:val="24"/>
        </w:rPr>
        <w:t>2.3 Second External Marketing Environment Actor: Political and Regulatory Environment</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Anglo American's sustainability initiatives and strategic decisions are strongly affected by the political and regulatory environment. Avoiding the excesses of climate change combined with the challenge of sustainable economic development, more Governments of the world make tough on environmental regulations (El Fallahi et al., 2023). These policies can affect mining companies in many ways, such as through carbon taxes, emission reduction targets, environmental reporting and resource management policies. Meeting environmental legislation adds to the expense, but also may spur innovation and efficiency gains. Anglo American needs to be flexible in executing its operations and adjust to evolving regulatory requirements in various international markets. </w:t>
      </w:r>
    </w:p>
    <w:p w:rsidR="00730B00" w:rsidRDefault="00730B00" w:rsidP="00730B00">
      <w:pPr>
        <w:spacing w:line="360" w:lineRule="auto"/>
        <w:jc w:val="both"/>
        <w:rPr>
          <w:rFonts w:ascii="Times New Roman" w:eastAsia="Times New Roman" w:hAnsi="Times New Roman" w:cs="Times New Roman"/>
          <w:sz w:val="24"/>
          <w:szCs w:val="24"/>
        </w:rPr>
      </w:pP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while government policies encourage renewable energy and sustainable industrial development, mining companies are presented with avenues to supply the minerals that </w:t>
      </w:r>
      <w:r>
        <w:rPr>
          <w:rFonts w:ascii="Times New Roman" w:eastAsia="Times New Roman" w:hAnsi="Times New Roman" w:cs="Times New Roman"/>
          <w:sz w:val="24"/>
          <w:szCs w:val="24"/>
        </w:rPr>
        <w:lastRenderedPageBreak/>
        <w:t>generates clean energy (Alonso‐Martínez and González‐Álvarez, 2024). A critical angle: regulatory pressure is a challenge, as well as an opportunity. Restricting standards may lead to high costs of adherence as well as limited choices on operations. However, companies can strengthen their market position and continue to be leaders in sustainability in the eyes of their customers and the eyes of government by responding proactively to emerging regulations.</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1572BC14" wp14:editId="6DA60F86">
            <wp:extent cx="3333750" cy="189547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333750" cy="1895475"/>
                    </a:xfrm>
                    <a:prstGeom prst="rect">
                      <a:avLst/>
                    </a:prstGeom>
                    <a:ln/>
                  </pic:spPr>
                </pic:pic>
              </a:graphicData>
            </a:graphic>
          </wp:inline>
        </w:drawing>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Environmental regulations mining industry government policy</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Alonso‐Martínez and González‐Álvarez, 2024)</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assessments/ compliance is of utmost significance to customers, investors, and stakeholders. Rather than just relying on protecting their property and assets, Anglo American would show why it is good to invest in sustainability, and enhance its reputation as a good company to invest in (Dobija et al., 2023). The opposite, however, may have negative impacts on the involvement of stakeholders and the competitiveness of the market because of shortcomings in the regulation. </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0" w:name="_heading=h.6e9m9a5a2gma" w:colFirst="0" w:colLast="0"/>
      <w:bookmarkEnd w:id="10"/>
      <w:r>
        <w:rPr>
          <w:rFonts w:ascii="Times New Roman" w:eastAsia="Times New Roman" w:hAnsi="Times New Roman" w:cs="Times New Roman"/>
          <w:b/>
          <w:bCs/>
          <w:sz w:val="24"/>
          <w:szCs w:val="24"/>
        </w:rPr>
        <w:t xml:space="preserve">2.4 Summary of Environmental Findings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environmental analysis, Anglo American identified a lot of opportunities and challenges of the context. Demand for greater sustainability within the mining business, for renewable energy technologies and for responsible resource management offers opportunities for businesses to grow and differentiate. But due to climate change stress and resource constraints, as well as more and more stringent Environmental regulations, they are facing serious operational challenges. The company's ability to weave sustainability into business decision-making, adapts to the changing regulation and keeps the trust of the stakeholders can be vital for its strategic success while meeting long-term business and environmental needs.</w:t>
      </w:r>
    </w:p>
    <w:p w:rsidR="00730B00" w:rsidRDefault="00730B00" w:rsidP="00730B00">
      <w:pPr>
        <w:pStyle w:val="Heading1"/>
        <w:keepNext w:val="0"/>
        <w:keepLines w:val="0"/>
        <w:spacing w:before="480" w:line="360" w:lineRule="auto"/>
        <w:jc w:val="both"/>
        <w:rPr>
          <w:rFonts w:ascii="Times New Roman" w:eastAsia="Times New Roman" w:hAnsi="Times New Roman" w:cs="Times New Roman"/>
          <w:b/>
          <w:bCs/>
          <w:sz w:val="24"/>
          <w:szCs w:val="24"/>
        </w:rPr>
      </w:pPr>
      <w:bookmarkStart w:id="11" w:name="_heading=h.jh7u4g8a6hnk" w:colFirst="0" w:colLast="0"/>
      <w:bookmarkEnd w:id="11"/>
      <w:r>
        <w:rPr>
          <w:rFonts w:ascii="Times New Roman" w:eastAsia="Times New Roman" w:hAnsi="Times New Roman" w:cs="Times New Roman"/>
          <w:b/>
          <w:bCs/>
          <w:sz w:val="24"/>
          <w:szCs w:val="24"/>
        </w:rPr>
        <w:t>3. Task 2: Strategic Growth and Competitive Positioning</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2" w:name="_heading=h.8x5gk8lkrdor" w:colFirst="0" w:colLast="0"/>
      <w:bookmarkEnd w:id="12"/>
      <w:r>
        <w:rPr>
          <w:rFonts w:ascii="Times New Roman" w:eastAsia="Times New Roman" w:hAnsi="Times New Roman" w:cs="Times New Roman"/>
          <w:b/>
          <w:bCs/>
          <w:sz w:val="24"/>
          <w:szCs w:val="24"/>
        </w:rPr>
        <w:lastRenderedPageBreak/>
        <w:t>3.1 Introduction to Growth Strategy</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today's fast-paced business world, strategic growth is the key to competitiveness in the marketplace. Anglo American's growth strategies need to be in line with its sustainability goals and able to tackle environmental issues and regulatory challenges highlighted in the external analysis. Successful Growth strategies allow the organisation to maximise opportunities, improve profitability and strengthen competition (Blinova et al., 2022). As a company that is competing for sustainable resources and for low-carbon technologies, Anglo American needs to get more creative around its growth programmes to ensure that it creates long term value for stakeholders and improves the overall performance of the organisation in doing so, while fostering environmental responsibility.</w:t>
      </w:r>
    </w:p>
    <w:p w:rsidR="00730B00" w:rsidRDefault="00730B00" w:rsidP="00730B00">
      <w:pPr>
        <w:pStyle w:val="Heading2"/>
        <w:keepNext w:val="0"/>
        <w:keepLines w:val="0"/>
        <w:spacing w:after="80" w:line="360" w:lineRule="auto"/>
        <w:jc w:val="both"/>
        <w:rPr>
          <w:rFonts w:ascii="Times New Roman" w:eastAsia="Times New Roman" w:hAnsi="Times New Roman" w:cs="Times New Roman"/>
          <w:sz w:val="24"/>
          <w:szCs w:val="24"/>
        </w:rPr>
      </w:pPr>
      <w:bookmarkStart w:id="13" w:name="_heading=h.w13x32myxc22" w:colFirst="0" w:colLast="0"/>
      <w:bookmarkEnd w:id="13"/>
      <w:r>
        <w:rPr>
          <w:rFonts w:ascii="Times New Roman" w:eastAsia="Times New Roman" w:hAnsi="Times New Roman" w:cs="Times New Roman"/>
          <w:b/>
          <w:bCs/>
          <w:sz w:val="24"/>
          <w:szCs w:val="24"/>
        </w:rPr>
        <w:t>3.2 Application of the Ansoff Matrix</w:t>
      </w:r>
    </w:p>
    <w:p w:rsidR="00730B00" w:rsidRDefault="00730B00" w:rsidP="00730B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Penetration</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penetration is geared towards expanding sales of the same product in the same market. Anglo American can further enhance its sustainability communication and operational efficiency through improving customer relationships, to achieve growth in market share (Grayson et al., 2022). Business relationships can be long-term and stakeholder trust can be gained by responsible mining practices that have been demonstrated.</w:t>
      </w:r>
    </w:p>
    <w:p w:rsidR="00730B00" w:rsidRDefault="00730B00" w:rsidP="00730B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Product Development</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 Development is the creation of new products, which are targeting old markets. Investments in minerals and materials provide a diversification opportunity for Anglo American which can help contribute to low carbon technology (Rathobei et al., 2024). The increasing demand for copper; opportunity for sustainable product innovations such as in renewable energy systems; etc. Increased investment in fuel processing technology which results in less carbon, air and water pollution, and less mercury and other contaminants into the environment can further strengthen product value.</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16AE73BB" wp14:editId="3D9A7DB6">
            <wp:extent cx="2141509" cy="2130837"/>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141509" cy="2130837"/>
                    </a:xfrm>
                    <a:prstGeom prst="rect">
                      <a:avLst/>
                    </a:prstGeom>
                    <a:ln/>
                  </pic:spPr>
                </pic:pic>
              </a:graphicData>
            </a:graphic>
          </wp:inline>
        </w:drawing>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Ansoff Matrix business growth strategy</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Rathobei et al., 2024)</w:t>
      </w:r>
    </w:p>
    <w:p w:rsidR="00730B00" w:rsidRDefault="00730B00" w:rsidP="00730B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Development</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development is to build up existing products in new markets. The world's mining industry must provide essential commodities to energy infrastructure projects in growing numbers of countries and industry sectors venturing into renewables (Hampl and Vágnerová Linnertová, 2025). Anglo American can play a role in filling this growing demand for responsibly sourced minerals with the sustainability-focused markets that they serve.</w:t>
      </w:r>
    </w:p>
    <w:p w:rsidR="00730B00" w:rsidRDefault="00730B00" w:rsidP="00730B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Diversification</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means to invest in new products that are different from one's current portfolios in different markets. Anglo American is investing in renewables, re-processing technologies or sustainability solutions and how it can better manage resources (Quaye et al., 2026). These can minimize reliance on traditional mining activities and by extension on alternative livelihoods.</w:t>
      </w:r>
    </w:p>
    <w:p w:rsidR="00730B00" w:rsidRDefault="00730B00" w:rsidP="00730B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Recommended Strategy</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best growth approach is to develop products. There will be a lot of demand for minerals in clean energy technologies. Innovative, low carbon products and extraction processes, developed by Anglo American would satisfy market demand and mitigate environmental concerns. This approach has a connection to sustainability objectives, high competitiveness and sustainable business growth.</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4" w:name="_heading=h.dmn2yict68xd" w:colFirst="0" w:colLast="0"/>
      <w:bookmarkEnd w:id="14"/>
      <w:r>
        <w:rPr>
          <w:rFonts w:ascii="Times New Roman" w:eastAsia="Times New Roman" w:hAnsi="Times New Roman" w:cs="Times New Roman"/>
          <w:b/>
          <w:bCs/>
          <w:sz w:val="24"/>
          <w:szCs w:val="24"/>
        </w:rPr>
        <w:t>3.3 Achieving Competitive Advantage</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Porter's Generic Strategies states that organisations can achieve competitive advantage through three business strategies: cost leadership, differentiation, and focus. Anglo American's best choice of strategy is a differentiation strategy as sustainability is one of the drivers’ influencing investors and other stakeholders. Understanding the difference is the ability of companies to be different: by having ethical mining, innovations in the environment and sustainability based on the management of values (Kalyuzhna et al., 2023). </w:t>
      </w:r>
    </w:p>
    <w:p w:rsidR="00730B00" w:rsidRDefault="00730B00" w:rsidP="00730B00">
      <w:pPr>
        <w:spacing w:line="360" w:lineRule="auto"/>
        <w:jc w:val="both"/>
        <w:rPr>
          <w:rFonts w:ascii="Times New Roman" w:eastAsia="Times New Roman" w:hAnsi="Times New Roman" w:cs="Times New Roman"/>
          <w:sz w:val="24"/>
          <w:szCs w:val="24"/>
        </w:rPr>
      </w:pP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increasing customer, investor and regulatory preferences for organisations with superior environmental performance. Sustainable investment in renewable energy, emission reduction technologies and transparent sustainability reporting is a way to develop an added-value market position for Anglo American. While it is a significant factor in the industry, merely being a “low-cost producer” might not give an Iron Ore company long-term return. Environmental Regulation and Stakeholder's Expectation are driving companies to become sustainable, which is a better proposition than differentiation (Di Stefano et al., 2024). </w:t>
      </w:r>
    </w:p>
    <w:p w:rsidR="00730B00" w:rsidRDefault="00730B00" w:rsidP="00730B00">
      <w:pPr>
        <w:spacing w:line="360" w:lineRule="auto"/>
        <w:jc w:val="both"/>
        <w:rPr>
          <w:rFonts w:ascii="Times New Roman" w:eastAsia="Times New Roman" w:hAnsi="Times New Roman" w:cs="Times New Roman"/>
          <w:sz w:val="24"/>
          <w:szCs w:val="24"/>
        </w:rPr>
      </w:pP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Net-net, a change towards a sustainability oriented differentiation approach may benefit in some aspects, including better stakeholder relationships, good reputation and better customer trust. It also could attract those who are worried about environmental, social and governance issues who trust that they can invest in companies that impress others by talking about their environmental, social and governance performance. </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6AD59278" wp14:editId="1E610041">
            <wp:extent cx="2386013" cy="2382049"/>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386013" cy="2382049"/>
                    </a:xfrm>
                    <a:prstGeom prst="rect">
                      <a:avLst/>
                    </a:prstGeom>
                    <a:ln/>
                  </pic:spPr>
                </pic:pic>
              </a:graphicData>
            </a:graphic>
          </wp:inline>
        </w:drawing>
      </w:r>
    </w:p>
    <w:p w:rsidR="00730B00" w:rsidRDefault="00730B00" w:rsidP="00730B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Porter's Generic Strategies diagram cost leadership differentiation focus</w:t>
      </w:r>
    </w:p>
    <w:p w:rsidR="00730B00" w:rsidRDefault="00730B00" w:rsidP="00730B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Di Stefano et al., 2024)</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5" w:name="_heading=h.xk10f0tvwodq" w:colFirst="0" w:colLast="0"/>
      <w:bookmarkEnd w:id="15"/>
      <w:r>
        <w:rPr>
          <w:rFonts w:ascii="Times New Roman" w:eastAsia="Times New Roman" w:hAnsi="Times New Roman" w:cs="Times New Roman"/>
          <w:b/>
          <w:bCs/>
          <w:sz w:val="24"/>
          <w:szCs w:val="24"/>
        </w:rPr>
        <w:t>3.4 Competitive Advantage Through Sustainability</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Sustainability can be an excellent source of competitive advantage to Anglo American. Green branding programmes can be harnessed to communicate the company's environmental responsibility and sustainable practices.</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has a positive impact on corporate reputation and trust among stakeholders to improve performance in sustainability. Sustainable innovations are also a competitive positioning (Zrybnieva et al., 2025). The savings achieved in these areas of renewable energy, improved production techniques and the latest production technology in the environmental area improve performance and reduce environmental impacts. These programmes will support business to be resilient and compliant in the long-term. Another critical value added is customer value creation. </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indicator of the importance that organisations are seeing in adopting a pathway towards sustainability aims in their procurement processes is the inclusion of an increased amount of emphasis regarding the achieved mining products from supplier organisations on their sustainability pathway (Farhan, 2024). By using material that is responsibly sourced, Anglo American can develop customer relationships and be more attractive in the marketplace. In the long-term, sustainability programmes can help movement towards the market through time, if they choose a differentiating trajectory towards the market and meet the expectations of the stakeholders.</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6" w:name="_heading=h.jnl71vymlpe" w:colFirst="0" w:colLast="0"/>
      <w:bookmarkEnd w:id="16"/>
      <w:r>
        <w:rPr>
          <w:rFonts w:ascii="Times New Roman" w:eastAsia="Times New Roman" w:hAnsi="Times New Roman" w:cs="Times New Roman"/>
          <w:b/>
          <w:bCs/>
          <w:sz w:val="24"/>
          <w:szCs w:val="24"/>
        </w:rPr>
        <w:t xml:space="preserve">3.5 Strategic Recommendations </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Recommendation 1:</w:t>
      </w:r>
      <w:r>
        <w:rPr>
          <w:rFonts w:ascii="Times New Roman" w:eastAsia="Times New Roman" w:hAnsi="Times New Roman" w:cs="Times New Roman"/>
          <w:sz w:val="24"/>
          <w:szCs w:val="24"/>
        </w:rPr>
        <w:t xml:space="preserve"> Scale up renewable energy facilities at mines (Alkaraan et al., 2024). This will enable us to reduce some of the carbon emissions, increase in operational efficiency and achieve sustainability for the longer run.</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Recommendation 2:</w:t>
      </w:r>
      <w:r>
        <w:rPr>
          <w:rFonts w:ascii="Times New Roman" w:eastAsia="Times New Roman" w:hAnsi="Times New Roman" w:cs="Times New Roman"/>
          <w:sz w:val="24"/>
          <w:szCs w:val="24"/>
        </w:rPr>
        <w:t xml:space="preserve"> Encourage more research and development in minerals for renewable energy technologies. However, demand for products that are good for the environment is also steadily rising, creating a positive possibility to generate income and expand the markets.</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Recommendation 3:</w:t>
      </w:r>
      <w:r>
        <w:rPr>
          <w:rFonts w:ascii="Times New Roman" w:eastAsia="Times New Roman" w:hAnsi="Times New Roman" w:cs="Times New Roman"/>
          <w:sz w:val="24"/>
          <w:szCs w:val="24"/>
        </w:rPr>
        <w:t xml:space="preserve"> Enhance strategies to engage, and communicate sustainability (Zioło et al., 2023). Cooperation and solid disclosure by private enterprises can build consumer and investor confidence, and bolster private companies' reputations.</w:t>
      </w:r>
    </w:p>
    <w:p w:rsidR="00730B00" w:rsidRDefault="00730B00" w:rsidP="00730B00">
      <w:pPr>
        <w:pStyle w:val="Heading1"/>
        <w:keepNext w:val="0"/>
        <w:keepLines w:val="0"/>
        <w:spacing w:before="480" w:line="360" w:lineRule="auto"/>
        <w:jc w:val="both"/>
        <w:rPr>
          <w:rFonts w:ascii="Times New Roman" w:eastAsia="Times New Roman" w:hAnsi="Times New Roman" w:cs="Times New Roman"/>
          <w:b/>
          <w:bCs/>
          <w:sz w:val="24"/>
          <w:szCs w:val="24"/>
        </w:rPr>
      </w:pPr>
      <w:bookmarkStart w:id="17" w:name="_heading=h.oya3txgdcmwy" w:colFirst="0" w:colLast="0"/>
      <w:bookmarkEnd w:id="17"/>
      <w:r>
        <w:rPr>
          <w:rFonts w:ascii="Times New Roman" w:eastAsia="Times New Roman" w:hAnsi="Times New Roman" w:cs="Times New Roman"/>
          <w:b/>
          <w:bCs/>
          <w:sz w:val="24"/>
          <w:szCs w:val="24"/>
        </w:rPr>
        <w:t xml:space="preserve">4. Task 3: Critical Reflection on AI Usage </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8" w:name="_heading=h.krciyjkhrgl8" w:colFirst="0" w:colLast="0"/>
      <w:bookmarkEnd w:id="18"/>
      <w:r>
        <w:rPr>
          <w:rFonts w:ascii="Times New Roman" w:eastAsia="Times New Roman" w:hAnsi="Times New Roman" w:cs="Times New Roman"/>
          <w:b/>
          <w:bCs/>
          <w:sz w:val="24"/>
          <w:szCs w:val="24"/>
        </w:rPr>
        <w:lastRenderedPageBreak/>
        <w:t>4.1 AI Tool Disclosure</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does use Artificial Intelligence (AI) tools, especially ChatGPT, to complement the actual creation of the report. The primary application of the AI was as a tool to collect information, to organise reports, to give ideas, and begin content (Ulanov, 2024). AI identified six concepts: prioritized sustainability, marketing environments, strategic growth and competitive advantage that were prioritized in the mining industry. The technology made it possible to organize the information into logical components, which were linked into the expectations of the assessment. </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19" w:name="_heading=h.cfsk9prmi8gp" w:colFirst="0" w:colLast="0"/>
      <w:bookmarkEnd w:id="19"/>
      <w:r>
        <w:rPr>
          <w:rFonts w:ascii="Times New Roman" w:eastAsia="Times New Roman" w:hAnsi="Times New Roman" w:cs="Times New Roman"/>
          <w:b/>
          <w:bCs/>
          <w:sz w:val="24"/>
          <w:szCs w:val="24"/>
        </w:rPr>
        <w:t>4.2 Verification of AI Output</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output generated from AI tools has been checked, cross-checked and verified with academic research, business reports, industry publications and other reliable and quality business sources. This is because AI-generated content ought to be accurate, up to date, and unaffiliated with false claims (Gerged et al., 2023). Sustainability dates and facts from Anglo American's relevant sustainability reports and from peer reviewed academic sources were consulted to ensure key facts and strategic insights were accurate. As inconsistencies were noted, they were corrected on the basis of evidence which was credible. </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20" w:name="_heading=h.k2g5ccvlko87" w:colFirst="0" w:colLast="0"/>
      <w:bookmarkEnd w:id="20"/>
      <w:r>
        <w:rPr>
          <w:rFonts w:ascii="Times New Roman" w:eastAsia="Times New Roman" w:hAnsi="Times New Roman" w:cs="Times New Roman"/>
          <w:b/>
          <w:bCs/>
          <w:sz w:val="24"/>
          <w:szCs w:val="24"/>
        </w:rPr>
        <w:t xml:space="preserve">4.3 Contribution Analysis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has been effective in brainstorming, summarising content, suggesting contents of a report and enhancing its organisation.</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provided a direction to marketing frameworks like the Ansoff Matrix and Porter's Generic Strategies, so that it could lay a stone to analyse (El Fallahi et al., 2023). The results were interpreted; critical appraisal of the environmental factors and development of recommendations were carried out independently and personally while the integration of the strategic theories in Anglo American was also completed independently and personally. Sources were used in a critical way to support arguments and strengthen conclusions in academic sources. Each report was the result of a critical analysis, evaluation of evidence and decision by a researcher.</w:t>
      </w:r>
    </w:p>
    <w:p w:rsidR="00730B00" w:rsidRDefault="00730B00" w:rsidP="00730B00">
      <w:pPr>
        <w:pStyle w:val="Heading2"/>
        <w:keepNext w:val="0"/>
        <w:keepLines w:val="0"/>
        <w:spacing w:after="80" w:line="360" w:lineRule="auto"/>
        <w:jc w:val="both"/>
        <w:rPr>
          <w:rFonts w:ascii="Times New Roman" w:eastAsia="Times New Roman" w:hAnsi="Times New Roman" w:cs="Times New Roman"/>
          <w:b/>
          <w:bCs/>
          <w:sz w:val="24"/>
          <w:szCs w:val="24"/>
        </w:rPr>
      </w:pPr>
      <w:bookmarkStart w:id="21" w:name="_heading=h.dlrzgx4njb3v" w:colFirst="0" w:colLast="0"/>
      <w:bookmarkEnd w:id="21"/>
      <w:r>
        <w:rPr>
          <w:rFonts w:ascii="Times New Roman" w:eastAsia="Times New Roman" w:hAnsi="Times New Roman" w:cs="Times New Roman"/>
          <w:b/>
          <w:bCs/>
          <w:sz w:val="24"/>
          <w:szCs w:val="24"/>
        </w:rPr>
        <w:t>4.4 Ethical and Professional Reflection</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use of AI has several benefits including efficiency, information accessibility, and aiding with the development of ideas. Such benefits can assist researchers to structure complex subjects and enhance productivity. The application of AI, however, presents several risks associated with it, such as misinformation, being biased, using it excessively, and even the likelihood of academic dishonesty (Alonso‐Martínez and González‐Álvarez, 2024). All work created using AI must be clearly marked and verified by the suitable software or services in order to keep academic honesty. AI can be used responsibly by using it as a resource for learning, rather than as a substitute for independent thinking and research. </w:t>
      </w:r>
    </w:p>
    <w:p w:rsidR="00730B00" w:rsidRDefault="00730B00" w:rsidP="00730B00">
      <w:pPr>
        <w:pStyle w:val="Heading1"/>
        <w:keepNext w:val="0"/>
        <w:keepLines w:val="0"/>
        <w:spacing w:before="480" w:line="360" w:lineRule="auto"/>
        <w:jc w:val="both"/>
        <w:rPr>
          <w:rFonts w:ascii="Times New Roman" w:eastAsia="Times New Roman" w:hAnsi="Times New Roman" w:cs="Times New Roman"/>
          <w:b/>
          <w:bCs/>
          <w:sz w:val="24"/>
          <w:szCs w:val="24"/>
        </w:rPr>
      </w:pPr>
      <w:bookmarkStart w:id="22" w:name="_heading=h.qkbqn9al5kt1" w:colFirst="0" w:colLast="0"/>
      <w:bookmarkEnd w:id="22"/>
      <w:r>
        <w:rPr>
          <w:rFonts w:ascii="Times New Roman" w:eastAsia="Times New Roman" w:hAnsi="Times New Roman" w:cs="Times New Roman"/>
          <w:b/>
          <w:bCs/>
          <w:sz w:val="24"/>
          <w:szCs w:val="24"/>
        </w:rPr>
        <w:t>5. Conclusion</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external marketing environment detected in which Anglo American operated was analysed and then two issues of strategic possibilities enabling Anglo American to discern sustainable business transformation were examined.</w:t>
      </w:r>
    </w:p>
    <w:p w:rsidR="00730B00" w:rsidRDefault="00730B00" w:rsidP="00730B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Analysis revealed that two factors namely the natural environment and the political-regulatory environment play an important role in organizational decision making. The scope of the impacts and opportunities on the climate landscape to the company are both resource scarcity and carbon reduction needs as well as environmental regulations. The results highlighted the importance of sustainability issues in terms of the businesses activity and strategy. </w:t>
      </w:r>
    </w:p>
    <w:p w:rsidR="00730B00" w:rsidRDefault="00730B00" w:rsidP="00730B00">
      <w:pPr>
        <w:spacing w:line="360" w:lineRule="auto"/>
        <w:rPr>
          <w:rFonts w:ascii="Times New Roman" w:eastAsia="Times New Roman" w:hAnsi="Times New Roman" w:cs="Times New Roman"/>
          <w:b/>
          <w:bCs/>
          <w:sz w:val="24"/>
          <w:szCs w:val="24"/>
        </w:rPr>
      </w:pPr>
      <w:bookmarkStart w:id="23" w:name="_heading=h.fa3ifax2m55p" w:colFirst="0" w:colLast="0"/>
      <w:bookmarkEnd w:id="23"/>
      <w:r>
        <w:br w:type="page"/>
      </w:r>
    </w:p>
    <w:p w:rsidR="00730B00" w:rsidRDefault="00730B00" w:rsidP="00730B00">
      <w:pPr>
        <w:pStyle w:val="Heading1"/>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Zrybnieva, I., Burdyak, O., Venherova, O., Nosachenko, O. and Serhiienko, O., 2025. Sustainable Marketing within the Environmental Responsibility Context: Research and Communication Strategies for Businesses Growth.</w:t>
      </w:r>
      <w:r>
        <w:rPr>
          <w:rFonts w:ascii="Times New Roman" w:eastAsia="Times New Roman" w:hAnsi="Times New Roman" w:cs="Times New Roman"/>
          <w:sz w:val="24"/>
          <w:szCs w:val="24"/>
        </w:rPr>
        <w:t xml:space="preserve">  </w:t>
      </w:r>
      <w:hyperlink r:id="rId10">
        <w:r>
          <w:rPr>
            <w:rFonts w:ascii="Times New Roman" w:eastAsia="Times New Roman" w:hAnsi="Times New Roman" w:cs="Times New Roman"/>
            <w:color w:val="1155CC"/>
            <w:sz w:val="24"/>
            <w:szCs w:val="24"/>
            <w:u w:val="single"/>
          </w:rPr>
          <w:t>https://elar.tsatu.edu.ua/items/65f91107-b091-4805-9d3b-e5320cc0b8c0</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Farhan, B.Y., 2024. Visionary leadership and innovative mindset for sustainable business development: Case studies and practical applications. </w:t>
      </w:r>
      <w:r>
        <w:rPr>
          <w:rFonts w:ascii="Times New Roman" w:eastAsia="Times New Roman" w:hAnsi="Times New Roman" w:cs="Times New Roman"/>
          <w:i/>
          <w:iCs/>
          <w:color w:val="222222"/>
          <w:sz w:val="24"/>
          <w:szCs w:val="24"/>
          <w:highlight w:val="white"/>
        </w:rPr>
        <w:t>Research in Globalization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p.100219.</w:t>
      </w:r>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https://www.sciencedirect.com/science/article/pii/S2590051X24000285</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Alkaraan, F., Elmarzouky, M., Hussainey, K., Venkatesh, V.G., Shi, Y. and Gulko, N., 2024. Reinforcing green business strategies with Industry 4.0 and governance towards sustainability: Natural‐resource‐based view and dynamic capability. </w:t>
      </w:r>
      <w:r>
        <w:rPr>
          <w:rFonts w:ascii="Times New Roman" w:eastAsia="Times New Roman" w:hAnsi="Times New Roman" w:cs="Times New Roman"/>
          <w:i/>
          <w:iCs/>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33</w:t>
      </w:r>
      <w:r>
        <w:rPr>
          <w:rFonts w:ascii="Times New Roman" w:eastAsia="Times New Roman" w:hAnsi="Times New Roman" w:cs="Times New Roman"/>
          <w:color w:val="222222"/>
          <w:sz w:val="24"/>
          <w:szCs w:val="24"/>
          <w:highlight w:val="white"/>
        </w:rPr>
        <w:t>(4), pp.3588-3606.</w:t>
      </w:r>
      <w:r>
        <w:rPr>
          <w:rFonts w:ascii="Times New Roman" w:eastAsia="Times New Roman" w:hAnsi="Times New Roman" w:cs="Times New Roman"/>
          <w:sz w:val="24"/>
          <w:szCs w:val="24"/>
        </w:rPr>
        <w:t xml:space="preserve">  </w:t>
      </w:r>
      <w:hyperlink r:id="rId12">
        <w:r>
          <w:rPr>
            <w:rFonts w:ascii="Times New Roman" w:eastAsia="Times New Roman" w:hAnsi="Times New Roman" w:cs="Times New Roman"/>
            <w:color w:val="1155CC"/>
            <w:sz w:val="24"/>
            <w:szCs w:val="24"/>
            <w:u w:val="single"/>
          </w:rPr>
          <w:t>https://onlinelibrary.wiley.com/doi/abs/10.1002/bse.3665</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Zioło, M., Bąk, I., Cheba, K., Filipiak, B.Z. and Spoz, A., 2023. Environmental, social, governance risk versus cooperation models between financial institutions and businesses. Sectoral approach and ESG risk analysis. </w:t>
      </w:r>
      <w:r>
        <w:rPr>
          <w:rFonts w:ascii="Times New Roman" w:eastAsia="Times New Roman" w:hAnsi="Times New Roman" w:cs="Times New Roman"/>
          <w:i/>
          <w:iCs/>
          <w:color w:val="222222"/>
          <w:sz w:val="24"/>
          <w:szCs w:val="24"/>
          <w:highlight w:val="white"/>
        </w:rPr>
        <w:t>Frontiers in Environmental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10</w:t>
      </w:r>
      <w:r>
        <w:rPr>
          <w:rFonts w:ascii="Times New Roman" w:eastAsia="Times New Roman" w:hAnsi="Times New Roman" w:cs="Times New Roman"/>
          <w:color w:val="222222"/>
          <w:sz w:val="24"/>
          <w:szCs w:val="24"/>
          <w:highlight w:val="white"/>
        </w:rPr>
        <w:t>, p.1077947.</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https://www.frontiersin.org/journals/environmental-science/articles/10.3389/fenvs.2022.1077947/full</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Ulanov, V.L., 2024. The need for the green economy factors in assessing the development and growth of Russian raw materials companies. </w:t>
      </w:r>
      <w:r>
        <w:rPr>
          <w:rFonts w:ascii="Times New Roman" w:eastAsia="Times New Roman" w:hAnsi="Times New Roman" w:cs="Times New Roman"/>
          <w:i/>
          <w:iCs/>
          <w:color w:val="222222"/>
          <w:sz w:val="24"/>
          <w:szCs w:val="24"/>
          <w:highlight w:val="white"/>
        </w:rPr>
        <w:t>Journal of Comprehensive Business Administration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(1), pp.19-26.</w:t>
      </w:r>
      <w:r>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1155CC"/>
            <w:sz w:val="24"/>
            <w:szCs w:val="24"/>
            <w:u w:val="single"/>
          </w:rPr>
          <w:t>https://ojs.bonviewpress.com/index.php/JCBAR/article/view/2237</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Gerged, A.M., Salem, R. and Beddewela, E., 2023. How does transparency into global sustainability initiatives influence firm value? Insights from Anglo‐American countries. </w:t>
      </w:r>
      <w:r>
        <w:rPr>
          <w:rFonts w:ascii="Times New Roman" w:eastAsia="Times New Roman" w:hAnsi="Times New Roman" w:cs="Times New Roman"/>
          <w:i/>
          <w:iCs/>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32</w:t>
      </w:r>
      <w:r>
        <w:rPr>
          <w:rFonts w:ascii="Times New Roman" w:eastAsia="Times New Roman" w:hAnsi="Times New Roman" w:cs="Times New Roman"/>
          <w:color w:val="222222"/>
          <w:sz w:val="24"/>
          <w:szCs w:val="24"/>
          <w:highlight w:val="white"/>
        </w:rPr>
        <w:t>(7), pp.4519-4547.</w:t>
      </w:r>
      <w:r>
        <w:rPr>
          <w:rFonts w:ascii="Times New Roman" w:eastAsia="Times New Roman" w:hAnsi="Times New Roman" w:cs="Times New Roman"/>
          <w:sz w:val="24"/>
          <w:szCs w:val="24"/>
        </w:rPr>
        <w:t xml:space="preserve">  </w:t>
      </w:r>
      <w:hyperlink r:id="rId15">
        <w:r>
          <w:rPr>
            <w:rFonts w:ascii="Times New Roman" w:eastAsia="Times New Roman" w:hAnsi="Times New Roman" w:cs="Times New Roman"/>
            <w:color w:val="1155CC"/>
            <w:sz w:val="24"/>
            <w:szCs w:val="24"/>
            <w:u w:val="single"/>
          </w:rPr>
          <w:t>https://onlinelibrary.wiley.com/doi/abs/10.1002/bse.3379</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El Fallahi, F., Ibenrissoul, A. and El Amri, A., 2023. Defining and measuring overall performance in emerging countries: A comprehensive financial perspective review. </w:t>
      </w:r>
      <w:r>
        <w:rPr>
          <w:rFonts w:ascii="Times New Roman" w:eastAsia="Times New Roman" w:hAnsi="Times New Roman" w:cs="Times New Roman"/>
          <w:i/>
          <w:iCs/>
          <w:color w:val="222222"/>
          <w:sz w:val="24"/>
          <w:szCs w:val="24"/>
          <w:highlight w:val="white"/>
        </w:rPr>
        <w:t>Financial Markets, Institutions and Risks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(3), pp.81-93.</w:t>
      </w:r>
      <w:r>
        <w:rPr>
          <w:rFonts w:ascii="Times New Roman" w:eastAsia="Times New Roman" w:hAnsi="Times New Roman" w:cs="Times New Roman"/>
          <w:sz w:val="24"/>
          <w:szCs w:val="24"/>
        </w:rPr>
        <w:t xml:space="preserve">  </w:t>
      </w:r>
      <w:hyperlink r:id="rId16">
        <w:r>
          <w:rPr>
            <w:rFonts w:ascii="Times New Roman" w:eastAsia="Times New Roman" w:hAnsi="Times New Roman" w:cs="Times New Roman"/>
            <w:color w:val="1155CC"/>
            <w:sz w:val="24"/>
            <w:szCs w:val="24"/>
            <w:u w:val="single"/>
          </w:rPr>
          <w:t>https://armgpublishing.com/journals/fmir/volume-7-issue-3/article-7/</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Alonso‐Martínez, D. and González‐Álvarez, N., 2024. A bibliometric analysis of B Corps and sustainable business ecosystems. </w:t>
      </w:r>
      <w:r>
        <w:rPr>
          <w:rFonts w:ascii="Times New Roman" w:eastAsia="Times New Roman" w:hAnsi="Times New Roman" w:cs="Times New Roman"/>
          <w:i/>
          <w:iCs/>
          <w:color w:val="222222"/>
          <w:sz w:val="24"/>
          <w:szCs w:val="24"/>
          <w:highlight w:val="white"/>
        </w:rPr>
        <w:t>Corporate Social Responsibility and Environmental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31</w:t>
      </w:r>
      <w:r>
        <w:rPr>
          <w:rFonts w:ascii="Times New Roman" w:eastAsia="Times New Roman" w:hAnsi="Times New Roman" w:cs="Times New Roman"/>
          <w:color w:val="222222"/>
          <w:sz w:val="24"/>
          <w:szCs w:val="24"/>
          <w:highlight w:val="white"/>
        </w:rPr>
        <w:t>(6), pp.6019-6043.</w:t>
      </w:r>
      <w:r>
        <w:rPr>
          <w:rFonts w:ascii="Times New Roman" w:eastAsia="Times New Roman" w:hAnsi="Times New Roman" w:cs="Times New Roman"/>
          <w:sz w:val="24"/>
          <w:szCs w:val="24"/>
        </w:rPr>
        <w:t xml:space="preserve">  </w:t>
      </w:r>
      <w:hyperlink r:id="rId17">
        <w:r>
          <w:rPr>
            <w:rFonts w:ascii="Times New Roman" w:eastAsia="Times New Roman" w:hAnsi="Times New Roman" w:cs="Times New Roman"/>
            <w:color w:val="1155CC"/>
            <w:sz w:val="24"/>
            <w:szCs w:val="24"/>
            <w:u w:val="single"/>
          </w:rPr>
          <w:t>https://onlinelibrary.wiley.com/doi/abs/10.1002/csr.2906</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Dobija, D., Arena, C., Kozłowski, Ł., Krasodomska, J. and Godawska, J., 2023. Towards sustainable development: The role of directors' international orientation and their diversity for non‐financial disclosure. </w:t>
      </w:r>
      <w:r>
        <w:rPr>
          <w:rFonts w:ascii="Times New Roman" w:eastAsia="Times New Roman" w:hAnsi="Times New Roman" w:cs="Times New Roman"/>
          <w:i/>
          <w:iCs/>
          <w:color w:val="222222"/>
          <w:sz w:val="24"/>
          <w:szCs w:val="24"/>
          <w:highlight w:val="white"/>
        </w:rPr>
        <w:t>Corporate Social Responsibility and Environmental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(1), pp.66-90.</w:t>
      </w:r>
      <w:r>
        <w:rPr>
          <w:rFonts w:ascii="Times New Roman" w:eastAsia="Times New Roman" w:hAnsi="Times New Roman" w:cs="Times New Roman"/>
          <w:sz w:val="24"/>
          <w:szCs w:val="24"/>
        </w:rPr>
        <w:t xml:space="preserve">  </w:t>
      </w:r>
      <w:hyperlink r:id="rId18">
        <w:r>
          <w:rPr>
            <w:rFonts w:ascii="Times New Roman" w:eastAsia="Times New Roman" w:hAnsi="Times New Roman" w:cs="Times New Roman"/>
            <w:color w:val="1155CC"/>
            <w:sz w:val="24"/>
            <w:szCs w:val="24"/>
            <w:u w:val="single"/>
          </w:rPr>
          <w:t>https://onlinelibrary.wiley.com/doi/abs/10.1002/csr.2339</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Blinova, E., Ponomarenko, T. and Knysh, V., 2022. Analyzing the concept of corporate sustainability in the context of sustainable business development in the mining sector with elements of circular economy.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(13), p.8163.</w:t>
      </w:r>
      <w:r>
        <w:rPr>
          <w:rFonts w:ascii="Times New Roman" w:eastAsia="Times New Roman" w:hAnsi="Times New Roman" w:cs="Times New Roman"/>
          <w:sz w:val="24"/>
          <w:szCs w:val="24"/>
        </w:rPr>
        <w:t xml:space="preserve">  </w:t>
      </w:r>
      <w:hyperlink r:id="rId19">
        <w:r>
          <w:rPr>
            <w:rFonts w:ascii="Times New Roman" w:eastAsia="Times New Roman" w:hAnsi="Times New Roman" w:cs="Times New Roman"/>
            <w:color w:val="1155CC"/>
            <w:sz w:val="24"/>
            <w:szCs w:val="24"/>
            <w:u w:val="single"/>
          </w:rPr>
          <w:t>https://www.mdpi.com/2071-1050/14/13/8163</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Grayson, D., Coulter, C. and Lee, M., 2022. </w:t>
      </w:r>
      <w:r>
        <w:rPr>
          <w:rFonts w:ascii="Times New Roman" w:eastAsia="Times New Roman" w:hAnsi="Times New Roman" w:cs="Times New Roman"/>
          <w:i/>
          <w:iCs/>
          <w:color w:val="222222"/>
          <w:sz w:val="24"/>
          <w:szCs w:val="24"/>
          <w:highlight w:val="white"/>
        </w:rPr>
        <w:t>The sustainable business handbook: a guide to becoming more innovative, resilient and successful</w:t>
      </w:r>
      <w:r>
        <w:rPr>
          <w:rFonts w:ascii="Times New Roman" w:eastAsia="Times New Roman" w:hAnsi="Times New Roman" w:cs="Times New Roman"/>
          <w:color w:val="222222"/>
          <w:sz w:val="24"/>
          <w:szCs w:val="24"/>
          <w:highlight w:val="white"/>
        </w:rPr>
        <w:t>. Kogan Page Publishers.</w:t>
      </w:r>
      <w:r>
        <w:rPr>
          <w:rFonts w:ascii="Times New Roman" w:eastAsia="Times New Roman" w:hAnsi="Times New Roman" w:cs="Times New Roman"/>
          <w:sz w:val="24"/>
          <w:szCs w:val="24"/>
        </w:rPr>
        <w:t xml:space="preserve">  </w:t>
      </w:r>
      <w:hyperlink r:id="rId20">
        <w:r>
          <w:rPr>
            <w:rFonts w:ascii="Times New Roman" w:eastAsia="Times New Roman" w:hAnsi="Times New Roman" w:cs="Times New Roman"/>
            <w:color w:val="1155CC"/>
            <w:sz w:val="24"/>
            <w:szCs w:val="24"/>
            <w:u w:val="single"/>
          </w:rPr>
          <w:t>https://books.google.com/books?hl=en&amp;lr=&amp;id=qeFZEAAAQBAJ&amp;oi=fnd&amp;pg=PP1&amp;dq=Evaluating+the+External+Marketing+Environment+and+Growth+Strategies+of+Anglo+American+for+Sustainable+Business&amp;ots=cykIegsnZe&amp;sig=q5O6z_fEH398qkjNSPqikTg85l8</w:t>
        </w:r>
      </w:hyperlink>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Rathobei, K.E., Ranängen, H. and Lindman, Å., 2024. Stakeholder integration in sustainable business models to enhance value delivery for a broader range of stakeholders. </w:t>
      </w:r>
      <w:r>
        <w:rPr>
          <w:rFonts w:ascii="Times New Roman" w:eastAsia="Times New Roman" w:hAnsi="Times New Roman" w:cs="Times New Roman"/>
          <w:i/>
          <w:iCs/>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33</w:t>
      </w:r>
      <w:r>
        <w:rPr>
          <w:rFonts w:ascii="Times New Roman" w:eastAsia="Times New Roman" w:hAnsi="Times New Roman" w:cs="Times New Roman"/>
          <w:color w:val="222222"/>
          <w:sz w:val="24"/>
          <w:szCs w:val="24"/>
          <w:highlight w:val="white"/>
        </w:rPr>
        <w:t>(4), pp.3687-3706.</w:t>
      </w:r>
      <w:r>
        <w:rPr>
          <w:rFonts w:ascii="Times New Roman" w:eastAsia="Times New Roman" w:hAnsi="Times New Roman" w:cs="Times New Roman"/>
          <w:sz w:val="24"/>
          <w:szCs w:val="24"/>
        </w:rPr>
        <w:t xml:space="preserve">  </w:t>
      </w:r>
      <w:hyperlink r:id="rId21">
        <w:r>
          <w:rPr>
            <w:rFonts w:ascii="Times New Roman" w:eastAsia="Times New Roman" w:hAnsi="Times New Roman" w:cs="Times New Roman"/>
            <w:color w:val="1155CC"/>
            <w:sz w:val="24"/>
            <w:szCs w:val="24"/>
            <w:u w:val="single"/>
          </w:rPr>
          <w:t>https://onlinelibrary.wiley.com/doi/abs/10.1002/bse.3651</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Hampl, F. and Vágnerová Linnertová, D., 2025. How the interaction between board gender diversity and ESG shapes dividend policy. </w:t>
      </w:r>
      <w:r>
        <w:rPr>
          <w:rFonts w:ascii="Times New Roman" w:eastAsia="Times New Roman" w:hAnsi="Times New Roman" w:cs="Times New Roman"/>
          <w:i/>
          <w:iCs/>
          <w:color w:val="222222"/>
          <w:sz w:val="24"/>
          <w:szCs w:val="24"/>
          <w:highlight w:val="white"/>
        </w:rPr>
        <w:t>Corporate Social Responsibility and Environmental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32</w:t>
      </w:r>
      <w:r>
        <w:rPr>
          <w:rFonts w:ascii="Times New Roman" w:eastAsia="Times New Roman" w:hAnsi="Times New Roman" w:cs="Times New Roman"/>
          <w:color w:val="222222"/>
          <w:sz w:val="24"/>
          <w:szCs w:val="24"/>
          <w:highlight w:val="white"/>
        </w:rPr>
        <w:t>(2), pp.2472-2490.</w:t>
      </w:r>
      <w:r>
        <w:rPr>
          <w:rFonts w:ascii="Times New Roman" w:eastAsia="Times New Roman" w:hAnsi="Times New Roman" w:cs="Times New Roman"/>
          <w:sz w:val="24"/>
          <w:szCs w:val="24"/>
        </w:rPr>
        <w:t xml:space="preserve">  </w:t>
      </w:r>
      <w:hyperlink r:id="rId22">
        <w:r>
          <w:rPr>
            <w:rFonts w:ascii="Times New Roman" w:eastAsia="Times New Roman" w:hAnsi="Times New Roman" w:cs="Times New Roman"/>
            <w:color w:val="1155CC"/>
            <w:sz w:val="24"/>
            <w:szCs w:val="24"/>
            <w:u w:val="single"/>
          </w:rPr>
          <w:t>https://www.sciencedirect.com/science/article/pii/S0301420723007651</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Quaye, J.N.A., Halsall, J.P., Winful, E.C., Snowden, M., Opuni, F.F., Hyams-Ssekasi, D., Afriyie, E.O., Opoku-Asante, K., Ocloo, E.C. and Fairhurst, B., 2026. Social enterprises and the Sustainable Development Goals (SDGs): a means to an end. </w:t>
      </w:r>
      <w:r>
        <w:rPr>
          <w:rFonts w:ascii="Times New Roman" w:eastAsia="Times New Roman" w:hAnsi="Times New Roman" w:cs="Times New Roman"/>
          <w:i/>
          <w:iCs/>
          <w:color w:val="222222"/>
          <w:sz w:val="24"/>
          <w:szCs w:val="24"/>
          <w:highlight w:val="white"/>
        </w:rPr>
        <w:t>Environment, Development and 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28</w:t>
      </w:r>
      <w:r>
        <w:rPr>
          <w:rFonts w:ascii="Times New Roman" w:eastAsia="Times New Roman" w:hAnsi="Times New Roman" w:cs="Times New Roman"/>
          <w:color w:val="222222"/>
          <w:sz w:val="24"/>
          <w:szCs w:val="24"/>
          <w:highlight w:val="white"/>
        </w:rPr>
        <w:t>(4), pp.9879-9908.</w:t>
      </w:r>
      <w:r>
        <w:rPr>
          <w:rFonts w:ascii="Times New Roman" w:eastAsia="Times New Roman" w:hAnsi="Times New Roman" w:cs="Times New Roman"/>
          <w:sz w:val="24"/>
          <w:szCs w:val="24"/>
        </w:rPr>
        <w:t xml:space="preserve">  </w:t>
      </w:r>
      <w:hyperlink r:id="rId23">
        <w:r>
          <w:rPr>
            <w:rFonts w:ascii="Times New Roman" w:eastAsia="Times New Roman" w:hAnsi="Times New Roman" w:cs="Times New Roman"/>
            <w:color w:val="1155CC"/>
            <w:sz w:val="24"/>
            <w:szCs w:val="24"/>
            <w:u w:val="single"/>
          </w:rPr>
          <w:t>https://link.springer.com/article/10.1007/s10668-024-05359-x</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Kalyuzhna, N., Smutchak, Z., Chorna, N., Chornyi, R., Baldyniuk, O. and Chuba, R., 2023, May. Toolkit for multi-vector adaptation and development of corporate culture of international companies. In </w:t>
      </w:r>
      <w:r>
        <w:rPr>
          <w:rFonts w:ascii="Times New Roman" w:eastAsia="Times New Roman" w:hAnsi="Times New Roman" w:cs="Times New Roman"/>
          <w:i/>
          <w:iCs/>
          <w:color w:val="222222"/>
          <w:sz w:val="24"/>
          <w:szCs w:val="24"/>
          <w:highlight w:val="white"/>
        </w:rPr>
        <w:t>International Conference on Business and Technology</w:t>
      </w:r>
      <w:r>
        <w:rPr>
          <w:rFonts w:ascii="Times New Roman" w:eastAsia="Times New Roman" w:hAnsi="Times New Roman" w:cs="Times New Roman"/>
          <w:color w:val="222222"/>
          <w:sz w:val="24"/>
          <w:szCs w:val="24"/>
          <w:highlight w:val="white"/>
        </w:rPr>
        <w:t xml:space="preserve"> (pp. 501-514). Cham: Springer Nature Switzerland.</w:t>
      </w:r>
      <w:r>
        <w:rPr>
          <w:rFonts w:ascii="Times New Roman" w:eastAsia="Times New Roman" w:hAnsi="Times New Roman" w:cs="Times New Roman"/>
          <w:sz w:val="24"/>
          <w:szCs w:val="24"/>
        </w:rPr>
        <w:t xml:space="preserve">  </w:t>
      </w:r>
      <w:hyperlink r:id="rId24">
        <w:r>
          <w:rPr>
            <w:rFonts w:ascii="Times New Roman" w:eastAsia="Times New Roman" w:hAnsi="Times New Roman" w:cs="Times New Roman"/>
            <w:color w:val="1155CC"/>
            <w:sz w:val="24"/>
            <w:szCs w:val="24"/>
            <w:u w:val="single"/>
          </w:rPr>
          <w:t>https://link.springer.com/chapter/10.1007/978-3-031-54009-7_45</w:t>
        </w:r>
      </w:hyperlink>
      <w:r>
        <w:rPr>
          <w:rFonts w:ascii="Times New Roman" w:eastAsia="Times New Roman" w:hAnsi="Times New Roman" w:cs="Times New Roman"/>
          <w:sz w:val="24"/>
          <w:szCs w:val="24"/>
        </w:rPr>
        <w:t xml:space="preserve"> </w:t>
      </w:r>
    </w:p>
    <w:p w:rsidR="00730B00" w:rsidRDefault="00730B00" w:rsidP="00730B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Di Stefano, C., Fratocchi, L., Martínez‐Mora, C. and Merino, F., 2024. Manufacturing reshoring and sustainable development goals: A home versus host country perspective. </w:t>
      </w:r>
      <w:r>
        <w:rPr>
          <w:rFonts w:ascii="Times New Roman" w:eastAsia="Times New Roman" w:hAnsi="Times New Roman" w:cs="Times New Roman"/>
          <w:i/>
          <w:iCs/>
          <w:color w:val="222222"/>
          <w:sz w:val="24"/>
          <w:szCs w:val="24"/>
          <w:highlight w:val="white"/>
        </w:rPr>
        <w:lastRenderedPageBreak/>
        <w:t>Sustainable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32</w:t>
      </w:r>
      <w:r>
        <w:rPr>
          <w:rFonts w:ascii="Times New Roman" w:eastAsia="Times New Roman" w:hAnsi="Times New Roman" w:cs="Times New Roman"/>
          <w:color w:val="222222"/>
          <w:sz w:val="24"/>
          <w:szCs w:val="24"/>
          <w:highlight w:val="white"/>
        </w:rPr>
        <w:t>(1), pp.863-875.</w:t>
      </w:r>
      <w:r>
        <w:rPr>
          <w:rFonts w:ascii="Times New Roman" w:eastAsia="Times New Roman" w:hAnsi="Times New Roman" w:cs="Times New Roman"/>
          <w:sz w:val="24"/>
          <w:szCs w:val="24"/>
        </w:rPr>
        <w:t xml:space="preserve">  </w:t>
      </w:r>
      <w:hyperlink r:id="rId25">
        <w:r>
          <w:rPr>
            <w:rFonts w:ascii="Times New Roman" w:eastAsia="Times New Roman" w:hAnsi="Times New Roman" w:cs="Times New Roman"/>
            <w:color w:val="1155CC"/>
            <w:sz w:val="24"/>
            <w:szCs w:val="24"/>
            <w:u w:val="single"/>
          </w:rPr>
          <w:t>https://onlinelibrary.wiley.com/doi/abs/10.1002/sd.2710</w:t>
        </w:r>
      </w:hyperlink>
      <w:r>
        <w:rPr>
          <w:rFonts w:ascii="Times New Roman" w:eastAsia="Times New Roman" w:hAnsi="Times New Roman" w:cs="Times New Roman"/>
          <w:sz w:val="24"/>
          <w:szCs w:val="24"/>
        </w:rPr>
        <w:t xml:space="preserve"> </w:t>
      </w:r>
    </w:p>
    <w:p w:rsidR="00730B00" w:rsidRDefault="00730B00" w:rsidP="00730B00">
      <w:pPr>
        <w:spacing w:before="240" w:after="240" w:line="360" w:lineRule="auto"/>
        <w:jc w:val="both"/>
        <w:rPr>
          <w:rFonts w:ascii="Times New Roman" w:eastAsia="Times New Roman" w:hAnsi="Times New Roman" w:cs="Times New Roman"/>
          <w:sz w:val="24"/>
          <w:szCs w:val="24"/>
        </w:rPr>
      </w:pPr>
    </w:p>
    <w:p w:rsidR="00730B00" w:rsidRDefault="00730B00" w:rsidP="00730B00">
      <w:pPr>
        <w:spacing w:line="360" w:lineRule="auto"/>
        <w:jc w:val="both"/>
        <w:rPr>
          <w:rFonts w:ascii="Times New Roman" w:eastAsia="Times New Roman" w:hAnsi="Times New Roman" w:cs="Times New Roman"/>
          <w:sz w:val="24"/>
          <w:szCs w:val="24"/>
        </w:rPr>
      </w:pPr>
    </w:p>
    <w:p w:rsidR="009520D2" w:rsidRDefault="009520D2">
      <w:bookmarkStart w:id="24" w:name="_GoBack"/>
      <w:bookmarkEnd w:id="24"/>
    </w:p>
    <w:sectPr w:rsidR="009520D2">
      <w:footerReference w:type="default" r:id="rId2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718" w:rsidRDefault="00730B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15</w:t>
    </w:r>
    <w:r>
      <w:rPr>
        <w:color w:val="000000"/>
      </w:rPr>
      <w:fldChar w:fldCharType="end"/>
    </w:r>
  </w:p>
  <w:p w:rsidR="006F4718" w:rsidRDefault="00730B00">
    <w:pPr>
      <w:pBdr>
        <w:top w:val="nil"/>
        <w:left w:val="nil"/>
        <w:bottom w:val="nil"/>
        <w:right w:val="nil"/>
        <w:between w:val="nil"/>
      </w:pBdr>
      <w:tabs>
        <w:tab w:val="center" w:pos="4513"/>
        <w:tab w:val="right" w:pos="9026"/>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B00"/>
    <w:rsid w:val="00730B00"/>
    <w:rsid w:val="00952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6FA240-72CF-4E0B-A932-F3AA0BB9E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B00"/>
    <w:pPr>
      <w:spacing w:after="0" w:line="276" w:lineRule="auto"/>
    </w:pPr>
    <w:rPr>
      <w:rFonts w:ascii="Arial" w:eastAsia="Arial" w:hAnsi="Arial" w:cs="Arial"/>
      <w:lang w:val="en-GB" w:eastAsia="en-IN"/>
    </w:rPr>
  </w:style>
  <w:style w:type="paragraph" w:styleId="Heading1">
    <w:name w:val="heading 1"/>
    <w:basedOn w:val="Normal"/>
    <w:next w:val="Normal"/>
    <w:link w:val="Heading1Char"/>
    <w:uiPriority w:val="9"/>
    <w:qFormat/>
    <w:rsid w:val="00730B00"/>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730B00"/>
    <w:pPr>
      <w:keepNext/>
      <w:keepLines/>
      <w:spacing w:before="360" w:after="120"/>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B00"/>
    <w:rPr>
      <w:rFonts w:ascii="Arial" w:eastAsia="Arial" w:hAnsi="Arial" w:cs="Arial"/>
      <w:sz w:val="40"/>
      <w:szCs w:val="40"/>
      <w:lang w:val="en-GB" w:eastAsia="en-IN"/>
    </w:rPr>
  </w:style>
  <w:style w:type="character" w:customStyle="1" w:styleId="Heading2Char">
    <w:name w:val="Heading 2 Char"/>
    <w:basedOn w:val="DefaultParagraphFont"/>
    <w:link w:val="Heading2"/>
    <w:uiPriority w:val="9"/>
    <w:rsid w:val="00730B00"/>
    <w:rPr>
      <w:rFonts w:ascii="Arial" w:eastAsia="Arial" w:hAnsi="Arial" w:cs="Arial"/>
      <w:sz w:val="32"/>
      <w:szCs w:val="32"/>
      <w:lang w:val="en-GB" w:eastAsia="en-IN"/>
    </w:rPr>
  </w:style>
  <w:style w:type="paragraph" w:styleId="Title">
    <w:name w:val="Title"/>
    <w:basedOn w:val="Normal"/>
    <w:next w:val="Normal"/>
    <w:link w:val="TitleChar"/>
    <w:uiPriority w:val="10"/>
    <w:qFormat/>
    <w:rsid w:val="00730B00"/>
    <w:pPr>
      <w:keepNext/>
      <w:keepLines/>
      <w:spacing w:after="60"/>
    </w:pPr>
    <w:rPr>
      <w:sz w:val="52"/>
      <w:szCs w:val="52"/>
    </w:rPr>
  </w:style>
  <w:style w:type="character" w:customStyle="1" w:styleId="TitleChar">
    <w:name w:val="Title Char"/>
    <w:basedOn w:val="DefaultParagraphFont"/>
    <w:link w:val="Title"/>
    <w:uiPriority w:val="10"/>
    <w:rsid w:val="00730B00"/>
    <w:rPr>
      <w:rFonts w:ascii="Arial" w:eastAsia="Arial" w:hAnsi="Arial" w:cs="Arial"/>
      <w:sz w:val="52"/>
      <w:szCs w:val="52"/>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frontiersin.org/journals/environmental-science/articles/10.3389/fenvs.2022.1077947/full" TargetMode="External"/><Relationship Id="rId18" Type="http://schemas.openxmlformats.org/officeDocument/2006/relationships/hyperlink" Target="https://onlinelibrary.wiley.com/doi/abs/10.1002/csr.2339"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onlinelibrary.wiley.com/doi/abs/10.1002/bse.3651" TargetMode="External"/><Relationship Id="rId7" Type="http://schemas.openxmlformats.org/officeDocument/2006/relationships/image" Target="media/image4.png"/><Relationship Id="rId12" Type="http://schemas.openxmlformats.org/officeDocument/2006/relationships/hyperlink" Target="https://onlinelibrary.wiley.com/doi/abs/10.1002/bse.3665" TargetMode="External"/><Relationship Id="rId17" Type="http://schemas.openxmlformats.org/officeDocument/2006/relationships/hyperlink" Target="https://onlinelibrary.wiley.com/doi/abs/10.1002/csr.2906" TargetMode="External"/><Relationship Id="rId25" Type="http://schemas.openxmlformats.org/officeDocument/2006/relationships/hyperlink" Target="https://onlinelibrary.wiley.com/doi/abs/10.1002/sd.2710" TargetMode="External"/><Relationship Id="rId2" Type="http://schemas.openxmlformats.org/officeDocument/2006/relationships/settings" Target="settings.xml"/><Relationship Id="rId16" Type="http://schemas.openxmlformats.org/officeDocument/2006/relationships/hyperlink" Target="https://armgpublishing.com/journals/fmir/volume-7-issue-3/article-7/" TargetMode="External"/><Relationship Id="rId20" Type="http://schemas.openxmlformats.org/officeDocument/2006/relationships/hyperlink" Target="https://books.google.com/books?hl=en&amp;lr=&amp;id=qeFZEAAAQBAJ&amp;oi=fnd&amp;pg=PP1&amp;dq=Evaluating+the+External+Marketing+Environment+and+Growth+Strategies+of+Anglo+American+for+Sustainable+Business&amp;ots=cykIegsnZe&amp;sig=q5O6z_fEH398qkjNSPqikTg85l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sciencedirect.com/science/article/pii/S2590051X24000285" TargetMode="External"/><Relationship Id="rId24" Type="http://schemas.openxmlformats.org/officeDocument/2006/relationships/hyperlink" Target="https://link.springer.com/chapter/10.1007/978-3-031-54009-7_45" TargetMode="External"/><Relationship Id="rId5" Type="http://schemas.openxmlformats.org/officeDocument/2006/relationships/image" Target="media/image2.png"/><Relationship Id="rId15" Type="http://schemas.openxmlformats.org/officeDocument/2006/relationships/hyperlink" Target="https://onlinelibrary.wiley.com/doi/abs/10.1002/bse.3379" TargetMode="External"/><Relationship Id="rId23" Type="http://schemas.openxmlformats.org/officeDocument/2006/relationships/hyperlink" Target="https://link.springer.com/article/10.1007/s10668-024-05359-x" TargetMode="External"/><Relationship Id="rId28" Type="http://schemas.openxmlformats.org/officeDocument/2006/relationships/theme" Target="theme/theme1.xml"/><Relationship Id="rId10" Type="http://schemas.openxmlformats.org/officeDocument/2006/relationships/hyperlink" Target="https://elar.tsatu.edu.ua/items/65f91107-b091-4805-9d3b-e5320cc0b8c0" TargetMode="External"/><Relationship Id="rId19" Type="http://schemas.openxmlformats.org/officeDocument/2006/relationships/hyperlink" Target="https://www.mdpi.com/2071-1050/14/13/8163"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ojs.bonviewpress.com/index.php/JCBAR/article/view/2237" TargetMode="External"/><Relationship Id="rId22" Type="http://schemas.openxmlformats.org/officeDocument/2006/relationships/hyperlink" Target="https://www.sciencedirect.com/science/article/pii/S030142072300765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4163</Words>
  <Characters>23734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2026-06-26T09:01:00Z</dcterms:created>
  <dcterms:modified xsi:type="dcterms:W3CDTF">2026-06-26T09:03:00Z</dcterms:modified>
</cp:coreProperties>
</file>