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val="en-US" w:eastAsia="zh-CN"/>
        </w:rPr>
      </w:pPr>
      <w:r>
        <w:rPr>
          <w:sz w:val="21"/>
        </w:rPr>
        <mc:AlternateContent>
          <mc:Choice Requires="wps">
            <w:drawing>
              <wp:anchor distT="0" distB="0" distL="114300" distR="114300" simplePos="0" relativeHeight="251664384" behindDoc="0" locked="0" layoutInCell="1" allowOverlap="1">
                <wp:simplePos x="0" y="0"/>
                <wp:positionH relativeFrom="column">
                  <wp:posOffset>-377190</wp:posOffset>
                </wp:positionH>
                <wp:positionV relativeFrom="paragraph">
                  <wp:posOffset>-583565</wp:posOffset>
                </wp:positionV>
                <wp:extent cx="3375660" cy="1028700"/>
                <wp:effectExtent l="4445" t="4445" r="18415" b="18415"/>
                <wp:wrapNone/>
                <wp:docPr id="3" name="文本框 3"/>
                <wp:cNvGraphicFramePr/>
                <a:graphic xmlns:a="http://schemas.openxmlformats.org/drawingml/2006/main">
                  <a:graphicData uri="http://schemas.microsoft.com/office/word/2010/wordprocessingShape">
                    <wps:wsp>
                      <wps:cNvSpPr txBox="1"/>
                      <wps:spPr>
                        <a:xfrm>
                          <a:off x="537210" y="330835"/>
                          <a:ext cx="3375660" cy="1028700"/>
                        </a:xfrm>
                        <a:prstGeom prst="rect">
                          <a:avLst/>
                        </a:prstGeom>
                        <a:solidFill>
                          <a:schemeClr val="bg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r>
                              <w:rPr>
                                <w:rFonts w:ascii="Arial" w:hAnsi="Arial" w:cs="Arial"/>
                              </w:rPr>
                              <w:drawing>
                                <wp:inline distT="0" distB="0" distL="114300" distR="114300">
                                  <wp:extent cx="2533650" cy="1073785"/>
                                  <wp:effectExtent l="0" t="0" r="1143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2533650" cy="10737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7pt;margin-top:-45.95pt;height:81pt;width:265.8pt;z-index:251664384;mso-width-relative:page;mso-height-relative:page;" fillcolor="#FFFFFF [3212]" filled="t" stroked="t" coordsize="21600,21600" o:gfxdata="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Q6YEG2QAAAAoBAAAPAAAAAAAAAAEAIAAAACIAAABkcnMvZG93bnJldi54bWxQSwECFAAUAAAA&#10;CACHTuJAvW4sn18CAADDBAAADgAAAAAAAAABACAAAAAoAQAAZHJzL2Uyb0RvYy54bWxQSwUGAAAA&#10;AAYABgBZAQAA+QUAAAAA&#10;">
                <v:fill on="t" focussize="0,0"/>
                <v:stroke weight="0.5pt" color="#FFFFFF [3212]" joinstyle="round"/>
                <v:imagedata o:title=""/>
                <o:lock v:ext="edit" aspectratio="f"/>
                <v:textbox>
                  <w:txbxContent>
                    <w:p>
                      <w:r>
                        <w:rPr>
                          <w:rFonts w:ascii="Arial" w:hAnsi="Arial" w:cs="Arial"/>
                        </w:rPr>
                        <w:drawing>
                          <wp:inline distT="0" distB="0" distL="114300" distR="114300">
                            <wp:extent cx="2533650" cy="1073785"/>
                            <wp:effectExtent l="0" t="0" r="1143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2533650" cy="1073785"/>
                                    </a:xfrm>
                                    <a:prstGeom prst="rect">
                                      <a:avLst/>
                                    </a:prstGeom>
                                    <a:noFill/>
                                    <a:ln>
                                      <a:noFill/>
                                    </a:ln>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1071880</wp:posOffset>
                </wp:positionH>
                <wp:positionV relativeFrom="paragraph">
                  <wp:posOffset>304165</wp:posOffset>
                </wp:positionV>
                <wp:extent cx="4676140" cy="2103755"/>
                <wp:effectExtent l="0" t="0" r="0" b="0"/>
                <wp:wrapNone/>
                <wp:docPr id="5" name="文本框 5"/>
                <wp:cNvGraphicFramePr/>
                <a:graphic xmlns:a="http://schemas.openxmlformats.org/drawingml/2006/main">
                  <a:graphicData uri="http://schemas.microsoft.com/office/word/2010/wordprocessingShape">
                    <wps:wsp>
                      <wps:cNvSpPr txBox="1"/>
                      <wps:spPr>
                        <a:xfrm>
                          <a:off x="0" y="0"/>
                          <a:ext cx="4676140" cy="21037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line="480" w:lineRule="auto"/>
                              <w:jc w:val="center"/>
                              <w:rPr>
                                <w:rFonts w:ascii="Arial" w:hAnsi="Arial" w:cs="Arial"/>
                                <w:b/>
                                <w:bCs/>
                                <w:sz w:val="24"/>
                                <w:szCs w:val="24"/>
                              </w:rPr>
                            </w:pPr>
                          </w:p>
                          <w:p>
                            <w:pPr>
                              <w:spacing w:line="480" w:lineRule="auto"/>
                              <w:jc w:val="center"/>
                              <w:rPr>
                                <w:rFonts w:ascii="Arial" w:hAnsi="Arial" w:cs="Arial"/>
                                <w:b/>
                                <w:i/>
                                <w:iCs/>
                                <w:sz w:val="40"/>
                                <w:szCs w:val="40"/>
                                <w:u w:val="none"/>
                              </w:rPr>
                            </w:pPr>
                            <w:r>
                              <w:rPr>
                                <w:rFonts w:ascii="Arial" w:hAnsi="Arial" w:cs="Arial"/>
                                <w:b/>
                                <w:bCs/>
                                <w:i/>
                                <w:iCs/>
                                <w:sz w:val="40"/>
                                <w:szCs w:val="40"/>
                                <w:u w:val="none"/>
                              </w:rPr>
                              <w:t>An Exploration of Cultural Differences in Business Ethics</w:t>
                            </w:r>
                            <w:r>
                              <w:rPr>
                                <w:rFonts w:ascii="Arial" w:hAnsi="Arial" w:cs="Arial"/>
                                <w:b/>
                                <w:i/>
                                <w:iCs/>
                                <w:sz w:val="40"/>
                                <w:szCs w:val="40"/>
                                <w:u w:val="none"/>
                              </w:rPr>
                              <w:t xml:space="preserve"> </w:t>
                            </w:r>
                          </w:p>
                          <w:p>
                            <w:pPr>
                              <w:jc w:val="right"/>
                              <w:rPr>
                                <w:rFonts w:hint="default" w:ascii="微软雅黑" w:hAnsi="微软雅黑" w:eastAsia="微软雅黑" w:cs="微软雅黑"/>
                                <w:b/>
                                <w:bCs/>
                                <w:color w:val="000000" w:themeColor="text1"/>
                                <w:sz w:val="96"/>
                                <w:szCs w:val="96"/>
                                <w:lang w:val="en-US" w:eastAsia="zh-CN"/>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4.4pt;margin-top:23.95pt;height:165.65pt;width:368.2pt;z-index:251660288;mso-width-relative:page;mso-height-relative:page;" filled="f" stroked="f" coordsize="21600,21600" o:gfxdata="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S0WUP9sAAAAKAQAADwAAAAAAAAABACAAAAAiAAAA&#10;ZHJzL2Rvd25yZXYueG1sUEsBAhQAFAAAAAgAh07iQKBOLF89AgAAZwQAAA4AAAAAAAAAAQAgAAAA&#10;KgEAAGRycy9lMm9Eb2MueG1sUEsFBgAAAAAGAAYAWQEAANkFAAAAAA==&#10;">
                <v:fill on="f" focussize="0,0"/>
                <v:stroke on="f" weight="0.5pt"/>
                <v:imagedata o:title=""/>
                <o:lock v:ext="edit" aspectratio="f"/>
                <v:textbox>
                  <w:txbxContent>
                    <w:p>
                      <w:pPr>
                        <w:spacing w:line="480" w:lineRule="auto"/>
                        <w:jc w:val="center"/>
                        <w:rPr>
                          <w:rFonts w:ascii="Arial" w:hAnsi="Arial" w:cs="Arial"/>
                          <w:b/>
                          <w:bCs/>
                          <w:sz w:val="24"/>
                          <w:szCs w:val="24"/>
                        </w:rPr>
                      </w:pPr>
                    </w:p>
                    <w:p>
                      <w:pPr>
                        <w:spacing w:line="480" w:lineRule="auto"/>
                        <w:jc w:val="center"/>
                        <w:rPr>
                          <w:rFonts w:ascii="Arial" w:hAnsi="Arial" w:cs="Arial"/>
                          <w:b/>
                          <w:i/>
                          <w:iCs/>
                          <w:sz w:val="40"/>
                          <w:szCs w:val="40"/>
                          <w:u w:val="none"/>
                        </w:rPr>
                      </w:pPr>
                      <w:r>
                        <w:rPr>
                          <w:rFonts w:ascii="Arial" w:hAnsi="Arial" w:cs="Arial"/>
                          <w:b/>
                          <w:bCs/>
                          <w:i/>
                          <w:iCs/>
                          <w:sz w:val="40"/>
                          <w:szCs w:val="40"/>
                          <w:u w:val="none"/>
                        </w:rPr>
                        <w:t>An Exploration of Cultural Differences in Business Ethics</w:t>
                      </w:r>
                      <w:r>
                        <w:rPr>
                          <w:rFonts w:ascii="Arial" w:hAnsi="Arial" w:cs="Arial"/>
                          <w:b/>
                          <w:i/>
                          <w:iCs/>
                          <w:sz w:val="40"/>
                          <w:szCs w:val="40"/>
                          <w:u w:val="none"/>
                        </w:rPr>
                        <w:t xml:space="preserve"> </w:t>
                      </w:r>
                    </w:p>
                    <w:p>
                      <w:pPr>
                        <w:jc w:val="right"/>
                        <w:rPr>
                          <w:rFonts w:hint="default" w:ascii="微软雅黑" w:hAnsi="微软雅黑" w:eastAsia="微软雅黑" w:cs="微软雅黑"/>
                          <w:b/>
                          <w:bCs/>
                          <w:color w:val="000000" w:themeColor="text1"/>
                          <w:sz w:val="96"/>
                          <w:szCs w:val="96"/>
                          <w:lang w:val="en-US" w:eastAsia="zh-CN"/>
                          <w14:textFill>
                            <w14:solidFill>
                              <w14:schemeClr w14:val="tx1"/>
                            </w14:solidFill>
                          </w14:textFill>
                        </w:rPr>
                      </w:pP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-61595</wp:posOffset>
                </wp:positionH>
                <wp:positionV relativeFrom="paragraph">
                  <wp:posOffset>1018540</wp:posOffset>
                </wp:positionV>
                <wp:extent cx="5902325" cy="1544955"/>
                <wp:effectExtent l="0" t="0" r="0" b="0"/>
                <wp:wrapNone/>
                <wp:docPr id="9" name="文本框 9"/>
                <wp:cNvGraphicFramePr/>
                <a:graphic xmlns:a="http://schemas.openxmlformats.org/drawingml/2006/main">
                  <a:graphicData uri="http://schemas.microsoft.com/office/word/2010/wordprocessingShape">
                    <wps:wsp>
                      <wps:cNvSpPr txBox="1"/>
                      <wps:spPr>
                        <a:xfrm>
                          <a:off x="941705" y="5377815"/>
                          <a:ext cx="5902325" cy="15449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b/>
                                <w:bCs/>
                                <w:color w:val="000000" w:themeColor="text1"/>
                                <w:sz w:val="144"/>
                                <w:szCs w:val="144"/>
                                <w:lang w:val="en-US" w:eastAsia="zh-CN"/>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85pt;margin-top:80.2pt;height:121.65pt;width:464.75pt;z-index:251659264;mso-width-relative:page;mso-height-relative:page;" filled="f" stroked="f" coordsize="21600,21600" o:gfxdata="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">
                <v:fill on="f" focussize="0,0"/>
                <v:stroke on="f" weight="0.5pt"/>
                <v:imagedata o:title=""/>
                <o:lock v:ext="edit" aspectratio="f"/>
                <v:textbox>
                  <w:txbxContent>
                    <w:p>
                      <w:pPr>
                        <w:jc w:val="right"/>
                        <w:rPr>
                          <w:rFonts w:hint="default" w:ascii="微软雅黑" w:hAnsi="微软雅黑" w:eastAsia="微软雅黑" w:cs="微软雅黑"/>
                          <w:b/>
                          <w:bCs/>
                          <w:color w:val="000000" w:themeColor="text1"/>
                          <w:sz w:val="144"/>
                          <w:szCs w:val="144"/>
                          <w:lang w:val="en-US" w:eastAsia="zh-CN"/>
                          <w14:textFill>
                            <w14:solidFill>
                              <w14:schemeClr w14:val="tx1"/>
                            </w14:solidFill>
                          </w14:textFill>
                        </w:rPr>
                      </w:pP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2178050</wp:posOffset>
                </wp:positionH>
                <wp:positionV relativeFrom="paragraph">
                  <wp:posOffset>5755005</wp:posOffset>
                </wp:positionV>
                <wp:extent cx="2566035" cy="687705"/>
                <wp:effectExtent l="0" t="0" r="0" b="0"/>
                <wp:wrapNone/>
                <wp:docPr id="10" name="文本框 10"/>
                <wp:cNvGraphicFramePr/>
                <a:graphic xmlns:a="http://schemas.openxmlformats.org/drawingml/2006/main">
                  <a:graphicData uri="http://schemas.microsoft.com/office/word/2010/wordprocessingShape">
                    <wps:wsp>
                      <wps:cNvSpPr txBox="1"/>
                      <wps:spPr>
                        <a:xfrm rot="19500000">
                          <a:off x="0" y="0"/>
                          <a:ext cx="2566035" cy="687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b/>
                                <w:bCs/>
                                <w:color w:val="FFFFFF" w:themeColor="background1"/>
                                <w:sz w:val="20"/>
                                <w:szCs w:val="22"/>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1.5pt;margin-top:453.15pt;height:54.15pt;width:202.05pt;rotation:-2293760f;z-index:251662336;mso-width-relative:page;mso-height-relative:page;" filled="f" stroked="f" coordsize="21600,21600" o:gfxdata="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B7CXf53QAAAAwBAAAPAAAAAAAAAAEA&#10;IAAAACIAAABkcnMvZG93bnJldi54bWxQSwECFAAUAAAACACHTuJAoSzTdEMCAAB3BAAADgAAAAAA&#10;AAABACAAAAAsAQAAZHJzL2Uyb0RvYy54bWxQSwUGAAAAAAYABgBZAQAA4QUAAAAA&#10;">
                <v:fill on="f" focussize="0,0"/>
                <v:stroke on="f" weight="0.5pt"/>
                <v:imagedata o:title=""/>
                <o:lock v:ext="edit" aspectratio="f"/>
                <v:textbox>
                  <w:txbxContent>
                    <w:p>
                      <w:pPr>
                        <w:jc w:val="right"/>
                        <w:rPr>
                          <w:b/>
                          <w:bCs/>
                          <w:color w:val="FFFFFF" w:themeColor="background1"/>
                          <w:sz w:val="20"/>
                          <w:szCs w:val="22"/>
                          <w14:textFill>
                            <w14:solidFill>
                              <w14:schemeClr w14:val="bg1"/>
                            </w14:solidFill>
                          </w14:textFill>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-855345</wp:posOffset>
                </wp:positionH>
                <wp:positionV relativeFrom="paragraph">
                  <wp:posOffset>7359015</wp:posOffset>
                </wp:positionV>
                <wp:extent cx="4140200" cy="687705"/>
                <wp:effectExtent l="0" t="0" r="0" b="0"/>
                <wp:wrapNone/>
                <wp:docPr id="8" name="文本框 8"/>
                <wp:cNvGraphicFramePr/>
                <a:graphic xmlns:a="http://schemas.openxmlformats.org/drawingml/2006/main">
                  <a:graphicData uri="http://schemas.microsoft.com/office/word/2010/wordprocessingShape">
                    <wps:wsp>
                      <wps:cNvSpPr txBox="1"/>
                      <wps:spPr>
                        <a:xfrm rot="19560000">
                          <a:off x="0" y="0"/>
                          <a:ext cx="4140200" cy="687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keepNext w:val="0"/>
                              <w:keepLines w:val="0"/>
                              <w:widowControl/>
                              <w:suppressLineNumbers w:val="0"/>
                              <w:kinsoku/>
                              <w:wordWrap/>
                              <w:overflowPunct/>
                              <w:bidi w:val="0"/>
                              <w:spacing w:before="0" w:beforeAutospacing="0" w:after="0" w:afterAutospacing="0"/>
                              <w:ind w:left="0"/>
                              <w:jc w:val="distribute"/>
                              <w:rPr>
                                <w:color w:val="F2F2F2" w:themeColor="background1" w:themeShade="F2"/>
                                <w:sz w:val="16"/>
                                <w:szCs w:val="16"/>
                              </w:rPr>
                            </w:pPr>
                            <w:r>
                              <w:rPr>
                                <w:rFonts w:ascii="微软雅黑" w:hAnsi="微软雅黑" w:eastAsia="微软雅黑" w:cs="mn-cs"/>
                                <w:color w:val="F2F2F2" w:themeColor="background1" w:themeShade="F2"/>
                                <w:kern w:val="24"/>
                                <w:sz w:val="44"/>
                                <w:szCs w:val="44"/>
                              </w:rPr>
                              <w:t xml:space="preserve">PERSONAL </w:t>
                            </w:r>
                          </w:p>
                          <w:p>
                            <w:pPr>
                              <w:jc w:val="distribute"/>
                              <w:rPr>
                                <w:b w:val="0"/>
                                <w:bCs/>
                                <w:color w:val="F2F2F2" w:themeColor="background1" w:themeShade="F2"/>
                                <w:sz w:val="20"/>
                                <w:szCs w:val="22"/>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35pt;margin-top:579.45pt;height:54.15pt;width:326pt;rotation:-2228224f;z-index:251661312;mso-width-relative:page;mso-height-relative:page;" filled="f" stroked="f" coordsize="21600,21600" o:gfxdata="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AK5ndJ3QAAAA4BAAAPAAAAAAAAAAEA&#10;IAAAACIAAABkcnMvZG93bnJldi54bWxQSwECFAAUAAAACACHTuJAakr18EMCAAB1BAAADgAAAAAA&#10;AAABACAAAAAsAQAAZHJzL2Uyb0RvYy54bWxQSwUGAAAAAAYABgBZAQAA4QUAAAAA&#10;">
                <v:fill on="f" focussize="0,0"/>
                <v:stroke on="f" weight="0.5pt"/>
                <v:imagedata o:title=""/>
                <o:lock v:ext="edit" aspectratio="f"/>
                <v:textbox>
                  <w:txbxContent>
                    <w:p>
                      <w:pPr>
                        <w:pStyle w:val="10"/>
                        <w:keepNext w:val="0"/>
                        <w:keepLines w:val="0"/>
                        <w:widowControl/>
                        <w:suppressLineNumbers w:val="0"/>
                        <w:kinsoku/>
                        <w:wordWrap/>
                        <w:overflowPunct/>
                        <w:bidi w:val="0"/>
                        <w:spacing w:before="0" w:beforeAutospacing="0" w:after="0" w:afterAutospacing="0"/>
                        <w:ind w:left="0"/>
                        <w:jc w:val="distribute"/>
                        <w:rPr>
                          <w:color w:val="F2F2F2" w:themeColor="background1" w:themeShade="F2"/>
                          <w:sz w:val="16"/>
                          <w:szCs w:val="16"/>
                        </w:rPr>
                      </w:pPr>
                      <w:r>
                        <w:rPr>
                          <w:rFonts w:ascii="微软雅黑" w:hAnsi="微软雅黑" w:eastAsia="微软雅黑" w:cs="mn-cs"/>
                          <w:color w:val="F2F2F2" w:themeColor="background1" w:themeShade="F2"/>
                          <w:kern w:val="24"/>
                          <w:sz w:val="44"/>
                          <w:szCs w:val="44"/>
                        </w:rPr>
                        <w:t xml:space="preserve">PERSONAL </w:t>
                      </w:r>
                    </w:p>
                    <w:p>
                      <w:pPr>
                        <w:jc w:val="distribute"/>
                        <w:rPr>
                          <w:b w:val="0"/>
                          <w:bCs/>
                          <w:color w:val="F2F2F2" w:themeColor="background1" w:themeShade="F2"/>
                          <w:sz w:val="20"/>
                          <w:szCs w:val="22"/>
                        </w:rPr>
                      </w:pPr>
                    </w:p>
                  </w:txbxContent>
                </v:textbox>
              </v:shape>
            </w:pict>
          </mc:Fallback>
        </mc:AlternateContent>
      </w:r>
      <w:r>
        <w:drawing>
          <wp:anchor distT="0" distB="0" distL="114300" distR="114300" simplePos="0" relativeHeight="251663360" behindDoc="1" locked="0" layoutInCell="1" allowOverlap="1">
            <wp:simplePos x="0" y="0"/>
            <wp:positionH relativeFrom="column">
              <wp:posOffset>-1120775</wp:posOffset>
            </wp:positionH>
            <wp:positionV relativeFrom="paragraph">
              <wp:posOffset>-978535</wp:posOffset>
            </wp:positionV>
            <wp:extent cx="7665720" cy="10866120"/>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7665720" cy="10866120"/>
                    </a:xfrm>
                    <a:prstGeom prst="rect">
                      <a:avLst/>
                    </a:prstGeom>
                    <a:noFill/>
                    <a:ln>
                      <a:noFill/>
                    </a:ln>
                  </pic:spPr>
                </pic:pic>
              </a:graphicData>
            </a:graphic>
          </wp:anchor>
        </w:drawing>
      </w:r>
    </w:p>
    <w:p>
      <w:pPr>
        <w:spacing w:line="480" w:lineRule="auto"/>
        <w:jc w:val="center"/>
        <w:rPr>
          <w:rFonts w:ascii="Arial" w:hAnsi="Arial" w:cs="Arial"/>
          <w:b/>
          <w:bCs/>
          <w:sz w:val="24"/>
          <w:szCs w:val="24"/>
        </w:rPr>
        <w:sectPr>
          <w:pgSz w:w="12240" w:h="15840"/>
          <w:pgMar w:top="1440" w:right="1440" w:bottom="1440" w:left="1440" w:header="708" w:footer="708" w:gutter="0"/>
          <w:cols w:space="708" w:num="1"/>
          <w:docGrid w:linePitch="360" w:charSpace="0"/>
        </w:sectPr>
      </w:pPr>
      <w:bookmarkStart w:id="15" w:name="_GoBack"/>
      <w:bookmarkEnd w:id="15"/>
      <w:r>
        <w:rPr>
          <w:sz w:val="21"/>
        </w:rPr>
        <mc:AlternateContent>
          <mc:Choice Requires="wps">
            <w:drawing>
              <wp:anchor distT="0" distB="0" distL="114300" distR="114300" simplePos="0" relativeHeight="251665408" behindDoc="0" locked="0" layoutInCell="1" allowOverlap="1">
                <wp:simplePos x="0" y="0"/>
                <wp:positionH relativeFrom="column">
                  <wp:posOffset>2272665</wp:posOffset>
                </wp:positionH>
                <wp:positionV relativeFrom="paragraph">
                  <wp:posOffset>2454275</wp:posOffset>
                </wp:positionV>
                <wp:extent cx="3851910" cy="2652395"/>
                <wp:effectExtent l="0" t="0" r="0" b="0"/>
                <wp:wrapNone/>
                <wp:docPr id="2" name="文本框 2"/>
                <wp:cNvGraphicFramePr/>
                <a:graphic xmlns:a="http://schemas.openxmlformats.org/drawingml/2006/main">
                  <a:graphicData uri="http://schemas.microsoft.com/office/word/2010/wordprocessingShape">
                    <wps:wsp>
                      <wps:cNvSpPr txBox="1"/>
                      <wps:spPr>
                        <a:xfrm>
                          <a:off x="0" y="0"/>
                          <a:ext cx="3851910" cy="26523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line="480" w:lineRule="auto"/>
                              <w:jc w:val="center"/>
                              <w:rPr>
                                <w:rFonts w:hint="eastAsia" w:ascii="Arial" w:hAnsi="Arial" w:eastAsia="宋体" w:cs="Arial"/>
                                <w:b/>
                                <w:bCs/>
                                <w:sz w:val="28"/>
                                <w:szCs w:val="28"/>
                                <w:lang w:val="en-US" w:eastAsia="zh-CN"/>
                              </w:rPr>
                            </w:pPr>
                            <w:r>
                              <w:rPr>
                                <w:rFonts w:ascii="Arial" w:hAnsi="Arial" w:cs="Arial"/>
                                <w:b/>
                                <w:bCs/>
                                <w:sz w:val="28"/>
                                <w:szCs w:val="28"/>
                              </w:rPr>
                              <w:t>Stud</w:t>
                            </w:r>
                            <w:r>
                              <w:rPr>
                                <w:rFonts w:hint="eastAsia" w:ascii="Arial" w:hAnsi="Arial" w:eastAsia="宋体" w:cs="Arial"/>
                                <w:b/>
                                <w:bCs/>
                                <w:sz w:val="28"/>
                                <w:szCs w:val="28"/>
                                <w:lang w:eastAsia="zh-CN"/>
                              </w:rPr>
                              <w:t>ent’s Name：</w:t>
                            </w:r>
                            <w:r>
                              <w:rPr>
                                <w:rFonts w:hint="eastAsia" w:ascii="Arial" w:hAnsi="Arial" w:eastAsia="宋体" w:cs="Arial"/>
                                <w:b/>
                                <w:bCs/>
                                <w:sz w:val="28"/>
                                <w:szCs w:val="28"/>
                                <w:lang w:val="en-US" w:eastAsia="zh-CN"/>
                              </w:rPr>
                              <w:t>Songtao Fang</w:t>
                            </w:r>
                          </w:p>
                          <w:p>
                            <w:pPr>
                              <w:spacing w:line="480" w:lineRule="auto"/>
                              <w:jc w:val="center"/>
                              <w:rPr>
                                <w:rFonts w:hint="eastAsia" w:ascii="Arial" w:hAnsi="Arial" w:eastAsia="宋体" w:cs="Arial"/>
                                <w:b/>
                                <w:bCs/>
                                <w:sz w:val="28"/>
                                <w:szCs w:val="28"/>
                                <w:lang w:val="en-US" w:eastAsia="zh-CN"/>
                              </w:rPr>
                            </w:pPr>
                            <w:r>
                              <w:rPr>
                                <w:rFonts w:hint="eastAsia" w:ascii="Arial" w:hAnsi="Arial" w:eastAsia="宋体" w:cs="Arial"/>
                                <w:b/>
                                <w:bCs/>
                                <w:sz w:val="28"/>
                                <w:szCs w:val="28"/>
                                <w:lang w:eastAsia="zh-CN"/>
                              </w:rPr>
                              <w:t>Student ID number:</w:t>
                            </w:r>
                            <w:r>
                              <w:rPr>
                                <w:rFonts w:hint="eastAsia" w:ascii="Arial" w:hAnsi="Arial" w:eastAsia="宋体" w:cs="Arial"/>
                                <w:b/>
                                <w:bCs/>
                                <w:sz w:val="28"/>
                                <w:szCs w:val="28"/>
                                <w:lang w:val="en-US" w:eastAsia="zh-CN"/>
                              </w:rPr>
                              <w:t>2304106</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Lecturer:Mike Durke</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Module:Global Ethics</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Module code:BMBM6008</w:t>
                            </w:r>
                          </w:p>
                          <w:p>
                            <w:pPr>
                              <w:spacing w:line="480" w:lineRule="auto"/>
                              <w:jc w:val="center"/>
                              <w:rPr>
                                <w:rFonts w:hint="default" w:ascii="Arial" w:hAnsi="Arial" w:cs="Arial"/>
                                <w:bCs/>
                                <w:sz w:val="22"/>
                                <w:szCs w:val="22"/>
                                <w:lang w:val="en-US" w:eastAsia="zh-CN"/>
                              </w:rPr>
                            </w:pPr>
                          </w:p>
                          <w:p>
                            <w:pPr>
                              <w:pStyle w:val="10"/>
                              <w:keepNext w:val="0"/>
                              <w:keepLines w:val="0"/>
                              <w:widowControl/>
                              <w:suppressLineNumbers w:val="0"/>
                              <w:kinsoku/>
                              <w:wordWrap/>
                              <w:overflowPunct/>
                              <w:bidi w:val="0"/>
                              <w:spacing w:before="0" w:beforeAutospacing="0" w:after="0" w:afterAutospacing="0"/>
                              <w:ind w:left="0"/>
                              <w:jc w:val="left"/>
                              <w:rPr>
                                <w:rFonts w:hint="eastAsia"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pStyle w:val="10"/>
                              <w:keepNext w:val="0"/>
                              <w:keepLines w:val="0"/>
                              <w:widowControl/>
                              <w:suppressLineNumbers w:val="0"/>
                              <w:kinsoku/>
                              <w:wordWrap/>
                              <w:overflowPunct/>
                              <w:bidi w:val="0"/>
                              <w:spacing w:before="0" w:beforeAutospacing="0" w:after="0" w:afterAutospacing="0"/>
                              <w:ind w:left="0"/>
                              <w:jc w:val="left"/>
                              <w:rPr>
                                <w:rFonts w:hint="default"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jc w:val="left"/>
                              <w:rPr>
                                <w:rFonts w:hint="eastAsia" w:ascii="微软雅黑" w:hAnsi="微软雅黑" w:eastAsia="微软雅黑" w:cs="微软雅黑"/>
                                <w:b w:val="0"/>
                                <w:bCs w:val="0"/>
                                <w:color w:val="000000" w:themeColor="text1"/>
                                <w:sz w:val="48"/>
                                <w:szCs w:val="56"/>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8.95pt;margin-top:193.25pt;height:208.85pt;width:303.3pt;z-index:251665408;mso-width-relative:page;mso-height-relative:page;" filled="f" stroked="f" coordsize="21600,21600" o:gfxdata="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vDSL/cAAAACwEAAA8AAAAAAAAAAQAgAAAAIgAA&#10;AGRycy9kb3ducmV2LnhtbFBLAQIUABQAAAAIAIdO4kCONkboPQIAAGcEAAAOAAAAAAAAAAEAIAAA&#10;ACsBAABkcnMvZTJvRG9jLnhtbFBLBQYAAAAABgAGAFkBAADaBQAAAAA=&#10;">
                <v:fill on="f" focussize="0,0"/>
                <v:stroke on="f" weight="0.5pt"/>
                <v:imagedata o:title=""/>
                <o:lock v:ext="edit" aspectratio="f"/>
                <v:textbox>
                  <w:txbxContent>
                    <w:p>
                      <w:pPr>
                        <w:spacing w:line="480" w:lineRule="auto"/>
                        <w:jc w:val="center"/>
                        <w:rPr>
                          <w:rFonts w:hint="eastAsia" w:ascii="Arial" w:hAnsi="Arial" w:eastAsia="宋体" w:cs="Arial"/>
                          <w:b/>
                          <w:bCs/>
                          <w:sz w:val="28"/>
                          <w:szCs w:val="28"/>
                          <w:lang w:val="en-US" w:eastAsia="zh-CN"/>
                        </w:rPr>
                      </w:pPr>
                      <w:r>
                        <w:rPr>
                          <w:rFonts w:ascii="Arial" w:hAnsi="Arial" w:cs="Arial"/>
                          <w:b/>
                          <w:bCs/>
                          <w:sz w:val="28"/>
                          <w:szCs w:val="28"/>
                        </w:rPr>
                        <w:t>Stud</w:t>
                      </w:r>
                      <w:r>
                        <w:rPr>
                          <w:rFonts w:hint="eastAsia" w:ascii="Arial" w:hAnsi="Arial" w:eastAsia="宋体" w:cs="Arial"/>
                          <w:b/>
                          <w:bCs/>
                          <w:sz w:val="28"/>
                          <w:szCs w:val="28"/>
                          <w:lang w:eastAsia="zh-CN"/>
                        </w:rPr>
                        <w:t>ent’s Name：</w:t>
                      </w:r>
                      <w:r>
                        <w:rPr>
                          <w:rFonts w:hint="eastAsia" w:ascii="Arial" w:hAnsi="Arial" w:eastAsia="宋体" w:cs="Arial"/>
                          <w:b/>
                          <w:bCs/>
                          <w:sz w:val="28"/>
                          <w:szCs w:val="28"/>
                          <w:lang w:val="en-US" w:eastAsia="zh-CN"/>
                        </w:rPr>
                        <w:t>Songtao Fang</w:t>
                      </w:r>
                    </w:p>
                    <w:p>
                      <w:pPr>
                        <w:spacing w:line="480" w:lineRule="auto"/>
                        <w:jc w:val="center"/>
                        <w:rPr>
                          <w:rFonts w:hint="eastAsia" w:ascii="Arial" w:hAnsi="Arial" w:eastAsia="宋体" w:cs="Arial"/>
                          <w:b/>
                          <w:bCs/>
                          <w:sz w:val="28"/>
                          <w:szCs w:val="28"/>
                          <w:lang w:val="en-US" w:eastAsia="zh-CN"/>
                        </w:rPr>
                      </w:pPr>
                      <w:r>
                        <w:rPr>
                          <w:rFonts w:hint="eastAsia" w:ascii="Arial" w:hAnsi="Arial" w:eastAsia="宋体" w:cs="Arial"/>
                          <w:b/>
                          <w:bCs/>
                          <w:sz w:val="28"/>
                          <w:szCs w:val="28"/>
                          <w:lang w:eastAsia="zh-CN"/>
                        </w:rPr>
                        <w:t>Student ID number:</w:t>
                      </w:r>
                      <w:r>
                        <w:rPr>
                          <w:rFonts w:hint="eastAsia" w:ascii="Arial" w:hAnsi="Arial" w:eastAsia="宋体" w:cs="Arial"/>
                          <w:b/>
                          <w:bCs/>
                          <w:sz w:val="28"/>
                          <w:szCs w:val="28"/>
                          <w:lang w:val="en-US" w:eastAsia="zh-CN"/>
                        </w:rPr>
                        <w:t>2304106</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Lecturer:Mike Durke</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Module:Global Ethics</w:t>
                      </w:r>
                    </w:p>
                    <w:p>
                      <w:pPr>
                        <w:spacing w:line="480" w:lineRule="auto"/>
                        <w:jc w:val="center"/>
                        <w:rPr>
                          <w:rFonts w:hint="eastAsia" w:ascii="Arial" w:hAnsi="Arial" w:eastAsia="宋体" w:cs="Arial"/>
                          <w:b/>
                          <w:bCs/>
                          <w:sz w:val="28"/>
                          <w:szCs w:val="28"/>
                          <w:lang w:eastAsia="zh-CN"/>
                        </w:rPr>
                      </w:pPr>
                      <w:r>
                        <w:rPr>
                          <w:rFonts w:hint="eastAsia" w:ascii="Arial" w:hAnsi="Arial" w:eastAsia="宋体" w:cs="Arial"/>
                          <w:b/>
                          <w:bCs/>
                          <w:sz w:val="28"/>
                          <w:szCs w:val="28"/>
                          <w:lang w:eastAsia="zh-CN"/>
                        </w:rPr>
                        <w:t>Module code:BMBM6008</w:t>
                      </w:r>
                    </w:p>
                    <w:p>
                      <w:pPr>
                        <w:spacing w:line="480" w:lineRule="auto"/>
                        <w:jc w:val="center"/>
                        <w:rPr>
                          <w:rFonts w:hint="default" w:ascii="Arial" w:hAnsi="Arial" w:cs="Arial"/>
                          <w:bCs/>
                          <w:sz w:val="22"/>
                          <w:szCs w:val="22"/>
                          <w:lang w:val="en-US" w:eastAsia="zh-CN"/>
                        </w:rPr>
                      </w:pPr>
                    </w:p>
                    <w:p>
                      <w:pPr>
                        <w:pStyle w:val="10"/>
                        <w:keepNext w:val="0"/>
                        <w:keepLines w:val="0"/>
                        <w:widowControl/>
                        <w:suppressLineNumbers w:val="0"/>
                        <w:kinsoku/>
                        <w:wordWrap/>
                        <w:overflowPunct/>
                        <w:bidi w:val="0"/>
                        <w:spacing w:before="0" w:beforeAutospacing="0" w:after="0" w:afterAutospacing="0"/>
                        <w:ind w:left="0"/>
                        <w:jc w:val="left"/>
                        <w:rPr>
                          <w:rFonts w:hint="eastAsia"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pStyle w:val="10"/>
                        <w:keepNext w:val="0"/>
                        <w:keepLines w:val="0"/>
                        <w:widowControl/>
                        <w:suppressLineNumbers w:val="0"/>
                        <w:kinsoku/>
                        <w:wordWrap/>
                        <w:overflowPunct/>
                        <w:bidi w:val="0"/>
                        <w:spacing w:before="0" w:beforeAutospacing="0" w:after="0" w:afterAutospacing="0"/>
                        <w:ind w:left="0"/>
                        <w:jc w:val="left"/>
                        <w:rPr>
                          <w:rFonts w:hint="default"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jc w:val="left"/>
                        <w:rPr>
                          <w:rFonts w:hint="eastAsia" w:ascii="微软雅黑" w:hAnsi="微软雅黑" w:eastAsia="微软雅黑" w:cs="微软雅黑"/>
                          <w:b w:val="0"/>
                          <w:bCs w:val="0"/>
                          <w:color w:val="000000" w:themeColor="text1"/>
                          <w:sz w:val="48"/>
                          <w:szCs w:val="56"/>
                          <w14:textFill>
                            <w14:solidFill>
                              <w14:schemeClr w14:val="tx1"/>
                            </w14:solidFill>
                          </w14:textFill>
                        </w:rPr>
                      </w:pPr>
                    </w:p>
                  </w:txbxContent>
                </v:textbox>
              </v:shape>
            </w:pict>
          </mc:Fallback>
        </mc:AlternateContent>
      </w:r>
    </w:p>
    <w:p>
      <w:pPr>
        <w:pStyle w:val="2"/>
        <w:spacing w:line="480" w:lineRule="auto"/>
        <w:jc w:val="both"/>
        <w:rPr>
          <w:rFonts w:ascii="Arial" w:hAnsi="Arial" w:cs="Arial"/>
          <w:b/>
          <w:color w:val="auto"/>
          <w:sz w:val="28"/>
          <w:szCs w:val="28"/>
        </w:rPr>
      </w:pPr>
      <w:bookmarkStart w:id="0" w:name="_Toc633"/>
      <w:r>
        <w:rPr>
          <w:rFonts w:ascii="Arial" w:hAnsi="Arial" w:cs="Arial"/>
          <w:b/>
          <w:color w:val="auto"/>
          <w:sz w:val="28"/>
          <w:szCs w:val="28"/>
        </w:rPr>
        <w:t>Executive Summary</w:t>
      </w:r>
      <w:bookmarkEnd w:id="0"/>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A thorough examination of Western and Asian strategic plans, cultural, political, and social demands, as well as the traits that encourage moral pressures, makes it clear that a sophisticated strategy is necessary for international business. Examining strategic plans from Asia and the West revealed a complex network of social variables. Navigation is fundamentally impacted by values like independence and collaboration, near-term vs. long-term manageability, and correspondence techniques. These differences highlight the need for social knowledge in creating robust, comprehensive, coordinated efforts.</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An analysis of the requirements imposed by social, political, and environmental contexts clarifies the complex issues that organisations face on a global scale. Upon analysing differences in administration and conforming to cultural norms, it was evident that flexibility and a thorough awareness of contextual elements were crucial. Case studies and global analyses highlighted the key function that moral frameworks are formed by social reflection. Important discoveries show the strong correlation between company success and moral values. Critical factors that emerged were the application of strong moral ideals, partner dedication, and the significance of moral leadership. Experiences led by information illustrated the positive relationship between long-term manageability, ethics, strategic approaches, and brand reputation. For businesses that operate globally, recognising and considering social, political, and other factors is an option and an essential objective. </w:t>
      </w:r>
    </w:p>
    <w:p>
      <w:pPr>
        <w:spacing w:line="480" w:lineRule="auto"/>
        <w:jc w:val="both"/>
        <w:rPr>
          <w:rFonts w:ascii="Arial" w:hAnsi="Arial" w:cs="Arial"/>
          <w:sz w:val="24"/>
          <w:szCs w:val="24"/>
        </w:rPr>
      </w:pPr>
    </w:p>
    <w:sdt>
      <w:sdtPr>
        <w:rPr>
          <w:rFonts w:ascii="Arial" w:hAnsi="Arial" w:cs="Arial" w:eastAsiaTheme="minorHAnsi"/>
          <w:b/>
          <w:color w:val="auto"/>
          <w:sz w:val="24"/>
          <w:szCs w:val="24"/>
        </w:rPr>
        <w:id w:val="1797331865"/>
        <w:docPartObj>
          <w:docPartGallery w:val="Table of Contents"/>
          <w:docPartUnique/>
        </w:docPartObj>
      </w:sdtPr>
      <w:sdtEndPr>
        <w:rPr>
          <w:rFonts w:ascii="Arial" w:hAnsi="Arial" w:cs="Arial" w:eastAsiaTheme="minorHAnsi"/>
          <w:b/>
          <w:bCs/>
          <w:color w:val="auto"/>
          <w:sz w:val="24"/>
          <w:szCs w:val="24"/>
        </w:rPr>
      </w:sdtEndPr>
      <w:sdtContent>
        <w:p>
          <w:pPr>
            <w:pStyle w:val="20"/>
            <w:rPr>
              <w:rFonts w:ascii="Arial" w:hAnsi="Arial" w:cs="Arial"/>
              <w:b/>
              <w:color w:val="auto"/>
              <w:sz w:val="24"/>
              <w:szCs w:val="24"/>
            </w:rPr>
          </w:pPr>
          <w:r>
            <w:rPr>
              <w:rFonts w:ascii="Arial" w:hAnsi="Arial" w:cs="Arial"/>
              <w:b/>
              <w:color w:val="auto"/>
              <w:sz w:val="24"/>
              <w:szCs w:val="24"/>
            </w:rPr>
            <w:t>Table of Contents</w:t>
          </w:r>
        </w:p>
        <w:p>
          <w:pPr>
            <w:pStyle w:val="8"/>
            <w:tabs>
              <w:tab w:val="right" w:leader="dot" w:pos="9360"/>
            </w:tabs>
          </w:pPr>
          <w:r>
            <w:rPr>
              <w:rFonts w:ascii="Arial" w:hAnsi="Arial" w:cs="Arial"/>
              <w:b/>
              <w:sz w:val="24"/>
              <w:szCs w:val="24"/>
            </w:rPr>
            <w:fldChar w:fldCharType="begin"/>
          </w:r>
          <w:r>
            <w:rPr>
              <w:rFonts w:ascii="Arial" w:hAnsi="Arial" w:cs="Arial"/>
              <w:b/>
              <w:sz w:val="24"/>
              <w:szCs w:val="24"/>
            </w:rPr>
            <w:instrText xml:space="preserve"> TOC \o "1-3" \h \z \u </w:instrText>
          </w:r>
          <w:r>
            <w:rPr>
              <w:rFonts w:ascii="Arial" w:hAnsi="Arial" w:cs="Arial"/>
              <w:b/>
              <w:sz w:val="24"/>
              <w:szCs w:val="24"/>
            </w:rPr>
            <w:fldChar w:fldCharType="separate"/>
          </w:r>
          <w:r>
            <w:rPr>
              <w:rFonts w:ascii="Arial" w:hAnsi="Arial" w:cs="Arial"/>
              <w:szCs w:val="24"/>
            </w:rPr>
            <w:fldChar w:fldCharType="begin"/>
          </w:r>
          <w:r>
            <w:rPr>
              <w:rFonts w:ascii="Arial" w:hAnsi="Arial" w:cs="Arial"/>
              <w:szCs w:val="24"/>
            </w:rPr>
            <w:instrText xml:space="preserve"> HYPERLINK \l _Toc633 </w:instrText>
          </w:r>
          <w:r>
            <w:rPr>
              <w:rFonts w:ascii="Arial" w:hAnsi="Arial" w:cs="Arial"/>
              <w:szCs w:val="24"/>
            </w:rPr>
            <w:fldChar w:fldCharType="separate"/>
          </w:r>
          <w:r>
            <w:rPr>
              <w:rFonts w:ascii="Arial" w:hAnsi="Arial" w:cs="Arial"/>
              <w:szCs w:val="28"/>
            </w:rPr>
            <w:t>Executive Summary</w:t>
          </w:r>
          <w:r>
            <w:tab/>
          </w:r>
          <w:r>
            <w:fldChar w:fldCharType="begin"/>
          </w:r>
          <w:r>
            <w:instrText xml:space="preserve"> PAGEREF _Toc633 \h </w:instrText>
          </w:r>
          <w:r>
            <w:fldChar w:fldCharType="separate"/>
          </w:r>
          <w:r>
            <w:t>2</w:t>
          </w:r>
          <w:r>
            <w:fldChar w:fldCharType="end"/>
          </w:r>
          <w:r>
            <w:rPr>
              <w:rFonts w:ascii="Arial" w:hAnsi="Arial" w:cs="Arial"/>
              <w:szCs w:val="24"/>
            </w:rPr>
            <w:fldChar w:fldCharType="end"/>
          </w:r>
        </w:p>
        <w:p>
          <w:pPr>
            <w:pStyle w:val="8"/>
            <w:tabs>
              <w:tab w:val="right" w:leader="dot" w:pos="9360"/>
            </w:tabs>
          </w:pPr>
          <w:r>
            <w:rPr>
              <w:rFonts w:ascii="Arial" w:hAnsi="Arial" w:cs="Arial"/>
              <w:bCs/>
              <w:szCs w:val="24"/>
            </w:rPr>
            <w:fldChar w:fldCharType="begin"/>
          </w:r>
          <w:r>
            <w:rPr>
              <w:rFonts w:ascii="Arial" w:hAnsi="Arial" w:cs="Arial"/>
              <w:bCs/>
              <w:szCs w:val="24"/>
            </w:rPr>
            <w:instrText xml:space="preserve"> HYPERLINK \l _Toc8579 </w:instrText>
          </w:r>
          <w:r>
            <w:rPr>
              <w:rFonts w:ascii="Arial" w:hAnsi="Arial" w:cs="Arial"/>
              <w:bCs/>
              <w:szCs w:val="24"/>
            </w:rPr>
            <w:fldChar w:fldCharType="separate"/>
          </w:r>
          <w:r>
            <w:rPr>
              <w:rFonts w:hint="eastAsia" w:ascii="Arial" w:hAnsi="Arial" w:cs="Arial"/>
              <w:szCs w:val="28"/>
              <w:lang w:val="en-US" w:eastAsia="zh-CN"/>
            </w:rPr>
            <w:t xml:space="preserve">1 </w:t>
          </w:r>
          <w:r>
            <w:rPr>
              <w:rFonts w:ascii="Arial" w:hAnsi="Arial" w:cs="Arial"/>
              <w:szCs w:val="28"/>
            </w:rPr>
            <w:t xml:space="preserve"> Introduction</w:t>
          </w:r>
          <w:r>
            <w:tab/>
          </w:r>
          <w:r>
            <w:fldChar w:fldCharType="begin"/>
          </w:r>
          <w:r>
            <w:instrText xml:space="preserve"> PAGEREF _Toc8579 \h </w:instrText>
          </w:r>
          <w:r>
            <w:fldChar w:fldCharType="separate"/>
          </w:r>
          <w:r>
            <w:t>4</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_Toc1098 </w:instrText>
          </w:r>
          <w:r>
            <w:rPr>
              <w:rFonts w:ascii="Arial" w:hAnsi="Arial" w:cs="Arial"/>
              <w:bCs/>
              <w:szCs w:val="24"/>
            </w:rPr>
            <w:fldChar w:fldCharType="separate"/>
          </w:r>
          <w:r>
            <w:rPr>
              <w:rFonts w:hint="eastAsia" w:ascii="Arial" w:hAnsi="Arial" w:eastAsia="宋体" w:cs="Arial"/>
              <w:szCs w:val="24"/>
              <w:lang w:val="en-US" w:eastAsia="zh-CN"/>
            </w:rPr>
            <w:t xml:space="preserve">1.1 </w:t>
          </w:r>
          <w:r>
            <w:rPr>
              <w:rFonts w:ascii="Arial" w:hAnsi="Arial" w:cs="Arial"/>
              <w:szCs w:val="24"/>
            </w:rPr>
            <w:t>Background</w:t>
          </w:r>
          <w:r>
            <w:tab/>
          </w:r>
          <w:r>
            <w:fldChar w:fldCharType="begin"/>
          </w:r>
          <w:r>
            <w:instrText xml:space="preserve"> PAGEREF _Toc1098 \h </w:instrText>
          </w:r>
          <w:r>
            <w:fldChar w:fldCharType="separate"/>
          </w:r>
          <w:r>
            <w:t>4</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_Toc13364 </w:instrText>
          </w:r>
          <w:r>
            <w:rPr>
              <w:rFonts w:ascii="Arial" w:hAnsi="Arial" w:cs="Arial"/>
              <w:bCs/>
              <w:szCs w:val="24"/>
            </w:rPr>
            <w:fldChar w:fldCharType="separate"/>
          </w:r>
          <w:r>
            <w:rPr>
              <w:rFonts w:hint="eastAsia" w:ascii="Arial" w:hAnsi="Arial" w:eastAsia="宋体" w:cs="Arial"/>
              <w:szCs w:val="24"/>
              <w:lang w:val="en-US" w:eastAsia="zh-CN"/>
            </w:rPr>
            <w:t xml:space="preserve">1.2 </w:t>
          </w:r>
          <w:r>
            <w:rPr>
              <w:rFonts w:ascii="Arial" w:hAnsi="Arial" w:cs="Arial"/>
              <w:szCs w:val="24"/>
            </w:rPr>
            <w:t>Objectives</w:t>
          </w:r>
          <w:r>
            <w:tab/>
          </w:r>
          <w:r>
            <w:fldChar w:fldCharType="begin"/>
          </w:r>
          <w:r>
            <w:instrText xml:space="preserve"> PAGEREF _Toc13364 \h </w:instrText>
          </w:r>
          <w:r>
            <w:fldChar w:fldCharType="separate"/>
          </w:r>
          <w:r>
            <w:t>5</w:t>
          </w:r>
          <w:r>
            <w:fldChar w:fldCharType="end"/>
          </w:r>
          <w:r>
            <w:rPr>
              <w:rFonts w:ascii="Arial" w:hAnsi="Arial" w:cs="Arial"/>
              <w:bCs/>
              <w:szCs w:val="24"/>
            </w:rPr>
            <w:fldChar w:fldCharType="end"/>
          </w:r>
        </w:p>
        <w:p>
          <w:pPr>
            <w:pStyle w:val="8"/>
            <w:tabs>
              <w:tab w:val="right" w:leader="dot" w:pos="9360"/>
            </w:tabs>
          </w:pPr>
          <w:r>
            <w:rPr>
              <w:rFonts w:ascii="Arial" w:hAnsi="Arial" w:cs="Arial"/>
              <w:bCs/>
              <w:szCs w:val="24"/>
            </w:rPr>
            <w:fldChar w:fldCharType="begin"/>
          </w:r>
          <w:r>
            <w:rPr>
              <w:rFonts w:ascii="Arial" w:hAnsi="Arial" w:cs="Arial"/>
              <w:bCs/>
              <w:szCs w:val="24"/>
            </w:rPr>
            <w:instrText xml:space="preserve"> HYPERLINK \l _Toc5094 </w:instrText>
          </w:r>
          <w:r>
            <w:rPr>
              <w:rFonts w:ascii="Arial" w:hAnsi="Arial" w:cs="Arial"/>
              <w:bCs/>
              <w:szCs w:val="24"/>
            </w:rPr>
            <w:fldChar w:fldCharType="separate"/>
          </w:r>
          <w:r>
            <w:rPr>
              <w:rFonts w:hint="eastAsia" w:ascii="Arial" w:hAnsi="Arial" w:cs="Arial"/>
              <w:szCs w:val="28"/>
              <w:lang w:val="en-US" w:eastAsia="zh-CN"/>
            </w:rPr>
            <w:t xml:space="preserve">2 </w:t>
          </w:r>
          <w:r>
            <w:rPr>
              <w:rFonts w:ascii="Arial" w:hAnsi="Arial" w:cs="Arial"/>
              <w:szCs w:val="28"/>
            </w:rPr>
            <w:t>Main Body</w:t>
          </w:r>
          <w:r>
            <w:tab/>
          </w:r>
          <w:r>
            <w:fldChar w:fldCharType="begin"/>
          </w:r>
          <w:r>
            <w:instrText xml:space="preserve"> PAGEREF _Toc5094 \h </w:instrText>
          </w:r>
          <w:r>
            <w:fldChar w:fldCharType="separate"/>
          </w:r>
          <w:r>
            <w:t>6</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_Toc32241 </w:instrText>
          </w:r>
          <w:r>
            <w:rPr>
              <w:rFonts w:ascii="Arial" w:hAnsi="Arial" w:cs="Arial"/>
              <w:bCs/>
              <w:szCs w:val="24"/>
            </w:rPr>
            <w:fldChar w:fldCharType="separate"/>
          </w:r>
          <w:r>
            <w:rPr>
              <w:rFonts w:hint="eastAsia" w:ascii="Arial" w:hAnsi="Arial" w:eastAsia="宋体" w:cs="Arial"/>
              <w:szCs w:val="24"/>
              <w:lang w:val="en-US" w:eastAsia="zh-CN"/>
            </w:rPr>
            <w:t xml:space="preserve">2.1 </w:t>
          </w:r>
          <w:r>
            <w:rPr>
              <w:rFonts w:ascii="Arial" w:hAnsi="Arial" w:cs="Arial"/>
              <w:szCs w:val="24"/>
            </w:rPr>
            <w:t>Asian vs. Western Business Practices</w:t>
          </w:r>
          <w:r>
            <w:tab/>
          </w:r>
          <w:r>
            <w:fldChar w:fldCharType="begin"/>
          </w:r>
          <w:r>
            <w:instrText xml:space="preserve"> PAGEREF _Toc32241 \h </w:instrText>
          </w:r>
          <w:r>
            <w:fldChar w:fldCharType="separate"/>
          </w:r>
          <w:r>
            <w:t>6</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_Toc24089 </w:instrText>
          </w:r>
          <w:r>
            <w:rPr>
              <w:rFonts w:ascii="Arial" w:hAnsi="Arial" w:cs="Arial"/>
              <w:bCs/>
              <w:szCs w:val="24"/>
            </w:rPr>
            <w:fldChar w:fldCharType="separate"/>
          </w:r>
          <w:r>
            <w:rPr>
              <w:rFonts w:hint="eastAsia" w:ascii="Arial" w:hAnsi="Arial" w:eastAsia="Times New Roman" w:cs="Arial"/>
              <w:szCs w:val="24"/>
              <w:lang w:val="en-US" w:eastAsia="zh-CN"/>
            </w:rPr>
            <w:t xml:space="preserve">2.2 </w:t>
          </w:r>
          <w:r>
            <w:rPr>
              <w:rFonts w:ascii="Arial" w:hAnsi="Arial" w:eastAsia="Times New Roman" w:cs="Arial"/>
              <w:szCs w:val="24"/>
            </w:rPr>
            <w:t>Social, Political, and Cultural Constraints in International Business</w:t>
          </w:r>
          <w:r>
            <w:tab/>
          </w:r>
          <w:r>
            <w:fldChar w:fldCharType="begin"/>
          </w:r>
          <w:r>
            <w:instrText xml:space="preserve"> PAGEREF _Toc24089 \h </w:instrText>
          </w:r>
          <w:r>
            <w:fldChar w:fldCharType="separate"/>
          </w:r>
          <w:r>
            <w:t>8</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_Toc30137 </w:instrText>
          </w:r>
          <w:r>
            <w:rPr>
              <w:rFonts w:ascii="Arial" w:hAnsi="Arial" w:cs="Arial"/>
              <w:bCs/>
              <w:szCs w:val="24"/>
            </w:rPr>
            <w:fldChar w:fldCharType="separate"/>
          </w:r>
          <w:r>
            <w:rPr>
              <w:rFonts w:hint="eastAsia" w:ascii="Arial" w:hAnsi="Arial" w:eastAsia="Times New Roman" w:cs="Arial"/>
              <w:szCs w:val="24"/>
              <w:lang w:val="en-US" w:eastAsia="zh-CN"/>
            </w:rPr>
            <w:t xml:space="preserve">2.3 </w:t>
          </w:r>
          <w:r>
            <w:rPr>
              <w:rFonts w:ascii="Arial" w:hAnsi="Arial" w:eastAsia="Times New Roman" w:cs="Arial"/>
              <w:szCs w:val="24"/>
            </w:rPr>
            <w:t>International Comparisons</w:t>
          </w:r>
          <w:r>
            <w:tab/>
          </w:r>
          <w:r>
            <w:fldChar w:fldCharType="begin"/>
          </w:r>
          <w:r>
            <w:instrText xml:space="preserve"> PAGEREF _Toc30137 \h </w:instrText>
          </w:r>
          <w:r>
            <w:fldChar w:fldCharType="separate"/>
          </w:r>
          <w:r>
            <w:t>10</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_Toc3522 </w:instrText>
          </w:r>
          <w:r>
            <w:rPr>
              <w:rFonts w:ascii="Arial" w:hAnsi="Arial" w:cs="Arial"/>
              <w:bCs/>
              <w:szCs w:val="24"/>
            </w:rPr>
            <w:fldChar w:fldCharType="separate"/>
          </w:r>
          <w:r>
            <w:rPr>
              <w:rFonts w:hint="eastAsia" w:ascii="Arial" w:hAnsi="Arial" w:eastAsia="Times New Roman" w:cs="Arial"/>
              <w:szCs w:val="24"/>
              <w:lang w:val="en-US" w:eastAsia="zh-CN"/>
            </w:rPr>
            <w:t xml:space="preserve">2.4 </w:t>
          </w:r>
          <w:r>
            <w:rPr>
              <w:rFonts w:ascii="Arial" w:hAnsi="Arial" w:eastAsia="Times New Roman" w:cs="Arial"/>
              <w:szCs w:val="24"/>
            </w:rPr>
            <w:t>Hofstede Cultural Dimensions</w:t>
          </w:r>
          <w:r>
            <w:tab/>
          </w:r>
          <w:r>
            <w:fldChar w:fldCharType="begin"/>
          </w:r>
          <w:r>
            <w:instrText xml:space="preserve"> PAGEREF _Toc3522 \h </w:instrText>
          </w:r>
          <w:r>
            <w:fldChar w:fldCharType="separate"/>
          </w:r>
          <w:r>
            <w:t>10</w:t>
          </w:r>
          <w:r>
            <w:fldChar w:fldCharType="end"/>
          </w:r>
          <w:r>
            <w:rPr>
              <w:rFonts w:ascii="Arial" w:hAnsi="Arial" w:cs="Arial"/>
              <w:bCs/>
              <w:szCs w:val="24"/>
            </w:rPr>
            <w:fldChar w:fldCharType="end"/>
          </w:r>
        </w:p>
        <w:p>
          <w:pPr>
            <w:pStyle w:val="9"/>
            <w:tabs>
              <w:tab w:val="right" w:leader="dot" w:pos="9360"/>
            </w:tabs>
          </w:pPr>
          <w:r>
            <w:rPr>
              <w:rFonts w:ascii="Arial" w:hAnsi="Arial" w:cs="Arial"/>
              <w:bCs/>
              <w:szCs w:val="24"/>
            </w:rPr>
            <w:fldChar w:fldCharType="begin"/>
          </w:r>
          <w:r>
            <w:rPr>
              <w:rFonts w:ascii="Arial" w:hAnsi="Arial" w:cs="Arial"/>
              <w:bCs/>
              <w:szCs w:val="24"/>
            </w:rPr>
            <w:instrText xml:space="preserve"> HYPERLINK \l _Toc21342 </w:instrText>
          </w:r>
          <w:r>
            <w:rPr>
              <w:rFonts w:ascii="Arial" w:hAnsi="Arial" w:cs="Arial"/>
              <w:bCs/>
              <w:szCs w:val="24"/>
            </w:rPr>
            <w:fldChar w:fldCharType="separate"/>
          </w:r>
          <w:r>
            <w:rPr>
              <w:rFonts w:hint="eastAsia" w:ascii="Arial" w:hAnsi="Arial" w:eastAsia="Times New Roman" w:cs="Arial"/>
              <w:szCs w:val="24"/>
              <w:lang w:val="en-US" w:eastAsia="zh-CN"/>
            </w:rPr>
            <w:t xml:space="preserve">2.5 </w:t>
          </w:r>
          <w:r>
            <w:rPr>
              <w:rFonts w:ascii="Arial" w:hAnsi="Arial" w:eastAsia="Times New Roman" w:cs="Arial"/>
              <w:szCs w:val="24"/>
            </w:rPr>
            <w:t>Moral Research in International Business</w:t>
          </w:r>
          <w:r>
            <w:tab/>
          </w:r>
          <w:r>
            <w:fldChar w:fldCharType="begin"/>
          </w:r>
          <w:r>
            <w:instrText xml:space="preserve"> PAGEREF _Toc21342 \h </w:instrText>
          </w:r>
          <w:r>
            <w:fldChar w:fldCharType="separate"/>
          </w:r>
          <w:r>
            <w:t>11</w:t>
          </w:r>
          <w:r>
            <w:fldChar w:fldCharType="end"/>
          </w:r>
          <w:r>
            <w:rPr>
              <w:rFonts w:ascii="Arial" w:hAnsi="Arial" w:cs="Arial"/>
              <w:bCs/>
              <w:szCs w:val="24"/>
            </w:rPr>
            <w:fldChar w:fldCharType="end"/>
          </w:r>
        </w:p>
        <w:p>
          <w:pPr>
            <w:pStyle w:val="5"/>
            <w:tabs>
              <w:tab w:val="right" w:leader="dot" w:pos="9360"/>
            </w:tabs>
          </w:pPr>
          <w:r>
            <w:rPr>
              <w:rFonts w:ascii="Arial" w:hAnsi="Arial" w:cs="Arial"/>
              <w:bCs/>
              <w:szCs w:val="24"/>
            </w:rPr>
            <w:fldChar w:fldCharType="begin"/>
          </w:r>
          <w:r>
            <w:rPr>
              <w:rFonts w:ascii="Arial" w:hAnsi="Arial" w:cs="Arial"/>
              <w:bCs/>
              <w:szCs w:val="24"/>
            </w:rPr>
            <w:instrText xml:space="preserve"> HYPERLINK \l _Toc6672 </w:instrText>
          </w:r>
          <w:r>
            <w:rPr>
              <w:rFonts w:ascii="Arial" w:hAnsi="Arial" w:cs="Arial"/>
              <w:bCs/>
              <w:szCs w:val="24"/>
            </w:rPr>
            <w:fldChar w:fldCharType="separate"/>
          </w:r>
          <w:r>
            <w:rPr>
              <w:rFonts w:hint="eastAsia" w:ascii="Arial" w:hAnsi="Arial" w:eastAsia="Times New Roman" w:cs="Arial"/>
              <w:bCs/>
              <w:szCs w:val="24"/>
              <w:lang w:val="en-US" w:eastAsia="zh-CN" w:bidi="ar-SA"/>
            </w:rPr>
            <w:t xml:space="preserve">2.5.1 </w:t>
          </w:r>
          <w:r>
            <w:rPr>
              <w:rFonts w:ascii="Arial" w:hAnsi="Arial" w:eastAsia="Times New Roman" w:cs="Arial"/>
              <w:bCs/>
              <w:szCs w:val="24"/>
              <w:lang w:val="en-US" w:eastAsia="en-US" w:bidi="ar-SA"/>
            </w:rPr>
            <w:t>Evaluating Values Resulting in Ethical Tensions</w:t>
          </w:r>
          <w:r>
            <w:tab/>
          </w:r>
          <w:r>
            <w:fldChar w:fldCharType="begin"/>
          </w:r>
          <w:r>
            <w:instrText xml:space="preserve"> PAGEREF _Toc6672 \h </w:instrText>
          </w:r>
          <w:r>
            <w:fldChar w:fldCharType="separate"/>
          </w:r>
          <w:r>
            <w:t>12</w:t>
          </w:r>
          <w:r>
            <w:fldChar w:fldCharType="end"/>
          </w:r>
          <w:r>
            <w:rPr>
              <w:rFonts w:ascii="Arial" w:hAnsi="Arial" w:cs="Arial"/>
              <w:bCs/>
              <w:szCs w:val="24"/>
            </w:rPr>
            <w:fldChar w:fldCharType="end"/>
          </w:r>
        </w:p>
        <w:p>
          <w:pPr>
            <w:pStyle w:val="5"/>
            <w:tabs>
              <w:tab w:val="right" w:leader="dot" w:pos="9360"/>
            </w:tabs>
          </w:pPr>
          <w:r>
            <w:rPr>
              <w:rFonts w:ascii="Arial" w:hAnsi="Arial" w:cs="Arial"/>
              <w:bCs/>
              <w:szCs w:val="24"/>
            </w:rPr>
            <w:fldChar w:fldCharType="begin"/>
          </w:r>
          <w:r>
            <w:rPr>
              <w:rFonts w:ascii="Arial" w:hAnsi="Arial" w:cs="Arial"/>
              <w:bCs/>
              <w:szCs w:val="24"/>
            </w:rPr>
            <w:instrText xml:space="preserve"> HYPERLINK \l _Toc32087 </w:instrText>
          </w:r>
          <w:r>
            <w:rPr>
              <w:rFonts w:ascii="Arial" w:hAnsi="Arial" w:cs="Arial"/>
              <w:bCs/>
              <w:szCs w:val="24"/>
            </w:rPr>
            <w:fldChar w:fldCharType="separate"/>
          </w:r>
          <w:r>
            <w:rPr>
              <w:rFonts w:hint="eastAsia" w:ascii="Arial" w:hAnsi="Arial" w:cs="Arial"/>
              <w:lang w:val="en-US" w:eastAsia="zh-CN"/>
            </w:rPr>
            <w:t xml:space="preserve">2.5.2 </w:t>
          </w:r>
          <w:r>
            <w:rPr>
              <w:rFonts w:ascii="Arial" w:hAnsi="Arial" w:cs="Arial"/>
            </w:rPr>
            <w:t>Causes of Ethical Tensions</w:t>
          </w:r>
          <w:r>
            <w:tab/>
          </w:r>
          <w:r>
            <w:fldChar w:fldCharType="begin"/>
          </w:r>
          <w:r>
            <w:instrText xml:space="preserve"> PAGEREF _Toc32087 \h </w:instrText>
          </w:r>
          <w:r>
            <w:fldChar w:fldCharType="separate"/>
          </w:r>
          <w:r>
            <w:t>12</w:t>
          </w:r>
          <w:r>
            <w:fldChar w:fldCharType="end"/>
          </w:r>
          <w:r>
            <w:rPr>
              <w:rFonts w:ascii="Arial" w:hAnsi="Arial" w:cs="Arial"/>
              <w:bCs/>
              <w:szCs w:val="24"/>
            </w:rPr>
            <w:fldChar w:fldCharType="end"/>
          </w:r>
        </w:p>
        <w:p>
          <w:pPr>
            <w:pStyle w:val="5"/>
            <w:tabs>
              <w:tab w:val="right" w:leader="dot" w:pos="9360"/>
            </w:tabs>
          </w:pPr>
          <w:r>
            <w:rPr>
              <w:rFonts w:ascii="Arial" w:hAnsi="Arial" w:cs="Arial"/>
              <w:bCs/>
              <w:szCs w:val="24"/>
            </w:rPr>
            <w:fldChar w:fldCharType="begin"/>
          </w:r>
          <w:r>
            <w:rPr>
              <w:rFonts w:ascii="Arial" w:hAnsi="Arial" w:cs="Arial"/>
              <w:bCs/>
              <w:szCs w:val="24"/>
            </w:rPr>
            <w:instrText xml:space="preserve"> HYPERLINK \l _Toc29599 </w:instrText>
          </w:r>
          <w:r>
            <w:rPr>
              <w:rFonts w:ascii="Arial" w:hAnsi="Arial" w:cs="Arial"/>
              <w:bCs/>
              <w:szCs w:val="24"/>
            </w:rPr>
            <w:fldChar w:fldCharType="separate"/>
          </w:r>
          <w:r>
            <w:rPr>
              <w:rFonts w:hint="eastAsia" w:ascii="Arial" w:hAnsi="Arial" w:cs="Arial"/>
              <w:lang w:val="en-US" w:eastAsia="zh-CN"/>
            </w:rPr>
            <w:t xml:space="preserve">2.5.3 </w:t>
          </w:r>
          <w:r>
            <w:rPr>
              <w:rFonts w:ascii="Arial" w:hAnsi="Arial" w:cs="Arial"/>
            </w:rPr>
            <w:t>Proposing Solutions</w:t>
          </w:r>
          <w:r>
            <w:tab/>
          </w:r>
          <w:r>
            <w:fldChar w:fldCharType="begin"/>
          </w:r>
          <w:r>
            <w:instrText xml:space="preserve"> PAGEREF _Toc29599 \h </w:instrText>
          </w:r>
          <w:r>
            <w:fldChar w:fldCharType="separate"/>
          </w:r>
          <w:r>
            <w:t>13</w:t>
          </w:r>
          <w:r>
            <w:fldChar w:fldCharType="end"/>
          </w:r>
          <w:r>
            <w:rPr>
              <w:rFonts w:ascii="Arial" w:hAnsi="Arial" w:cs="Arial"/>
              <w:bCs/>
              <w:szCs w:val="24"/>
            </w:rPr>
            <w:fldChar w:fldCharType="end"/>
          </w:r>
        </w:p>
        <w:p>
          <w:pPr>
            <w:pStyle w:val="8"/>
            <w:tabs>
              <w:tab w:val="right" w:leader="dot" w:pos="9360"/>
            </w:tabs>
          </w:pPr>
          <w:r>
            <w:rPr>
              <w:rFonts w:ascii="Arial" w:hAnsi="Arial" w:cs="Arial"/>
              <w:bCs/>
              <w:szCs w:val="24"/>
            </w:rPr>
            <w:fldChar w:fldCharType="begin"/>
          </w:r>
          <w:r>
            <w:rPr>
              <w:rFonts w:ascii="Arial" w:hAnsi="Arial" w:cs="Arial"/>
              <w:bCs/>
              <w:szCs w:val="24"/>
            </w:rPr>
            <w:instrText xml:space="preserve"> HYPERLINK \l _Toc7648 </w:instrText>
          </w:r>
          <w:r>
            <w:rPr>
              <w:rFonts w:ascii="Arial" w:hAnsi="Arial" w:cs="Arial"/>
              <w:bCs/>
              <w:szCs w:val="24"/>
            </w:rPr>
            <w:fldChar w:fldCharType="separate"/>
          </w:r>
          <w:r>
            <w:rPr>
              <w:rFonts w:hint="eastAsia" w:ascii="Arial" w:hAnsi="Arial" w:cs="Arial"/>
              <w:szCs w:val="28"/>
              <w:lang w:val="en-US" w:eastAsia="zh-CN"/>
            </w:rPr>
            <w:t xml:space="preserve">3 </w:t>
          </w:r>
          <w:r>
            <w:rPr>
              <w:rFonts w:ascii="Arial" w:hAnsi="Arial" w:cs="Arial"/>
              <w:szCs w:val="28"/>
            </w:rPr>
            <w:t>Conclusion</w:t>
          </w:r>
          <w:r>
            <w:tab/>
          </w:r>
          <w:r>
            <w:fldChar w:fldCharType="begin"/>
          </w:r>
          <w:r>
            <w:instrText xml:space="preserve"> PAGEREF _Toc7648 \h </w:instrText>
          </w:r>
          <w:r>
            <w:fldChar w:fldCharType="separate"/>
          </w:r>
          <w:r>
            <w:t>14</w:t>
          </w:r>
          <w:r>
            <w:fldChar w:fldCharType="end"/>
          </w:r>
          <w:r>
            <w:rPr>
              <w:rFonts w:ascii="Arial" w:hAnsi="Arial" w:cs="Arial"/>
              <w:bCs/>
              <w:szCs w:val="24"/>
            </w:rPr>
            <w:fldChar w:fldCharType="end"/>
          </w:r>
        </w:p>
        <w:p>
          <w:pPr>
            <w:pStyle w:val="8"/>
            <w:tabs>
              <w:tab w:val="right" w:leader="dot" w:pos="9360"/>
            </w:tabs>
          </w:pPr>
          <w:r>
            <w:rPr>
              <w:rFonts w:ascii="Arial" w:hAnsi="Arial" w:cs="Arial"/>
              <w:bCs/>
              <w:szCs w:val="24"/>
            </w:rPr>
            <w:fldChar w:fldCharType="begin"/>
          </w:r>
          <w:r>
            <w:rPr>
              <w:rFonts w:ascii="Arial" w:hAnsi="Arial" w:cs="Arial"/>
              <w:bCs/>
              <w:szCs w:val="24"/>
            </w:rPr>
            <w:instrText xml:space="preserve"> HYPERLINK \l _Toc28542 </w:instrText>
          </w:r>
          <w:r>
            <w:rPr>
              <w:rFonts w:ascii="Arial" w:hAnsi="Arial" w:cs="Arial"/>
              <w:bCs/>
              <w:szCs w:val="24"/>
            </w:rPr>
            <w:fldChar w:fldCharType="separate"/>
          </w:r>
          <w:r>
            <w:rPr>
              <w:rFonts w:hint="eastAsia" w:ascii="Arial" w:hAnsi="Arial" w:cs="Arial"/>
              <w:szCs w:val="28"/>
              <w:lang w:val="en-US" w:eastAsia="zh-CN"/>
            </w:rPr>
            <w:t xml:space="preserve">4 </w:t>
          </w:r>
          <w:r>
            <w:rPr>
              <w:rFonts w:ascii="Arial" w:hAnsi="Arial" w:cs="Arial"/>
              <w:szCs w:val="28"/>
            </w:rPr>
            <w:t>References</w:t>
          </w:r>
          <w:r>
            <w:tab/>
          </w:r>
          <w:r>
            <w:fldChar w:fldCharType="begin"/>
          </w:r>
          <w:r>
            <w:instrText xml:space="preserve"> PAGEREF _Toc28542 \h </w:instrText>
          </w:r>
          <w:r>
            <w:fldChar w:fldCharType="separate"/>
          </w:r>
          <w:r>
            <w:t>16</w:t>
          </w:r>
          <w:r>
            <w:fldChar w:fldCharType="end"/>
          </w:r>
          <w:r>
            <w:rPr>
              <w:rFonts w:ascii="Arial" w:hAnsi="Arial" w:cs="Arial"/>
              <w:bCs/>
              <w:szCs w:val="24"/>
            </w:rPr>
            <w:fldChar w:fldCharType="end"/>
          </w:r>
        </w:p>
        <w:p>
          <w:pPr>
            <w:rPr>
              <w:rFonts w:ascii="Arial" w:hAnsi="Arial" w:cs="Arial"/>
              <w:sz w:val="24"/>
              <w:szCs w:val="24"/>
            </w:rPr>
          </w:pPr>
          <w:r>
            <w:rPr>
              <w:rFonts w:ascii="Arial" w:hAnsi="Arial" w:cs="Arial"/>
              <w:bCs/>
              <w:szCs w:val="24"/>
            </w:rPr>
            <w:fldChar w:fldCharType="end"/>
          </w:r>
        </w:p>
      </w:sdtContent>
    </w:sdt>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pStyle w:val="2"/>
        <w:spacing w:line="480" w:lineRule="auto"/>
        <w:jc w:val="both"/>
        <w:rPr>
          <w:rFonts w:ascii="Arial" w:hAnsi="Arial" w:cs="Arial"/>
          <w:b/>
          <w:color w:val="auto"/>
          <w:sz w:val="28"/>
          <w:szCs w:val="28"/>
        </w:rPr>
      </w:pPr>
      <w:bookmarkStart w:id="1" w:name="_Toc8579"/>
      <w:r>
        <w:rPr>
          <w:rFonts w:hint="eastAsia" w:ascii="Arial" w:hAnsi="Arial" w:cs="Arial"/>
          <w:b/>
          <w:color w:val="auto"/>
          <w:sz w:val="28"/>
          <w:szCs w:val="28"/>
          <w:lang w:val="en-US" w:eastAsia="zh-CN"/>
        </w:rPr>
        <w:t xml:space="preserve">1 </w:t>
      </w:r>
      <w:r>
        <w:rPr>
          <w:rFonts w:ascii="Arial" w:hAnsi="Arial" w:cs="Arial"/>
          <w:b/>
          <w:color w:val="auto"/>
          <w:sz w:val="28"/>
          <w:szCs w:val="28"/>
        </w:rPr>
        <w:t xml:space="preserve"> Introduction</w:t>
      </w:r>
      <w:bookmarkEnd w:id="1"/>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In the ever-changing international business landscape, the philosophical effect of influential thinkers like Kishore Mahbubani has become more applicable. Kishore Mahbubani, a distinguished academician and diplomat, has played a significant part in enlightening people's acknowledgement of the variations between Asian and Western business practices (Mahbubani, 2010). The thinker's insights that revolve around a deep understanding of cultural nuances have offered a structure for acknowledging the exceptional landscape that firms navigate across various countries. </w:t>
      </w:r>
    </w:p>
    <w:p>
      <w:pPr>
        <w:spacing w:after="0" w:line="480" w:lineRule="auto"/>
        <w:rPr>
          <w:rFonts w:ascii="Arial" w:hAnsi="Arial" w:cs="Arial"/>
          <w:sz w:val="24"/>
          <w:szCs w:val="24"/>
        </w:rPr>
      </w:pPr>
    </w:p>
    <w:p>
      <w:pPr>
        <w:spacing w:after="0" w:line="480" w:lineRule="auto"/>
        <w:rPr>
          <w:rFonts w:ascii="Arial" w:hAnsi="Arial" w:cs="Arial"/>
          <w:sz w:val="24"/>
          <w:szCs w:val="24"/>
        </w:rPr>
      </w:pPr>
    </w:p>
    <w:p>
      <w:pPr>
        <w:pStyle w:val="3"/>
        <w:spacing w:line="480" w:lineRule="auto"/>
        <w:ind w:firstLine="241" w:firstLineChars="100"/>
        <w:rPr>
          <w:rFonts w:ascii="Arial" w:hAnsi="Arial" w:cs="Arial"/>
          <w:sz w:val="24"/>
          <w:szCs w:val="24"/>
        </w:rPr>
      </w:pPr>
      <w:bookmarkStart w:id="2" w:name="_Toc1098"/>
      <w:r>
        <w:rPr>
          <w:rFonts w:hint="eastAsia" w:ascii="Arial" w:hAnsi="Arial" w:eastAsia="宋体" w:cs="Arial"/>
          <w:sz w:val="24"/>
          <w:szCs w:val="24"/>
          <w:lang w:val="en-US" w:eastAsia="zh-CN"/>
        </w:rPr>
        <w:t xml:space="preserve">1.1 </w:t>
      </w:r>
      <w:r>
        <w:rPr>
          <w:rFonts w:ascii="Arial" w:hAnsi="Arial" w:cs="Arial"/>
          <w:sz w:val="24"/>
          <w:szCs w:val="24"/>
        </w:rPr>
        <w:t>Background</w:t>
      </w:r>
      <w:bookmarkEnd w:id="2"/>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In his book "The New Asian Hemisphere: The Irresistible Shift of Global Power to the East," Mahbubani provided more information on the dissimilar paradigms that outline Asian and Western approaches to business (Mahbubani, 2010). However, exploring historical and cultural contexts has revealed complicated aspects of traditions, norms, and values underpinning business operations conducted in Europe, Japan, and China (Mahbubani, 2010). By focusing on Mahbubani’s and other scholars' works, this essay proposes to analyse the various dimensions of business ethics, surpassing geographical boundaries (Chan &amp; Cheung, 2019). Besides, this report will encompass the philosophers’ notions on how cultural relativism affects ethical considerations and decision-making processes in the corporate world (Kishore Mahbubani, 2010). By evaluating these fundamental principles, the essay proposes to offer a comprehensive acknowledgement of the ethical tensions that originate in the international business environment.  </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pStyle w:val="3"/>
        <w:spacing w:line="480" w:lineRule="auto"/>
        <w:ind w:firstLine="241" w:firstLineChars="100"/>
        <w:rPr>
          <w:rFonts w:ascii="Arial" w:hAnsi="Arial" w:cs="Arial"/>
          <w:sz w:val="24"/>
          <w:szCs w:val="24"/>
        </w:rPr>
      </w:pPr>
      <w:bookmarkStart w:id="3" w:name="_Toc13364"/>
      <w:r>
        <w:rPr>
          <w:rFonts w:hint="eastAsia" w:ascii="Arial" w:hAnsi="Arial" w:eastAsia="宋体" w:cs="Arial"/>
          <w:sz w:val="24"/>
          <w:szCs w:val="24"/>
          <w:lang w:val="en-US" w:eastAsia="zh-CN"/>
        </w:rPr>
        <w:t xml:space="preserve">1.2 </w:t>
      </w:r>
      <w:r>
        <w:rPr>
          <w:rFonts w:ascii="Arial" w:hAnsi="Arial" w:cs="Arial"/>
          <w:sz w:val="24"/>
          <w:szCs w:val="24"/>
        </w:rPr>
        <w:t>Objectives</w:t>
      </w:r>
      <w:bookmarkEnd w:id="3"/>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The objective of the report is to scrutinise the ethical issues emerging from the interplay of social, political, and cultural elements in Asian and Western business practices. Second, the report will analyse the wider effect of these aspects on the international business environment. However, through an in-depth evaluation of case studies and real-world scenarios, the essay outlines the primary values that form the heart of these ethical dilemmas. Highlighting the importance of social considerations, political dynamics, and cultural constraints, the essay proposes to enable a nuanced understanding of the issues faced by companies operating in an international environment. By discovering these objectives, the essay's purpose is to contribute to a wider understanding of the intersection of global business practices and ethics, enhancing a deeper acknowledgement of the particulars involved in operating in diverse cultural environments.  </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pStyle w:val="2"/>
        <w:spacing w:line="480" w:lineRule="auto"/>
        <w:jc w:val="both"/>
        <w:rPr>
          <w:rFonts w:ascii="Arial" w:hAnsi="Arial" w:cs="Arial"/>
          <w:b/>
          <w:color w:val="auto"/>
          <w:sz w:val="28"/>
          <w:szCs w:val="28"/>
        </w:rPr>
      </w:pPr>
      <w:bookmarkStart w:id="4" w:name="_Toc5094"/>
      <w:r>
        <w:rPr>
          <w:rFonts w:hint="eastAsia" w:ascii="Arial" w:hAnsi="Arial" w:cs="Arial"/>
          <w:b/>
          <w:color w:val="auto"/>
          <w:sz w:val="28"/>
          <w:szCs w:val="28"/>
          <w:lang w:val="en-US" w:eastAsia="zh-CN"/>
        </w:rPr>
        <w:t xml:space="preserve">2 </w:t>
      </w:r>
      <w:r>
        <w:rPr>
          <w:rFonts w:ascii="Arial" w:hAnsi="Arial" w:cs="Arial"/>
          <w:b/>
          <w:color w:val="auto"/>
          <w:sz w:val="28"/>
          <w:szCs w:val="28"/>
        </w:rPr>
        <w:t>Main Body</w:t>
      </w:r>
      <w:bookmarkEnd w:id="4"/>
    </w:p>
    <w:p>
      <w:pPr>
        <w:pStyle w:val="3"/>
        <w:spacing w:line="480" w:lineRule="auto"/>
        <w:ind w:firstLine="241" w:firstLineChars="100"/>
        <w:rPr>
          <w:rFonts w:ascii="Arial" w:hAnsi="Arial" w:cs="Arial"/>
          <w:sz w:val="24"/>
          <w:szCs w:val="24"/>
        </w:rPr>
      </w:pPr>
      <w:bookmarkStart w:id="5" w:name="_Toc32241"/>
      <w:r>
        <w:rPr>
          <w:rFonts w:hint="eastAsia" w:ascii="Arial" w:hAnsi="Arial" w:eastAsia="宋体" w:cs="Arial"/>
          <w:sz w:val="24"/>
          <w:szCs w:val="24"/>
          <w:lang w:val="en-US" w:eastAsia="zh-CN"/>
        </w:rPr>
        <w:t xml:space="preserve">2.1 </w:t>
      </w:r>
      <w:r>
        <w:rPr>
          <w:rFonts w:ascii="Arial" w:hAnsi="Arial" w:cs="Arial"/>
          <w:sz w:val="24"/>
          <w:szCs w:val="24"/>
        </w:rPr>
        <w:t>Asian vs. Western Business Practices</w:t>
      </w:r>
      <w:bookmarkEnd w:id="5"/>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The disparities in business practices between Asian and Western countries, particularly Europe, Japan, and China, reflect the complex interplay of societal, historical, and cultural impacts (Mahbubani, 2010). Acknowledging these variations is essential for companies operating on an international scale. The reason is that ethical norms primarily shape organisational conduct and decision-making processes (Editorial Team, 2023). With its rapid economic development and rich history, China showcases unique business practices that align with Confucian principles (Absolute Internship, 2018). Reciprocity, hierarchy, and harmony are primary tenets that anchor Chinese business relations (Santa Clara University, 2022). For example, the focus on upholding interpersonal relationships or “guanxi”, underscores the importance of personal connection and trust in business transactions (Lamarco, 2018). Often, Chinese ethical considerations go beyond legal compliance, covering relational aspects and cultural nuances.  </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However, in Japan, the cultural aspects of business ethics are mended with elements like “keiretsu” (business groups) and “wa" (harmony). Japanese businesses prioritise long-term interactions with shareholders, enabling a sense of shared responsibility (Editorial Team, 2023). They emphasise on lifetime employment that reflects on the ethical commitment of firms towards their workers. Nevertheless, this practice may conflict with Western notions of individual growth and flexibility. </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On the other hand, Europe consists of various countries with distinct business practices. However, the effect of Western philosophical norms is the primary thread. Besides, the business ethics of Europe usually abide by the principles of corporate social responsibility, human rights, and individualism (Santa Clara University, 2022). For example, the Scandinavian nations have embraced "stakeholder capitalism," prioritising various shareholders' and stakeholders' interests. This action differs from the Western individualistic tactics where shareholders' interest was considered.</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The variations in Asian and Western ethical norms are proven in negotiation styles. Besides, while Western negotiations are usually explicit and direct, Asian cultures, like Japan and China, usually favour nuanced expressions and indirect communication. Acknowledging these different approaches is essential in outlining successful cross-cultural business interactions (Editorial Team, 2023). These differences in ethical norms affect business operations in different ways. For instance, the procedure towards gift-giving can fluctuate fundamentally. In Japan and China, giving gifts, building connections, and accentuating correspondence are standard standards (Article Group, 2023). In any case, in Western societies like Europe, there are stricter regulations encompassing giving gifts to limit possible irreconcilable situations.</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Furthermore, face-saving, normal in different Asian societies, has a critical impact in business connections. Keeping a positive picture and it is principal to keep away from public humiliation. In actuality, Western societies might focus on receptiveness and straightforwardness regardless of whether it includes freely tolerating botches (Article Group, 2023). Information from business reviews and culturally diverse examinations further separate these perceptions. For instance, the Hofstede Social Aspects rule offers bits of knowledge into social varieties like vulnerability evasion, independence versus community, and power distance (Posner, 2019). Assessing such information helps associations in fitting their strategies to rotate around nearby moral requests, empowering positive relationships with partners and guaranteeing a practical activity (Swientozielskyj, 2020).</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p>
    <w:p>
      <w:pPr>
        <w:pStyle w:val="3"/>
        <w:spacing w:line="480" w:lineRule="auto"/>
        <w:ind w:firstLine="240" w:firstLineChars="100"/>
        <w:rPr>
          <w:rFonts w:ascii="Arial" w:hAnsi="Arial" w:eastAsia="Times New Roman" w:cs="Arial"/>
          <w:sz w:val="24"/>
          <w:szCs w:val="24"/>
        </w:rPr>
      </w:pPr>
      <w:bookmarkStart w:id="6" w:name="_Toc24089"/>
      <w:r>
        <w:rPr>
          <w:rFonts w:hint="eastAsia" w:ascii="Arial" w:hAnsi="Arial" w:eastAsia="Times New Roman" w:cs="Arial"/>
          <w:sz w:val="24"/>
          <w:szCs w:val="24"/>
          <w:lang w:val="en-US" w:eastAsia="zh-CN"/>
        </w:rPr>
        <w:t xml:space="preserve">2.2 </w:t>
      </w:r>
      <w:r>
        <w:rPr>
          <w:rFonts w:ascii="Arial" w:hAnsi="Arial" w:eastAsia="Times New Roman" w:cs="Arial"/>
          <w:sz w:val="24"/>
          <w:szCs w:val="24"/>
        </w:rPr>
        <w:t>Social, Political, and Cultural Constraints in International Business</w:t>
      </w:r>
      <w:bookmarkEnd w:id="6"/>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The multi-layered interaction of social, political, and social conditions shape the functional climate of business. Exploring and recognizing these requirements are fundamental for firms intending to seek after globalization (St Nick Clara College, 2022). This part will investigate how social, political, and social variables oblige and shape strategic policies, utilizing pertinent information, models, and worldwide correlations.</w:t>
      </w:r>
    </w:p>
    <w:p>
      <w:pPr>
        <w:keepNext w:val="0"/>
        <w:keepLines w:val="0"/>
        <w:pageBreakBefore w:val="0"/>
        <w:kinsoku/>
        <w:wordWrap/>
        <w:overflowPunct/>
        <w:topLinePunct w:val="0"/>
        <w:autoSpaceDE/>
        <w:autoSpaceDN/>
        <w:bidi w:val="0"/>
        <w:adjustRightInd/>
        <w:snapToGrid/>
        <w:spacing w:line="480" w:lineRule="auto"/>
        <w:jc w:val="both"/>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 xml:space="preserve">Cultural </w:t>
      </w:r>
      <w:r>
        <w:rPr>
          <w:rFonts w:hint="eastAsia" w:ascii="Arial" w:hAnsi="Arial" w:cs="Arial" w:eastAsiaTheme="minorEastAsia"/>
          <w:b w:val="0"/>
          <w:bCs w:val="0"/>
          <w:kern w:val="2"/>
          <w:sz w:val="24"/>
          <w:szCs w:val="24"/>
          <w:lang w:val="en-US" w:eastAsia="zh-CN" w:bidi="ar-SA"/>
        </w:rPr>
        <w:t xml:space="preserve">Constraints </w:t>
      </w:r>
    </w:p>
    <w:p>
      <w:pPr>
        <w:keepNext w:val="0"/>
        <w:keepLines w:val="0"/>
        <w:pageBreakBefore w:val="0"/>
        <w:widowControl w:val="0"/>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color w:val="auto"/>
          <w:kern w:val="2"/>
          <w:sz w:val="24"/>
          <w:szCs w:val="24"/>
          <w:lang w:val="en-US" w:eastAsia="zh-CN" w:bidi="ar-SA"/>
        </w:rPr>
      </w:pPr>
      <w:r>
        <w:rPr>
          <w:rFonts w:hint="eastAsia" w:ascii="Arial" w:hAnsi="Arial" w:cs="Arial" w:eastAsiaTheme="minorEastAsia"/>
          <w:b w:val="0"/>
          <w:bCs w:val="0"/>
          <w:color w:val="auto"/>
          <w:kern w:val="2"/>
          <w:sz w:val="24"/>
          <w:szCs w:val="24"/>
          <w:lang w:val="en-US" w:eastAsia="zh-CN" w:bidi="ar-SA"/>
        </w:rPr>
        <w:t>Social contrasts significantly influence business exercises, including ways to deal with direction, mentalities towards order, and correspondence styles (Multiplier, 2023). For instance, high-setting societies, normally depicted in Asian countries like China and Japan, underline keeping up with agreeable connections and understood correspondence (Buckley &amp; Ghauri, 2021). In actuality, low-setting societies depicted in different Western nations center around express correspondence (Hofstede, 2023). In the examination directed by Buckley &amp; Ghauri (2021), it was found that high-setting societies generally have longer conversations and gatherings, with certain importance established in the discussion. Recognizing these social correspondence styles is fundamental for multifaceted connections (Lerner &amp; Schoar, 2018).</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color w:val="auto"/>
          <w:kern w:val="2"/>
          <w:sz w:val="24"/>
          <w:szCs w:val="24"/>
          <w:lang w:val="en-US" w:eastAsia="zh-CN" w:bidi="ar-SA"/>
        </w:rPr>
      </w:pP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color w:val="auto"/>
          <w:kern w:val="2"/>
          <w:sz w:val="24"/>
          <w:szCs w:val="24"/>
          <w:lang w:val="en-US" w:eastAsia="zh-CN" w:bidi="ar-SA"/>
        </w:rPr>
      </w:pPr>
      <w:r>
        <w:rPr>
          <w:rFonts w:hint="eastAsia" w:ascii="Arial" w:hAnsi="Arial" w:cs="Arial" w:eastAsiaTheme="minorEastAsia"/>
          <w:b w:val="0"/>
          <w:bCs w:val="0"/>
          <w:color w:val="auto"/>
          <w:kern w:val="2"/>
          <w:sz w:val="24"/>
          <w:szCs w:val="24"/>
          <w:lang w:val="en-US" w:eastAsia="zh-CN" w:bidi="ar-SA"/>
        </w:rPr>
        <w:t>Political Constraints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color w:val="auto"/>
          <w:kern w:val="2"/>
          <w:sz w:val="24"/>
          <w:szCs w:val="24"/>
          <w:lang w:val="en-US" w:eastAsia="zh-CN" w:bidi="ar-SA"/>
        </w:rPr>
      </w:pPr>
      <w:r>
        <w:rPr>
          <w:rFonts w:hint="eastAsia" w:ascii="Arial" w:hAnsi="Arial" w:cs="Arial" w:eastAsiaTheme="minorEastAsia"/>
          <w:b w:val="0"/>
          <w:bCs w:val="0"/>
          <w:color w:val="auto"/>
          <w:kern w:val="2"/>
          <w:sz w:val="24"/>
          <w:szCs w:val="24"/>
          <w:lang w:val="en-US" w:eastAsia="zh-CN" w:bidi="ar-SA"/>
        </w:rPr>
        <w:t>The world of politics can essentially influence the public authority intercessions and administrative structure organizations should take on. Contrasts in government designs, dependability, and political philosophies add to different limitations for global organizations (Crane &amp; Matten, 2016). Companies operating in developing countries often face regulatory uncertainties and political instability issues. For example, alternation in government policies in different African nations has posed problems for foreign investors, needing them to have strategic risk management and adaptability (PESTLE Analysis Contributor, 2018).</w:t>
      </w:r>
    </w:p>
    <w:p>
      <w:pPr>
        <w:keepNext w:val="0"/>
        <w:keepLines w:val="0"/>
        <w:pageBreakBefore w:val="0"/>
        <w:kinsoku/>
        <w:wordWrap/>
        <w:overflowPunct/>
        <w:topLinePunct w:val="0"/>
        <w:autoSpaceDE/>
        <w:autoSpaceDN/>
        <w:bidi w:val="0"/>
        <w:adjustRightInd/>
        <w:snapToGrid/>
        <w:spacing w:line="480" w:lineRule="auto"/>
        <w:jc w:val="both"/>
        <w:textAlignment w:val="auto"/>
        <w:rPr>
          <w:rFonts w:hint="eastAsia"/>
          <w:lang w:val="en-US" w:eastAsia="zh-CN"/>
        </w:rPr>
      </w:pP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Arial" w:hAnsi="Arial" w:cs="Arial" w:eastAsiaTheme="minorEastAsia"/>
          <w:b w:val="0"/>
          <w:bCs w:val="0"/>
          <w:color w:val="auto"/>
          <w:kern w:val="2"/>
          <w:sz w:val="24"/>
          <w:szCs w:val="24"/>
          <w:lang w:val="en-US" w:eastAsia="en-US" w:bidi="ar-SA"/>
        </w:rPr>
      </w:pPr>
      <w:r>
        <w:rPr>
          <w:rFonts w:hint="eastAsia" w:ascii="Arial" w:hAnsi="Arial" w:cs="Arial" w:eastAsiaTheme="minorEastAsia"/>
          <w:b w:val="0"/>
          <w:bCs w:val="0"/>
          <w:color w:val="auto"/>
          <w:kern w:val="2"/>
          <w:sz w:val="24"/>
          <w:szCs w:val="24"/>
          <w:lang w:val="en-US" w:eastAsia="en-US" w:bidi="ar-SA"/>
        </w:rPr>
        <w:t>Social Constraints</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ascii="Arial" w:hAnsi="Arial" w:cs="Arial"/>
          <w:sz w:val="24"/>
          <w:szCs w:val="24"/>
        </w:rPr>
      </w:pPr>
      <w:r>
        <w:rPr>
          <w:rFonts w:ascii="Arial" w:hAnsi="Arial" w:cs="Arial"/>
          <w:sz w:val="24"/>
          <w:szCs w:val="24"/>
        </w:rPr>
        <w:t>Social factors, like changing consumer preferences, demographics, and societal values, shape the supply and demand for services and products (Teagarden et al., 2020). Companies must align their tactics with social dynamics to remain acceptable and relevant to various audiences (Nancholas, 2023). The rise in focus on corporate social responsibility outlines the societal shift towards sustainable and ethical business practices (Crane &amp; Matten, 2016). Firms like Coca-Cola, through ensuring environmental sustainability, have attained the customer's expectations and built a loyal consumer base revolving around their values.</w:t>
      </w:r>
    </w:p>
    <w:p>
      <w:pPr>
        <w:spacing w:after="0" w:line="480" w:lineRule="auto"/>
        <w:rPr>
          <w:rFonts w:ascii="Arial" w:hAnsi="Arial" w:cs="Arial"/>
          <w:sz w:val="24"/>
          <w:szCs w:val="24"/>
        </w:rPr>
      </w:pPr>
    </w:p>
    <w:p>
      <w:pPr>
        <w:pStyle w:val="3"/>
        <w:spacing w:line="480" w:lineRule="auto"/>
        <w:ind w:firstLine="240" w:firstLineChars="100"/>
        <w:rPr>
          <w:rFonts w:ascii="Arial" w:hAnsi="Arial" w:eastAsia="Times New Roman" w:cs="Arial"/>
          <w:sz w:val="24"/>
          <w:szCs w:val="24"/>
        </w:rPr>
      </w:pPr>
      <w:bookmarkStart w:id="7" w:name="_Toc30137"/>
      <w:r>
        <w:rPr>
          <w:rFonts w:hint="eastAsia" w:ascii="Arial" w:hAnsi="Arial" w:eastAsia="Times New Roman" w:cs="Arial"/>
          <w:sz w:val="24"/>
          <w:szCs w:val="24"/>
          <w:lang w:val="en-US" w:eastAsia="zh-CN"/>
        </w:rPr>
        <w:t xml:space="preserve">2.3 </w:t>
      </w:r>
      <w:r>
        <w:rPr>
          <w:rFonts w:ascii="Arial" w:hAnsi="Arial" w:eastAsia="Times New Roman" w:cs="Arial"/>
          <w:sz w:val="24"/>
          <w:szCs w:val="24"/>
        </w:rPr>
        <w:t>International Comparisons</w:t>
      </w:r>
      <w:bookmarkEnd w:id="7"/>
    </w:p>
    <w:p>
      <w:pPr>
        <w:keepNext w:val="0"/>
        <w:keepLines w:val="0"/>
        <w:pageBreakBefore w:val="0"/>
        <w:kinsoku/>
        <w:wordWrap/>
        <w:overflowPunct/>
        <w:topLinePunct w:val="0"/>
        <w:autoSpaceDE/>
        <w:autoSpaceDN/>
        <w:bidi w:val="0"/>
        <w:adjustRightInd/>
        <w:snapToGrid/>
        <w:spacing w:after="0" w:line="480" w:lineRule="auto"/>
        <w:jc w:val="both"/>
        <w:textAlignment w:val="auto"/>
        <w:rPr>
          <w:rFonts w:ascii="Arial" w:hAnsi="Arial" w:cs="Arial"/>
          <w:sz w:val="24"/>
          <w:szCs w:val="24"/>
        </w:rPr>
      </w:pPr>
      <w:r>
        <w:rPr>
          <w:rFonts w:ascii="Arial" w:hAnsi="Arial" w:cs="Arial"/>
          <w:sz w:val="24"/>
          <w:szCs w:val="24"/>
        </w:rPr>
        <w:t>Comparisons of global and cross-cultural studies offer essential insights into the cultural demands and diverse sensitivities that companies encounter.</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ascii="Arial" w:hAnsi="Arial" w:cs="Arial"/>
          <w:sz w:val="24"/>
          <w:szCs w:val="24"/>
        </w:rPr>
      </w:pP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Different cultures have different values, beliefs and behavioral norms. Through global and cross -cultural research, the company can more deeply understand the cultural needs of consumers in markets in various countries. This helps to adjust its products, services and marketing strategies to better cater to the local cultural background. </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rPr>
      </w:pPr>
      <w:r>
        <w:rPr>
          <w:rFonts w:hint="default" w:ascii="Arial" w:hAnsi="Arial" w:cs="Arial"/>
          <w:sz w:val="24"/>
          <w:szCs w:val="24"/>
          <w:lang w:val="en-US" w:eastAsia="zh-CN"/>
        </w:rPr>
        <w:t>Through in -depth understanding of the similarity and differences between different cultures, the company can make more intelligent formulation of international strategies, avoid cultural conflicts, and improve its competitiveness in the global market. This also helps to establish a deeper relationship and increase the trust of customers and stakeholders.</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ascii="Arial" w:hAnsi="Arial" w:cs="Arial"/>
          <w:sz w:val="24"/>
          <w:szCs w:val="24"/>
        </w:rPr>
      </w:pPr>
    </w:p>
    <w:p>
      <w:pPr>
        <w:pStyle w:val="3"/>
        <w:spacing w:line="480" w:lineRule="auto"/>
        <w:ind w:firstLine="240" w:firstLineChars="100"/>
        <w:rPr>
          <w:rFonts w:ascii="Arial" w:hAnsi="Arial" w:eastAsia="Times New Roman" w:cs="Arial"/>
          <w:sz w:val="24"/>
          <w:szCs w:val="24"/>
        </w:rPr>
      </w:pPr>
      <w:bookmarkStart w:id="8" w:name="_Toc3522"/>
      <w:r>
        <w:rPr>
          <w:rFonts w:hint="eastAsia" w:ascii="Arial" w:hAnsi="Arial" w:eastAsia="Times New Roman" w:cs="Arial"/>
          <w:sz w:val="24"/>
          <w:szCs w:val="24"/>
          <w:lang w:val="en-US" w:eastAsia="zh-CN"/>
        </w:rPr>
        <w:t xml:space="preserve">2.4 </w:t>
      </w:r>
      <w:r>
        <w:rPr>
          <w:rFonts w:ascii="Arial" w:hAnsi="Arial" w:eastAsia="Times New Roman" w:cs="Arial"/>
          <w:sz w:val="24"/>
          <w:szCs w:val="24"/>
        </w:rPr>
        <w:t>Hofstede Cultural Dimensions</w:t>
      </w:r>
      <w:bookmarkEnd w:id="8"/>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theory provides a quantitative framework for acknowledging cultural variations. For example, comparing collectivistic and individualistic cultures can help in business strategies. Countries like Japan value a collectivist orientation and emphasise consensus and group harmony, affecting the process of decision-making within a company (Nickerson, 2023). Companies can tailor their tactics to revolve around local cultural demands by critically evaluating such facts and figures. For instance, publicizing efforts might be expected to adjust to line up with social requests, keeping away from accidental contentions and guaranteeing social awareness.</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outline, the mind boggling exchange of social, political, and social requirements altogether influences the business climate on a worldwide scale. Understanding the adjusting systems and these limitations is basic for associations searching for manageable progress in various business sectors (Pittsburgh, 2023). Through worldwide correlations, organizations can have further affirmation of social necessities and responsive qualities, empowering a more versatile and comprehensive way to deal with global business tasks.</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p>
    <w:p>
      <w:pPr>
        <w:pStyle w:val="3"/>
        <w:bidi w:val="0"/>
        <w:rPr>
          <w:rFonts w:hint="default"/>
          <w:lang w:val="en-US" w:eastAsia="zh-CN"/>
        </w:rPr>
      </w:pPr>
    </w:p>
    <w:p>
      <w:pPr>
        <w:pStyle w:val="3"/>
        <w:spacing w:line="480" w:lineRule="auto"/>
        <w:ind w:firstLine="240" w:firstLineChars="100"/>
        <w:rPr>
          <w:rFonts w:ascii="Arial" w:hAnsi="Arial" w:eastAsia="Times New Roman" w:cs="Arial"/>
          <w:sz w:val="24"/>
          <w:szCs w:val="24"/>
        </w:rPr>
      </w:pPr>
      <w:bookmarkStart w:id="9" w:name="_Toc21342"/>
      <w:r>
        <w:rPr>
          <w:rFonts w:hint="eastAsia" w:ascii="Arial" w:hAnsi="Arial" w:eastAsia="Times New Roman" w:cs="Arial"/>
          <w:sz w:val="24"/>
          <w:szCs w:val="24"/>
          <w:lang w:val="en-US" w:eastAsia="zh-CN"/>
        </w:rPr>
        <w:t xml:space="preserve">2.5 </w:t>
      </w:r>
      <w:r>
        <w:rPr>
          <w:rFonts w:ascii="Arial" w:hAnsi="Arial" w:eastAsia="Times New Roman" w:cs="Arial"/>
          <w:sz w:val="24"/>
          <w:szCs w:val="24"/>
        </w:rPr>
        <w:t>Moral Research in International Business</w:t>
      </w:r>
      <w:bookmarkEnd w:id="9"/>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Moral strain in worldwide business starts from values imbued in different political, social, and social settings. Recognizing the essential qualities at play is fundamental for grasping the starting points of these strains (Sanchez-Runde et al., 2023). In this part, the report will zero in on assessing the qualities coming about because of moral strains, propose expected arrangements, and investigate their causes.</w:t>
      </w:r>
    </w:p>
    <w:p>
      <w:pPr>
        <w:pStyle w:val="4"/>
        <w:bidi w:val="0"/>
        <w:ind w:firstLine="480" w:firstLineChars="200"/>
        <w:rPr>
          <w:rFonts w:ascii="Arial" w:hAnsi="Arial" w:eastAsia="Times New Roman" w:cs="Arial"/>
          <w:b/>
          <w:bCs/>
          <w:color w:val="auto"/>
          <w:sz w:val="24"/>
          <w:szCs w:val="24"/>
          <w:lang w:val="en-US" w:eastAsia="en-US" w:bidi="ar-SA"/>
        </w:rPr>
      </w:pPr>
      <w:bookmarkStart w:id="10" w:name="_Toc6672"/>
      <w:r>
        <w:rPr>
          <w:rFonts w:hint="eastAsia" w:ascii="Arial" w:hAnsi="Arial" w:eastAsia="Times New Roman" w:cs="Arial"/>
          <w:b/>
          <w:bCs/>
          <w:color w:val="auto"/>
          <w:sz w:val="24"/>
          <w:szCs w:val="24"/>
          <w:lang w:val="en-US" w:eastAsia="zh-CN" w:bidi="ar-SA"/>
        </w:rPr>
        <w:t xml:space="preserve">2.5.1 </w:t>
      </w:r>
      <w:r>
        <w:rPr>
          <w:rFonts w:ascii="Arial" w:hAnsi="Arial" w:eastAsia="Times New Roman" w:cs="Arial"/>
          <w:b/>
          <w:bCs/>
          <w:color w:val="auto"/>
          <w:sz w:val="24"/>
          <w:szCs w:val="24"/>
          <w:lang w:val="en-US" w:eastAsia="en-US" w:bidi="ar-SA"/>
        </w:rPr>
        <w:t>Evaluating Values Resulting in Ethical Tensions</w:t>
      </w:r>
      <w:bookmarkEnd w:id="10"/>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contention among autonomy and local area is one of the principal attributes impacting moral tensions. In individualistic social orders, in the same way as other Western social orders, the accentuation on individual accomplishment and autonomy can sometimes conflict with the collectivist qualities normal in nations like China and Japan, where bunch concordance and dedication are esteemed regardless of anything else (Sanchez-Runde et al., 2023). In Japan, the worth of reliability to the association in some cases goes against Western thoughts of individual accomplishment in the work environment. Representatives might focus on the association's general execution over their inclinations, which can prompt moral strain when these characteristics are available.</w:t>
      </w: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after="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changing accentuation on transient increments against long haul the board is another significant variable. A few civilisations focus on quick outcomes, while others focus on improvement and social inheritance conservation. In the ongoing Western professional workplace, especially in the US, there are continuous open doors for development in producing quarterly benefit gauges (Sanchez-Runde et al., 2023). This transient center point might prompt choices that penance long haul reasonability for guaranteed monetary profits, making moral strain.</w:t>
      </w:r>
    </w:p>
    <w:p>
      <w:pPr>
        <w:bidi w:val="0"/>
        <w:rPr>
          <w:rFonts w:hint="default"/>
          <w:lang w:val="en-US" w:eastAsia="zh-CN"/>
        </w:rPr>
      </w:pPr>
    </w:p>
    <w:p>
      <w:pPr>
        <w:pStyle w:val="4"/>
        <w:spacing w:line="480" w:lineRule="auto"/>
        <w:ind w:firstLine="480" w:firstLineChars="200"/>
        <w:rPr>
          <w:rFonts w:ascii="Arial" w:hAnsi="Arial" w:cs="Arial" w:eastAsiaTheme="minorHAnsi"/>
          <w:color w:val="auto"/>
        </w:rPr>
      </w:pPr>
      <w:bookmarkStart w:id="11" w:name="_Toc32087"/>
      <w:r>
        <w:rPr>
          <w:rFonts w:hint="eastAsia" w:ascii="Arial" w:hAnsi="Arial" w:cs="Arial"/>
          <w:b/>
          <w:color w:val="auto"/>
          <w:lang w:val="en-US" w:eastAsia="zh-CN"/>
        </w:rPr>
        <w:t xml:space="preserve">2.5.2 </w:t>
      </w:r>
      <w:r>
        <w:rPr>
          <w:rFonts w:ascii="Arial" w:hAnsi="Arial" w:cs="Arial"/>
          <w:b/>
          <w:color w:val="auto"/>
        </w:rPr>
        <w:t>Causes of Ethical Tensions</w:t>
      </w:r>
      <w:bookmarkEnd w:id="11"/>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Arial" w:hAnsi="Arial" w:cs="Arial"/>
          <w:sz w:val="24"/>
          <w:szCs w:val="24"/>
        </w:rPr>
      </w:pPr>
      <w:r>
        <w:rPr>
          <w:rFonts w:hint="default" w:ascii="Arial" w:hAnsi="Arial" w:cs="Arial" w:eastAsiaTheme="minorHAnsi"/>
          <w:color w:val="auto"/>
          <w:sz w:val="24"/>
          <w:szCs w:val="24"/>
          <w:lang w:val="en-US" w:eastAsia="zh-CN" w:bidi="ar-SA"/>
        </w:rPr>
        <w:t>Global production network intricacies, different administrative conditions, and social errors are a portion of the reasons for moral strain. To begin with, moral contrasts across gatherings can prompt mix-ups and clashes. For example, the worth put on "face" in Asian nations, where an individual's standing is significant, may not line up with the accentuation on receptiveness and trustworthiness in Western social orders (New et al., 2020). Various preparation drives can advance common regard and decrease the chance of moral tension by helping representatives in understanding and exploring social contrasts. Second, moral difficulties emerge from varieties in public regulatory frameworks. What is viewed as satisfactory in one spot might be considered exploitative or even unlawful in another. Officially connected moral imperatives can be mitigated by embracing a standard arrangement of standards relating to the most noteworthy regulatory norms in every type of effort districts (Sanchez-Runde et al., 2023). Overseeing mind boggling supply chains places generally working associations in moral tough situations (New et al., 2020). Concerns such as child labour, environmental impact, and equitable pay can create tensions between local customs and global moral standards. These issues can be resolved by implementing robust inventory network transparency mechanisms and holding providers accountable to global moral standards</w:t>
      </w:r>
      <w:r>
        <w:rPr>
          <w:rFonts w:ascii="Arial" w:hAnsi="Arial" w:cs="Arial"/>
          <w:sz w:val="24"/>
          <w:szCs w:val="24"/>
        </w:rPr>
        <w:t>.</w:t>
      </w:r>
    </w:p>
    <w:p>
      <w:pPr>
        <w:keepNext w:val="0"/>
        <w:keepLines w:val="0"/>
        <w:pageBreakBefore w:val="0"/>
        <w:widowControl/>
        <w:kinsoku/>
        <w:wordWrap/>
        <w:overflowPunct/>
        <w:topLinePunct w:val="0"/>
        <w:autoSpaceDE/>
        <w:autoSpaceDN/>
        <w:bidi w:val="0"/>
        <w:adjustRightInd/>
        <w:snapToGrid/>
        <w:spacing w:after="0" w:line="480" w:lineRule="auto"/>
        <w:ind w:firstLine="720"/>
        <w:jc w:val="both"/>
        <w:textAlignment w:val="auto"/>
        <w:rPr>
          <w:rFonts w:ascii="Arial" w:hAnsi="Arial" w:cs="Arial"/>
          <w:sz w:val="24"/>
          <w:szCs w:val="24"/>
        </w:rPr>
      </w:pPr>
    </w:p>
    <w:p>
      <w:pPr>
        <w:spacing w:after="0" w:line="480" w:lineRule="auto"/>
        <w:ind w:firstLine="720"/>
        <w:rPr>
          <w:rFonts w:ascii="Arial" w:hAnsi="Arial" w:cs="Arial"/>
          <w:sz w:val="24"/>
          <w:szCs w:val="24"/>
        </w:rPr>
      </w:pPr>
    </w:p>
    <w:p>
      <w:pPr>
        <w:pStyle w:val="4"/>
        <w:spacing w:line="480" w:lineRule="auto"/>
        <w:ind w:firstLine="480" w:firstLineChars="200"/>
        <w:rPr>
          <w:rFonts w:ascii="Arial" w:hAnsi="Arial" w:cs="Arial"/>
          <w:b/>
          <w:color w:val="auto"/>
        </w:rPr>
      </w:pPr>
      <w:bookmarkStart w:id="12" w:name="_Toc29599"/>
      <w:r>
        <w:rPr>
          <w:rFonts w:hint="eastAsia" w:ascii="Arial" w:hAnsi="Arial" w:cs="Arial"/>
          <w:b/>
          <w:color w:val="auto"/>
          <w:lang w:val="en-US" w:eastAsia="zh-CN"/>
        </w:rPr>
        <w:t xml:space="preserve">2.5.3 </w:t>
      </w:r>
      <w:r>
        <w:rPr>
          <w:rFonts w:ascii="Arial" w:hAnsi="Arial" w:cs="Arial"/>
          <w:b/>
          <w:color w:val="auto"/>
        </w:rPr>
        <w:t>Proposing Solutions</w:t>
      </w:r>
      <w:bookmarkEnd w:id="12"/>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r>
        <w:rPr>
          <w:rFonts w:hint="default" w:ascii="Arial" w:hAnsi="Arial" w:cs="Arial" w:eastAsiaTheme="minorHAnsi"/>
          <w:color w:val="auto"/>
          <w:sz w:val="24"/>
          <w:szCs w:val="24"/>
          <w:lang w:val="en-US" w:eastAsia="zh-CN" w:bidi="ar-SA"/>
        </w:rPr>
        <w:t>Ethical leadership training, stakeholder engagement, and implementing an ethical framework are the proposed solutions for ethical tensions. It is important to promote moral initiative at all organisational levels. Pioneers should be equipped with the skills necessary to investigate various moral scenarios and promote a culture of integrity. A focus by the Foundation of Business Morals states that organisations with strong moral leadership typically have superior moral performance (Sanchez-Runde et al., 2023). Engaging with various partners, such as coworkers, clients, and local networks, ensures a comprehensive understanding of moral presumptions. This inclusiveness helps to develop moral approaches that resonate with various points of view. Unilever's Economical Living Arrangement's success is attributed to its partner commitment approach, which modifies commercial goals to account for environmental and cultural concerns. It is essential to establish explicit moral frameworks that consider global diversity. These frameworks ought to direct upright conduct in different social and authoritative settings (Sanchez-Runde et al., 2023). Solid moral frameworks are related with organizations on the Ethisphere Establishment's yearly rundown of the World's Most Moral Associations, showing the advantageous effect on memorability and legitimacy.</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r>
        <w:rPr>
          <w:rFonts w:hint="default" w:ascii="Arial" w:hAnsi="Arial" w:cs="Arial" w:eastAsiaTheme="minorHAnsi"/>
          <w:color w:val="auto"/>
          <w:sz w:val="24"/>
          <w:szCs w:val="24"/>
          <w:lang w:val="en-US" w:eastAsia="zh-CN" w:bidi="ar-SA"/>
        </w:rPr>
        <w:t>Figuring out the complicated social, political, and social settings is fundamental to disentangling the qualities at the focal point of moral requests in worldwide business. By executing powerful frameworks, moral drive, and accomplice responsibility, organizations can encourage a culture of honest conviction and sensibility while diving into the intricacies of worldwide obligations.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p>
    <w:p>
      <w:pPr>
        <w:pStyle w:val="2"/>
        <w:spacing w:line="480" w:lineRule="auto"/>
        <w:jc w:val="both"/>
        <w:rPr>
          <w:rFonts w:ascii="Arial" w:hAnsi="Arial" w:cs="Arial"/>
          <w:b/>
          <w:color w:val="auto"/>
          <w:sz w:val="28"/>
          <w:szCs w:val="28"/>
        </w:rPr>
      </w:pPr>
      <w:bookmarkStart w:id="13" w:name="_Toc7648"/>
      <w:r>
        <w:rPr>
          <w:rFonts w:hint="eastAsia" w:ascii="Arial" w:hAnsi="Arial" w:cs="Arial"/>
          <w:b/>
          <w:color w:val="auto"/>
          <w:sz w:val="28"/>
          <w:szCs w:val="28"/>
          <w:lang w:val="en-US" w:eastAsia="zh-CN"/>
        </w:rPr>
        <w:t xml:space="preserve">3 </w:t>
      </w:r>
      <w:r>
        <w:rPr>
          <w:rFonts w:ascii="Arial" w:hAnsi="Arial" w:cs="Arial"/>
          <w:b/>
          <w:color w:val="auto"/>
          <w:sz w:val="28"/>
          <w:szCs w:val="28"/>
        </w:rPr>
        <w:t>Conclusion</w:t>
      </w:r>
      <w:bookmarkEnd w:id="13"/>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r>
        <w:rPr>
          <w:rFonts w:hint="default" w:ascii="Arial" w:hAnsi="Arial" w:cs="Arial" w:eastAsiaTheme="minorHAnsi"/>
          <w:color w:val="auto"/>
          <w:sz w:val="24"/>
          <w:szCs w:val="24"/>
          <w:lang w:val="en-US" w:eastAsia="zh-CN" w:bidi="ar-SA"/>
        </w:rPr>
        <w:t>It is clear from our top to bottom examination of Western and Asian key strategies, social, political, and social necessities, and the qualities cultivating moral tensions that a nuanced approach is fundamental for outcome in the worldwide corporate area. A perplexing snare of social subtleties arose out of dissecting Western and Asian smart courses of action. Values, for example, participation and freedom, momentary increases versus long haul reasonability, and correspondence techniques have a major bearing on route. These varieties cause to notice the need of social information for creating solid, balanced, composed endeavors.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r>
        <w:rPr>
          <w:rFonts w:hint="default" w:ascii="Arial" w:hAnsi="Arial" w:cs="Arial" w:eastAsiaTheme="minorHAnsi"/>
          <w:color w:val="auto"/>
          <w:sz w:val="24"/>
          <w:szCs w:val="24"/>
          <w:lang w:val="en-US" w:eastAsia="zh-CN" w:bidi="ar-SA"/>
        </w:rPr>
        <w:t xml:space="preserve">An analysis of the requirements imposed by social, political, and environmental contexts clarifies the complex issues that organisations face on a global scale. Upon analysing differences in administration and conforming to cultural norms, it was evident that flexibility and a thorough awareness of contextual elements were crucial. Case studies and global analyses highlighted the key function that moral frameworks are formed by social reflection. Important discoveries show the strong correlation between company success and moral values. Critical factors that emerged were the application of strong moral ideals, partner dedication, and the significance of moral leadership. Experiences led by information illustrated the positive relationship between long-term manageability, ethics, strategic approaches, and brand reputation. For businesses that operate globally, recognising and considering social, political, and other factors is an option and an essential objective. </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color w:val="auto"/>
          <w:sz w:val="24"/>
          <w:szCs w:val="24"/>
          <w:lang w:val="en-US" w:eastAsia="zh-CN" w:bidi="ar-SA"/>
        </w:rPr>
      </w:pPr>
      <w:r>
        <w:rPr>
          <w:rFonts w:hint="default" w:ascii="Arial" w:hAnsi="Arial" w:cs="Arial" w:eastAsiaTheme="minorHAnsi"/>
          <w:color w:val="auto"/>
          <w:sz w:val="24"/>
          <w:szCs w:val="24"/>
          <w:lang w:val="en-US" w:eastAsia="zh-CN" w:bidi="ar-SA"/>
        </w:rPr>
        <w:br w:type="page"/>
      </w:r>
    </w:p>
    <w:p>
      <w:pPr>
        <w:spacing w:after="0" w:line="480" w:lineRule="auto"/>
        <w:ind w:firstLine="720"/>
        <w:rPr>
          <w:rFonts w:ascii="Arial" w:hAnsi="Arial" w:cs="Arial"/>
          <w:sz w:val="28"/>
          <w:szCs w:val="28"/>
        </w:rPr>
      </w:pPr>
    </w:p>
    <w:p>
      <w:pPr>
        <w:pStyle w:val="2"/>
        <w:spacing w:before="0" w:line="480" w:lineRule="auto"/>
        <w:jc w:val="both"/>
        <w:rPr>
          <w:rFonts w:ascii="Arial" w:hAnsi="Arial" w:cs="Arial"/>
          <w:b/>
          <w:color w:val="auto"/>
          <w:sz w:val="28"/>
          <w:szCs w:val="28"/>
        </w:rPr>
      </w:pPr>
      <w:bookmarkStart w:id="14" w:name="_Toc28542"/>
      <w:r>
        <w:rPr>
          <w:rFonts w:hint="eastAsia" w:ascii="Arial" w:hAnsi="Arial" w:cs="Arial"/>
          <w:b/>
          <w:color w:val="auto"/>
          <w:sz w:val="28"/>
          <w:szCs w:val="28"/>
          <w:lang w:val="en-US" w:eastAsia="zh-CN"/>
        </w:rPr>
        <w:t xml:space="preserve">4 </w:t>
      </w:r>
      <w:r>
        <w:rPr>
          <w:rFonts w:ascii="Arial" w:hAnsi="Arial" w:cs="Arial"/>
          <w:b/>
          <w:color w:val="auto"/>
          <w:sz w:val="28"/>
          <w:szCs w:val="28"/>
        </w:rPr>
        <w:t>References</w:t>
      </w:r>
      <w:bookmarkEnd w:id="14"/>
    </w:p>
    <w:p>
      <w:pPr>
        <w:pStyle w:val="10"/>
        <w:spacing w:before="0" w:beforeAutospacing="0" w:after="0" w:afterAutospacing="0" w:line="480" w:lineRule="auto"/>
        <w:ind w:left="720" w:hanging="720"/>
        <w:rPr>
          <w:rFonts w:ascii="Arial" w:hAnsi="Arial" w:cs="Arial"/>
        </w:rPr>
      </w:pPr>
      <w:r>
        <w:rPr>
          <w:rFonts w:ascii="Arial" w:hAnsi="Arial" w:cs="Arial"/>
        </w:rPr>
        <w:t xml:space="preserve">Absolute Internship. (2018, February 27). </w:t>
      </w:r>
      <w:r>
        <w:rPr>
          <w:rFonts w:ascii="Arial" w:hAnsi="Arial" w:cs="Arial"/>
          <w:i/>
          <w:iCs/>
        </w:rPr>
        <w:t>East vs. West: Top 5 Corporate Cultural Differences</w:t>
      </w:r>
      <w:r>
        <w:rPr>
          <w:rFonts w:ascii="Arial" w:hAnsi="Arial" w:cs="Arial"/>
        </w:rPr>
        <w:t>. Absolute Internship. https://absoluteinternship.com/blog/east-vs-west-top-5-corporate-cultural-differences-2/</w:t>
      </w:r>
    </w:p>
    <w:p>
      <w:pPr>
        <w:pStyle w:val="10"/>
        <w:spacing w:before="0" w:beforeAutospacing="0" w:after="0" w:afterAutospacing="0" w:line="480" w:lineRule="auto"/>
        <w:ind w:left="720" w:hanging="720"/>
        <w:rPr>
          <w:rFonts w:ascii="Arial" w:hAnsi="Arial" w:cs="Arial"/>
        </w:rPr>
      </w:pPr>
      <w:r>
        <w:rPr>
          <w:rFonts w:ascii="Arial" w:hAnsi="Arial" w:cs="Arial"/>
        </w:rPr>
        <w:t xml:space="preserve">Buckley, P. J., &amp; Ghauri, P. N. (2021). Globalisation, Economic Geography and the Strategy of Multinational Enterprises. </w:t>
      </w:r>
      <w:r>
        <w:rPr>
          <w:rFonts w:ascii="Arial" w:hAnsi="Arial" w:cs="Arial"/>
          <w:i/>
          <w:iCs/>
        </w:rPr>
        <w:t>Journal of International Business Studies</w:t>
      </w:r>
      <w:r>
        <w:rPr>
          <w:rFonts w:ascii="Arial" w:hAnsi="Arial" w:cs="Arial"/>
        </w:rPr>
        <w:t xml:space="preserve">, </w:t>
      </w:r>
      <w:r>
        <w:rPr>
          <w:rFonts w:ascii="Arial" w:hAnsi="Arial" w:cs="Arial"/>
          <w:i/>
          <w:iCs/>
        </w:rPr>
        <w:t>35</w:t>
      </w:r>
      <w:r>
        <w:rPr>
          <w:rFonts w:ascii="Arial" w:hAnsi="Arial" w:cs="Arial"/>
        </w:rPr>
        <w:t>(2), 81–98. https://www.jstor.org/stable/3875244</w:t>
      </w:r>
    </w:p>
    <w:p>
      <w:pPr>
        <w:pStyle w:val="10"/>
        <w:spacing w:before="0" w:beforeAutospacing="0" w:after="0" w:afterAutospacing="0" w:line="480" w:lineRule="auto"/>
        <w:ind w:left="720" w:hanging="720"/>
        <w:rPr>
          <w:rFonts w:ascii="Arial" w:hAnsi="Arial" w:cs="Arial"/>
        </w:rPr>
      </w:pPr>
      <w:r>
        <w:rPr>
          <w:rFonts w:ascii="Arial" w:hAnsi="Arial" w:cs="Arial"/>
        </w:rPr>
        <w:t xml:space="preserve">Chan, A. W. H., &amp; Cheung, H. Y. (2019). Cultural Dimensions, Ethical Sensitivity, and Corporate Governance. </w:t>
      </w:r>
      <w:r>
        <w:rPr>
          <w:rFonts w:ascii="Arial" w:hAnsi="Arial" w:cs="Arial"/>
          <w:i/>
          <w:iCs/>
        </w:rPr>
        <w:t>Journal of Business Ethics</w:t>
      </w:r>
      <w:r>
        <w:rPr>
          <w:rFonts w:ascii="Arial" w:hAnsi="Arial" w:cs="Arial"/>
        </w:rPr>
        <w:t xml:space="preserve">, </w:t>
      </w:r>
      <w:r>
        <w:rPr>
          <w:rFonts w:ascii="Arial" w:hAnsi="Arial" w:cs="Arial"/>
          <w:i/>
          <w:iCs/>
        </w:rPr>
        <w:t>110</w:t>
      </w:r>
      <w:r>
        <w:rPr>
          <w:rFonts w:ascii="Arial" w:hAnsi="Arial" w:cs="Arial"/>
        </w:rPr>
        <w:t>(1), 45–59. https://doi.org/10.1007/s10551-011-1146-9</w:t>
      </w:r>
    </w:p>
    <w:p>
      <w:pPr>
        <w:pStyle w:val="10"/>
        <w:spacing w:before="0" w:beforeAutospacing="0" w:after="0" w:afterAutospacing="0" w:line="480" w:lineRule="auto"/>
        <w:ind w:left="720" w:hanging="720"/>
        <w:rPr>
          <w:rFonts w:ascii="Arial" w:hAnsi="Arial" w:cs="Arial"/>
        </w:rPr>
      </w:pPr>
      <w:r>
        <w:rPr>
          <w:rFonts w:ascii="Arial" w:hAnsi="Arial" w:cs="Arial"/>
        </w:rPr>
        <w:t xml:space="preserve">Crane, A., &amp; Matten, D. (2016). Business Ethics: Managing Corporate Citizenship and Sustainability in the Age of Globalization. In </w:t>
      </w:r>
      <w:r>
        <w:rPr>
          <w:rFonts w:ascii="Arial" w:hAnsi="Arial" w:cs="Arial"/>
          <w:i/>
          <w:iCs/>
        </w:rPr>
        <w:t>Google Books</w:t>
      </w:r>
      <w:r>
        <w:rPr>
          <w:rFonts w:ascii="Arial" w:hAnsi="Arial" w:cs="Arial"/>
        </w:rPr>
        <w:t>. Oxford University Press. https://books.google.co.ke/books/about/Business_Ethics.html?id=J8-SDAAAQBAJ&amp;redir_esc=y</w:t>
      </w:r>
    </w:p>
    <w:p>
      <w:pPr>
        <w:pStyle w:val="10"/>
        <w:spacing w:before="0" w:beforeAutospacing="0" w:after="0" w:afterAutospacing="0" w:line="480" w:lineRule="auto"/>
        <w:ind w:left="720" w:hanging="720"/>
        <w:rPr>
          <w:rFonts w:ascii="Arial" w:hAnsi="Arial" w:cs="Arial"/>
        </w:rPr>
      </w:pPr>
      <w:r>
        <w:rPr>
          <w:rFonts w:ascii="Arial" w:hAnsi="Arial" w:cs="Arial"/>
        </w:rPr>
        <w:t xml:space="preserve">Editorial Team. (2023, March 18). </w:t>
      </w:r>
      <w:r>
        <w:rPr>
          <w:rFonts w:ascii="Arial" w:hAnsi="Arial" w:cs="Arial"/>
          <w:i/>
          <w:iCs/>
        </w:rPr>
        <w:t>Understanding the Differences Between Asian and Western Business Culture</w:t>
      </w:r>
      <w:r>
        <w:rPr>
          <w:rFonts w:ascii="Arial" w:hAnsi="Arial" w:cs="Arial"/>
        </w:rPr>
        <w:t>. Asia Rising: Stories of How Asia Is Changing the World. https://asiarisingtv.com/understanding-the-differences-between-asian-and-western-business-culture/</w:t>
      </w:r>
    </w:p>
    <w:p>
      <w:pPr>
        <w:pStyle w:val="10"/>
        <w:spacing w:before="0" w:beforeAutospacing="0" w:after="0" w:afterAutospacing="0" w:line="480" w:lineRule="auto"/>
        <w:ind w:left="720" w:hanging="720"/>
        <w:rPr>
          <w:rFonts w:ascii="Arial" w:hAnsi="Arial" w:cs="Arial"/>
        </w:rPr>
      </w:pPr>
      <w:r>
        <w:rPr>
          <w:rFonts w:ascii="Arial" w:hAnsi="Arial" w:cs="Arial"/>
        </w:rPr>
        <w:t xml:space="preserve">Hofstede, G. (2023). Cultural Constraints in Management Theories. </w:t>
      </w:r>
      <w:r>
        <w:rPr>
          <w:rFonts w:ascii="Arial" w:hAnsi="Arial" w:cs="Arial"/>
          <w:i/>
          <w:iCs/>
        </w:rPr>
        <w:t>The Executive</w:t>
      </w:r>
      <w:r>
        <w:rPr>
          <w:rFonts w:ascii="Arial" w:hAnsi="Arial" w:cs="Arial"/>
        </w:rPr>
        <w:t xml:space="preserve">, </w:t>
      </w:r>
      <w:r>
        <w:rPr>
          <w:rFonts w:ascii="Arial" w:hAnsi="Arial" w:cs="Arial"/>
          <w:i/>
          <w:iCs/>
        </w:rPr>
        <w:t>7</w:t>
      </w:r>
      <w:r>
        <w:rPr>
          <w:rFonts w:ascii="Arial" w:hAnsi="Arial" w:cs="Arial"/>
        </w:rPr>
        <w:t>(1), 81–94. https://www.jstor.org/stable/4165110</w:t>
      </w:r>
    </w:p>
    <w:p>
      <w:pPr>
        <w:pStyle w:val="10"/>
        <w:spacing w:before="0" w:beforeAutospacing="0" w:after="0" w:afterAutospacing="0" w:line="480" w:lineRule="auto"/>
        <w:ind w:left="720" w:hanging="720"/>
        <w:rPr>
          <w:rFonts w:ascii="Arial" w:hAnsi="Arial" w:cs="Arial"/>
        </w:rPr>
      </w:pPr>
      <w:r>
        <w:rPr>
          <w:rFonts w:ascii="Arial" w:hAnsi="Arial" w:cs="Arial"/>
        </w:rPr>
        <w:t xml:space="preserve">Kishore Mahbubani. (2010). </w:t>
      </w:r>
      <w:r>
        <w:rPr>
          <w:rFonts w:ascii="Arial" w:hAnsi="Arial" w:cs="Arial"/>
          <w:i/>
          <w:iCs/>
        </w:rPr>
        <w:t>The New Asian Hemisphere</w:t>
      </w:r>
      <w:r>
        <w:rPr>
          <w:rFonts w:ascii="Arial" w:hAnsi="Arial" w:cs="Arial"/>
        </w:rPr>
        <w:t>. ReadHowYouWant.com. https://www.abebooks.com/9781458759610/New-Asian-Hemisphere-Irresistible-Shift-145875961X/plp</w:t>
      </w:r>
    </w:p>
    <w:p>
      <w:pPr>
        <w:pStyle w:val="10"/>
        <w:spacing w:before="0" w:beforeAutospacing="0" w:after="0" w:afterAutospacing="0" w:line="480" w:lineRule="auto"/>
        <w:ind w:left="720" w:hanging="720"/>
        <w:rPr>
          <w:rFonts w:ascii="Arial" w:hAnsi="Arial" w:cs="Arial"/>
        </w:rPr>
      </w:pPr>
      <w:r>
        <w:rPr>
          <w:rFonts w:ascii="Arial" w:hAnsi="Arial" w:cs="Arial"/>
        </w:rPr>
        <w:t xml:space="preserve">Lamarco, N. (2018, December 11). </w:t>
      </w:r>
      <w:r>
        <w:rPr>
          <w:rFonts w:ascii="Arial" w:hAnsi="Arial" w:cs="Arial"/>
          <w:i/>
          <w:iCs/>
        </w:rPr>
        <w:t>American Vs. Chinese Business Culture</w:t>
      </w:r>
      <w:r>
        <w:rPr>
          <w:rFonts w:ascii="Arial" w:hAnsi="Arial" w:cs="Arial"/>
        </w:rPr>
        <w:t>. Chron.com. https://smallbusiness.chron.com/american-vs-chinese-business-culture-59039.html</w:t>
      </w:r>
    </w:p>
    <w:p>
      <w:pPr>
        <w:pStyle w:val="10"/>
        <w:spacing w:before="0" w:beforeAutospacing="0" w:after="0" w:afterAutospacing="0" w:line="480" w:lineRule="auto"/>
        <w:ind w:left="720" w:hanging="720"/>
        <w:rPr>
          <w:rFonts w:ascii="Arial" w:hAnsi="Arial" w:cs="Arial"/>
        </w:rPr>
      </w:pPr>
      <w:r>
        <w:rPr>
          <w:rFonts w:ascii="Arial" w:hAnsi="Arial" w:cs="Arial"/>
        </w:rPr>
        <w:t xml:space="preserve">Lerner, J., &amp; Schoar, A. (2018). </w:t>
      </w:r>
      <w:r>
        <w:rPr>
          <w:rFonts w:ascii="Arial" w:hAnsi="Arial" w:cs="Arial"/>
          <w:i/>
          <w:iCs/>
        </w:rPr>
        <w:t>International differences in entrepreneurship</w:t>
      </w:r>
      <w:r>
        <w:rPr>
          <w:rFonts w:ascii="Arial" w:hAnsi="Arial" w:cs="Arial"/>
        </w:rPr>
        <w:t>. University Of Chicago Press.</w:t>
      </w:r>
    </w:p>
    <w:p>
      <w:pPr>
        <w:pStyle w:val="10"/>
        <w:spacing w:before="0" w:beforeAutospacing="0" w:after="0" w:afterAutospacing="0" w:line="480" w:lineRule="auto"/>
        <w:ind w:left="720" w:hanging="720"/>
        <w:rPr>
          <w:rFonts w:ascii="Arial" w:hAnsi="Arial" w:cs="Arial"/>
        </w:rPr>
      </w:pPr>
      <w:r>
        <w:rPr>
          <w:rFonts w:ascii="Arial" w:hAnsi="Arial" w:cs="Arial"/>
        </w:rPr>
        <w:t xml:space="preserve">Multiplier. (2023). </w:t>
      </w:r>
      <w:r>
        <w:rPr>
          <w:rFonts w:ascii="Arial" w:hAnsi="Arial" w:cs="Arial"/>
          <w:i/>
          <w:iCs/>
        </w:rPr>
        <w:t>The role of culture in International Business | Multiplier | Multiplier</w:t>
      </w:r>
      <w:r>
        <w:rPr>
          <w:rFonts w:ascii="Arial" w:hAnsi="Arial" w:cs="Arial"/>
        </w:rPr>
        <w:t>. Www.usemultiplier.com. https://www.usemultiplier.com/blog/culture-in-international-business#:~:text=One%20of%20the%20core%20cultural</w:t>
      </w:r>
    </w:p>
    <w:p>
      <w:pPr>
        <w:pStyle w:val="10"/>
        <w:spacing w:before="0" w:beforeAutospacing="0" w:after="0" w:afterAutospacing="0" w:line="480" w:lineRule="auto"/>
        <w:ind w:left="720" w:hanging="720"/>
        <w:rPr>
          <w:rFonts w:ascii="Arial" w:hAnsi="Arial" w:cs="Arial"/>
        </w:rPr>
      </w:pPr>
      <w:r>
        <w:rPr>
          <w:rFonts w:ascii="Arial" w:hAnsi="Arial" w:cs="Arial"/>
        </w:rPr>
        <w:t xml:space="preserve">Nancholas, B. (2023, August 16). </w:t>
      </w:r>
      <w:r>
        <w:rPr>
          <w:rFonts w:ascii="Arial" w:hAnsi="Arial" w:cs="Arial"/>
          <w:i/>
          <w:iCs/>
        </w:rPr>
        <w:t>How does social structure affect international business?</w:t>
      </w:r>
      <w:r>
        <w:rPr>
          <w:rFonts w:ascii="Arial" w:hAnsi="Arial" w:cs="Arial"/>
        </w:rPr>
        <w:t xml:space="preserve"> University of York. https://online.york.ac.uk/how-does-social-structure-affect-international-business/</w:t>
      </w:r>
    </w:p>
    <w:p>
      <w:pPr>
        <w:pStyle w:val="10"/>
        <w:spacing w:before="0" w:beforeAutospacing="0" w:after="0" w:afterAutospacing="0" w:line="480" w:lineRule="auto"/>
        <w:ind w:left="720" w:hanging="720"/>
        <w:rPr>
          <w:rFonts w:ascii="Arial" w:hAnsi="Arial" w:cs="Arial"/>
        </w:rPr>
      </w:pPr>
      <w:r>
        <w:rPr>
          <w:rFonts w:ascii="Arial" w:hAnsi="Arial" w:cs="Arial"/>
        </w:rPr>
        <w:t xml:space="preserve">New York Times. (2020, September 13). Greed Is Good. Except When It’s Bad. </w:t>
      </w:r>
      <w:r>
        <w:rPr>
          <w:rFonts w:ascii="Arial" w:hAnsi="Arial" w:cs="Arial"/>
          <w:i/>
          <w:iCs/>
        </w:rPr>
        <w:t>The New York Times</w:t>
      </w:r>
      <w:r>
        <w:rPr>
          <w:rFonts w:ascii="Arial" w:hAnsi="Arial" w:cs="Arial"/>
        </w:rPr>
        <w:t>. https://www.nytimes.com/2020/09/13/business/dealbook/milton-friedman-essay-anniversary.html?searchResultPosition=6</w:t>
      </w:r>
    </w:p>
    <w:p>
      <w:pPr>
        <w:pStyle w:val="10"/>
        <w:spacing w:before="0" w:beforeAutospacing="0" w:after="0" w:afterAutospacing="0" w:line="480" w:lineRule="auto"/>
        <w:ind w:left="720" w:hanging="720"/>
        <w:rPr>
          <w:rFonts w:ascii="Arial" w:hAnsi="Arial" w:cs="Arial"/>
        </w:rPr>
      </w:pPr>
      <w:r>
        <w:rPr>
          <w:rFonts w:ascii="Arial" w:hAnsi="Arial" w:cs="Arial"/>
        </w:rPr>
        <w:t xml:space="preserve">Nickerson, C. (2023, October 24). </w:t>
      </w:r>
      <w:r>
        <w:rPr>
          <w:rFonts w:ascii="Arial" w:hAnsi="Arial" w:cs="Arial"/>
          <w:i/>
          <w:iCs/>
        </w:rPr>
        <w:t>Hofstede’s Cultural Dimensions Theory &amp; Examples</w:t>
      </w:r>
      <w:r>
        <w:rPr>
          <w:rFonts w:ascii="Arial" w:hAnsi="Arial" w:cs="Arial"/>
        </w:rPr>
        <w:t>. Simply Psychology. https://www.simplypsychology.org/hofstedes-cultural-dimensions-theory.html</w:t>
      </w:r>
    </w:p>
    <w:p>
      <w:pPr>
        <w:pStyle w:val="10"/>
        <w:spacing w:before="0" w:beforeAutospacing="0" w:after="0" w:afterAutospacing="0" w:line="480" w:lineRule="auto"/>
        <w:ind w:left="720" w:hanging="720"/>
        <w:rPr>
          <w:rFonts w:ascii="Arial" w:hAnsi="Arial" w:cs="Arial"/>
        </w:rPr>
      </w:pPr>
      <w:r>
        <w:rPr>
          <w:rFonts w:ascii="Arial" w:hAnsi="Arial" w:cs="Arial"/>
        </w:rPr>
        <w:t xml:space="preserve">PESTLE Analysis Contributor. (2018, February 24). </w:t>
      </w:r>
      <w:r>
        <w:rPr>
          <w:rFonts w:ascii="Arial" w:hAnsi="Arial" w:cs="Arial"/>
          <w:i/>
          <w:iCs/>
        </w:rPr>
        <w:t>Political Factors Affecting Business</w:t>
      </w:r>
      <w:r>
        <w:rPr>
          <w:rFonts w:ascii="Arial" w:hAnsi="Arial" w:cs="Arial"/>
        </w:rPr>
        <w:t>. PESTLE Analysis. https://pestleanalysis.com/political-factors-affecting-business/</w:t>
      </w:r>
    </w:p>
    <w:p>
      <w:pPr>
        <w:pStyle w:val="10"/>
        <w:spacing w:before="0" w:beforeAutospacing="0" w:after="0" w:afterAutospacing="0" w:line="480" w:lineRule="auto"/>
        <w:ind w:left="720" w:hanging="720"/>
        <w:rPr>
          <w:rFonts w:ascii="Arial" w:hAnsi="Arial" w:cs="Arial"/>
        </w:rPr>
      </w:pPr>
      <w:r>
        <w:rPr>
          <w:rFonts w:ascii="Arial" w:hAnsi="Arial" w:cs="Arial"/>
        </w:rPr>
        <w:t xml:space="preserve">Pittsburgh. (2023, August 22). </w:t>
      </w:r>
      <w:r>
        <w:rPr>
          <w:rFonts w:ascii="Arial" w:hAnsi="Arial" w:cs="Arial"/>
          <w:i/>
          <w:iCs/>
        </w:rPr>
        <w:t>Cultural Differences in International Business</w:t>
      </w:r>
      <w:r>
        <w:rPr>
          <w:rFonts w:ascii="Arial" w:hAnsi="Arial" w:cs="Arial"/>
        </w:rPr>
        <w:t>. Pitt Law MSL Online Program (Live). https://online.law.pitt.edu/blog/cultural-differences-in-international-business</w:t>
      </w:r>
    </w:p>
    <w:p>
      <w:pPr>
        <w:pStyle w:val="10"/>
        <w:spacing w:before="0" w:beforeAutospacing="0" w:after="0" w:afterAutospacing="0" w:line="480" w:lineRule="auto"/>
        <w:ind w:left="720" w:hanging="720"/>
        <w:rPr>
          <w:rFonts w:ascii="Arial" w:hAnsi="Arial" w:cs="Arial"/>
        </w:rPr>
      </w:pPr>
      <w:r>
        <w:rPr>
          <w:rFonts w:ascii="Arial" w:hAnsi="Arial" w:cs="Arial"/>
        </w:rPr>
        <w:t xml:space="preserve">Posner, E. (2019, August 22). </w:t>
      </w:r>
      <w:r>
        <w:rPr>
          <w:rFonts w:ascii="Arial" w:hAnsi="Arial" w:cs="Arial"/>
          <w:i/>
          <w:iCs/>
        </w:rPr>
        <w:t>Milton Friedman’s “Shareholder” Theory Was Wrong</w:t>
      </w:r>
      <w:r>
        <w:rPr>
          <w:rFonts w:ascii="Arial" w:hAnsi="Arial" w:cs="Arial"/>
        </w:rPr>
        <w:t>. The Atlantic; The Atlantic. https://www.theatlantic.com/ideas/archive/2019/08/milton-friedman-shareholder-wrong/596545/</w:t>
      </w:r>
    </w:p>
    <w:p>
      <w:pPr>
        <w:pStyle w:val="10"/>
        <w:spacing w:before="0" w:beforeAutospacing="0" w:after="0" w:afterAutospacing="0" w:line="480" w:lineRule="auto"/>
        <w:ind w:left="720" w:hanging="720"/>
        <w:rPr>
          <w:rFonts w:ascii="Arial" w:hAnsi="Arial" w:cs="Arial"/>
        </w:rPr>
      </w:pPr>
      <w:r>
        <w:rPr>
          <w:rFonts w:ascii="Arial" w:hAnsi="Arial" w:cs="Arial"/>
        </w:rPr>
        <w:t xml:space="preserve">Sanchez-Runde, C. J., Nardon, L., &amp; Steers, R. M. (2023). The Cultural Roots of Ethical Conflicts in Global Business. </w:t>
      </w:r>
      <w:r>
        <w:rPr>
          <w:rFonts w:ascii="Arial" w:hAnsi="Arial" w:cs="Arial"/>
          <w:i/>
          <w:iCs/>
        </w:rPr>
        <w:t>Journal of Business Ethics</w:t>
      </w:r>
      <w:r>
        <w:rPr>
          <w:rFonts w:ascii="Arial" w:hAnsi="Arial" w:cs="Arial"/>
        </w:rPr>
        <w:t xml:space="preserve">, </w:t>
      </w:r>
      <w:r>
        <w:rPr>
          <w:rFonts w:ascii="Arial" w:hAnsi="Arial" w:cs="Arial"/>
          <w:i/>
          <w:iCs/>
        </w:rPr>
        <w:t>116</w:t>
      </w:r>
      <w:r>
        <w:rPr>
          <w:rFonts w:ascii="Arial" w:hAnsi="Arial" w:cs="Arial"/>
        </w:rPr>
        <w:t>(4), 689–701. https://www.jstor.org/stable/42002495</w:t>
      </w:r>
    </w:p>
    <w:p>
      <w:pPr>
        <w:pStyle w:val="10"/>
        <w:spacing w:before="0" w:beforeAutospacing="0" w:after="0" w:afterAutospacing="0" w:line="480" w:lineRule="auto"/>
        <w:ind w:left="720" w:hanging="720"/>
        <w:rPr>
          <w:rFonts w:ascii="Arial" w:hAnsi="Arial" w:cs="Arial"/>
        </w:rPr>
      </w:pPr>
      <w:r>
        <w:rPr>
          <w:rFonts w:ascii="Arial" w:hAnsi="Arial" w:cs="Arial"/>
        </w:rPr>
        <w:t xml:space="preserve">Santa Clara University. (2022, August 1). </w:t>
      </w:r>
      <w:r>
        <w:rPr>
          <w:rFonts w:ascii="Arial" w:hAnsi="Arial" w:cs="Arial"/>
          <w:i/>
          <w:iCs/>
        </w:rPr>
        <w:t>Ethical Relativism</w:t>
      </w:r>
      <w:r>
        <w:rPr>
          <w:rFonts w:ascii="Arial" w:hAnsi="Arial" w:cs="Arial"/>
        </w:rPr>
        <w:t>. Www.scu.edu. https://www.scu.edu/ethics/ethics-resources/ethical-decision-making/ethical-relativism/#:~:text=Ethical%20relativism%20is%20the%20theory</w:t>
      </w:r>
    </w:p>
    <w:p>
      <w:pPr>
        <w:pStyle w:val="10"/>
        <w:spacing w:before="0" w:beforeAutospacing="0" w:after="0" w:afterAutospacing="0" w:line="480" w:lineRule="auto"/>
        <w:ind w:left="720" w:hanging="720"/>
        <w:rPr>
          <w:rFonts w:ascii="Arial" w:hAnsi="Arial" w:cs="Arial"/>
        </w:rPr>
      </w:pPr>
      <w:r>
        <w:rPr>
          <w:rFonts w:ascii="Arial" w:hAnsi="Arial" w:cs="Arial"/>
        </w:rPr>
        <w:t xml:space="preserve">Swientozielskyj, S. (2020, December 1). </w:t>
      </w:r>
      <w:r>
        <w:rPr>
          <w:rFonts w:ascii="Arial" w:hAnsi="Arial" w:cs="Arial"/>
          <w:i/>
          <w:iCs/>
        </w:rPr>
        <w:t>Navigating culture differences in Western deals in China</w:t>
      </w:r>
      <w:r>
        <w:rPr>
          <w:rFonts w:ascii="Arial" w:hAnsi="Arial" w:cs="Arial"/>
        </w:rPr>
        <w:t>. FM Magazine. https://www.fm-magazine.com/issues/2020/dec/western-deals-in-china-navigating-culture-differences.html</w:t>
      </w:r>
    </w:p>
    <w:p>
      <w:pPr>
        <w:pStyle w:val="10"/>
        <w:spacing w:before="0" w:beforeAutospacing="0" w:after="0" w:afterAutospacing="0" w:line="480" w:lineRule="auto"/>
        <w:ind w:left="720" w:hanging="720"/>
        <w:rPr>
          <w:rFonts w:ascii="Arial" w:hAnsi="Arial" w:cs="Arial"/>
        </w:rPr>
      </w:pPr>
      <w:r>
        <w:rPr>
          <w:rFonts w:ascii="Arial" w:hAnsi="Arial" w:cs="Arial"/>
        </w:rPr>
        <w:t xml:space="preserve">Teagarden, M. B., Pashtenko, V. H., Ahmed, Z. U., Abdul Razak Chik, Nor Hayati Ahmad, Mohd Zaini Abd Karim, Redzuan Ishak, Universiti Utara Malaysia, &amp; Academy For Global Business Advancement. (2020). </w:t>
      </w:r>
      <w:r>
        <w:rPr>
          <w:rFonts w:ascii="Arial" w:hAnsi="Arial" w:cs="Arial"/>
          <w:i/>
          <w:iCs/>
        </w:rPr>
        <w:t>Advances in global business research</w:t>
      </w:r>
      <w:r>
        <w:rPr>
          <w:rFonts w:ascii="Arial" w:hAnsi="Arial" w:cs="Arial"/>
        </w:rPr>
        <w:t>. Academy For Global Business Advancement, [S.D.</w:t>
      </w:r>
    </w:p>
    <w:p>
      <w:pPr>
        <w:spacing w:after="0"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sectPr>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mn-c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zk2MzBjZDFmNDc3OTkxNDJiMDg2MGRmNjk0YzE3MWEifQ=="/>
  </w:docVars>
  <w:rsids>
    <w:rsidRoot w:val="005B2513"/>
    <w:rsid w:val="00012971"/>
    <w:rsid w:val="00017A09"/>
    <w:rsid w:val="00045F63"/>
    <w:rsid w:val="00100ED3"/>
    <w:rsid w:val="00103F00"/>
    <w:rsid w:val="00182605"/>
    <w:rsid w:val="001A1F85"/>
    <w:rsid w:val="001B7BC0"/>
    <w:rsid w:val="001E3045"/>
    <w:rsid w:val="00247B2A"/>
    <w:rsid w:val="002867D3"/>
    <w:rsid w:val="002A10EB"/>
    <w:rsid w:val="002A438A"/>
    <w:rsid w:val="002F617F"/>
    <w:rsid w:val="00327C1C"/>
    <w:rsid w:val="00395276"/>
    <w:rsid w:val="003A4831"/>
    <w:rsid w:val="003B00C6"/>
    <w:rsid w:val="003B6130"/>
    <w:rsid w:val="003F4287"/>
    <w:rsid w:val="004F3649"/>
    <w:rsid w:val="005B2513"/>
    <w:rsid w:val="005E415A"/>
    <w:rsid w:val="00627A37"/>
    <w:rsid w:val="00684572"/>
    <w:rsid w:val="00706706"/>
    <w:rsid w:val="00731E7A"/>
    <w:rsid w:val="00744C7C"/>
    <w:rsid w:val="0078721F"/>
    <w:rsid w:val="007B405A"/>
    <w:rsid w:val="007B7630"/>
    <w:rsid w:val="007E0AF6"/>
    <w:rsid w:val="0089656E"/>
    <w:rsid w:val="008F4D98"/>
    <w:rsid w:val="00915BB6"/>
    <w:rsid w:val="009D2A97"/>
    <w:rsid w:val="009E44FD"/>
    <w:rsid w:val="009F5D91"/>
    <w:rsid w:val="00A565C1"/>
    <w:rsid w:val="00AF3109"/>
    <w:rsid w:val="00B746C9"/>
    <w:rsid w:val="00C008DC"/>
    <w:rsid w:val="00C211FA"/>
    <w:rsid w:val="00C5729D"/>
    <w:rsid w:val="00C66242"/>
    <w:rsid w:val="00C767A0"/>
    <w:rsid w:val="00D41A31"/>
    <w:rsid w:val="00D85FB3"/>
    <w:rsid w:val="00DF1DD2"/>
    <w:rsid w:val="00E22623"/>
    <w:rsid w:val="00EA6E19"/>
    <w:rsid w:val="00EA7383"/>
    <w:rsid w:val="00EC4D79"/>
    <w:rsid w:val="00F27740"/>
    <w:rsid w:val="00F64D45"/>
    <w:rsid w:val="00FF659C"/>
    <w:rsid w:val="1BEE7C88"/>
    <w:rsid w:val="4AC235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8"/>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link w:val="16"/>
    <w:unhideWhenUsed/>
    <w:qFormat/>
    <w:uiPriority w:val="0"/>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link w:val="19"/>
    <w:unhideWhenUsed/>
    <w:qFormat/>
    <w:uiPriority w:val="0"/>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autoRedefine/>
    <w:uiPriority w:val="0"/>
    <w:pPr>
      <w:spacing w:after="100"/>
      <w:ind w:left="440"/>
    </w:pPr>
  </w:style>
  <w:style w:type="paragraph" w:styleId="6">
    <w:name w:val="footer"/>
    <w:basedOn w:val="1"/>
    <w:link w:val="22"/>
    <w:uiPriority w:val="0"/>
    <w:pPr>
      <w:tabs>
        <w:tab w:val="center" w:pos="4680"/>
        <w:tab w:val="right" w:pos="9360"/>
      </w:tabs>
      <w:spacing w:after="0" w:line="240" w:lineRule="auto"/>
    </w:pPr>
  </w:style>
  <w:style w:type="paragraph" w:styleId="7">
    <w:name w:val="header"/>
    <w:basedOn w:val="1"/>
    <w:link w:val="21"/>
    <w:uiPriority w:val="0"/>
    <w:pPr>
      <w:tabs>
        <w:tab w:val="center" w:pos="4680"/>
        <w:tab w:val="right" w:pos="9360"/>
      </w:tabs>
      <w:spacing w:after="0" w:line="240" w:lineRule="auto"/>
    </w:pPr>
  </w:style>
  <w:style w:type="paragraph" w:styleId="8">
    <w:name w:val="toc 1"/>
    <w:basedOn w:val="1"/>
    <w:next w:val="1"/>
    <w:autoRedefine/>
    <w:uiPriority w:val="0"/>
    <w:pPr>
      <w:spacing w:after="100"/>
    </w:pPr>
  </w:style>
  <w:style w:type="paragraph" w:styleId="9">
    <w:name w:val="toc 2"/>
    <w:basedOn w:val="1"/>
    <w:next w:val="1"/>
    <w:autoRedefine/>
    <w:uiPriority w:val="0"/>
    <w:pPr>
      <w:spacing w:after="100"/>
      <w:ind w:left="220"/>
    </w:pPr>
  </w:style>
  <w:style w:type="paragraph" w:styleId="10">
    <w:name w:val="Normal (Web)"/>
    <w:basedOn w:val="1"/>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styleId="13">
    <w:name w:val="Strong"/>
    <w:basedOn w:val="12"/>
    <w:qFormat/>
    <w:uiPriority w:val="0"/>
    <w:rPr>
      <w:b/>
      <w:bCs/>
    </w:rPr>
  </w:style>
  <w:style w:type="character" w:styleId="14">
    <w:name w:val="Emphasis"/>
    <w:basedOn w:val="12"/>
    <w:qFormat/>
    <w:uiPriority w:val="0"/>
    <w:rPr>
      <w:i/>
      <w:iCs/>
    </w:rPr>
  </w:style>
  <w:style w:type="character" w:styleId="15">
    <w:name w:val="Hyperlink"/>
    <w:basedOn w:val="12"/>
    <w:uiPriority w:val="0"/>
    <w:rPr>
      <w:color w:val="0563C1" w:themeColor="hyperlink"/>
      <w:u w:val="single"/>
      <w14:textFill>
        <w14:solidFill>
          <w14:schemeClr w14:val="hlink"/>
        </w14:solidFill>
      </w14:textFill>
    </w:rPr>
  </w:style>
  <w:style w:type="character" w:customStyle="1" w:styleId="16">
    <w:name w:val="Heading 2 Char"/>
    <w:basedOn w:val="12"/>
    <w:link w:val="3"/>
    <w:uiPriority w:val="9"/>
    <w:rPr>
      <w:rFonts w:ascii="Times New Roman" w:hAnsi="Times New Roman" w:eastAsia="Times New Roman" w:cs="Times New Roman"/>
      <w:b/>
      <w:bCs/>
      <w:sz w:val="36"/>
      <w:szCs w:val="36"/>
    </w:rPr>
  </w:style>
  <w:style w:type="paragraph" w:styleId="17">
    <w:name w:val="List Paragraph"/>
    <w:basedOn w:val="1"/>
    <w:qFormat/>
    <w:uiPriority w:val="34"/>
    <w:pPr>
      <w:ind w:left="720"/>
      <w:contextualSpacing/>
    </w:pPr>
  </w:style>
  <w:style w:type="character" w:customStyle="1" w:styleId="18">
    <w:name w:val="Heading 1 Char"/>
    <w:basedOn w:val="12"/>
    <w:link w:val="2"/>
    <w:uiPriority w:val="9"/>
    <w:rPr>
      <w:rFonts w:asciiTheme="majorHAnsi" w:hAnsiTheme="majorHAnsi" w:eastAsiaTheme="majorEastAsia" w:cstheme="majorBidi"/>
      <w:color w:val="2E75B6" w:themeColor="accent1" w:themeShade="BF"/>
      <w:sz w:val="32"/>
      <w:szCs w:val="32"/>
    </w:rPr>
  </w:style>
  <w:style w:type="character" w:customStyle="1" w:styleId="19">
    <w:name w:val="Heading 3 Char"/>
    <w:basedOn w:val="12"/>
    <w:link w:val="4"/>
    <w:uiPriority w:val="9"/>
    <w:rPr>
      <w:rFonts w:asciiTheme="majorHAnsi" w:hAnsiTheme="majorHAnsi" w:eastAsiaTheme="majorEastAsia" w:cstheme="majorBidi"/>
      <w:color w:val="1F4E79" w:themeColor="accent1" w:themeShade="80"/>
      <w:sz w:val="24"/>
      <w:szCs w:val="24"/>
    </w:rPr>
  </w:style>
  <w:style w:type="paragraph" w:customStyle="1" w:styleId="20">
    <w:name w:val="TOC Heading"/>
    <w:basedOn w:val="2"/>
    <w:next w:val="1"/>
    <w:unhideWhenUsed/>
    <w:qFormat/>
    <w:uiPriority w:val="39"/>
    <w:pPr>
      <w:outlineLvl w:val="9"/>
    </w:pPr>
  </w:style>
  <w:style w:type="character" w:customStyle="1" w:styleId="21">
    <w:name w:val="Header Char"/>
    <w:basedOn w:val="12"/>
    <w:link w:val="7"/>
    <w:uiPriority w:val="99"/>
  </w:style>
  <w:style w:type="character" w:customStyle="1" w:styleId="22">
    <w:name w:val="Footer Char"/>
    <w:basedOn w:val="12"/>
    <w:link w:val="6"/>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lengthwise3"/>
      <sectRole val="1"/>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97627A0-5B54-4AD7-9862-E5D454F1C0E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梁上</cp:lastModifiedBy>
  <dcterms:modified xsi:type="dcterms:W3CDTF">2024-01-12T16:24:38Z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CEA91EB9E4AC404DBF0544B14524B21C_13</vt:lpwstr>
  </property>
</Properties>
</file>