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D1149" w14:textId="77777777" w:rsidR="004506BA" w:rsidRDefault="00BC57FB">
      <w:pPr>
        <w:rPr>
          <w:b/>
          <w:bCs/>
          <w:i/>
          <w:iCs/>
          <w:sz w:val="30"/>
          <w:szCs w:val="30"/>
          <w:u w:val="single"/>
        </w:rPr>
      </w:pPr>
      <w:r>
        <w:rPr>
          <w:b/>
          <w:bCs/>
          <w:i/>
          <w:iCs/>
          <w:sz w:val="30"/>
          <w:szCs w:val="30"/>
          <w:u w:val="single"/>
        </w:rPr>
        <w:t>Health and Safety Report, Croft Street Block 2 Retrofit</w:t>
      </w:r>
    </w:p>
    <w:p w14:paraId="2B3CE66D" w14:textId="77777777" w:rsidR="004506BA" w:rsidRDefault="004506BA">
      <w:pPr>
        <w:rPr>
          <w:b/>
          <w:bCs/>
        </w:rPr>
      </w:pPr>
    </w:p>
    <w:p w14:paraId="5A60B352" w14:textId="77777777" w:rsidR="004506BA" w:rsidRDefault="00BC57FB">
      <w:pPr>
        <w:rPr>
          <w:b/>
          <w:bCs/>
        </w:rPr>
      </w:pPr>
      <w:r>
        <w:rPr>
          <w:b/>
          <w:bCs/>
        </w:rPr>
        <w:t>Existing -</w:t>
      </w:r>
    </w:p>
    <w:p w14:paraId="4ACC34D1" w14:textId="77777777" w:rsidR="004506BA" w:rsidRDefault="00BC57FB">
      <w:pPr>
        <w:rPr>
          <w:b/>
          <w:bCs/>
        </w:rPr>
      </w:pPr>
      <w:r>
        <w:rPr>
          <w:noProof/>
        </w:rPr>
        <w:drawing>
          <wp:anchor distT="0" distB="0" distL="0" distR="0" simplePos="0" relativeHeight="251658240" behindDoc="0" locked="0" layoutInCell="1" hidden="0" allowOverlap="1" wp14:anchorId="4B55F799" wp14:editId="3C089740">
            <wp:simplePos x="0" y="0"/>
            <wp:positionH relativeFrom="column">
              <wp:posOffset>2600325</wp:posOffset>
            </wp:positionH>
            <wp:positionV relativeFrom="paragraph">
              <wp:posOffset>122994</wp:posOffset>
            </wp:positionV>
            <wp:extent cx="2553552" cy="1915305"/>
            <wp:effectExtent l="0" t="0" r="0" b="0"/>
            <wp:wrapSquare wrapText="bothSides" distT="0" distB="0" distL="0" distR="0"/>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6"/>
                    <a:srcRect/>
                    <a:stretch>
                      <a:fillRect/>
                    </a:stretch>
                  </pic:blipFill>
                  <pic:spPr>
                    <a:xfrm>
                      <a:off x="0" y="0"/>
                      <a:ext cx="2553552" cy="1915305"/>
                    </a:xfrm>
                    <a:prstGeom prst="rect">
                      <a:avLst/>
                    </a:prstGeom>
                    <a:ln/>
                  </pic:spPr>
                </pic:pic>
              </a:graphicData>
            </a:graphic>
          </wp:anchor>
        </w:drawing>
      </w:r>
      <w:r>
        <w:rPr>
          <w:noProof/>
        </w:rPr>
        <w:drawing>
          <wp:anchor distT="0" distB="0" distL="114300" distR="114300" simplePos="0" relativeHeight="251659264" behindDoc="0" locked="0" layoutInCell="1" hidden="0" allowOverlap="1" wp14:anchorId="309F56F4" wp14:editId="6BD7AD46">
            <wp:simplePos x="0" y="0"/>
            <wp:positionH relativeFrom="column">
              <wp:posOffset>-57149</wp:posOffset>
            </wp:positionH>
            <wp:positionV relativeFrom="paragraph">
              <wp:posOffset>76200</wp:posOffset>
            </wp:positionV>
            <wp:extent cx="2457450" cy="1842135"/>
            <wp:effectExtent l="0" t="0" r="0" b="0"/>
            <wp:wrapSquare wrapText="bothSides" distT="0" distB="0" distL="114300" distR="11430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457450" cy="1842135"/>
                    </a:xfrm>
                    <a:prstGeom prst="rect">
                      <a:avLst/>
                    </a:prstGeom>
                    <a:ln/>
                  </pic:spPr>
                </pic:pic>
              </a:graphicData>
            </a:graphic>
          </wp:anchor>
        </w:drawing>
      </w:r>
    </w:p>
    <w:p w14:paraId="17132293" w14:textId="77777777" w:rsidR="004506BA" w:rsidRDefault="004506BA">
      <w:pPr>
        <w:rPr>
          <w:b/>
          <w:bCs/>
        </w:rPr>
      </w:pPr>
    </w:p>
    <w:p w14:paraId="5422236A" w14:textId="77777777" w:rsidR="004506BA" w:rsidRDefault="004506BA">
      <w:pPr>
        <w:rPr>
          <w:b/>
          <w:bCs/>
        </w:rPr>
      </w:pPr>
    </w:p>
    <w:p w14:paraId="3CB57452" w14:textId="77777777" w:rsidR="004506BA" w:rsidRDefault="004506BA">
      <w:pPr>
        <w:rPr>
          <w:b/>
          <w:bCs/>
        </w:rPr>
      </w:pPr>
    </w:p>
    <w:p w14:paraId="183C4D53" w14:textId="77777777" w:rsidR="004506BA" w:rsidRDefault="004506BA">
      <w:pPr>
        <w:rPr>
          <w:b/>
          <w:bCs/>
        </w:rPr>
      </w:pPr>
    </w:p>
    <w:p w14:paraId="5C6F3354" w14:textId="77777777" w:rsidR="004506BA" w:rsidRDefault="004506BA">
      <w:pPr>
        <w:rPr>
          <w:b/>
          <w:bCs/>
        </w:rPr>
      </w:pPr>
    </w:p>
    <w:p w14:paraId="311116FA" w14:textId="77777777" w:rsidR="004506BA" w:rsidRDefault="00BC57FB">
      <w:pPr>
        <w:rPr>
          <w:b/>
          <w:bCs/>
        </w:rPr>
      </w:pPr>
      <w:r>
        <w:rPr>
          <w:noProof/>
        </w:rPr>
        <w:drawing>
          <wp:anchor distT="0" distB="0" distL="0" distR="0" simplePos="0" relativeHeight="251660288" behindDoc="0" locked="0" layoutInCell="1" hidden="0" allowOverlap="1" wp14:anchorId="4C1F4014" wp14:editId="65EA1D99">
            <wp:simplePos x="0" y="0"/>
            <wp:positionH relativeFrom="column">
              <wp:posOffset>0</wp:posOffset>
            </wp:positionH>
            <wp:positionV relativeFrom="paragraph">
              <wp:posOffset>629065</wp:posOffset>
            </wp:positionV>
            <wp:extent cx="2723107" cy="1869911"/>
            <wp:effectExtent l="0" t="0" r="0" b="0"/>
            <wp:wrapSquare wrapText="bothSides" distT="0" distB="0" distL="0" distR="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2723107" cy="1869911"/>
                    </a:xfrm>
                    <a:prstGeom prst="rect">
                      <a:avLst/>
                    </a:prstGeom>
                    <a:ln/>
                  </pic:spPr>
                </pic:pic>
              </a:graphicData>
            </a:graphic>
          </wp:anchor>
        </w:drawing>
      </w:r>
      <w:r>
        <w:rPr>
          <w:noProof/>
        </w:rPr>
        <w:drawing>
          <wp:anchor distT="0" distB="0" distL="114300" distR="114300" simplePos="0" relativeHeight="251661312" behindDoc="0" locked="0" layoutInCell="1" hidden="0" allowOverlap="1" wp14:anchorId="617E6AB8" wp14:editId="49D10383">
            <wp:simplePos x="0" y="0"/>
            <wp:positionH relativeFrom="column">
              <wp:posOffset>2883225</wp:posOffset>
            </wp:positionH>
            <wp:positionV relativeFrom="paragraph">
              <wp:posOffset>695325</wp:posOffset>
            </wp:positionV>
            <wp:extent cx="2848610" cy="1733550"/>
            <wp:effectExtent l="0" t="0" r="0" b="0"/>
            <wp:wrapSquare wrapText="bothSides" distT="0" distB="0" distL="114300" distR="11430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2848610" cy="1733550"/>
                    </a:xfrm>
                    <a:prstGeom prst="rect">
                      <a:avLst/>
                    </a:prstGeom>
                    <a:ln/>
                  </pic:spPr>
                </pic:pic>
              </a:graphicData>
            </a:graphic>
          </wp:anchor>
        </w:drawing>
      </w:r>
    </w:p>
    <w:p w14:paraId="77AB3927" w14:textId="77777777" w:rsidR="004506BA" w:rsidRDefault="00BC57FB">
      <w:pPr>
        <w:rPr>
          <w:b/>
          <w:bCs/>
        </w:rPr>
      </w:pPr>
      <w:r>
        <w:rPr>
          <w:b/>
          <w:bCs/>
        </w:rPr>
        <w:t>Proposed -</w:t>
      </w:r>
    </w:p>
    <w:p w14:paraId="7EBC802E" w14:textId="77777777" w:rsidR="004506BA" w:rsidRDefault="004506BA">
      <w:pPr>
        <w:rPr>
          <w:b/>
          <w:bCs/>
        </w:rPr>
      </w:pPr>
    </w:p>
    <w:p w14:paraId="208E5E06" w14:textId="77777777" w:rsidR="004506BA" w:rsidRDefault="004506BA">
      <w:pPr>
        <w:rPr>
          <w:b/>
          <w:bCs/>
        </w:rPr>
      </w:pPr>
    </w:p>
    <w:p w14:paraId="10B9C2A8" w14:textId="77777777" w:rsidR="004506BA" w:rsidRDefault="004506BA">
      <w:pPr>
        <w:rPr>
          <w:b/>
          <w:bCs/>
        </w:rPr>
      </w:pPr>
    </w:p>
    <w:p w14:paraId="416D5C88" w14:textId="77777777" w:rsidR="004506BA" w:rsidRDefault="004506BA">
      <w:pPr>
        <w:rPr>
          <w:b/>
          <w:bCs/>
        </w:rPr>
      </w:pPr>
    </w:p>
    <w:p w14:paraId="1B839B69" w14:textId="77777777" w:rsidR="004506BA" w:rsidRDefault="004506BA">
      <w:pPr>
        <w:rPr>
          <w:b/>
          <w:bCs/>
        </w:rPr>
      </w:pPr>
    </w:p>
    <w:p w14:paraId="22EDC1FF" w14:textId="77777777" w:rsidR="004506BA" w:rsidRDefault="004506BA">
      <w:pPr>
        <w:rPr>
          <w:b/>
          <w:bCs/>
        </w:rPr>
      </w:pPr>
    </w:p>
    <w:p w14:paraId="1638059E" w14:textId="77777777" w:rsidR="004506BA" w:rsidRDefault="004506BA">
      <w:pPr>
        <w:rPr>
          <w:b/>
          <w:bCs/>
        </w:rPr>
      </w:pPr>
    </w:p>
    <w:p w14:paraId="7E3C37CA" w14:textId="77777777" w:rsidR="004506BA" w:rsidRDefault="004506BA">
      <w:pPr>
        <w:rPr>
          <w:b/>
          <w:bCs/>
        </w:rPr>
      </w:pPr>
    </w:p>
    <w:p w14:paraId="673545D4" w14:textId="77777777" w:rsidR="004506BA" w:rsidRDefault="004506BA">
      <w:pPr>
        <w:rPr>
          <w:b/>
          <w:bCs/>
        </w:rPr>
      </w:pPr>
    </w:p>
    <w:p w14:paraId="01C4C331" w14:textId="77777777" w:rsidR="004506BA" w:rsidRDefault="004506BA">
      <w:pPr>
        <w:rPr>
          <w:b/>
          <w:bCs/>
        </w:rPr>
      </w:pPr>
    </w:p>
    <w:p w14:paraId="0782F947" w14:textId="77777777" w:rsidR="004506BA" w:rsidRDefault="004506BA">
      <w:pPr>
        <w:rPr>
          <w:b/>
          <w:bCs/>
        </w:rPr>
      </w:pPr>
    </w:p>
    <w:p w14:paraId="46A1BCAF" w14:textId="7C2D47A2" w:rsidR="004506BA" w:rsidRDefault="00BC57FB">
      <w:pPr>
        <w:rPr>
          <w:b/>
          <w:bCs/>
        </w:rPr>
      </w:pPr>
      <w:r>
        <w:rPr>
          <w:b/>
          <w:bCs/>
        </w:rPr>
        <w:lastRenderedPageBreak/>
        <w:t xml:space="preserve">Terms and </w:t>
      </w:r>
      <w:r w:rsidR="009E36DC">
        <w:rPr>
          <w:b/>
          <w:bCs/>
        </w:rPr>
        <w:t>Abbreviations</w:t>
      </w:r>
    </w:p>
    <w:tbl>
      <w:tblPr>
        <w:tblStyle w:val="a"/>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4506BA" w14:paraId="09C9F6C7" w14:textId="77777777">
        <w:trPr>
          <w:trHeight w:val="719"/>
        </w:trPr>
        <w:tc>
          <w:tcPr>
            <w:tcW w:w="4513" w:type="dxa"/>
            <w:tcMar>
              <w:top w:w="100" w:type="dxa"/>
              <w:left w:w="100" w:type="dxa"/>
              <w:bottom w:w="100" w:type="dxa"/>
              <w:right w:w="100" w:type="dxa"/>
            </w:tcMar>
          </w:tcPr>
          <w:p w14:paraId="45D05FA3" w14:textId="77777777" w:rsidR="004506BA" w:rsidRDefault="00BC57FB">
            <w:pPr>
              <w:rPr>
                <w:b/>
                <w:bCs/>
              </w:rPr>
            </w:pPr>
            <w:r>
              <w:rPr>
                <w:b/>
                <w:bCs/>
              </w:rPr>
              <w:t>BSA</w:t>
            </w:r>
          </w:p>
        </w:tc>
        <w:tc>
          <w:tcPr>
            <w:tcW w:w="4513" w:type="dxa"/>
            <w:tcMar>
              <w:top w:w="100" w:type="dxa"/>
              <w:left w:w="100" w:type="dxa"/>
              <w:bottom w:w="100" w:type="dxa"/>
              <w:right w:w="100" w:type="dxa"/>
            </w:tcMar>
          </w:tcPr>
          <w:p w14:paraId="65F1D6CA" w14:textId="77777777" w:rsidR="004506BA" w:rsidRDefault="00BC57FB">
            <w:pPr>
              <w:rPr>
                <w:b/>
                <w:bCs/>
              </w:rPr>
            </w:pPr>
            <w:r>
              <w:rPr>
                <w:b/>
                <w:bCs/>
              </w:rPr>
              <w:t>Building Safety Act</w:t>
            </w:r>
          </w:p>
        </w:tc>
      </w:tr>
      <w:tr w:rsidR="004506BA" w14:paraId="2294EADC" w14:textId="77777777">
        <w:tc>
          <w:tcPr>
            <w:tcW w:w="4513" w:type="dxa"/>
            <w:tcMar>
              <w:top w:w="100" w:type="dxa"/>
              <w:left w:w="100" w:type="dxa"/>
              <w:bottom w:w="100" w:type="dxa"/>
              <w:right w:w="100" w:type="dxa"/>
            </w:tcMar>
          </w:tcPr>
          <w:p w14:paraId="240CD948" w14:textId="77777777" w:rsidR="004506BA" w:rsidRDefault="00BC57FB">
            <w:pPr>
              <w:rPr>
                <w:b/>
                <w:bCs/>
              </w:rPr>
            </w:pPr>
            <w:r>
              <w:rPr>
                <w:b/>
                <w:bCs/>
              </w:rPr>
              <w:t>CDM</w:t>
            </w:r>
          </w:p>
        </w:tc>
        <w:tc>
          <w:tcPr>
            <w:tcW w:w="4513" w:type="dxa"/>
            <w:tcMar>
              <w:top w:w="100" w:type="dxa"/>
              <w:left w:w="100" w:type="dxa"/>
              <w:bottom w:w="100" w:type="dxa"/>
              <w:right w:w="100" w:type="dxa"/>
            </w:tcMar>
          </w:tcPr>
          <w:p w14:paraId="1BF86059" w14:textId="77777777" w:rsidR="004506BA" w:rsidRDefault="00BC57FB">
            <w:pPr>
              <w:rPr>
                <w:b/>
                <w:bCs/>
              </w:rPr>
            </w:pPr>
            <w:r>
              <w:rPr>
                <w:b/>
                <w:bCs/>
              </w:rPr>
              <w:t>Construction Design and Management Regulations</w:t>
            </w:r>
          </w:p>
        </w:tc>
      </w:tr>
      <w:tr w:rsidR="004506BA" w14:paraId="7188E77B" w14:textId="77777777">
        <w:tc>
          <w:tcPr>
            <w:tcW w:w="4513" w:type="dxa"/>
            <w:tcMar>
              <w:top w:w="100" w:type="dxa"/>
              <w:left w:w="100" w:type="dxa"/>
              <w:bottom w:w="100" w:type="dxa"/>
              <w:right w:w="100" w:type="dxa"/>
            </w:tcMar>
          </w:tcPr>
          <w:p w14:paraId="4602BA0F" w14:textId="77777777" w:rsidR="004506BA" w:rsidRDefault="00BC57FB">
            <w:pPr>
              <w:rPr>
                <w:b/>
                <w:bCs/>
              </w:rPr>
            </w:pPr>
            <w:r>
              <w:rPr>
                <w:b/>
                <w:bCs/>
              </w:rPr>
              <w:t>HSE</w:t>
            </w:r>
          </w:p>
        </w:tc>
        <w:tc>
          <w:tcPr>
            <w:tcW w:w="4513" w:type="dxa"/>
            <w:tcMar>
              <w:top w:w="100" w:type="dxa"/>
              <w:left w:w="100" w:type="dxa"/>
              <w:bottom w:w="100" w:type="dxa"/>
              <w:right w:w="100" w:type="dxa"/>
            </w:tcMar>
          </w:tcPr>
          <w:p w14:paraId="71A8BDDE" w14:textId="77777777" w:rsidR="004506BA" w:rsidRDefault="00BC57FB">
            <w:pPr>
              <w:rPr>
                <w:b/>
                <w:bCs/>
              </w:rPr>
            </w:pPr>
            <w:r>
              <w:rPr>
                <w:b/>
                <w:bCs/>
              </w:rPr>
              <w:t>Health and Safety Executive</w:t>
            </w:r>
          </w:p>
        </w:tc>
      </w:tr>
      <w:tr w:rsidR="004506BA" w14:paraId="0E934347" w14:textId="77777777">
        <w:tc>
          <w:tcPr>
            <w:tcW w:w="4513" w:type="dxa"/>
            <w:tcMar>
              <w:top w:w="100" w:type="dxa"/>
              <w:left w:w="100" w:type="dxa"/>
              <w:bottom w:w="100" w:type="dxa"/>
              <w:right w:w="100" w:type="dxa"/>
            </w:tcMar>
          </w:tcPr>
          <w:p w14:paraId="2C254103" w14:textId="77777777" w:rsidR="004506BA" w:rsidRDefault="00BC57FB">
            <w:pPr>
              <w:rPr>
                <w:b/>
                <w:bCs/>
              </w:rPr>
            </w:pPr>
            <w:r>
              <w:rPr>
                <w:b/>
                <w:bCs/>
              </w:rPr>
              <w:t xml:space="preserve">PPE </w:t>
            </w:r>
          </w:p>
        </w:tc>
        <w:tc>
          <w:tcPr>
            <w:tcW w:w="4513" w:type="dxa"/>
            <w:tcMar>
              <w:top w:w="100" w:type="dxa"/>
              <w:left w:w="100" w:type="dxa"/>
              <w:bottom w:w="100" w:type="dxa"/>
              <w:right w:w="100" w:type="dxa"/>
            </w:tcMar>
          </w:tcPr>
          <w:p w14:paraId="2C3BD626" w14:textId="77777777" w:rsidR="004506BA" w:rsidRDefault="00BC57FB">
            <w:pPr>
              <w:rPr>
                <w:b/>
                <w:bCs/>
              </w:rPr>
            </w:pPr>
            <w:r>
              <w:rPr>
                <w:b/>
                <w:bCs/>
              </w:rPr>
              <w:t>Personal Protective Equipment</w:t>
            </w:r>
          </w:p>
        </w:tc>
      </w:tr>
      <w:tr w:rsidR="004506BA" w14:paraId="073EF297" w14:textId="77777777">
        <w:tc>
          <w:tcPr>
            <w:tcW w:w="4513" w:type="dxa"/>
            <w:tcMar>
              <w:top w:w="100" w:type="dxa"/>
              <w:left w:w="100" w:type="dxa"/>
              <w:bottom w:w="100" w:type="dxa"/>
              <w:right w:w="100" w:type="dxa"/>
            </w:tcMar>
          </w:tcPr>
          <w:p w14:paraId="4288BB9B" w14:textId="77777777" w:rsidR="004506BA" w:rsidRDefault="00BC57FB">
            <w:pPr>
              <w:rPr>
                <w:b/>
                <w:bCs/>
              </w:rPr>
            </w:pPr>
            <w:r>
              <w:rPr>
                <w:b/>
                <w:bCs/>
              </w:rPr>
              <w:t>COSHH</w:t>
            </w:r>
          </w:p>
        </w:tc>
        <w:tc>
          <w:tcPr>
            <w:tcW w:w="4513" w:type="dxa"/>
            <w:tcMar>
              <w:top w:w="100" w:type="dxa"/>
              <w:left w:w="100" w:type="dxa"/>
              <w:bottom w:w="100" w:type="dxa"/>
              <w:right w:w="100" w:type="dxa"/>
            </w:tcMar>
          </w:tcPr>
          <w:p w14:paraId="129207B9" w14:textId="77777777" w:rsidR="004506BA" w:rsidRDefault="00BC57FB">
            <w:pPr>
              <w:rPr>
                <w:b/>
                <w:bCs/>
              </w:rPr>
            </w:pPr>
            <w:r>
              <w:rPr>
                <w:b/>
                <w:bCs/>
              </w:rPr>
              <w:t>Control of Substances Hazardous to Health</w:t>
            </w:r>
          </w:p>
        </w:tc>
      </w:tr>
      <w:tr w:rsidR="004506BA" w14:paraId="24E07C3B" w14:textId="77777777">
        <w:tc>
          <w:tcPr>
            <w:tcW w:w="4513" w:type="dxa"/>
            <w:tcMar>
              <w:top w:w="100" w:type="dxa"/>
              <w:left w:w="100" w:type="dxa"/>
              <w:bottom w:w="100" w:type="dxa"/>
              <w:right w:w="100" w:type="dxa"/>
            </w:tcMar>
          </w:tcPr>
          <w:p w14:paraId="14ED4F0B" w14:textId="77777777" w:rsidR="004506BA" w:rsidRDefault="00BC57FB">
            <w:pPr>
              <w:rPr>
                <w:b/>
                <w:bCs/>
              </w:rPr>
            </w:pPr>
            <w:r>
              <w:rPr>
                <w:b/>
                <w:bCs/>
              </w:rPr>
              <w:t>HRB</w:t>
            </w:r>
          </w:p>
        </w:tc>
        <w:tc>
          <w:tcPr>
            <w:tcW w:w="4513" w:type="dxa"/>
            <w:tcMar>
              <w:top w:w="100" w:type="dxa"/>
              <w:left w:w="100" w:type="dxa"/>
              <w:bottom w:w="100" w:type="dxa"/>
              <w:right w:w="100" w:type="dxa"/>
            </w:tcMar>
          </w:tcPr>
          <w:p w14:paraId="6EFE17B5" w14:textId="77777777" w:rsidR="004506BA" w:rsidRDefault="00BC57FB">
            <w:pPr>
              <w:rPr>
                <w:b/>
                <w:bCs/>
              </w:rPr>
            </w:pPr>
            <w:r>
              <w:rPr>
                <w:b/>
                <w:bCs/>
              </w:rPr>
              <w:t>Higher Risk Building</w:t>
            </w:r>
          </w:p>
        </w:tc>
      </w:tr>
      <w:tr w:rsidR="004506BA" w14:paraId="7A9F5DD4" w14:textId="77777777">
        <w:tc>
          <w:tcPr>
            <w:tcW w:w="4513" w:type="dxa"/>
            <w:tcMar>
              <w:top w:w="100" w:type="dxa"/>
              <w:left w:w="100" w:type="dxa"/>
              <w:bottom w:w="100" w:type="dxa"/>
              <w:right w:w="100" w:type="dxa"/>
            </w:tcMar>
          </w:tcPr>
          <w:p w14:paraId="530AB87A" w14:textId="77777777" w:rsidR="004506BA" w:rsidRDefault="00BC57FB">
            <w:pPr>
              <w:rPr>
                <w:b/>
                <w:bCs/>
              </w:rPr>
            </w:pPr>
            <w:r>
              <w:rPr>
                <w:b/>
                <w:bCs/>
              </w:rPr>
              <w:t>RAMS</w:t>
            </w:r>
          </w:p>
        </w:tc>
        <w:tc>
          <w:tcPr>
            <w:tcW w:w="4513" w:type="dxa"/>
            <w:tcMar>
              <w:top w:w="100" w:type="dxa"/>
              <w:left w:w="100" w:type="dxa"/>
              <w:bottom w:w="100" w:type="dxa"/>
              <w:right w:w="100" w:type="dxa"/>
            </w:tcMar>
          </w:tcPr>
          <w:p w14:paraId="5D540060" w14:textId="77777777" w:rsidR="004506BA" w:rsidRDefault="00BC57FB">
            <w:pPr>
              <w:rPr>
                <w:b/>
                <w:bCs/>
              </w:rPr>
            </w:pPr>
            <w:r>
              <w:rPr>
                <w:b/>
                <w:bCs/>
              </w:rPr>
              <w:t>Risk Assessments and Method Statements</w:t>
            </w:r>
          </w:p>
        </w:tc>
      </w:tr>
      <w:tr w:rsidR="004506BA" w14:paraId="734FDCCB" w14:textId="77777777">
        <w:tc>
          <w:tcPr>
            <w:tcW w:w="4513" w:type="dxa"/>
            <w:tcMar>
              <w:top w:w="100" w:type="dxa"/>
              <w:left w:w="100" w:type="dxa"/>
              <w:bottom w:w="100" w:type="dxa"/>
              <w:right w:w="100" w:type="dxa"/>
            </w:tcMar>
          </w:tcPr>
          <w:p w14:paraId="4EDF90FD" w14:textId="77777777" w:rsidR="004506BA" w:rsidRDefault="00BC57FB">
            <w:pPr>
              <w:rPr>
                <w:b/>
                <w:bCs/>
              </w:rPr>
            </w:pPr>
            <w:r>
              <w:rPr>
                <w:b/>
                <w:bCs/>
              </w:rPr>
              <w:t>RIDDOR</w:t>
            </w:r>
          </w:p>
        </w:tc>
        <w:tc>
          <w:tcPr>
            <w:tcW w:w="4513" w:type="dxa"/>
            <w:tcMar>
              <w:top w:w="100" w:type="dxa"/>
              <w:left w:w="100" w:type="dxa"/>
              <w:bottom w:w="100" w:type="dxa"/>
              <w:right w:w="100" w:type="dxa"/>
            </w:tcMar>
          </w:tcPr>
          <w:p w14:paraId="71CA273A" w14:textId="77777777" w:rsidR="004506BA" w:rsidRDefault="00BC57FB">
            <w:pPr>
              <w:rPr>
                <w:b/>
                <w:bCs/>
              </w:rPr>
            </w:pPr>
            <w:r>
              <w:rPr>
                <w:b/>
                <w:bCs/>
              </w:rPr>
              <w:t>Reporting of Injuries, Diseases and Dangerous Occurrences</w:t>
            </w:r>
          </w:p>
        </w:tc>
      </w:tr>
      <w:tr w:rsidR="004506BA" w14:paraId="442B1E0A" w14:textId="77777777">
        <w:tc>
          <w:tcPr>
            <w:tcW w:w="4513" w:type="dxa"/>
            <w:tcMar>
              <w:top w:w="100" w:type="dxa"/>
              <w:left w:w="100" w:type="dxa"/>
              <w:bottom w:w="100" w:type="dxa"/>
              <w:right w:w="100" w:type="dxa"/>
            </w:tcMar>
          </w:tcPr>
          <w:p w14:paraId="59D65A58" w14:textId="77777777" w:rsidR="004506BA" w:rsidRDefault="00BC57FB">
            <w:pPr>
              <w:rPr>
                <w:b/>
                <w:bCs/>
              </w:rPr>
            </w:pPr>
            <w:r>
              <w:rPr>
                <w:b/>
                <w:bCs/>
              </w:rPr>
              <w:t xml:space="preserve">WAH </w:t>
            </w:r>
          </w:p>
        </w:tc>
        <w:tc>
          <w:tcPr>
            <w:tcW w:w="4513" w:type="dxa"/>
            <w:tcMar>
              <w:top w:w="100" w:type="dxa"/>
              <w:left w:w="100" w:type="dxa"/>
              <w:bottom w:w="100" w:type="dxa"/>
              <w:right w:w="100" w:type="dxa"/>
            </w:tcMar>
          </w:tcPr>
          <w:p w14:paraId="0F54D2E4" w14:textId="77777777" w:rsidR="004506BA" w:rsidRDefault="00BC57FB">
            <w:pPr>
              <w:rPr>
                <w:b/>
                <w:bCs/>
              </w:rPr>
            </w:pPr>
            <w:r>
              <w:rPr>
                <w:b/>
                <w:bCs/>
              </w:rPr>
              <w:t>Work at Height Regulations</w:t>
            </w:r>
          </w:p>
        </w:tc>
      </w:tr>
      <w:tr w:rsidR="004506BA" w14:paraId="7EF50957" w14:textId="77777777">
        <w:tc>
          <w:tcPr>
            <w:tcW w:w="4513" w:type="dxa"/>
            <w:tcMar>
              <w:top w:w="100" w:type="dxa"/>
              <w:left w:w="100" w:type="dxa"/>
              <w:bottom w:w="100" w:type="dxa"/>
              <w:right w:w="100" w:type="dxa"/>
            </w:tcMar>
          </w:tcPr>
          <w:p w14:paraId="452C3BBA" w14:textId="77777777" w:rsidR="004506BA" w:rsidRDefault="00BC57FB">
            <w:pPr>
              <w:rPr>
                <w:b/>
                <w:bCs/>
              </w:rPr>
            </w:pPr>
            <w:r>
              <w:rPr>
                <w:b/>
                <w:bCs/>
              </w:rPr>
              <w:t xml:space="preserve">PC </w:t>
            </w:r>
          </w:p>
        </w:tc>
        <w:tc>
          <w:tcPr>
            <w:tcW w:w="4513" w:type="dxa"/>
            <w:tcMar>
              <w:top w:w="100" w:type="dxa"/>
              <w:left w:w="100" w:type="dxa"/>
              <w:bottom w:w="100" w:type="dxa"/>
              <w:right w:w="100" w:type="dxa"/>
            </w:tcMar>
          </w:tcPr>
          <w:p w14:paraId="4CFC1D18" w14:textId="77777777" w:rsidR="004506BA" w:rsidRDefault="00BC57FB">
            <w:pPr>
              <w:rPr>
                <w:b/>
                <w:bCs/>
              </w:rPr>
            </w:pPr>
            <w:r>
              <w:rPr>
                <w:b/>
                <w:bCs/>
              </w:rPr>
              <w:t>Principal Contractor</w:t>
            </w:r>
          </w:p>
        </w:tc>
      </w:tr>
      <w:tr w:rsidR="004506BA" w14:paraId="1F3A4272" w14:textId="77777777">
        <w:tc>
          <w:tcPr>
            <w:tcW w:w="4513" w:type="dxa"/>
            <w:tcMar>
              <w:top w:w="100" w:type="dxa"/>
              <w:left w:w="100" w:type="dxa"/>
              <w:bottom w:w="100" w:type="dxa"/>
              <w:right w:w="100" w:type="dxa"/>
            </w:tcMar>
          </w:tcPr>
          <w:p w14:paraId="197456D4" w14:textId="77777777" w:rsidR="004506BA" w:rsidRDefault="00BC57FB">
            <w:pPr>
              <w:rPr>
                <w:b/>
                <w:bCs/>
              </w:rPr>
            </w:pPr>
            <w:r>
              <w:rPr>
                <w:b/>
                <w:bCs/>
              </w:rPr>
              <w:t xml:space="preserve">PD </w:t>
            </w:r>
          </w:p>
        </w:tc>
        <w:tc>
          <w:tcPr>
            <w:tcW w:w="4513" w:type="dxa"/>
            <w:tcMar>
              <w:top w:w="100" w:type="dxa"/>
              <w:left w:w="100" w:type="dxa"/>
              <w:bottom w:w="100" w:type="dxa"/>
              <w:right w:w="100" w:type="dxa"/>
            </w:tcMar>
          </w:tcPr>
          <w:p w14:paraId="1F33BF2F" w14:textId="77777777" w:rsidR="004506BA" w:rsidRDefault="00BC57FB">
            <w:pPr>
              <w:rPr>
                <w:b/>
                <w:bCs/>
              </w:rPr>
            </w:pPr>
            <w:r>
              <w:rPr>
                <w:b/>
                <w:bCs/>
              </w:rPr>
              <w:t>Principal Designer</w:t>
            </w:r>
          </w:p>
        </w:tc>
      </w:tr>
    </w:tbl>
    <w:p w14:paraId="1913D720" w14:textId="77777777" w:rsidR="004506BA" w:rsidRDefault="004506BA">
      <w:pPr>
        <w:rPr>
          <w:b/>
          <w:bCs/>
        </w:rPr>
      </w:pPr>
    </w:p>
    <w:p w14:paraId="29309395" w14:textId="77777777" w:rsidR="004506BA" w:rsidRDefault="004506BA">
      <w:pPr>
        <w:rPr>
          <w:b/>
          <w:bCs/>
        </w:rPr>
      </w:pPr>
    </w:p>
    <w:p w14:paraId="479A945E" w14:textId="77777777" w:rsidR="004506BA" w:rsidRDefault="004506BA">
      <w:pPr>
        <w:rPr>
          <w:b/>
          <w:bCs/>
        </w:rPr>
      </w:pPr>
    </w:p>
    <w:p w14:paraId="103AC0CE" w14:textId="77777777" w:rsidR="004506BA" w:rsidRDefault="004506BA">
      <w:pPr>
        <w:rPr>
          <w:b/>
          <w:bCs/>
        </w:rPr>
      </w:pPr>
    </w:p>
    <w:p w14:paraId="39034C78" w14:textId="77777777" w:rsidR="004506BA" w:rsidRDefault="004506BA">
      <w:pPr>
        <w:rPr>
          <w:b/>
          <w:bCs/>
        </w:rPr>
      </w:pPr>
    </w:p>
    <w:p w14:paraId="4E9962D2" w14:textId="77777777" w:rsidR="004506BA" w:rsidRDefault="004506BA">
      <w:pPr>
        <w:rPr>
          <w:b/>
          <w:bCs/>
        </w:rPr>
      </w:pPr>
    </w:p>
    <w:p w14:paraId="6D70FA36" w14:textId="77777777" w:rsidR="004506BA" w:rsidRDefault="004506BA">
      <w:pPr>
        <w:rPr>
          <w:b/>
          <w:bCs/>
        </w:rPr>
      </w:pPr>
    </w:p>
    <w:p w14:paraId="223BE759" w14:textId="77777777" w:rsidR="004506BA" w:rsidRDefault="004506BA">
      <w:pPr>
        <w:rPr>
          <w:b/>
          <w:bCs/>
        </w:rPr>
      </w:pPr>
    </w:p>
    <w:p w14:paraId="6F271360" w14:textId="77777777" w:rsidR="004506BA" w:rsidRDefault="00BC57FB">
      <w:r>
        <w:rPr>
          <w:b/>
          <w:bCs/>
        </w:rPr>
        <w:lastRenderedPageBreak/>
        <w:t>Summary</w:t>
      </w:r>
      <w:r>
        <w:rPr>
          <w:b/>
          <w:bCs/>
        </w:rPr>
        <w:br/>
      </w:r>
      <w:r>
        <w:t>This report establishes the health and safety framework for the proposed retrofit of Croft Street Block 2, a 14-storey residential tower block located in the Dyfatty area of Swansea. The works comprise the refurbishment of kitchens and bathrooms, installation of a comprehensive fire sprinkler system, and the application of external overcladding to improve thermal performance and weather resistance. Due to the building’s height, age, and continued occupation during construction, the project falls within the highest risk category of residential construction and is subject to an extensive and evolving regulatory regime (</w:t>
      </w:r>
      <w:r>
        <w:rPr>
          <w:i/>
          <w:iCs/>
        </w:rPr>
        <w:t>Gov.UK 2024a).</w:t>
      </w:r>
    </w:p>
    <w:p w14:paraId="491F461B" w14:textId="77777777" w:rsidR="004506BA" w:rsidRDefault="00BC57FB">
      <w:r>
        <w:t xml:space="preserve">The primary legislative frameworks governing the project are the Building Safety Act 2022 (BSA) and the forthcoming Building Safety Bill, the Health and Safety at Work etc. Act 1974 and its subordinate regulations, and the Construction Design and Management Regulations 2015 (CDM). This report critically examines how these frameworks apply in practice, with particular emphasis on key risk areas including working at height (WAH), asbestos exposure, fire safety in occupied buildings, manual handling, and the interface between construction activities and residents. WAH remains the leading cause of fatalities in the UK construction industry, accounting for approximately 30% of all fatal injuries </w:t>
      </w:r>
      <w:r>
        <w:rPr>
          <w:i/>
          <w:iCs/>
        </w:rPr>
        <w:t>(HSE, 2023a)</w:t>
      </w:r>
      <w:r>
        <w:t>, reinforcing the critical importance of robust control measures in high-rise retrofit projects such as this. It concludes that successful delivery depends on a fully integrated, risk-led management approach in which health and safety is embedded as a core project discipline rather than treated as a compliance exercise.</w:t>
      </w:r>
    </w:p>
    <w:p w14:paraId="4FD159F1" w14:textId="77777777" w:rsidR="004506BA" w:rsidRDefault="00BC57FB">
      <w:r>
        <w:rPr>
          <w:b/>
          <w:bCs/>
        </w:rPr>
        <w:t>Project Overview</w:t>
      </w:r>
      <w:r>
        <w:rPr>
          <w:b/>
          <w:bCs/>
        </w:rPr>
        <w:br/>
      </w:r>
      <w:r>
        <w:t>Croft Street Block 2 is one of two 14-storey residential towers constructed in 1963–64 as part of a post-war social housing programme and is currently owned and managed by Swansea Council. The proposed works form part of a wider investment strategy to modernise housing stock and improve building safety and energy performance. The scope includes refurbishment of approximately 100 flats, installation of sprinkler systems across all residential and communal areas, external overcladding using non-combustible materials, and associated structural repairs.</w:t>
      </w:r>
    </w:p>
    <w:p w14:paraId="2D744E1D" w14:textId="77777777" w:rsidR="004506BA" w:rsidRDefault="00BC57FB">
      <w:r>
        <w:t xml:space="preserve">The project presents a complex risk profile. The building will remain occupied throughout the works, requiring careful management of the interface between construction activities and residents’ daily lives. The height of the structure places all external works firmly within the scope of WAH regulations. The building’s age may also pose a risk as there's a high probability of asbestos-containing materials being present </w:t>
      </w:r>
      <w:r>
        <w:rPr>
          <w:i/>
          <w:iCs/>
        </w:rPr>
        <w:t>(OHSE. 2026)</w:t>
      </w:r>
      <w:r>
        <w:t xml:space="preserve">. Furthermore, the phased installation of fire safety systems introduces temporary vulnerabilities that must be mitigated through robust planning and control measures. These factors necessitate a multidisciplinary and highly coordinated approach to health and safety management. This project also reflects a wider national </w:t>
      </w:r>
      <w:r>
        <w:lastRenderedPageBreak/>
        <w:t>challenge, with over 4 million homes in the UK constructed before 1980, many of which require significant upgrades to meet modern safety and energy standards, particularly within the social housing sector.</w:t>
      </w:r>
    </w:p>
    <w:p w14:paraId="61E58706" w14:textId="77777777" w:rsidR="004506BA" w:rsidRDefault="00BC57FB">
      <w:r>
        <w:rPr>
          <w:b/>
          <w:bCs/>
        </w:rPr>
        <w:t>Building Safety Act 2022 and Building Safety Bill</w:t>
      </w:r>
      <w:r>
        <w:rPr>
          <w:b/>
          <w:bCs/>
        </w:rPr>
        <w:br/>
      </w:r>
      <w:r>
        <w:t xml:space="preserve">The BSA represents a fundamental shift in the regulation of high-rise residential buildings. The urgency of these reforms stems from the Grenfell Tower disaster, which resulted in 72 fatalities and exposed systemic failures in building safety regulation, introducing a more stringent and accountable regime in response to systemic failures identified following the Grenfell Tower disaster </w:t>
      </w:r>
      <w:r>
        <w:rPr>
          <w:i/>
          <w:iCs/>
        </w:rPr>
        <w:t>(Gov.UK 2025).</w:t>
      </w:r>
      <w:r>
        <w:t xml:space="preserve"> Under the Act, higher-risk buildings are defined as residential structures exceeding 18 metres or seven storeys, a threshold clearly met by Croft Street Block 2. Although the Building Safety (Wales) Bill is not yet enacted, it is expected to mirror the principles of the Act. Therefore, it is both prudent and necessary to plan for compliance with its anticipated provisions </w:t>
      </w:r>
      <w:r>
        <w:rPr>
          <w:i/>
          <w:iCs/>
        </w:rPr>
        <w:t>(Gov.WALES. 2025).</w:t>
      </w:r>
    </w:p>
    <w:p w14:paraId="3D79DEE0" w14:textId="77777777" w:rsidR="004506BA" w:rsidRDefault="00BC57FB">
      <w:r>
        <w:t>A central feature of the regime is the designation of an Accountable Person, with Swansea Council acting as the principal accountable person (PAP) for this building. The PAP bears ultimate responsibility for managing structural and fire safety risks and must maintain a comprehensive Safety Case Report demonstrating that risks are reduced to as low as reasonably practicable (GOV.UK 2023b). The role of the principal contractor (PC) is therefore closely intertwined with that of the PAP, as construction activities have the potential to significantly alter the building’s risk profile. Effective collaboration, information sharing, and change control processes are essential to ensure ongoing compliance.</w:t>
      </w:r>
    </w:p>
    <w:p w14:paraId="07680E38" w14:textId="77777777" w:rsidR="004506BA" w:rsidRDefault="00BC57FB">
      <w:r>
        <w:t>The requirement to maintain a ‘golden thread’ of information introduces a further layer of responsibility. All safety-critical data generated during the retrofit, including design decisions, material specifications, inspection records, and commissioning data, must be captured, maintained, and made accessible throughout the building’s lifecycle. This has direct implications for project management systems, requiring a robust digital information strategy and strict document control procedures.</w:t>
      </w:r>
    </w:p>
    <w:p w14:paraId="3DF641D3" w14:textId="77777777" w:rsidR="004506BA" w:rsidRDefault="00BC57FB">
      <w:r>
        <w:t xml:space="preserve">The Act also places considerable emphasis on resident engagement. A formal strategy must be implemented to ensure that residents are informed of risks, consulted on safety matters, and able to raise concerns. In the context of this project, where intrusive works will be carried out within occupied flats, this obligation is particularly significant. Clear communication, advance notification of works, and provision of alternative safety measures during temporary disruptions are all essential components of compliance </w:t>
      </w:r>
      <w:r>
        <w:rPr>
          <w:i/>
          <w:iCs/>
        </w:rPr>
        <w:t>(Health and Safety Executive 2024).</w:t>
      </w:r>
    </w:p>
    <w:p w14:paraId="2B48206F" w14:textId="77777777" w:rsidR="004506BA" w:rsidRDefault="00BC57FB">
      <w:r>
        <w:t xml:space="preserve">Finally, the introduction of the Building Safety Regulator and the Gateway approval process imposes additional procedural requirements. Design approval must be </w:t>
      </w:r>
      <w:r>
        <w:lastRenderedPageBreak/>
        <w:t xml:space="preserve">obtained prior to construction, and completion certification is required before occupation following major works. These stages introduce potential delays and must be incorporated into the project programme. Failure to comply with the Act carries severe legal consequences, including criminal liability, underscoring the importance of rigorous adherence </w:t>
      </w:r>
      <w:r>
        <w:rPr>
          <w:i/>
          <w:iCs/>
        </w:rPr>
        <w:t>(Making Buildings Safer 2025).</w:t>
      </w:r>
    </w:p>
    <w:p w14:paraId="09110191" w14:textId="77777777" w:rsidR="004506BA" w:rsidRDefault="00BC57FB">
      <w:r>
        <w:rPr>
          <w:b/>
          <w:bCs/>
        </w:rPr>
        <w:t>Applicable Health and Safety Legislation</w:t>
      </w:r>
      <w:r>
        <w:rPr>
          <w:b/>
          <w:bCs/>
        </w:rPr>
        <w:br/>
      </w:r>
      <w:r>
        <w:t xml:space="preserve">The Health and Safety at Work Act 1974 provides the overarching legal framework, imposing a duty on employers to ensure, so far as is reasonably practicable, the health, safety, and welfare of employees and those affected by their activities. In this project, this duty extends beyond the workforce to include residents and members of the public. Compliance requires the implementation of safe systems of work, competent supervision, and effective risk control measures, particularly in relation to site segregation, dust and noise management, and controlled access </w:t>
      </w:r>
      <w:r>
        <w:rPr>
          <w:i/>
          <w:iCs/>
        </w:rPr>
        <w:t>(HSE 2015a).</w:t>
      </w:r>
      <w:r>
        <w:t> </w:t>
      </w:r>
    </w:p>
    <w:p w14:paraId="6C75D6D7" w14:textId="77777777" w:rsidR="004506BA" w:rsidRDefault="00BC57FB">
      <w:r>
        <w:t>Supporting this, the Management of Health and Safety at Work Regulations 1999 require systematic risk assessment and the implementation of appropriate control measures. For a project of this scale and complexity, generic assessments are insufficient. Instead, task-specific Method Statements and Risk Assessments (RAMS) must be developed, reflecting the unique characteristics of the building and its environment. Continuous monitoring and review are essential, supported by structured processes such as regular inspections, audits, and toolbox talks.</w:t>
      </w:r>
    </w:p>
    <w:p w14:paraId="7FBFD4A9" w14:textId="77777777" w:rsidR="004506BA" w:rsidRDefault="00BC57FB">
      <w:r>
        <w:t xml:space="preserve">The WAH Regulations 2005 are of critical importance given the nature of the external works. These regulations establish a clear hierarchy of control, prioritising the avoidance of work at height, followed by prevention of falls through collective measures such as scaffolding, and finally mitigation through personal protective equipment. In practice, the project will rely heavily on a fully engineered scaffold system designed and inspected by competent persons, incorporating guardrails, toe boards, and debris netting. Strict exclusion zones must be maintained to protect residents and the public from falling objects </w:t>
      </w:r>
      <w:r>
        <w:rPr>
          <w:i/>
          <w:iCs/>
        </w:rPr>
        <w:t>(HSE 2015b).</w:t>
      </w:r>
      <w:r>
        <w:t> </w:t>
      </w:r>
    </w:p>
    <w:p w14:paraId="7D4E6096" w14:textId="77777777" w:rsidR="004506BA" w:rsidRDefault="00BC57FB">
      <w:r>
        <w:t>The Reporting of Injuries, Diseases and Dangerous Occurrences Regulations 2013 (RIDDOR) impose a legal duty on employers, contractors, and those in control of work premises to report specified workplace incidents to the HSE. These include fatalities, specified injuries, occupational diseases, and dangerous occurrences. Within the context of this project, RIDDOR is particularly relevant due to the high-risk nature of activities such as working at height, asbestos removal, and construction within an occupied building. The PC must ensure that robust reporting procedures are in place, enabling timely notification and investigation of incidents. This not only ensures legal compliance but also supports the identification of trends and implementation of corrective measures to prevent recurrence.</w:t>
      </w:r>
    </w:p>
    <w:p w14:paraId="42DC4ACF" w14:textId="77777777" w:rsidR="004506BA" w:rsidRDefault="00BC57FB">
      <w:r>
        <w:lastRenderedPageBreak/>
        <w:t>The COSHH Regulations 2002, together with the Control of Asbestos Regulations 2012, address the significant risks posed by hazardous materials. Given the building’s age, the presence of asbestos is highly likely. This risk is substantial, with asbestos-related diseases responsible for approximately 5,000 deaths per year in the UK, making it one of the leading causes of work-related mortality (UKATA 2023). This necessitates comprehensive surveying and, where required, removal by licensed contractors. This process must be carefully managed to prevent exposure, including the use of controlled environments, air monitoring, and strict documentation procedures. Additional COSHH risks, such as dust and chemical exposure, must be managed through appropriate controls, including ventilation, PPE, and safe handling procedures.</w:t>
      </w:r>
    </w:p>
    <w:p w14:paraId="182ECBD5" w14:textId="77777777" w:rsidR="004506BA" w:rsidRDefault="00BC57FB">
      <w:r>
        <w:t>Manual handling, noise, and equipment safety are addressed through their respective regulations, each requiring a combination of risk assessment, engineering controls, and worker training. Exposure to noise levels above 85 dB(A) can cause permanent hearing damage, and the HSE continues to identify occupational hearing loss as a significant risk within construction. The use of mechanical aids, selection of lower-noise equipment, and strict maintenance and inspection regimes are all essential components of compliance. PPE serves as a final line of defence and must be appropriate, well-maintained, and correctly used.</w:t>
      </w:r>
    </w:p>
    <w:p w14:paraId="564E5BAE" w14:textId="77777777" w:rsidR="004506BA" w:rsidRDefault="00BC57FB">
      <w:r>
        <w:t>Fire safety presents a particularly complex challenge in an occupied building. The Regulatory Reform Fire Safety Order 2005 requires a comprehensive fire risk assessment and the implementation of preventive and protective measures. During construction, additional risks arise from hot works, temporary breaches of compartmentation, and the storage of combustible materials. These must be controlled through permit systems, fire watches, and clear emergency procedures, ensuring the safety of both workers and residents (GOV.UK n.d.a). </w:t>
      </w:r>
    </w:p>
    <w:p w14:paraId="17200FFC" w14:textId="77777777" w:rsidR="004506BA" w:rsidRDefault="00BC57FB">
      <w:r>
        <w:rPr>
          <w:b/>
          <w:bCs/>
        </w:rPr>
        <w:t>CDM 2015</w:t>
      </w:r>
      <w:r>
        <w:rPr>
          <w:b/>
          <w:bCs/>
        </w:rPr>
        <w:br/>
      </w:r>
      <w:r>
        <w:t>CDM 2015 provides the framework for integrating health and safety throughout the project lifecycle. However, despite this framework, construction remains the most hazardous industry in Great Britain, with 35 fatal injuries recorded in 2024/25, the highest of any sector (HSE, 2024b). The project is clearly notifiable, requiring formal notification to the HSE and the appointment of key duty holders, including the Client, PD, and PC.</w:t>
      </w:r>
    </w:p>
    <w:p w14:paraId="4411EDFE" w14:textId="77777777" w:rsidR="004506BA" w:rsidRDefault="00BC57FB">
      <w:r>
        <w:t>The pre-construction phase is particularly significant, as it establishes the foundation for safe project delivery. The PD must compile comprehensive Pre-Construction Information, including structural data, asbestos information, service layouts, and occupancy considerations. This information enables the PC to develop a robust Construction Phase Plan, which serves as the central management document for health and safety during construction.</w:t>
      </w:r>
    </w:p>
    <w:p w14:paraId="7EE412FE" w14:textId="77777777" w:rsidR="004506BA" w:rsidRDefault="00BC57FB">
      <w:r>
        <w:lastRenderedPageBreak/>
        <w:t>The Construction Phase Plan must address site organisation, risk management, contractor coordination, emergency procedures, and communication systems. Given the occupied nature of the building and its urban location, particular attention must be paid to logistics, traffic management, and resident interaction. The plan must remain a live document, evolving in response to changing conditions and emerging risks.</w:t>
      </w:r>
    </w:p>
    <w:p w14:paraId="0EB9A5CB" w14:textId="77777777" w:rsidR="004506BA" w:rsidRDefault="00BC57FB">
      <w:r>
        <w:t>At project completion, a detailed Health and Safety File must be produced and handed over to the client. This document is essential for the ongoing safe management of the building and forms part of the broader information requirements under the BSA. It must include as-built information, system specifications, maintenance requirements, and records of any remaining hazards.</w:t>
      </w:r>
    </w:p>
    <w:p w14:paraId="031A189E" w14:textId="77777777" w:rsidR="004506BA" w:rsidRDefault="00BC57FB">
      <w:r>
        <w:t>Specific risk reduction measures are required for high-risk activities. External cladding works demand a comprehensive scaffold strategy and permit-to-work system, while asbestos management requires strict adherence to surveying and removal procedures. (GOV.UK n.d.b). Traffic management must be carefully controlled to protect the public, and an occupied building protocol must be implemented to manage resident interaction. Sprinkler installation must be phased to maintain fire safety at all times, supported by temporary measures where necessary.</w:t>
      </w:r>
    </w:p>
    <w:p w14:paraId="1B2F1DE6" w14:textId="77777777" w:rsidR="004506BA" w:rsidRDefault="00BC57FB">
      <w:r>
        <w:rPr>
          <w:b/>
          <w:bCs/>
        </w:rPr>
        <w:t>Conclusion</w:t>
      </w:r>
      <w:r>
        <w:rPr>
          <w:b/>
          <w:bCs/>
        </w:rPr>
        <w:br/>
      </w:r>
      <w:r>
        <w:t>The retrofit of Croft Street Block 2 represents a complex and high-risk undertaking requiring strict compliance with an extensive range of legislative requirements. The introduction of the BSA significantly expands the scope of responsibility, extending beyond construction into long-term building safety management and resident engagement. At the same time, established health and safety regulations continue to govern the immediate risks associated with construction activities.</w:t>
      </w:r>
    </w:p>
    <w:p w14:paraId="799AB262" w14:textId="77777777" w:rsidR="004506BA" w:rsidRDefault="00BC57FB">
      <w:r>
        <w:t>The project’s key challenges include WAH, asbestos management, fire safety in an occupied building, and the logistical constraints of an urban environment. Addressing these challenges requires a proactive and integrated approach, underpinned by competent personnel, detailed planning, and effective communication.</w:t>
      </w:r>
    </w:p>
    <w:p w14:paraId="3EBA426D" w14:textId="77777777" w:rsidR="004506BA" w:rsidRDefault="00BC57FB">
      <w:r>
        <w:t>Ultimately, the success of the project depends on embedding health and safety as a central component of project management. By doing so, UWTSD Construction can not only achieve legal compliance but also protect the wellbeing of workers, residents, and the public, while delivering a high-quality and sustainable improvement to Swansea’s housing stock.</w:t>
      </w:r>
    </w:p>
    <w:p w14:paraId="0A932DF0" w14:textId="77777777" w:rsidR="004506BA" w:rsidRDefault="004506BA"/>
    <w:p w14:paraId="047FFAB3" w14:textId="60C91A65" w:rsidR="00D45A45" w:rsidRDefault="00D45A45"/>
    <w:p w14:paraId="7AF5C49B" w14:textId="77777777" w:rsidR="00D45A45" w:rsidRDefault="00D45A45"/>
    <w:p w14:paraId="0ECFFD84" w14:textId="77777777" w:rsidR="00D45A45" w:rsidRDefault="00D45A45"/>
    <w:p w14:paraId="1A8ABFD3" w14:textId="06AE4845" w:rsidR="00FE3C89" w:rsidRPr="005928B1" w:rsidRDefault="005928B1" w:rsidP="005928B1">
      <w:r w:rsidRPr="005928B1">
        <w:lastRenderedPageBreak/>
        <w:t xml:space="preserve">GOV.UK (2023a). </w:t>
      </w:r>
      <w:r w:rsidRPr="005928B1">
        <w:rPr>
          <w:i/>
          <w:iCs/>
        </w:rPr>
        <w:t>Criteria for being a higher-risk building during the occupation phase of the new higher-risk regime</w:t>
      </w:r>
      <w:r w:rsidRPr="005928B1">
        <w:t xml:space="preserve">. GOV.UK. Available at: </w:t>
      </w:r>
      <w:hyperlink r:id="rId10" w:history="1">
        <w:r w:rsidRPr="007D1155">
          <w:rPr>
            <w:rStyle w:val="Hyperlink"/>
          </w:rPr>
          <w:t>https://www.gov.uk/guidance/criteria-for-being-a-higher-risk-building-during-the-occupation-phase-of-the-new-higher-risk-regime</w:t>
        </w:r>
      </w:hyperlink>
      <w:r w:rsidRPr="005928B1">
        <w:t>.</w:t>
      </w:r>
      <w:r>
        <w:t xml:space="preserve"> Accessed </w:t>
      </w:r>
      <w:r w:rsidR="00FE3C89">
        <w:t>26/04/26</w:t>
      </w:r>
    </w:p>
    <w:p w14:paraId="729AC70B" w14:textId="764402D9" w:rsidR="005928B1" w:rsidRPr="005928B1" w:rsidRDefault="005928B1" w:rsidP="005928B1">
      <w:r w:rsidRPr="005928B1">
        <w:t xml:space="preserve">GOV.UK (2023b). </w:t>
      </w:r>
      <w:r w:rsidRPr="005928B1">
        <w:rPr>
          <w:i/>
          <w:iCs/>
        </w:rPr>
        <w:t>Safety in high-rise residential buildings: Accountable persons</w:t>
      </w:r>
      <w:r w:rsidRPr="005928B1">
        <w:t xml:space="preserve">. GOV.UK. Available at: </w:t>
      </w:r>
      <w:hyperlink r:id="rId11" w:history="1">
        <w:r w:rsidR="00FE3C89" w:rsidRPr="007D1155">
          <w:rPr>
            <w:rStyle w:val="Hyperlink"/>
          </w:rPr>
          <w:t>https://www.gov.uk/guidance/safety-in-high-rise-residential-buildings-accountable-persons</w:t>
        </w:r>
      </w:hyperlink>
      <w:r w:rsidRPr="005928B1">
        <w:t>.</w:t>
      </w:r>
      <w:r w:rsidR="00FE3C89">
        <w:t xml:space="preserve"> Accessed 06/05/26</w:t>
      </w:r>
    </w:p>
    <w:p w14:paraId="36D2F41F" w14:textId="06E0B9C9" w:rsidR="005928B1" w:rsidRPr="005928B1" w:rsidRDefault="005928B1" w:rsidP="005928B1">
      <w:r w:rsidRPr="005928B1">
        <w:t xml:space="preserve">Gov.UK (2025). </w:t>
      </w:r>
      <w:r w:rsidRPr="005928B1">
        <w:rPr>
          <w:i/>
          <w:iCs/>
        </w:rPr>
        <w:t>Government responds in full to Grenfell Tower Inquiry, setting out tough new reforms to fix building safety and strengthen accountability</w:t>
      </w:r>
      <w:r w:rsidR="00FE3C89">
        <w:t>.</w:t>
      </w:r>
      <w:r w:rsidRPr="005928B1">
        <w:t xml:space="preserve"> GOV.UK. Available at: </w:t>
      </w:r>
      <w:hyperlink r:id="rId12" w:history="1">
        <w:r w:rsidR="00FE3C89" w:rsidRPr="007D1155">
          <w:rPr>
            <w:rStyle w:val="Hyperlink"/>
          </w:rPr>
          <w:t>https://www.gov.uk/government/news/government-responds-in-full-to-grenfell-tower-inquiry-setting-out-tough-new-reforms-to-fix-building-safety-and-strengthen-accountability</w:t>
        </w:r>
      </w:hyperlink>
      <w:r w:rsidRPr="005928B1">
        <w:t>.</w:t>
      </w:r>
      <w:r w:rsidR="00FE3C89">
        <w:t xml:space="preserve"> Accessed 26/04/26</w:t>
      </w:r>
    </w:p>
    <w:p w14:paraId="55EC1E4E" w14:textId="372A4C3B" w:rsidR="005928B1" w:rsidRPr="005928B1" w:rsidRDefault="005928B1" w:rsidP="005928B1">
      <w:r w:rsidRPr="005928B1">
        <w:t xml:space="preserve">GOV.UK. (n.d.). </w:t>
      </w:r>
      <w:r w:rsidRPr="005928B1">
        <w:rPr>
          <w:i/>
          <w:iCs/>
        </w:rPr>
        <w:t>Check your fire safety responsibilities under Section 156 of the Building Safety Act 2022 (accessible)</w:t>
      </w:r>
      <w:r w:rsidRPr="005928B1">
        <w:t>.</w:t>
      </w:r>
      <w:r w:rsidR="00FE3C89">
        <w:t xml:space="preserve"> </w:t>
      </w:r>
      <w:r w:rsidRPr="005928B1">
        <w:t xml:space="preserve">Available at: </w:t>
      </w:r>
      <w:hyperlink r:id="rId13" w:history="1">
        <w:r w:rsidR="00FE3C89" w:rsidRPr="007D1155">
          <w:rPr>
            <w:rStyle w:val="Hyperlink"/>
          </w:rPr>
          <w:t>https://www.gov.uk/government/publications/check-your-fire-safety-responsibilities-under-section-156-of-the-building-safety-act-2022/fire-safety-responsibilities-under-section-156-of-the-building-safety-act-2022</w:t>
        </w:r>
      </w:hyperlink>
      <w:r w:rsidRPr="005928B1">
        <w:t>.</w:t>
      </w:r>
      <w:r w:rsidR="00FE3C89">
        <w:t xml:space="preserve"> Accessed 20/04/26</w:t>
      </w:r>
    </w:p>
    <w:p w14:paraId="5E537664" w14:textId="206E6138" w:rsidR="005928B1" w:rsidRPr="005928B1" w:rsidRDefault="005928B1" w:rsidP="005928B1">
      <w:r w:rsidRPr="005928B1">
        <w:t xml:space="preserve">GOV.UK. (n.d.). </w:t>
      </w:r>
      <w:r w:rsidRPr="005928B1">
        <w:rPr>
          <w:i/>
          <w:iCs/>
        </w:rPr>
        <w:t>Cladding Safety Scheme overview</w:t>
      </w:r>
      <w:r w:rsidRPr="005928B1">
        <w:t xml:space="preserve">. Available at: </w:t>
      </w:r>
      <w:hyperlink r:id="rId14" w:history="1">
        <w:r w:rsidR="00FE3C89" w:rsidRPr="007D1155">
          <w:rPr>
            <w:rStyle w:val="Hyperlink"/>
          </w:rPr>
          <w:t>https://www.gov.uk/government/publications/cladding-safety-scheme/cladding-safety-scheme-overview</w:t>
        </w:r>
      </w:hyperlink>
      <w:r w:rsidRPr="005928B1">
        <w:t>.</w:t>
      </w:r>
      <w:r w:rsidR="00FE3C89">
        <w:t xml:space="preserve"> Accessed 06/05/26</w:t>
      </w:r>
    </w:p>
    <w:p w14:paraId="42F1D549" w14:textId="7ED3F7E5" w:rsidR="005928B1" w:rsidRPr="005928B1" w:rsidRDefault="005928B1" w:rsidP="005928B1">
      <w:r w:rsidRPr="005928B1">
        <w:t xml:space="preserve">GOV.WALES. (2025). </w:t>
      </w:r>
      <w:r w:rsidRPr="005928B1">
        <w:rPr>
          <w:i/>
          <w:iCs/>
        </w:rPr>
        <w:t>Building Safety Programme  GOV.WALES</w:t>
      </w:r>
      <w:r w:rsidRPr="005928B1">
        <w:t xml:space="preserve">. Available at: </w:t>
      </w:r>
      <w:hyperlink r:id="rId15" w:history="1">
        <w:r w:rsidR="00FE3C89" w:rsidRPr="007D1155">
          <w:rPr>
            <w:rStyle w:val="Hyperlink"/>
          </w:rPr>
          <w:t>https://www.gov.wales/building-safety-programme</w:t>
        </w:r>
      </w:hyperlink>
      <w:r w:rsidRPr="005928B1">
        <w:t>.</w:t>
      </w:r>
      <w:r w:rsidR="00FE3C89">
        <w:t xml:space="preserve"> Accessed 07/05/26</w:t>
      </w:r>
    </w:p>
    <w:p w14:paraId="52902E21" w14:textId="0C1C1D8E" w:rsidR="005928B1" w:rsidRPr="005928B1" w:rsidRDefault="005928B1" w:rsidP="005928B1">
      <w:r w:rsidRPr="005928B1">
        <w:t xml:space="preserve">Health and Safety Executive (2024). </w:t>
      </w:r>
      <w:r w:rsidRPr="005928B1">
        <w:rPr>
          <w:i/>
          <w:iCs/>
        </w:rPr>
        <w:t>Human Factors/ergonomics – Safety Critical Communications</w:t>
      </w:r>
      <w:r w:rsidRPr="005928B1">
        <w:t xml:space="preserve">. www.hse.gov.uk. Available at: </w:t>
      </w:r>
      <w:hyperlink r:id="rId16" w:history="1">
        <w:r w:rsidR="00FE3C89" w:rsidRPr="007D1155">
          <w:rPr>
            <w:rStyle w:val="Hyperlink"/>
          </w:rPr>
          <w:t>https://www.hse.gov.uk/humanfactors/topics/communications.htm</w:t>
        </w:r>
      </w:hyperlink>
      <w:r w:rsidRPr="005928B1">
        <w:t>.</w:t>
      </w:r>
      <w:r w:rsidR="00FE3C89">
        <w:t xml:space="preserve"> Accessed 07/05/26</w:t>
      </w:r>
    </w:p>
    <w:p w14:paraId="00469550" w14:textId="25C085B2" w:rsidR="005928B1" w:rsidRPr="005928B1" w:rsidRDefault="005928B1" w:rsidP="005928B1">
      <w:r w:rsidRPr="005928B1">
        <w:t xml:space="preserve">HSE (2015a). </w:t>
      </w:r>
      <w:r w:rsidRPr="005928B1">
        <w:rPr>
          <w:i/>
          <w:iCs/>
        </w:rPr>
        <w:t>Construction - Construction Design and Management summary of duties</w:t>
      </w:r>
      <w:r w:rsidRPr="005928B1">
        <w:t xml:space="preserve">.  Hse.gov.uk. Available at: </w:t>
      </w:r>
      <w:hyperlink r:id="rId17" w:history="1">
        <w:r w:rsidR="00FE3C89" w:rsidRPr="007D1155">
          <w:rPr>
            <w:rStyle w:val="Hyperlink"/>
          </w:rPr>
          <w:t>https://www.hse.gov.uk/construction/cdm/2015/summary.htm</w:t>
        </w:r>
      </w:hyperlink>
      <w:r w:rsidRPr="005928B1">
        <w:t>.</w:t>
      </w:r>
      <w:r w:rsidR="00FE3C89">
        <w:t xml:space="preserve"> Accessed 22/04/26</w:t>
      </w:r>
    </w:p>
    <w:p w14:paraId="2EDAD210" w14:textId="446BDD82" w:rsidR="005928B1" w:rsidRPr="005928B1" w:rsidRDefault="005928B1" w:rsidP="005928B1">
      <w:r w:rsidRPr="005928B1">
        <w:t xml:space="preserve">HSE (2015b). </w:t>
      </w:r>
      <w:r w:rsidRPr="005928B1">
        <w:rPr>
          <w:i/>
          <w:iCs/>
        </w:rPr>
        <w:t>Construction - Scaffold checklist - HSE</w:t>
      </w:r>
      <w:r w:rsidRPr="005928B1">
        <w:t xml:space="preserve">. Hse.gov.uk. Available at: </w:t>
      </w:r>
      <w:hyperlink r:id="rId18" w:history="1">
        <w:r w:rsidR="00294853" w:rsidRPr="007D1155">
          <w:rPr>
            <w:rStyle w:val="Hyperlink"/>
          </w:rPr>
          <w:t>https://www.hse.gov.uk/construction/safetytopics/scaffoldinginfo.htm</w:t>
        </w:r>
      </w:hyperlink>
      <w:r w:rsidRPr="005928B1">
        <w:t>.</w:t>
      </w:r>
      <w:r w:rsidR="00294853">
        <w:t xml:space="preserve"> Accessed 28/04/26</w:t>
      </w:r>
    </w:p>
    <w:p w14:paraId="1BB98BE7" w14:textId="22CE44C5" w:rsidR="005928B1" w:rsidRPr="005928B1" w:rsidRDefault="005928B1" w:rsidP="005928B1">
      <w:r w:rsidRPr="005928B1">
        <w:t xml:space="preserve">HSE (2023a). </w:t>
      </w:r>
      <w:r w:rsidRPr="005928B1">
        <w:rPr>
          <w:i/>
          <w:iCs/>
        </w:rPr>
        <w:t>Work-related fatal injuries in Great Britain - HSE</w:t>
      </w:r>
      <w:r w:rsidRPr="005928B1">
        <w:t xml:space="preserve">. Hse.gov.uk. Available at: </w:t>
      </w:r>
      <w:hyperlink r:id="rId19" w:history="1">
        <w:r w:rsidR="00294853" w:rsidRPr="007D1155">
          <w:rPr>
            <w:rStyle w:val="Hyperlink"/>
          </w:rPr>
          <w:t>https://www.hse.gov.uk/statistics/fatals-overview.htm</w:t>
        </w:r>
      </w:hyperlink>
      <w:r w:rsidRPr="005928B1">
        <w:t>.</w:t>
      </w:r>
      <w:r w:rsidR="00294853">
        <w:t xml:space="preserve"> Accessed 28/04/26</w:t>
      </w:r>
    </w:p>
    <w:p w14:paraId="3838E7D9" w14:textId="6B57CE96" w:rsidR="005928B1" w:rsidRPr="005928B1" w:rsidRDefault="005928B1" w:rsidP="005928B1">
      <w:r w:rsidRPr="005928B1">
        <w:t xml:space="preserve">HSE (2023b). </w:t>
      </w:r>
      <w:r w:rsidRPr="005928B1">
        <w:rPr>
          <w:i/>
          <w:iCs/>
        </w:rPr>
        <w:t>Work-related fatal injuries in Great Britain - HSE</w:t>
      </w:r>
      <w:r w:rsidRPr="005928B1">
        <w:t xml:space="preserve">. Hse.gov.uk. Available at: </w:t>
      </w:r>
      <w:hyperlink r:id="rId20" w:history="1">
        <w:r w:rsidR="00294853" w:rsidRPr="007D1155">
          <w:rPr>
            <w:rStyle w:val="Hyperlink"/>
          </w:rPr>
          <w:t>https://www.hse.gov.uk/statistics/fatals-overview.htm</w:t>
        </w:r>
      </w:hyperlink>
      <w:r w:rsidRPr="005928B1">
        <w:t>.</w:t>
      </w:r>
      <w:r w:rsidR="00294853">
        <w:t xml:space="preserve"> Accessed 06/05/26</w:t>
      </w:r>
    </w:p>
    <w:p w14:paraId="7A233BE2" w14:textId="4B710AB7" w:rsidR="005928B1" w:rsidRPr="005928B1" w:rsidRDefault="005928B1" w:rsidP="005928B1">
      <w:r w:rsidRPr="005928B1">
        <w:lastRenderedPageBreak/>
        <w:t xml:space="preserve">Making Buildings Safer. (2025). </w:t>
      </w:r>
      <w:r w:rsidRPr="005928B1">
        <w:rPr>
          <w:i/>
          <w:iCs/>
        </w:rPr>
        <w:t>Gateway Three: The final safety gate before occupation - Making Buildings Safer</w:t>
      </w:r>
      <w:r w:rsidRPr="005928B1">
        <w:t xml:space="preserve">. Available at: </w:t>
      </w:r>
      <w:hyperlink r:id="rId21" w:history="1">
        <w:r w:rsidR="00294853" w:rsidRPr="007D1155">
          <w:rPr>
            <w:rStyle w:val="Hyperlink"/>
          </w:rPr>
          <w:t>https://buildingsafety.campaign.gov.uk/building-safety-regulator-making-buildings-safer/the-building-control-authority/gateway-three-the-final-safety-gate-before-occupation/</w:t>
        </w:r>
      </w:hyperlink>
      <w:r w:rsidRPr="005928B1">
        <w:t>.</w:t>
      </w:r>
      <w:r w:rsidR="00294853">
        <w:t xml:space="preserve"> Accessed 28/04/26</w:t>
      </w:r>
    </w:p>
    <w:p w14:paraId="34BD34F4" w14:textId="4B85871B" w:rsidR="005928B1" w:rsidRPr="005928B1" w:rsidRDefault="005928B1" w:rsidP="005928B1">
      <w:r w:rsidRPr="005928B1">
        <w:t xml:space="preserve">OHSE. (2026). </w:t>
      </w:r>
      <w:r w:rsidRPr="005928B1">
        <w:rPr>
          <w:i/>
          <w:iCs/>
        </w:rPr>
        <w:t>Asbestos Awareness: Dealing with Asbestos in Older Buildings</w:t>
      </w:r>
      <w:r w:rsidRPr="005928B1">
        <w:t xml:space="preserve">. Available at: </w:t>
      </w:r>
      <w:hyperlink r:id="rId22" w:history="1">
        <w:r w:rsidR="00294853" w:rsidRPr="007D1155">
          <w:rPr>
            <w:rStyle w:val="Hyperlink"/>
          </w:rPr>
          <w:t>https://ohse.ca/asbestos-awareness-dealing-with-asbestos-in-older-buildings</w:t>
        </w:r>
      </w:hyperlink>
      <w:r w:rsidR="00294853">
        <w:t xml:space="preserve"> Accessed </w:t>
      </w:r>
      <w:r w:rsidR="001411E2">
        <w:t>07</w:t>
      </w:r>
      <w:r w:rsidR="00294853">
        <w:t>/0</w:t>
      </w:r>
      <w:r w:rsidR="001411E2">
        <w:t>5</w:t>
      </w:r>
      <w:r w:rsidR="00294853">
        <w:t>/26</w:t>
      </w:r>
    </w:p>
    <w:p w14:paraId="59A54530" w14:textId="16E58960" w:rsidR="005928B1" w:rsidRPr="005928B1" w:rsidRDefault="005928B1" w:rsidP="005928B1">
      <w:r w:rsidRPr="005928B1">
        <w:t xml:space="preserve">UKATA. (n.d.). </w:t>
      </w:r>
      <w:r w:rsidRPr="005928B1">
        <w:rPr>
          <w:i/>
          <w:iCs/>
        </w:rPr>
        <w:t>Asbestos Health Statistics</w:t>
      </w:r>
      <w:r w:rsidRPr="005928B1">
        <w:t xml:space="preserve">. Available at: </w:t>
      </w:r>
      <w:hyperlink r:id="rId23" w:history="1">
        <w:r w:rsidR="001411E2" w:rsidRPr="007D1155">
          <w:rPr>
            <w:rStyle w:val="Hyperlink"/>
          </w:rPr>
          <w:t>https://www.ukata.org.uk/library/asbestos-health-statistics/</w:t>
        </w:r>
      </w:hyperlink>
      <w:r w:rsidRPr="005928B1">
        <w:t>.</w:t>
      </w:r>
      <w:r w:rsidR="001411E2">
        <w:t xml:space="preserve"> Accessed 07/05/26</w:t>
      </w:r>
    </w:p>
    <w:p w14:paraId="0E788A40" w14:textId="77777777" w:rsidR="00D45A45" w:rsidRDefault="00D45A45"/>
    <w:sectPr w:rsidR="00D45A45">
      <w:headerReference w:type="default" r:id="rId24"/>
      <w:footerReference w:type="default" r:id="rId2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925FC" w14:textId="77777777" w:rsidR="00C30625" w:rsidRDefault="00C30625">
      <w:pPr>
        <w:spacing w:after="0" w:line="240" w:lineRule="auto"/>
      </w:pPr>
      <w:r>
        <w:separator/>
      </w:r>
    </w:p>
  </w:endnote>
  <w:endnote w:type="continuationSeparator" w:id="0">
    <w:p w14:paraId="45D54574" w14:textId="77777777" w:rsidR="00C30625" w:rsidRDefault="00C30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6E9D9752-6A27-4D3F-9002-FD8A42589FC6}"/>
    <w:embedBold r:id="rId2" w:fontKey="{389E0D7E-422E-4727-801B-CB5AA1DCC779}"/>
    <w:embedItalic r:id="rId3" w:fontKey="{52E05D94-13D4-494A-9D65-39BFDF6DA055}"/>
    <w:embedBoldItalic r:id="rId4" w:fontKey="{E751B9C7-6372-4D3E-A476-551C78E68B39}"/>
  </w:font>
  <w:font w:name="Play">
    <w:charset w:val="00"/>
    <w:family w:val="auto"/>
    <w:pitch w:val="default"/>
    <w:embedRegular r:id="rId5" w:fontKey="{4A0AAB24-8B30-49ED-8029-7FF44337ED35}"/>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1BDBDC93-58E4-4E9B-BCC0-89BFF9B986E8}"/>
  </w:font>
  <w:font w:name="Cambria">
    <w:panose1 w:val="02040503050406030204"/>
    <w:charset w:val="00"/>
    <w:family w:val="roman"/>
    <w:pitch w:val="variable"/>
    <w:sig w:usb0="E00006FF" w:usb1="420024FF" w:usb2="02000000" w:usb3="00000000" w:csb0="0000019F" w:csb1="00000000"/>
    <w:embedRegular r:id="rId7" w:fontKey="{DBC656D2-A388-42A5-91B4-E81475B188E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E62BA" w14:textId="77777777" w:rsidR="004506BA" w:rsidRDefault="00BC57FB">
    <w:pPr>
      <w:rPr>
        <w:color w:val="4A86E8"/>
      </w:rPr>
    </w:pPr>
    <w:r>
      <w:rPr>
        <w:color w:val="4A86E8"/>
      </w:rPr>
      <w:fldChar w:fldCharType="begin"/>
    </w:r>
    <w:r>
      <w:rPr>
        <w:color w:val="4A86E8"/>
      </w:rPr>
      <w:instrText>PAGE</w:instrText>
    </w:r>
    <w:r>
      <w:rPr>
        <w:color w:val="4A86E8"/>
      </w:rPr>
      <w:fldChar w:fldCharType="separate"/>
    </w:r>
    <w:r w:rsidR="00DC3C4D">
      <w:rPr>
        <w:noProof/>
        <w:color w:val="4A86E8"/>
      </w:rPr>
      <w:t>1</w:t>
    </w:r>
    <w:r>
      <w:rPr>
        <w:color w:val="4A86E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2B6F6" w14:textId="77777777" w:rsidR="00C30625" w:rsidRDefault="00C30625">
      <w:pPr>
        <w:spacing w:after="0" w:line="240" w:lineRule="auto"/>
      </w:pPr>
      <w:r>
        <w:separator/>
      </w:r>
    </w:p>
  </w:footnote>
  <w:footnote w:type="continuationSeparator" w:id="0">
    <w:p w14:paraId="6C492A30" w14:textId="77777777" w:rsidR="00C30625" w:rsidRDefault="00C306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9FA23F" w14:textId="77777777" w:rsidR="004506BA" w:rsidRPr="00D45A45" w:rsidRDefault="00BC57FB">
    <w:pPr>
      <w:rPr>
        <w:color w:val="4F81BD" w:themeColor="accent1"/>
        <w:u w:val="single"/>
      </w:rPr>
    </w:pPr>
    <w:r w:rsidRPr="00D45A45">
      <w:rPr>
        <w:color w:val="4F81BD" w:themeColor="accent1"/>
        <w:u w:val="single"/>
      </w:rPr>
      <w:t>Health and Safety Report - Croft Street Block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6BA"/>
    <w:rsid w:val="001411E2"/>
    <w:rsid w:val="00294853"/>
    <w:rsid w:val="002A1282"/>
    <w:rsid w:val="004506BA"/>
    <w:rsid w:val="005928B1"/>
    <w:rsid w:val="008650FA"/>
    <w:rsid w:val="009E36DC"/>
    <w:rsid w:val="00BC57FB"/>
    <w:rsid w:val="00C30625"/>
    <w:rsid w:val="00D45A45"/>
    <w:rsid w:val="00DC3C4D"/>
    <w:rsid w:val="00FE3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5606D"/>
  <w15:docId w15:val="{11581807-5EF1-4CAA-B79A-64DFB7061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DC3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C4D"/>
  </w:style>
  <w:style w:type="paragraph" w:styleId="Footer">
    <w:name w:val="footer"/>
    <w:basedOn w:val="Normal"/>
    <w:link w:val="FooterChar"/>
    <w:uiPriority w:val="99"/>
    <w:unhideWhenUsed/>
    <w:rsid w:val="00DC3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C4D"/>
  </w:style>
  <w:style w:type="character" w:styleId="Hyperlink">
    <w:name w:val="Hyperlink"/>
    <w:basedOn w:val="DefaultParagraphFont"/>
    <w:uiPriority w:val="99"/>
    <w:unhideWhenUsed/>
    <w:rsid w:val="005928B1"/>
    <w:rPr>
      <w:color w:val="0000FF" w:themeColor="hyperlink"/>
      <w:u w:val="single"/>
    </w:rPr>
  </w:style>
  <w:style w:type="character" w:styleId="UnresolvedMention">
    <w:name w:val="Unresolved Mention"/>
    <w:basedOn w:val="DefaultParagraphFont"/>
    <w:uiPriority w:val="99"/>
    <w:semiHidden/>
    <w:unhideWhenUsed/>
    <w:rsid w:val="005928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gov.uk/government/publications/check-your-fire-safety-responsibilities-under-section-156-of-the-building-safety-act-2022/fire-safety-responsibilities-under-section-156-of-the-building-safety-act-2022" TargetMode="External"/><Relationship Id="rId18" Type="http://schemas.openxmlformats.org/officeDocument/2006/relationships/hyperlink" Target="https://www.hse.gov.uk/construction/safetytopics/scaffoldinginfo.htm"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buildingsafety.campaign.gov.uk/building-safety-regulator-making-buildings-safer/the-building-control-authority/gateway-three-the-final-safety-gate-before-occupation/" TargetMode="External"/><Relationship Id="rId7" Type="http://schemas.openxmlformats.org/officeDocument/2006/relationships/image" Target="media/image2.jpg"/><Relationship Id="rId12" Type="http://schemas.openxmlformats.org/officeDocument/2006/relationships/hyperlink" Target="https://www.gov.uk/government/news/government-responds-in-full-to-grenfell-tower-inquiry-setting-out-tough-new-reforms-to-fix-building-safety-and-strengthen-accountability" TargetMode="External"/><Relationship Id="rId17" Type="http://schemas.openxmlformats.org/officeDocument/2006/relationships/hyperlink" Target="https://www.hse.gov.uk/construction/cdm/2015/summary.htm"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hse.gov.uk/humanfactors/topics/communications.htm" TargetMode="External"/><Relationship Id="rId20" Type="http://schemas.openxmlformats.org/officeDocument/2006/relationships/hyperlink" Target="https://www.hse.gov.uk/statistics/fatals-overview.htm"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gov.uk/guidance/safety-in-high-rise-residential-buildings-accountable-persons"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gov.wales/building-safety-programme" TargetMode="External"/><Relationship Id="rId23" Type="http://schemas.openxmlformats.org/officeDocument/2006/relationships/hyperlink" Target="https://www.ukata.org.uk/library/asbestos-health-statistics/" TargetMode="External"/><Relationship Id="rId10" Type="http://schemas.openxmlformats.org/officeDocument/2006/relationships/hyperlink" Target="https://www.gov.uk/guidance/criteria-for-being-a-higher-risk-building-during-the-occupation-phase-of-the-new-higher-risk-regime" TargetMode="External"/><Relationship Id="rId19" Type="http://schemas.openxmlformats.org/officeDocument/2006/relationships/hyperlink" Target="https://www.hse.gov.uk/statistics/fatals-overview.htm"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gov.uk/government/publications/cladding-safety-scheme/cladding-safety-scheme-overview" TargetMode="External"/><Relationship Id="rId22" Type="http://schemas.openxmlformats.org/officeDocument/2006/relationships/hyperlink" Target="https://ohse.ca/asbestos-awareness-dealing-with-asbestos-in-older-buildings"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9</Pages>
  <Words>2916</Words>
  <Characters>16625</Characters>
  <Application>Microsoft Office Word</Application>
  <DocSecurity>0</DocSecurity>
  <Lines>138</Lines>
  <Paragraphs>39</Paragraphs>
  <ScaleCrop>false</ScaleCrop>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Rhodri Thomas</cp:lastModifiedBy>
  <cp:revision>8</cp:revision>
  <dcterms:created xsi:type="dcterms:W3CDTF">2026-05-07T14:59:00Z</dcterms:created>
  <dcterms:modified xsi:type="dcterms:W3CDTF">2026-05-07T15:21:00Z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3387151a-ee06-4cbc-b5a0-edcd3a85dc01</vt:lpwstr>
  </property>
</Properties>
</file>