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56420" w14:textId="77777777" w:rsidR="002E6901" w:rsidRDefault="002E6901" w:rsidP="002E6901">
      <w:pPr>
        <w:spacing w:after="160" w:line="278" w:lineRule="auto"/>
        <w:jc w:val="right"/>
      </w:pPr>
      <w:r>
        <w:rPr>
          <w:noProof/>
        </w:rPr>
        <w:drawing>
          <wp:inline distT="114300" distB="114300" distL="114300" distR="114300" wp14:anchorId="604393D7" wp14:editId="1B8B7CEB">
            <wp:extent cx="1467057" cy="51911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467057" cy="519113"/>
                    </a:xfrm>
                    <a:prstGeom prst="rect">
                      <a:avLst/>
                    </a:prstGeom>
                    <a:ln/>
                  </pic:spPr>
                </pic:pic>
              </a:graphicData>
            </a:graphic>
          </wp:inline>
        </w:drawing>
      </w:r>
    </w:p>
    <w:p w14:paraId="4791C283" w14:textId="77777777" w:rsidR="002E6901" w:rsidRPr="00FF129B" w:rsidRDefault="002E6901" w:rsidP="002E6901">
      <w:pPr>
        <w:jc w:val="center"/>
        <w:rPr>
          <w:b/>
          <w:bCs/>
          <w:sz w:val="32"/>
          <w:szCs w:val="32"/>
          <w:lang w:val="en-GB"/>
        </w:rPr>
      </w:pPr>
      <w:r w:rsidRPr="00FF129B">
        <w:rPr>
          <w:b/>
          <w:bCs/>
          <w:sz w:val="32"/>
          <w:szCs w:val="32"/>
          <w:lang w:val="en-GB"/>
        </w:rPr>
        <w:t xml:space="preserve">Master </w:t>
      </w:r>
      <w:r>
        <w:rPr>
          <w:b/>
          <w:bCs/>
          <w:sz w:val="32"/>
          <w:szCs w:val="32"/>
          <w:lang w:val="en-GB"/>
        </w:rPr>
        <w:t>o</w:t>
      </w:r>
      <w:r w:rsidRPr="00FF129B">
        <w:rPr>
          <w:b/>
          <w:bCs/>
          <w:sz w:val="32"/>
          <w:szCs w:val="32"/>
          <w:lang w:val="en-GB"/>
        </w:rPr>
        <w:t>f Business Administration</w:t>
      </w:r>
      <w:r>
        <w:rPr>
          <w:b/>
          <w:bCs/>
          <w:sz w:val="32"/>
          <w:szCs w:val="32"/>
          <w:lang w:val="en-GB"/>
        </w:rPr>
        <w:t xml:space="preserve"> (Mba): </w:t>
      </w:r>
      <w:r w:rsidRPr="00FF129B">
        <w:rPr>
          <w:b/>
          <w:bCs/>
          <w:sz w:val="32"/>
          <w:szCs w:val="32"/>
          <w:lang w:val="en-GB"/>
        </w:rPr>
        <w:t>Marketing Management</w:t>
      </w:r>
    </w:p>
    <w:p w14:paraId="561634C4" w14:textId="626C3AAF" w:rsidR="002E6901" w:rsidRPr="00CE72BC" w:rsidRDefault="002E6901" w:rsidP="002E6901">
      <w:pPr>
        <w:jc w:val="center"/>
        <w:rPr>
          <w:sz w:val="32"/>
          <w:szCs w:val="32"/>
          <w:lang w:val="en-GB"/>
        </w:rPr>
      </w:pPr>
      <w:r w:rsidRPr="00CE72BC">
        <w:rPr>
          <w:sz w:val="32"/>
          <w:szCs w:val="32"/>
          <w:lang w:val="en-GB"/>
        </w:rPr>
        <w:t>LCMB70</w:t>
      </w:r>
      <w:r>
        <w:rPr>
          <w:sz w:val="32"/>
          <w:szCs w:val="32"/>
          <w:lang w:val="en-GB"/>
        </w:rPr>
        <w:t>02</w:t>
      </w:r>
      <w:r w:rsidRPr="00CE72BC">
        <w:rPr>
          <w:sz w:val="32"/>
          <w:szCs w:val="32"/>
          <w:lang w:val="en-GB"/>
        </w:rPr>
        <w:t>-</w:t>
      </w:r>
      <w:r w:rsidRPr="00CE72BC">
        <w:t xml:space="preserve"> </w:t>
      </w:r>
      <w:r>
        <w:rPr>
          <w:sz w:val="32"/>
          <w:szCs w:val="32"/>
          <w:lang w:val="en-GB"/>
        </w:rPr>
        <w:t>Financial Management</w:t>
      </w:r>
    </w:p>
    <w:p w14:paraId="2CF33060" w14:textId="6560BDA1" w:rsidR="002E6901" w:rsidRDefault="002E6901" w:rsidP="002E6901">
      <w:pPr>
        <w:jc w:val="center"/>
        <w:rPr>
          <w:b/>
          <w:bCs/>
          <w:i/>
          <w:iCs/>
          <w:sz w:val="32"/>
          <w:szCs w:val="32"/>
          <w:lang w:val="en-GB"/>
        </w:rPr>
      </w:pPr>
      <w:r>
        <w:rPr>
          <w:b/>
          <w:bCs/>
          <w:i/>
          <w:iCs/>
          <w:sz w:val="32"/>
          <w:szCs w:val="32"/>
          <w:lang w:val="en-GB"/>
        </w:rPr>
        <w:t>Assessment Component: Financial performance and management</w:t>
      </w:r>
      <w:r w:rsidR="00D01208">
        <w:rPr>
          <w:b/>
          <w:bCs/>
          <w:i/>
          <w:iCs/>
          <w:sz w:val="32"/>
          <w:szCs w:val="32"/>
          <w:lang w:val="en-GB"/>
        </w:rPr>
        <w:br/>
        <w:t xml:space="preserve">Tesla </w:t>
      </w:r>
    </w:p>
    <w:p w14:paraId="08939F4E" w14:textId="77777777" w:rsidR="002E6901" w:rsidRDefault="002E6901" w:rsidP="002E6901">
      <w:pPr>
        <w:jc w:val="center"/>
        <w:rPr>
          <w:b/>
          <w:bCs/>
          <w:i/>
          <w:iCs/>
          <w:sz w:val="32"/>
          <w:szCs w:val="32"/>
          <w:lang w:val="en-GB"/>
        </w:rPr>
      </w:pPr>
    </w:p>
    <w:p w14:paraId="6C973920" w14:textId="77777777" w:rsidR="002E6901" w:rsidRDefault="002E6901" w:rsidP="002E6901">
      <w:pPr>
        <w:jc w:val="center"/>
        <w:rPr>
          <w:lang w:val="en-GB"/>
        </w:rPr>
      </w:pPr>
    </w:p>
    <w:p w14:paraId="00777EE2" w14:textId="77777777" w:rsidR="002E6901" w:rsidRDefault="002E6901" w:rsidP="002E6901">
      <w:pPr>
        <w:jc w:val="center"/>
        <w:rPr>
          <w:lang w:val="en-GB"/>
        </w:rPr>
      </w:pPr>
    </w:p>
    <w:p w14:paraId="034B5A21" w14:textId="77777777" w:rsidR="002E6901" w:rsidRDefault="002E6901" w:rsidP="002E6901">
      <w:pPr>
        <w:jc w:val="center"/>
        <w:rPr>
          <w:lang w:val="en-GB"/>
        </w:rPr>
      </w:pPr>
    </w:p>
    <w:p w14:paraId="7CCD560A" w14:textId="77777777" w:rsidR="002E6901" w:rsidRDefault="002E6901" w:rsidP="002E6901">
      <w:pPr>
        <w:jc w:val="center"/>
        <w:rPr>
          <w:lang w:val="en-GB"/>
        </w:rPr>
      </w:pPr>
    </w:p>
    <w:p w14:paraId="6C6AAFDB" w14:textId="77777777" w:rsidR="002E6901" w:rsidRPr="00026887" w:rsidRDefault="002E6901" w:rsidP="002E6901">
      <w:pPr>
        <w:jc w:val="center"/>
        <w:rPr>
          <w:sz w:val="28"/>
          <w:szCs w:val="28"/>
          <w:lang w:val="en-GB"/>
        </w:rPr>
      </w:pPr>
      <w:r w:rsidRPr="00026887">
        <w:rPr>
          <w:sz w:val="28"/>
          <w:szCs w:val="28"/>
          <w:lang w:val="en-GB"/>
        </w:rPr>
        <w:t xml:space="preserve">Student Name: </w:t>
      </w:r>
      <w:proofErr w:type="spellStart"/>
      <w:r w:rsidRPr="00026887">
        <w:rPr>
          <w:sz w:val="28"/>
          <w:szCs w:val="28"/>
          <w:lang w:val="en-GB"/>
        </w:rPr>
        <w:t>Namirabanu</w:t>
      </w:r>
      <w:proofErr w:type="spellEnd"/>
      <w:r w:rsidRPr="00026887">
        <w:rPr>
          <w:sz w:val="28"/>
          <w:szCs w:val="28"/>
          <w:lang w:val="en-GB"/>
        </w:rPr>
        <w:t xml:space="preserve"> Nuruddin Gulam </w:t>
      </w:r>
      <w:proofErr w:type="spellStart"/>
      <w:r w:rsidRPr="00026887">
        <w:rPr>
          <w:sz w:val="28"/>
          <w:szCs w:val="28"/>
          <w:lang w:val="en-GB"/>
        </w:rPr>
        <w:t>Delawala</w:t>
      </w:r>
      <w:proofErr w:type="spellEnd"/>
    </w:p>
    <w:p w14:paraId="53E95D91" w14:textId="77777777" w:rsidR="002E6901" w:rsidRPr="00026887" w:rsidRDefault="002E6901" w:rsidP="002E6901">
      <w:pPr>
        <w:ind w:left="2880" w:firstLine="720"/>
        <w:rPr>
          <w:sz w:val="28"/>
          <w:szCs w:val="28"/>
          <w:lang w:val="en-GB"/>
        </w:rPr>
      </w:pPr>
      <w:r w:rsidRPr="00026887">
        <w:rPr>
          <w:sz w:val="28"/>
          <w:szCs w:val="28"/>
          <w:lang w:val="en-GB"/>
        </w:rPr>
        <w:t>Student ID: 2526407</w:t>
      </w:r>
    </w:p>
    <w:p w14:paraId="3AB76B01" w14:textId="77777777" w:rsidR="002E6901" w:rsidRPr="00026887" w:rsidRDefault="002E6901" w:rsidP="002E6901">
      <w:pPr>
        <w:ind w:left="2880" w:firstLine="720"/>
        <w:rPr>
          <w:sz w:val="28"/>
          <w:szCs w:val="28"/>
          <w:lang w:val="en-GB"/>
        </w:rPr>
      </w:pPr>
    </w:p>
    <w:p w14:paraId="2990CB59" w14:textId="2F64EB2B" w:rsidR="002E6901" w:rsidRPr="00026887" w:rsidRDefault="002E6901" w:rsidP="002E6901">
      <w:pPr>
        <w:jc w:val="center"/>
        <w:rPr>
          <w:sz w:val="28"/>
          <w:szCs w:val="28"/>
          <w:lang w:val="en-GB"/>
        </w:rPr>
      </w:pPr>
      <w:r w:rsidRPr="00026887">
        <w:rPr>
          <w:sz w:val="28"/>
          <w:szCs w:val="28"/>
          <w:lang w:val="en-GB"/>
        </w:rPr>
        <w:t xml:space="preserve">Professor – </w:t>
      </w:r>
      <w:r>
        <w:rPr>
          <w:sz w:val="28"/>
          <w:szCs w:val="28"/>
          <w:lang w:val="en-GB"/>
        </w:rPr>
        <w:t>Vasilios Tavlaridis, Hoang Nguyen</w:t>
      </w:r>
    </w:p>
    <w:p w14:paraId="7F696C79" w14:textId="08138797" w:rsidR="002E6901" w:rsidRDefault="002E6901" w:rsidP="002E6901">
      <w:pPr>
        <w:spacing w:after="160" w:line="278" w:lineRule="auto"/>
        <w:jc w:val="center"/>
      </w:pPr>
      <w:r>
        <w:br w:type="page"/>
      </w:r>
    </w:p>
    <w:sdt>
      <w:sdtPr>
        <w:rPr>
          <w:rFonts w:ascii="Times New Roman" w:eastAsia="Times New Roman" w:hAnsi="Times New Roman" w:cs="Times New Roman"/>
          <w:b w:val="0"/>
          <w:bCs w:val="0"/>
          <w:color w:val="auto"/>
          <w:sz w:val="24"/>
          <w:szCs w:val="24"/>
          <w:lang w:val="en-IN" w:eastAsia="en-GB"/>
        </w:rPr>
        <w:id w:val="-1281570026"/>
        <w:docPartObj>
          <w:docPartGallery w:val="Table of Contents"/>
          <w:docPartUnique/>
        </w:docPartObj>
      </w:sdtPr>
      <w:sdtEndPr>
        <w:rPr>
          <w:noProof/>
        </w:rPr>
      </w:sdtEndPr>
      <w:sdtContent>
        <w:p w14:paraId="4E5733BE" w14:textId="259ED7EE" w:rsidR="005F1147" w:rsidRDefault="005F1147">
          <w:pPr>
            <w:pStyle w:val="TOCHeading"/>
          </w:pPr>
          <w:r>
            <w:t>Table of Contents</w:t>
          </w:r>
        </w:p>
        <w:p w14:paraId="0CC28B74" w14:textId="5EF5C345" w:rsidR="006D55D9" w:rsidRDefault="005F1147">
          <w:pPr>
            <w:pStyle w:val="TOC1"/>
            <w:tabs>
              <w:tab w:val="left" w:pos="480"/>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225378629" w:history="1">
            <w:r w:rsidR="006D55D9" w:rsidRPr="00AF74D7">
              <w:rPr>
                <w:rStyle w:val="Hyperlink"/>
                <w:noProof/>
                <w:lang w:val="en-US"/>
              </w:rPr>
              <w:t>1</w:t>
            </w:r>
            <w:r w:rsidR="006D55D9">
              <w:rPr>
                <w:rFonts w:eastAsiaTheme="minorEastAsia" w:cstheme="minorBidi"/>
                <w:b w:val="0"/>
                <w:bCs w:val="0"/>
                <w:i w:val="0"/>
                <w:iCs w:val="0"/>
                <w:noProof/>
                <w:kern w:val="2"/>
                <w14:ligatures w14:val="standardContextual"/>
              </w:rPr>
              <w:tab/>
            </w:r>
            <w:r w:rsidR="006D55D9" w:rsidRPr="00AF74D7">
              <w:rPr>
                <w:rStyle w:val="Hyperlink"/>
                <w:noProof/>
                <w:lang w:val="en-US"/>
              </w:rPr>
              <w:t>Financial Health Check</w:t>
            </w:r>
            <w:r w:rsidR="006D55D9">
              <w:rPr>
                <w:noProof/>
                <w:webHidden/>
              </w:rPr>
              <w:tab/>
            </w:r>
            <w:r w:rsidR="006D55D9">
              <w:rPr>
                <w:noProof/>
                <w:webHidden/>
              </w:rPr>
              <w:fldChar w:fldCharType="begin"/>
            </w:r>
            <w:r w:rsidR="006D55D9">
              <w:rPr>
                <w:noProof/>
                <w:webHidden/>
              </w:rPr>
              <w:instrText xml:space="preserve"> PAGEREF _Toc225378629 \h </w:instrText>
            </w:r>
            <w:r w:rsidR="006D55D9">
              <w:rPr>
                <w:noProof/>
                <w:webHidden/>
              </w:rPr>
            </w:r>
            <w:r w:rsidR="006D55D9">
              <w:rPr>
                <w:noProof/>
                <w:webHidden/>
              </w:rPr>
              <w:fldChar w:fldCharType="separate"/>
            </w:r>
            <w:r w:rsidR="006D55D9">
              <w:rPr>
                <w:noProof/>
                <w:webHidden/>
              </w:rPr>
              <w:t>4</w:t>
            </w:r>
            <w:r w:rsidR="006D55D9">
              <w:rPr>
                <w:noProof/>
                <w:webHidden/>
              </w:rPr>
              <w:fldChar w:fldCharType="end"/>
            </w:r>
          </w:hyperlink>
        </w:p>
        <w:p w14:paraId="1E6CA747" w14:textId="6121DB85" w:rsidR="006D55D9" w:rsidRDefault="006D55D9">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378630" w:history="1">
            <w:r w:rsidRPr="00AF74D7">
              <w:rPr>
                <w:rStyle w:val="Hyperlink"/>
                <w:noProof/>
              </w:rPr>
              <w:t>1.1</w:t>
            </w:r>
            <w:r>
              <w:rPr>
                <w:rFonts w:eastAsiaTheme="minorEastAsia" w:cstheme="minorBidi"/>
                <w:b w:val="0"/>
                <w:bCs w:val="0"/>
                <w:noProof/>
                <w:kern w:val="2"/>
                <w:sz w:val="24"/>
                <w:szCs w:val="24"/>
                <w14:ligatures w14:val="standardContextual"/>
              </w:rPr>
              <w:tab/>
            </w:r>
            <w:r w:rsidRPr="00AF74D7">
              <w:rPr>
                <w:rStyle w:val="Hyperlink"/>
                <w:noProof/>
              </w:rPr>
              <w:t>Profitability Analysis</w:t>
            </w:r>
            <w:r>
              <w:rPr>
                <w:noProof/>
                <w:webHidden/>
              </w:rPr>
              <w:tab/>
            </w:r>
            <w:r>
              <w:rPr>
                <w:noProof/>
                <w:webHidden/>
              </w:rPr>
              <w:fldChar w:fldCharType="begin"/>
            </w:r>
            <w:r>
              <w:rPr>
                <w:noProof/>
                <w:webHidden/>
              </w:rPr>
              <w:instrText xml:space="preserve"> PAGEREF _Toc225378630 \h </w:instrText>
            </w:r>
            <w:r>
              <w:rPr>
                <w:noProof/>
                <w:webHidden/>
              </w:rPr>
            </w:r>
            <w:r>
              <w:rPr>
                <w:noProof/>
                <w:webHidden/>
              </w:rPr>
              <w:fldChar w:fldCharType="separate"/>
            </w:r>
            <w:r>
              <w:rPr>
                <w:noProof/>
                <w:webHidden/>
              </w:rPr>
              <w:t>5</w:t>
            </w:r>
            <w:r>
              <w:rPr>
                <w:noProof/>
                <w:webHidden/>
              </w:rPr>
              <w:fldChar w:fldCharType="end"/>
            </w:r>
          </w:hyperlink>
        </w:p>
        <w:p w14:paraId="495A02DE" w14:textId="7DACCBA5" w:rsidR="006D55D9" w:rsidRDefault="006D55D9">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378631" w:history="1">
            <w:r w:rsidRPr="00AF74D7">
              <w:rPr>
                <w:rStyle w:val="Hyperlink"/>
                <w:noProof/>
              </w:rPr>
              <w:t>1.2</w:t>
            </w:r>
            <w:r>
              <w:rPr>
                <w:rFonts w:eastAsiaTheme="minorEastAsia" w:cstheme="minorBidi"/>
                <w:b w:val="0"/>
                <w:bCs w:val="0"/>
                <w:noProof/>
                <w:kern w:val="2"/>
                <w:sz w:val="24"/>
                <w:szCs w:val="24"/>
                <w14:ligatures w14:val="standardContextual"/>
              </w:rPr>
              <w:tab/>
            </w:r>
            <w:r w:rsidRPr="00AF74D7">
              <w:rPr>
                <w:rStyle w:val="Hyperlink"/>
                <w:noProof/>
              </w:rPr>
              <w:t>Liquidity Ratio</w:t>
            </w:r>
            <w:r>
              <w:rPr>
                <w:noProof/>
                <w:webHidden/>
              </w:rPr>
              <w:tab/>
            </w:r>
            <w:r>
              <w:rPr>
                <w:noProof/>
                <w:webHidden/>
              </w:rPr>
              <w:fldChar w:fldCharType="begin"/>
            </w:r>
            <w:r>
              <w:rPr>
                <w:noProof/>
                <w:webHidden/>
              </w:rPr>
              <w:instrText xml:space="preserve"> PAGEREF _Toc225378631 \h </w:instrText>
            </w:r>
            <w:r>
              <w:rPr>
                <w:noProof/>
                <w:webHidden/>
              </w:rPr>
            </w:r>
            <w:r>
              <w:rPr>
                <w:noProof/>
                <w:webHidden/>
              </w:rPr>
              <w:fldChar w:fldCharType="separate"/>
            </w:r>
            <w:r>
              <w:rPr>
                <w:noProof/>
                <w:webHidden/>
              </w:rPr>
              <w:t>5</w:t>
            </w:r>
            <w:r>
              <w:rPr>
                <w:noProof/>
                <w:webHidden/>
              </w:rPr>
              <w:fldChar w:fldCharType="end"/>
            </w:r>
          </w:hyperlink>
        </w:p>
        <w:p w14:paraId="1D2CE1B5" w14:textId="43A5A0EE" w:rsidR="006D55D9" w:rsidRDefault="006D55D9">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378632" w:history="1">
            <w:r w:rsidRPr="00AF74D7">
              <w:rPr>
                <w:rStyle w:val="Hyperlink"/>
                <w:noProof/>
              </w:rPr>
              <w:t>1.3</w:t>
            </w:r>
            <w:r>
              <w:rPr>
                <w:rFonts w:eastAsiaTheme="minorEastAsia" w:cstheme="minorBidi"/>
                <w:b w:val="0"/>
                <w:bCs w:val="0"/>
                <w:noProof/>
                <w:kern w:val="2"/>
                <w:sz w:val="24"/>
                <w:szCs w:val="24"/>
                <w14:ligatures w14:val="standardContextual"/>
              </w:rPr>
              <w:tab/>
            </w:r>
            <w:r w:rsidRPr="00AF74D7">
              <w:rPr>
                <w:rStyle w:val="Hyperlink"/>
                <w:noProof/>
              </w:rPr>
              <w:t>Efficiency Ratio</w:t>
            </w:r>
            <w:r>
              <w:rPr>
                <w:noProof/>
                <w:webHidden/>
              </w:rPr>
              <w:tab/>
            </w:r>
            <w:r>
              <w:rPr>
                <w:noProof/>
                <w:webHidden/>
              </w:rPr>
              <w:fldChar w:fldCharType="begin"/>
            </w:r>
            <w:r>
              <w:rPr>
                <w:noProof/>
                <w:webHidden/>
              </w:rPr>
              <w:instrText xml:space="preserve"> PAGEREF _Toc225378632 \h </w:instrText>
            </w:r>
            <w:r>
              <w:rPr>
                <w:noProof/>
                <w:webHidden/>
              </w:rPr>
            </w:r>
            <w:r>
              <w:rPr>
                <w:noProof/>
                <w:webHidden/>
              </w:rPr>
              <w:fldChar w:fldCharType="separate"/>
            </w:r>
            <w:r>
              <w:rPr>
                <w:noProof/>
                <w:webHidden/>
              </w:rPr>
              <w:t>7</w:t>
            </w:r>
            <w:r>
              <w:rPr>
                <w:noProof/>
                <w:webHidden/>
              </w:rPr>
              <w:fldChar w:fldCharType="end"/>
            </w:r>
          </w:hyperlink>
        </w:p>
        <w:p w14:paraId="5DDB952C" w14:textId="75DF3418" w:rsidR="006D55D9" w:rsidRDefault="006D55D9">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378633" w:history="1">
            <w:r w:rsidRPr="00AF74D7">
              <w:rPr>
                <w:rStyle w:val="Hyperlink"/>
                <w:noProof/>
              </w:rPr>
              <w:t>1.4</w:t>
            </w:r>
            <w:r>
              <w:rPr>
                <w:rFonts w:eastAsiaTheme="minorEastAsia" w:cstheme="minorBidi"/>
                <w:b w:val="0"/>
                <w:bCs w:val="0"/>
                <w:noProof/>
                <w:kern w:val="2"/>
                <w:sz w:val="24"/>
                <w:szCs w:val="24"/>
                <w14:ligatures w14:val="standardContextual"/>
              </w:rPr>
              <w:tab/>
            </w:r>
            <w:r w:rsidRPr="00AF74D7">
              <w:rPr>
                <w:rStyle w:val="Hyperlink"/>
                <w:noProof/>
              </w:rPr>
              <w:t>Gearing Analysis</w:t>
            </w:r>
            <w:r>
              <w:rPr>
                <w:noProof/>
                <w:webHidden/>
              </w:rPr>
              <w:tab/>
            </w:r>
            <w:r>
              <w:rPr>
                <w:noProof/>
                <w:webHidden/>
              </w:rPr>
              <w:fldChar w:fldCharType="begin"/>
            </w:r>
            <w:r>
              <w:rPr>
                <w:noProof/>
                <w:webHidden/>
              </w:rPr>
              <w:instrText xml:space="preserve"> PAGEREF _Toc225378633 \h </w:instrText>
            </w:r>
            <w:r>
              <w:rPr>
                <w:noProof/>
                <w:webHidden/>
              </w:rPr>
            </w:r>
            <w:r>
              <w:rPr>
                <w:noProof/>
                <w:webHidden/>
              </w:rPr>
              <w:fldChar w:fldCharType="separate"/>
            </w:r>
            <w:r>
              <w:rPr>
                <w:noProof/>
                <w:webHidden/>
              </w:rPr>
              <w:t>8</w:t>
            </w:r>
            <w:r>
              <w:rPr>
                <w:noProof/>
                <w:webHidden/>
              </w:rPr>
              <w:fldChar w:fldCharType="end"/>
            </w:r>
          </w:hyperlink>
        </w:p>
        <w:p w14:paraId="4BF6B092" w14:textId="0909544C" w:rsidR="006D55D9" w:rsidRDefault="006D55D9">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378634" w:history="1">
            <w:r w:rsidRPr="00AF74D7">
              <w:rPr>
                <w:rStyle w:val="Hyperlink"/>
                <w:noProof/>
              </w:rPr>
              <w:t>1.5</w:t>
            </w:r>
            <w:r>
              <w:rPr>
                <w:rFonts w:eastAsiaTheme="minorEastAsia" w:cstheme="minorBidi"/>
                <w:b w:val="0"/>
                <w:bCs w:val="0"/>
                <w:noProof/>
                <w:kern w:val="2"/>
                <w:sz w:val="24"/>
                <w:szCs w:val="24"/>
                <w14:ligatures w14:val="standardContextual"/>
              </w:rPr>
              <w:tab/>
            </w:r>
            <w:r w:rsidRPr="00AF74D7">
              <w:rPr>
                <w:rStyle w:val="Hyperlink"/>
                <w:noProof/>
              </w:rPr>
              <w:t>Investment Ratio</w:t>
            </w:r>
            <w:r>
              <w:rPr>
                <w:noProof/>
                <w:webHidden/>
              </w:rPr>
              <w:tab/>
            </w:r>
            <w:r>
              <w:rPr>
                <w:noProof/>
                <w:webHidden/>
              </w:rPr>
              <w:fldChar w:fldCharType="begin"/>
            </w:r>
            <w:r>
              <w:rPr>
                <w:noProof/>
                <w:webHidden/>
              </w:rPr>
              <w:instrText xml:space="preserve"> PAGEREF _Toc225378634 \h </w:instrText>
            </w:r>
            <w:r>
              <w:rPr>
                <w:noProof/>
                <w:webHidden/>
              </w:rPr>
            </w:r>
            <w:r>
              <w:rPr>
                <w:noProof/>
                <w:webHidden/>
              </w:rPr>
              <w:fldChar w:fldCharType="separate"/>
            </w:r>
            <w:r>
              <w:rPr>
                <w:noProof/>
                <w:webHidden/>
              </w:rPr>
              <w:t>10</w:t>
            </w:r>
            <w:r>
              <w:rPr>
                <w:noProof/>
                <w:webHidden/>
              </w:rPr>
              <w:fldChar w:fldCharType="end"/>
            </w:r>
          </w:hyperlink>
        </w:p>
        <w:p w14:paraId="51E0A6FB" w14:textId="2E07475D" w:rsidR="006D55D9" w:rsidRDefault="006D55D9">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378635" w:history="1">
            <w:r w:rsidRPr="00AF74D7">
              <w:rPr>
                <w:rStyle w:val="Hyperlink"/>
                <w:noProof/>
              </w:rPr>
              <w:t>1.6</w:t>
            </w:r>
            <w:r>
              <w:rPr>
                <w:rFonts w:eastAsiaTheme="minorEastAsia" w:cstheme="minorBidi"/>
                <w:b w:val="0"/>
                <w:bCs w:val="0"/>
                <w:noProof/>
                <w:kern w:val="2"/>
                <w:sz w:val="24"/>
                <w:szCs w:val="24"/>
                <w14:ligatures w14:val="standardContextual"/>
              </w:rPr>
              <w:tab/>
            </w:r>
            <w:r w:rsidRPr="00AF74D7">
              <w:rPr>
                <w:rStyle w:val="Hyperlink"/>
                <w:noProof/>
              </w:rPr>
              <w:t>Cashflow Analysis</w:t>
            </w:r>
            <w:r>
              <w:rPr>
                <w:noProof/>
                <w:webHidden/>
              </w:rPr>
              <w:tab/>
            </w:r>
            <w:r>
              <w:rPr>
                <w:noProof/>
                <w:webHidden/>
              </w:rPr>
              <w:fldChar w:fldCharType="begin"/>
            </w:r>
            <w:r>
              <w:rPr>
                <w:noProof/>
                <w:webHidden/>
              </w:rPr>
              <w:instrText xml:space="preserve"> PAGEREF _Toc225378635 \h </w:instrText>
            </w:r>
            <w:r>
              <w:rPr>
                <w:noProof/>
                <w:webHidden/>
              </w:rPr>
            </w:r>
            <w:r>
              <w:rPr>
                <w:noProof/>
                <w:webHidden/>
              </w:rPr>
              <w:fldChar w:fldCharType="separate"/>
            </w:r>
            <w:r>
              <w:rPr>
                <w:noProof/>
                <w:webHidden/>
              </w:rPr>
              <w:t>11</w:t>
            </w:r>
            <w:r>
              <w:rPr>
                <w:noProof/>
                <w:webHidden/>
              </w:rPr>
              <w:fldChar w:fldCharType="end"/>
            </w:r>
          </w:hyperlink>
        </w:p>
        <w:p w14:paraId="3272D223" w14:textId="67734B57" w:rsidR="006D55D9" w:rsidRDefault="006D55D9">
          <w:pPr>
            <w:pStyle w:val="TOC1"/>
            <w:tabs>
              <w:tab w:val="left" w:pos="480"/>
              <w:tab w:val="right" w:leader="dot" w:pos="9016"/>
            </w:tabs>
            <w:rPr>
              <w:rFonts w:eastAsiaTheme="minorEastAsia" w:cstheme="minorBidi"/>
              <w:b w:val="0"/>
              <w:bCs w:val="0"/>
              <w:i w:val="0"/>
              <w:iCs w:val="0"/>
              <w:noProof/>
              <w:kern w:val="2"/>
              <w14:ligatures w14:val="standardContextual"/>
            </w:rPr>
          </w:pPr>
          <w:hyperlink w:anchor="_Toc225378636" w:history="1">
            <w:r w:rsidRPr="00AF74D7">
              <w:rPr>
                <w:rStyle w:val="Hyperlink"/>
                <w:noProof/>
              </w:rPr>
              <w:t>2</w:t>
            </w:r>
            <w:r>
              <w:rPr>
                <w:rFonts w:eastAsiaTheme="minorEastAsia" w:cstheme="minorBidi"/>
                <w:b w:val="0"/>
                <w:bCs w:val="0"/>
                <w:i w:val="0"/>
                <w:iCs w:val="0"/>
                <w:noProof/>
                <w:kern w:val="2"/>
                <w14:ligatures w14:val="standardContextual"/>
              </w:rPr>
              <w:tab/>
            </w:r>
            <w:r w:rsidRPr="00AF74D7">
              <w:rPr>
                <w:rStyle w:val="Hyperlink"/>
                <w:noProof/>
              </w:rPr>
              <w:t>Working Capital Management</w:t>
            </w:r>
            <w:r>
              <w:rPr>
                <w:noProof/>
                <w:webHidden/>
              </w:rPr>
              <w:tab/>
            </w:r>
            <w:r>
              <w:rPr>
                <w:noProof/>
                <w:webHidden/>
              </w:rPr>
              <w:fldChar w:fldCharType="begin"/>
            </w:r>
            <w:r>
              <w:rPr>
                <w:noProof/>
                <w:webHidden/>
              </w:rPr>
              <w:instrText xml:space="preserve"> PAGEREF _Toc225378636 \h </w:instrText>
            </w:r>
            <w:r>
              <w:rPr>
                <w:noProof/>
                <w:webHidden/>
              </w:rPr>
            </w:r>
            <w:r>
              <w:rPr>
                <w:noProof/>
                <w:webHidden/>
              </w:rPr>
              <w:fldChar w:fldCharType="separate"/>
            </w:r>
            <w:r>
              <w:rPr>
                <w:noProof/>
                <w:webHidden/>
              </w:rPr>
              <w:t>12</w:t>
            </w:r>
            <w:r>
              <w:rPr>
                <w:noProof/>
                <w:webHidden/>
              </w:rPr>
              <w:fldChar w:fldCharType="end"/>
            </w:r>
          </w:hyperlink>
        </w:p>
        <w:p w14:paraId="79F45237" w14:textId="1D1B678A" w:rsidR="006D55D9" w:rsidRDefault="006D55D9">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378637" w:history="1">
            <w:r w:rsidRPr="00AF74D7">
              <w:rPr>
                <w:rStyle w:val="Hyperlink"/>
                <w:noProof/>
              </w:rPr>
              <w:t>2.1</w:t>
            </w:r>
            <w:r>
              <w:rPr>
                <w:rFonts w:eastAsiaTheme="minorEastAsia" w:cstheme="minorBidi"/>
                <w:b w:val="0"/>
                <w:bCs w:val="0"/>
                <w:noProof/>
                <w:kern w:val="2"/>
                <w:sz w:val="24"/>
                <w:szCs w:val="24"/>
                <w14:ligatures w14:val="standardContextual"/>
              </w:rPr>
              <w:tab/>
            </w:r>
            <w:r w:rsidRPr="00AF74D7">
              <w:rPr>
                <w:rStyle w:val="Hyperlink"/>
                <w:noProof/>
              </w:rPr>
              <w:t>Liquidity improvement strategies</w:t>
            </w:r>
            <w:r>
              <w:rPr>
                <w:noProof/>
                <w:webHidden/>
              </w:rPr>
              <w:tab/>
            </w:r>
            <w:r>
              <w:rPr>
                <w:noProof/>
                <w:webHidden/>
              </w:rPr>
              <w:fldChar w:fldCharType="begin"/>
            </w:r>
            <w:r>
              <w:rPr>
                <w:noProof/>
                <w:webHidden/>
              </w:rPr>
              <w:instrText xml:space="preserve"> PAGEREF _Toc225378637 \h </w:instrText>
            </w:r>
            <w:r>
              <w:rPr>
                <w:noProof/>
                <w:webHidden/>
              </w:rPr>
            </w:r>
            <w:r>
              <w:rPr>
                <w:noProof/>
                <w:webHidden/>
              </w:rPr>
              <w:fldChar w:fldCharType="separate"/>
            </w:r>
            <w:r>
              <w:rPr>
                <w:noProof/>
                <w:webHidden/>
              </w:rPr>
              <w:t>13</w:t>
            </w:r>
            <w:r>
              <w:rPr>
                <w:noProof/>
                <w:webHidden/>
              </w:rPr>
              <w:fldChar w:fldCharType="end"/>
            </w:r>
          </w:hyperlink>
        </w:p>
        <w:p w14:paraId="2D030F74" w14:textId="5A4A620E" w:rsidR="006D55D9" w:rsidRDefault="006D55D9">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378638" w:history="1">
            <w:r w:rsidRPr="00AF74D7">
              <w:rPr>
                <w:rStyle w:val="Hyperlink"/>
                <w:noProof/>
              </w:rPr>
              <w:t>2.2</w:t>
            </w:r>
            <w:r>
              <w:rPr>
                <w:rFonts w:eastAsiaTheme="minorEastAsia" w:cstheme="minorBidi"/>
                <w:b w:val="0"/>
                <w:bCs w:val="0"/>
                <w:noProof/>
                <w:kern w:val="2"/>
                <w:sz w:val="24"/>
                <w:szCs w:val="24"/>
                <w14:ligatures w14:val="standardContextual"/>
              </w:rPr>
              <w:tab/>
            </w:r>
            <w:r w:rsidRPr="00AF74D7">
              <w:rPr>
                <w:rStyle w:val="Hyperlink"/>
                <w:noProof/>
              </w:rPr>
              <w:t>Comparative Assessment of Financing Instruments</w:t>
            </w:r>
            <w:r>
              <w:rPr>
                <w:noProof/>
                <w:webHidden/>
              </w:rPr>
              <w:tab/>
            </w:r>
            <w:r>
              <w:rPr>
                <w:noProof/>
                <w:webHidden/>
              </w:rPr>
              <w:fldChar w:fldCharType="begin"/>
            </w:r>
            <w:r>
              <w:rPr>
                <w:noProof/>
                <w:webHidden/>
              </w:rPr>
              <w:instrText xml:space="preserve"> PAGEREF _Toc225378638 \h </w:instrText>
            </w:r>
            <w:r>
              <w:rPr>
                <w:noProof/>
                <w:webHidden/>
              </w:rPr>
            </w:r>
            <w:r>
              <w:rPr>
                <w:noProof/>
                <w:webHidden/>
              </w:rPr>
              <w:fldChar w:fldCharType="separate"/>
            </w:r>
            <w:r>
              <w:rPr>
                <w:noProof/>
                <w:webHidden/>
              </w:rPr>
              <w:t>14</w:t>
            </w:r>
            <w:r>
              <w:rPr>
                <w:noProof/>
                <w:webHidden/>
              </w:rPr>
              <w:fldChar w:fldCharType="end"/>
            </w:r>
          </w:hyperlink>
        </w:p>
        <w:p w14:paraId="69749833" w14:textId="18CBDDEA" w:rsidR="006D55D9" w:rsidRDefault="006D55D9">
          <w:pPr>
            <w:pStyle w:val="TOC1"/>
            <w:tabs>
              <w:tab w:val="left" w:pos="480"/>
              <w:tab w:val="right" w:leader="dot" w:pos="9016"/>
            </w:tabs>
            <w:rPr>
              <w:rFonts w:eastAsiaTheme="minorEastAsia" w:cstheme="minorBidi"/>
              <w:b w:val="0"/>
              <w:bCs w:val="0"/>
              <w:i w:val="0"/>
              <w:iCs w:val="0"/>
              <w:noProof/>
              <w:kern w:val="2"/>
              <w14:ligatures w14:val="standardContextual"/>
            </w:rPr>
          </w:pPr>
          <w:hyperlink w:anchor="_Toc225378639" w:history="1">
            <w:r w:rsidRPr="00AF74D7">
              <w:rPr>
                <w:rStyle w:val="Hyperlink"/>
                <w:noProof/>
              </w:rPr>
              <w:t>3</w:t>
            </w:r>
            <w:r>
              <w:rPr>
                <w:rFonts w:eastAsiaTheme="minorEastAsia" w:cstheme="minorBidi"/>
                <w:b w:val="0"/>
                <w:bCs w:val="0"/>
                <w:i w:val="0"/>
                <w:iCs w:val="0"/>
                <w:noProof/>
                <w:kern w:val="2"/>
                <w14:ligatures w14:val="standardContextual"/>
              </w:rPr>
              <w:tab/>
            </w:r>
            <w:r w:rsidRPr="00AF74D7">
              <w:rPr>
                <w:rStyle w:val="Hyperlink"/>
                <w:noProof/>
              </w:rPr>
              <w:t>Strategic Financial Restructuring Plan</w:t>
            </w:r>
            <w:r>
              <w:rPr>
                <w:noProof/>
                <w:webHidden/>
              </w:rPr>
              <w:tab/>
            </w:r>
            <w:r>
              <w:rPr>
                <w:noProof/>
                <w:webHidden/>
              </w:rPr>
              <w:fldChar w:fldCharType="begin"/>
            </w:r>
            <w:r>
              <w:rPr>
                <w:noProof/>
                <w:webHidden/>
              </w:rPr>
              <w:instrText xml:space="preserve"> PAGEREF _Toc225378639 \h </w:instrText>
            </w:r>
            <w:r>
              <w:rPr>
                <w:noProof/>
                <w:webHidden/>
              </w:rPr>
            </w:r>
            <w:r>
              <w:rPr>
                <w:noProof/>
                <w:webHidden/>
              </w:rPr>
              <w:fldChar w:fldCharType="separate"/>
            </w:r>
            <w:r>
              <w:rPr>
                <w:noProof/>
                <w:webHidden/>
              </w:rPr>
              <w:t>15</w:t>
            </w:r>
            <w:r>
              <w:rPr>
                <w:noProof/>
                <w:webHidden/>
              </w:rPr>
              <w:fldChar w:fldCharType="end"/>
            </w:r>
          </w:hyperlink>
        </w:p>
        <w:p w14:paraId="38FFCC2C" w14:textId="6F4CA568" w:rsidR="006D55D9" w:rsidRDefault="006D55D9">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378640" w:history="1">
            <w:r w:rsidRPr="00AF74D7">
              <w:rPr>
                <w:rStyle w:val="Hyperlink"/>
                <w:noProof/>
              </w:rPr>
              <w:t>3.1</w:t>
            </w:r>
            <w:r>
              <w:rPr>
                <w:rFonts w:eastAsiaTheme="minorEastAsia" w:cstheme="minorBidi"/>
                <w:b w:val="0"/>
                <w:bCs w:val="0"/>
                <w:noProof/>
                <w:kern w:val="2"/>
                <w:sz w:val="24"/>
                <w:szCs w:val="24"/>
                <w14:ligatures w14:val="standardContextual"/>
              </w:rPr>
              <w:tab/>
            </w:r>
            <w:r w:rsidRPr="00AF74D7">
              <w:rPr>
                <w:rStyle w:val="Hyperlink"/>
                <w:noProof/>
              </w:rPr>
              <w:t>Equity Injection</w:t>
            </w:r>
            <w:r>
              <w:rPr>
                <w:noProof/>
                <w:webHidden/>
              </w:rPr>
              <w:tab/>
            </w:r>
            <w:r>
              <w:rPr>
                <w:noProof/>
                <w:webHidden/>
              </w:rPr>
              <w:fldChar w:fldCharType="begin"/>
            </w:r>
            <w:r>
              <w:rPr>
                <w:noProof/>
                <w:webHidden/>
              </w:rPr>
              <w:instrText xml:space="preserve"> PAGEREF _Toc225378640 \h </w:instrText>
            </w:r>
            <w:r>
              <w:rPr>
                <w:noProof/>
                <w:webHidden/>
              </w:rPr>
            </w:r>
            <w:r>
              <w:rPr>
                <w:noProof/>
                <w:webHidden/>
              </w:rPr>
              <w:fldChar w:fldCharType="separate"/>
            </w:r>
            <w:r>
              <w:rPr>
                <w:noProof/>
                <w:webHidden/>
              </w:rPr>
              <w:t>15</w:t>
            </w:r>
            <w:r>
              <w:rPr>
                <w:noProof/>
                <w:webHidden/>
              </w:rPr>
              <w:fldChar w:fldCharType="end"/>
            </w:r>
          </w:hyperlink>
        </w:p>
        <w:p w14:paraId="48488030" w14:textId="450D962D" w:rsidR="006D55D9" w:rsidRDefault="006D55D9">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378641" w:history="1">
            <w:r w:rsidRPr="00AF74D7">
              <w:rPr>
                <w:rStyle w:val="Hyperlink"/>
                <w:noProof/>
              </w:rPr>
              <w:t>3.2</w:t>
            </w:r>
            <w:r>
              <w:rPr>
                <w:rFonts w:eastAsiaTheme="minorEastAsia" w:cstheme="minorBidi"/>
                <w:b w:val="0"/>
                <w:bCs w:val="0"/>
                <w:noProof/>
                <w:kern w:val="2"/>
                <w:sz w:val="24"/>
                <w:szCs w:val="24"/>
                <w14:ligatures w14:val="standardContextual"/>
              </w:rPr>
              <w:tab/>
            </w:r>
            <w:r w:rsidRPr="00AF74D7">
              <w:rPr>
                <w:rStyle w:val="Hyperlink"/>
                <w:noProof/>
              </w:rPr>
              <w:t>Selective Divestiture</w:t>
            </w:r>
            <w:r>
              <w:rPr>
                <w:noProof/>
                <w:webHidden/>
              </w:rPr>
              <w:tab/>
            </w:r>
            <w:r>
              <w:rPr>
                <w:noProof/>
                <w:webHidden/>
              </w:rPr>
              <w:fldChar w:fldCharType="begin"/>
            </w:r>
            <w:r>
              <w:rPr>
                <w:noProof/>
                <w:webHidden/>
              </w:rPr>
              <w:instrText xml:space="preserve"> PAGEREF _Toc225378641 \h </w:instrText>
            </w:r>
            <w:r>
              <w:rPr>
                <w:noProof/>
                <w:webHidden/>
              </w:rPr>
            </w:r>
            <w:r>
              <w:rPr>
                <w:noProof/>
                <w:webHidden/>
              </w:rPr>
              <w:fldChar w:fldCharType="separate"/>
            </w:r>
            <w:r>
              <w:rPr>
                <w:noProof/>
                <w:webHidden/>
              </w:rPr>
              <w:t>16</w:t>
            </w:r>
            <w:r>
              <w:rPr>
                <w:noProof/>
                <w:webHidden/>
              </w:rPr>
              <w:fldChar w:fldCharType="end"/>
            </w:r>
          </w:hyperlink>
        </w:p>
        <w:p w14:paraId="206A80DD" w14:textId="02536AD0" w:rsidR="006D55D9" w:rsidRDefault="006D55D9">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378642" w:history="1">
            <w:r w:rsidRPr="00AF74D7">
              <w:rPr>
                <w:rStyle w:val="Hyperlink"/>
                <w:noProof/>
              </w:rPr>
              <w:t>3.3</w:t>
            </w:r>
            <w:r>
              <w:rPr>
                <w:rFonts w:eastAsiaTheme="minorEastAsia" w:cstheme="minorBidi"/>
                <w:b w:val="0"/>
                <w:bCs w:val="0"/>
                <w:noProof/>
                <w:kern w:val="2"/>
                <w:sz w:val="24"/>
                <w:szCs w:val="24"/>
                <w14:ligatures w14:val="standardContextual"/>
              </w:rPr>
              <w:tab/>
            </w:r>
            <w:r w:rsidRPr="00AF74D7">
              <w:rPr>
                <w:rStyle w:val="Hyperlink"/>
                <w:noProof/>
              </w:rPr>
              <w:t>Strategic Partnerships</w:t>
            </w:r>
            <w:r>
              <w:rPr>
                <w:noProof/>
                <w:webHidden/>
              </w:rPr>
              <w:tab/>
            </w:r>
            <w:r>
              <w:rPr>
                <w:noProof/>
                <w:webHidden/>
              </w:rPr>
              <w:fldChar w:fldCharType="begin"/>
            </w:r>
            <w:r>
              <w:rPr>
                <w:noProof/>
                <w:webHidden/>
              </w:rPr>
              <w:instrText xml:space="preserve"> PAGEREF _Toc225378642 \h </w:instrText>
            </w:r>
            <w:r>
              <w:rPr>
                <w:noProof/>
                <w:webHidden/>
              </w:rPr>
            </w:r>
            <w:r>
              <w:rPr>
                <w:noProof/>
                <w:webHidden/>
              </w:rPr>
              <w:fldChar w:fldCharType="separate"/>
            </w:r>
            <w:r>
              <w:rPr>
                <w:noProof/>
                <w:webHidden/>
              </w:rPr>
              <w:t>16</w:t>
            </w:r>
            <w:r>
              <w:rPr>
                <w:noProof/>
                <w:webHidden/>
              </w:rPr>
              <w:fldChar w:fldCharType="end"/>
            </w:r>
          </w:hyperlink>
        </w:p>
        <w:p w14:paraId="30DE6671" w14:textId="7C1AAB54" w:rsidR="006D55D9" w:rsidRDefault="006D55D9">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378643" w:history="1">
            <w:r w:rsidRPr="00AF74D7">
              <w:rPr>
                <w:rStyle w:val="Hyperlink"/>
                <w:noProof/>
              </w:rPr>
              <w:t>3.4</w:t>
            </w:r>
            <w:r>
              <w:rPr>
                <w:rFonts w:eastAsiaTheme="minorEastAsia" w:cstheme="minorBidi"/>
                <w:b w:val="0"/>
                <w:bCs w:val="0"/>
                <w:noProof/>
                <w:kern w:val="2"/>
                <w:sz w:val="24"/>
                <w:szCs w:val="24"/>
                <w14:ligatures w14:val="standardContextual"/>
              </w:rPr>
              <w:tab/>
            </w:r>
            <w:r w:rsidRPr="00AF74D7">
              <w:rPr>
                <w:rStyle w:val="Hyperlink"/>
                <w:noProof/>
              </w:rPr>
              <w:t>Impact on Shareholder Value, Debt Structure and Flexibility</w:t>
            </w:r>
            <w:r>
              <w:rPr>
                <w:noProof/>
                <w:webHidden/>
              </w:rPr>
              <w:tab/>
            </w:r>
            <w:r>
              <w:rPr>
                <w:noProof/>
                <w:webHidden/>
              </w:rPr>
              <w:fldChar w:fldCharType="begin"/>
            </w:r>
            <w:r>
              <w:rPr>
                <w:noProof/>
                <w:webHidden/>
              </w:rPr>
              <w:instrText xml:space="preserve"> PAGEREF _Toc225378643 \h </w:instrText>
            </w:r>
            <w:r>
              <w:rPr>
                <w:noProof/>
                <w:webHidden/>
              </w:rPr>
            </w:r>
            <w:r>
              <w:rPr>
                <w:noProof/>
                <w:webHidden/>
              </w:rPr>
              <w:fldChar w:fldCharType="separate"/>
            </w:r>
            <w:r>
              <w:rPr>
                <w:noProof/>
                <w:webHidden/>
              </w:rPr>
              <w:t>17</w:t>
            </w:r>
            <w:r>
              <w:rPr>
                <w:noProof/>
                <w:webHidden/>
              </w:rPr>
              <w:fldChar w:fldCharType="end"/>
            </w:r>
          </w:hyperlink>
        </w:p>
        <w:p w14:paraId="5F0CD3D1" w14:textId="76939DD4" w:rsidR="006D55D9" w:rsidRDefault="006D55D9">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378644" w:history="1">
            <w:r w:rsidRPr="00AF74D7">
              <w:rPr>
                <w:rStyle w:val="Hyperlink"/>
                <w:noProof/>
              </w:rPr>
              <w:t>3.5</w:t>
            </w:r>
            <w:r>
              <w:rPr>
                <w:rFonts w:eastAsiaTheme="minorEastAsia" w:cstheme="minorBidi"/>
                <w:b w:val="0"/>
                <w:bCs w:val="0"/>
                <w:noProof/>
                <w:kern w:val="2"/>
                <w:sz w:val="24"/>
                <w:szCs w:val="24"/>
                <w14:ligatures w14:val="standardContextual"/>
              </w:rPr>
              <w:tab/>
            </w:r>
            <w:r w:rsidRPr="00AF74D7">
              <w:rPr>
                <w:rStyle w:val="Hyperlink"/>
                <w:noProof/>
              </w:rPr>
              <w:t>International and Ethical Considerations</w:t>
            </w:r>
            <w:r>
              <w:rPr>
                <w:noProof/>
                <w:webHidden/>
              </w:rPr>
              <w:tab/>
            </w:r>
            <w:r>
              <w:rPr>
                <w:noProof/>
                <w:webHidden/>
              </w:rPr>
              <w:fldChar w:fldCharType="begin"/>
            </w:r>
            <w:r>
              <w:rPr>
                <w:noProof/>
                <w:webHidden/>
              </w:rPr>
              <w:instrText xml:space="preserve"> PAGEREF _Toc225378644 \h </w:instrText>
            </w:r>
            <w:r>
              <w:rPr>
                <w:noProof/>
                <w:webHidden/>
              </w:rPr>
            </w:r>
            <w:r>
              <w:rPr>
                <w:noProof/>
                <w:webHidden/>
              </w:rPr>
              <w:fldChar w:fldCharType="separate"/>
            </w:r>
            <w:r>
              <w:rPr>
                <w:noProof/>
                <w:webHidden/>
              </w:rPr>
              <w:t>17</w:t>
            </w:r>
            <w:r>
              <w:rPr>
                <w:noProof/>
                <w:webHidden/>
              </w:rPr>
              <w:fldChar w:fldCharType="end"/>
            </w:r>
          </w:hyperlink>
        </w:p>
        <w:p w14:paraId="0A26DFCE" w14:textId="55D0BE40" w:rsidR="006D55D9" w:rsidRDefault="006D55D9">
          <w:pPr>
            <w:pStyle w:val="TOC1"/>
            <w:tabs>
              <w:tab w:val="left" w:pos="480"/>
              <w:tab w:val="right" w:leader="dot" w:pos="9016"/>
            </w:tabs>
            <w:rPr>
              <w:rFonts w:eastAsiaTheme="minorEastAsia" w:cstheme="minorBidi"/>
              <w:b w:val="0"/>
              <w:bCs w:val="0"/>
              <w:i w:val="0"/>
              <w:iCs w:val="0"/>
              <w:noProof/>
              <w:kern w:val="2"/>
              <w14:ligatures w14:val="standardContextual"/>
            </w:rPr>
          </w:pPr>
          <w:hyperlink w:anchor="_Toc225378645" w:history="1">
            <w:r w:rsidRPr="00AF74D7">
              <w:rPr>
                <w:rStyle w:val="Hyperlink"/>
                <w:noProof/>
              </w:rPr>
              <w:t>4</w:t>
            </w:r>
            <w:r>
              <w:rPr>
                <w:rFonts w:eastAsiaTheme="minorEastAsia" w:cstheme="minorBidi"/>
                <w:b w:val="0"/>
                <w:bCs w:val="0"/>
                <w:i w:val="0"/>
                <w:iCs w:val="0"/>
                <w:noProof/>
                <w:kern w:val="2"/>
                <w14:ligatures w14:val="standardContextual"/>
              </w:rPr>
              <w:tab/>
            </w:r>
            <w:r w:rsidRPr="00AF74D7">
              <w:rPr>
                <w:rStyle w:val="Hyperlink"/>
                <w:noProof/>
              </w:rPr>
              <w:t>Investment Appraisal and Capital Budgeting</w:t>
            </w:r>
            <w:r>
              <w:rPr>
                <w:noProof/>
                <w:webHidden/>
              </w:rPr>
              <w:tab/>
            </w:r>
            <w:r>
              <w:rPr>
                <w:noProof/>
                <w:webHidden/>
              </w:rPr>
              <w:fldChar w:fldCharType="begin"/>
            </w:r>
            <w:r>
              <w:rPr>
                <w:noProof/>
                <w:webHidden/>
              </w:rPr>
              <w:instrText xml:space="preserve"> PAGEREF _Toc225378645 \h </w:instrText>
            </w:r>
            <w:r>
              <w:rPr>
                <w:noProof/>
                <w:webHidden/>
              </w:rPr>
            </w:r>
            <w:r>
              <w:rPr>
                <w:noProof/>
                <w:webHidden/>
              </w:rPr>
              <w:fldChar w:fldCharType="separate"/>
            </w:r>
            <w:r>
              <w:rPr>
                <w:noProof/>
                <w:webHidden/>
              </w:rPr>
              <w:t>18</w:t>
            </w:r>
            <w:r>
              <w:rPr>
                <w:noProof/>
                <w:webHidden/>
              </w:rPr>
              <w:fldChar w:fldCharType="end"/>
            </w:r>
          </w:hyperlink>
        </w:p>
        <w:p w14:paraId="1064A460" w14:textId="06EED61C" w:rsidR="006D55D9" w:rsidRDefault="006D55D9">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378646" w:history="1">
            <w:r w:rsidRPr="00AF74D7">
              <w:rPr>
                <w:rStyle w:val="Hyperlink"/>
                <w:noProof/>
              </w:rPr>
              <w:t>4.1</w:t>
            </w:r>
            <w:r>
              <w:rPr>
                <w:rFonts w:eastAsiaTheme="minorEastAsia" w:cstheme="minorBidi"/>
                <w:b w:val="0"/>
                <w:bCs w:val="0"/>
                <w:noProof/>
                <w:kern w:val="2"/>
                <w:sz w:val="24"/>
                <w:szCs w:val="24"/>
                <w14:ligatures w14:val="standardContextual"/>
              </w:rPr>
              <w:tab/>
            </w:r>
            <w:r w:rsidRPr="00AF74D7">
              <w:rPr>
                <w:rStyle w:val="Hyperlink"/>
                <w:noProof/>
              </w:rPr>
              <w:t>Payback Period</w:t>
            </w:r>
            <w:r>
              <w:rPr>
                <w:noProof/>
                <w:webHidden/>
              </w:rPr>
              <w:tab/>
            </w:r>
            <w:r>
              <w:rPr>
                <w:noProof/>
                <w:webHidden/>
              </w:rPr>
              <w:fldChar w:fldCharType="begin"/>
            </w:r>
            <w:r>
              <w:rPr>
                <w:noProof/>
                <w:webHidden/>
              </w:rPr>
              <w:instrText xml:space="preserve"> PAGEREF _Toc225378646 \h </w:instrText>
            </w:r>
            <w:r>
              <w:rPr>
                <w:noProof/>
                <w:webHidden/>
              </w:rPr>
            </w:r>
            <w:r>
              <w:rPr>
                <w:noProof/>
                <w:webHidden/>
              </w:rPr>
              <w:fldChar w:fldCharType="separate"/>
            </w:r>
            <w:r>
              <w:rPr>
                <w:noProof/>
                <w:webHidden/>
              </w:rPr>
              <w:t>18</w:t>
            </w:r>
            <w:r>
              <w:rPr>
                <w:noProof/>
                <w:webHidden/>
              </w:rPr>
              <w:fldChar w:fldCharType="end"/>
            </w:r>
          </w:hyperlink>
        </w:p>
        <w:p w14:paraId="0002B5BE" w14:textId="5F5B250A" w:rsidR="006D55D9" w:rsidRDefault="006D55D9">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378647" w:history="1">
            <w:r w:rsidRPr="00AF74D7">
              <w:rPr>
                <w:rStyle w:val="Hyperlink"/>
                <w:noProof/>
              </w:rPr>
              <w:t>4.2</w:t>
            </w:r>
            <w:r>
              <w:rPr>
                <w:rFonts w:eastAsiaTheme="minorEastAsia" w:cstheme="minorBidi"/>
                <w:b w:val="0"/>
                <w:bCs w:val="0"/>
                <w:noProof/>
                <w:kern w:val="2"/>
                <w:sz w:val="24"/>
                <w:szCs w:val="24"/>
                <w14:ligatures w14:val="standardContextual"/>
              </w:rPr>
              <w:tab/>
            </w:r>
            <w:r w:rsidRPr="00AF74D7">
              <w:rPr>
                <w:rStyle w:val="Hyperlink"/>
                <w:noProof/>
              </w:rPr>
              <w:t>Accounting Rate of Return (ARR)</w:t>
            </w:r>
            <w:r>
              <w:rPr>
                <w:noProof/>
                <w:webHidden/>
              </w:rPr>
              <w:tab/>
            </w:r>
            <w:r>
              <w:rPr>
                <w:noProof/>
                <w:webHidden/>
              </w:rPr>
              <w:fldChar w:fldCharType="begin"/>
            </w:r>
            <w:r>
              <w:rPr>
                <w:noProof/>
                <w:webHidden/>
              </w:rPr>
              <w:instrText xml:space="preserve"> PAGEREF _Toc225378647 \h </w:instrText>
            </w:r>
            <w:r>
              <w:rPr>
                <w:noProof/>
                <w:webHidden/>
              </w:rPr>
            </w:r>
            <w:r>
              <w:rPr>
                <w:noProof/>
                <w:webHidden/>
              </w:rPr>
              <w:fldChar w:fldCharType="separate"/>
            </w:r>
            <w:r>
              <w:rPr>
                <w:noProof/>
                <w:webHidden/>
              </w:rPr>
              <w:t>18</w:t>
            </w:r>
            <w:r>
              <w:rPr>
                <w:noProof/>
                <w:webHidden/>
              </w:rPr>
              <w:fldChar w:fldCharType="end"/>
            </w:r>
          </w:hyperlink>
        </w:p>
        <w:p w14:paraId="0302FCB7" w14:textId="562421D7" w:rsidR="006D55D9" w:rsidRDefault="006D55D9">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378648" w:history="1">
            <w:r w:rsidRPr="00AF74D7">
              <w:rPr>
                <w:rStyle w:val="Hyperlink"/>
                <w:noProof/>
              </w:rPr>
              <w:t>4.3</w:t>
            </w:r>
            <w:r>
              <w:rPr>
                <w:rFonts w:eastAsiaTheme="minorEastAsia" w:cstheme="minorBidi"/>
                <w:b w:val="0"/>
                <w:bCs w:val="0"/>
                <w:noProof/>
                <w:kern w:val="2"/>
                <w:sz w:val="24"/>
                <w:szCs w:val="24"/>
                <w14:ligatures w14:val="standardContextual"/>
              </w:rPr>
              <w:tab/>
            </w:r>
            <w:r w:rsidRPr="00AF74D7">
              <w:rPr>
                <w:rStyle w:val="Hyperlink"/>
                <w:noProof/>
              </w:rPr>
              <w:t>Net Present Value (NPV)</w:t>
            </w:r>
            <w:r>
              <w:rPr>
                <w:noProof/>
                <w:webHidden/>
              </w:rPr>
              <w:tab/>
            </w:r>
            <w:r>
              <w:rPr>
                <w:noProof/>
                <w:webHidden/>
              </w:rPr>
              <w:fldChar w:fldCharType="begin"/>
            </w:r>
            <w:r>
              <w:rPr>
                <w:noProof/>
                <w:webHidden/>
              </w:rPr>
              <w:instrText xml:space="preserve"> PAGEREF _Toc225378648 \h </w:instrText>
            </w:r>
            <w:r>
              <w:rPr>
                <w:noProof/>
                <w:webHidden/>
              </w:rPr>
            </w:r>
            <w:r>
              <w:rPr>
                <w:noProof/>
                <w:webHidden/>
              </w:rPr>
              <w:fldChar w:fldCharType="separate"/>
            </w:r>
            <w:r>
              <w:rPr>
                <w:noProof/>
                <w:webHidden/>
              </w:rPr>
              <w:t>19</w:t>
            </w:r>
            <w:r>
              <w:rPr>
                <w:noProof/>
                <w:webHidden/>
              </w:rPr>
              <w:fldChar w:fldCharType="end"/>
            </w:r>
          </w:hyperlink>
        </w:p>
        <w:p w14:paraId="24A59EEC" w14:textId="1BFEA6FD" w:rsidR="006D55D9" w:rsidRDefault="006D55D9">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378649" w:history="1">
            <w:r w:rsidRPr="00AF74D7">
              <w:rPr>
                <w:rStyle w:val="Hyperlink"/>
                <w:noProof/>
              </w:rPr>
              <w:t>4.4</w:t>
            </w:r>
            <w:r>
              <w:rPr>
                <w:rFonts w:eastAsiaTheme="minorEastAsia" w:cstheme="minorBidi"/>
                <w:b w:val="0"/>
                <w:bCs w:val="0"/>
                <w:noProof/>
                <w:kern w:val="2"/>
                <w:sz w:val="24"/>
                <w:szCs w:val="24"/>
                <w14:ligatures w14:val="standardContextual"/>
              </w:rPr>
              <w:tab/>
            </w:r>
            <w:r w:rsidRPr="00AF74D7">
              <w:rPr>
                <w:rStyle w:val="Hyperlink"/>
                <w:noProof/>
              </w:rPr>
              <w:t>Profitability Index (PI)</w:t>
            </w:r>
            <w:r>
              <w:rPr>
                <w:noProof/>
                <w:webHidden/>
              </w:rPr>
              <w:tab/>
            </w:r>
            <w:r>
              <w:rPr>
                <w:noProof/>
                <w:webHidden/>
              </w:rPr>
              <w:fldChar w:fldCharType="begin"/>
            </w:r>
            <w:r>
              <w:rPr>
                <w:noProof/>
                <w:webHidden/>
              </w:rPr>
              <w:instrText xml:space="preserve"> PAGEREF _Toc225378649 \h </w:instrText>
            </w:r>
            <w:r>
              <w:rPr>
                <w:noProof/>
                <w:webHidden/>
              </w:rPr>
            </w:r>
            <w:r>
              <w:rPr>
                <w:noProof/>
                <w:webHidden/>
              </w:rPr>
              <w:fldChar w:fldCharType="separate"/>
            </w:r>
            <w:r>
              <w:rPr>
                <w:noProof/>
                <w:webHidden/>
              </w:rPr>
              <w:t>19</w:t>
            </w:r>
            <w:r>
              <w:rPr>
                <w:noProof/>
                <w:webHidden/>
              </w:rPr>
              <w:fldChar w:fldCharType="end"/>
            </w:r>
          </w:hyperlink>
        </w:p>
        <w:p w14:paraId="00CE8C05" w14:textId="58AC3FB5" w:rsidR="006D55D9" w:rsidRDefault="006D55D9">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378650" w:history="1">
            <w:r w:rsidRPr="00AF74D7">
              <w:rPr>
                <w:rStyle w:val="Hyperlink"/>
                <w:noProof/>
              </w:rPr>
              <w:t>4.5</w:t>
            </w:r>
            <w:r>
              <w:rPr>
                <w:rFonts w:eastAsiaTheme="minorEastAsia" w:cstheme="minorBidi"/>
                <w:b w:val="0"/>
                <w:bCs w:val="0"/>
                <w:noProof/>
                <w:kern w:val="2"/>
                <w:sz w:val="24"/>
                <w:szCs w:val="24"/>
                <w14:ligatures w14:val="standardContextual"/>
              </w:rPr>
              <w:tab/>
            </w:r>
            <w:r w:rsidRPr="00AF74D7">
              <w:rPr>
                <w:rStyle w:val="Hyperlink"/>
                <w:noProof/>
              </w:rPr>
              <w:t>Internal Rate of Return (IRR)</w:t>
            </w:r>
            <w:r>
              <w:rPr>
                <w:noProof/>
                <w:webHidden/>
              </w:rPr>
              <w:tab/>
            </w:r>
            <w:r>
              <w:rPr>
                <w:noProof/>
                <w:webHidden/>
              </w:rPr>
              <w:fldChar w:fldCharType="begin"/>
            </w:r>
            <w:r>
              <w:rPr>
                <w:noProof/>
                <w:webHidden/>
              </w:rPr>
              <w:instrText xml:space="preserve"> PAGEREF _Toc225378650 \h </w:instrText>
            </w:r>
            <w:r>
              <w:rPr>
                <w:noProof/>
                <w:webHidden/>
              </w:rPr>
            </w:r>
            <w:r>
              <w:rPr>
                <w:noProof/>
                <w:webHidden/>
              </w:rPr>
              <w:fldChar w:fldCharType="separate"/>
            </w:r>
            <w:r>
              <w:rPr>
                <w:noProof/>
                <w:webHidden/>
              </w:rPr>
              <w:t>19</w:t>
            </w:r>
            <w:r>
              <w:rPr>
                <w:noProof/>
                <w:webHidden/>
              </w:rPr>
              <w:fldChar w:fldCharType="end"/>
            </w:r>
          </w:hyperlink>
        </w:p>
        <w:p w14:paraId="0EDE4362" w14:textId="36227991" w:rsidR="006D55D9" w:rsidRDefault="006D55D9">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378651" w:history="1">
            <w:r w:rsidRPr="00AF74D7">
              <w:rPr>
                <w:rStyle w:val="Hyperlink"/>
                <w:noProof/>
              </w:rPr>
              <w:t>4.6</w:t>
            </w:r>
            <w:r>
              <w:rPr>
                <w:rFonts w:eastAsiaTheme="minorEastAsia" w:cstheme="minorBidi"/>
                <w:b w:val="0"/>
                <w:bCs w:val="0"/>
                <w:noProof/>
                <w:kern w:val="2"/>
                <w:sz w:val="24"/>
                <w:szCs w:val="24"/>
                <w14:ligatures w14:val="standardContextual"/>
              </w:rPr>
              <w:tab/>
            </w:r>
            <w:r w:rsidRPr="00AF74D7">
              <w:rPr>
                <w:rStyle w:val="Hyperlink"/>
                <w:noProof/>
              </w:rPr>
              <w:t>Overall Comparison</w:t>
            </w:r>
            <w:r>
              <w:rPr>
                <w:noProof/>
                <w:webHidden/>
              </w:rPr>
              <w:tab/>
            </w:r>
            <w:r>
              <w:rPr>
                <w:noProof/>
                <w:webHidden/>
              </w:rPr>
              <w:fldChar w:fldCharType="begin"/>
            </w:r>
            <w:r>
              <w:rPr>
                <w:noProof/>
                <w:webHidden/>
              </w:rPr>
              <w:instrText xml:space="preserve"> PAGEREF _Toc225378651 \h </w:instrText>
            </w:r>
            <w:r>
              <w:rPr>
                <w:noProof/>
                <w:webHidden/>
              </w:rPr>
            </w:r>
            <w:r>
              <w:rPr>
                <w:noProof/>
                <w:webHidden/>
              </w:rPr>
              <w:fldChar w:fldCharType="separate"/>
            </w:r>
            <w:r>
              <w:rPr>
                <w:noProof/>
                <w:webHidden/>
              </w:rPr>
              <w:t>19</w:t>
            </w:r>
            <w:r>
              <w:rPr>
                <w:noProof/>
                <w:webHidden/>
              </w:rPr>
              <w:fldChar w:fldCharType="end"/>
            </w:r>
          </w:hyperlink>
        </w:p>
        <w:p w14:paraId="7FCBB67A" w14:textId="54113E7F" w:rsidR="006D55D9" w:rsidRDefault="006D55D9">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378652" w:history="1">
            <w:r w:rsidRPr="00AF74D7">
              <w:rPr>
                <w:rStyle w:val="Hyperlink"/>
                <w:noProof/>
              </w:rPr>
              <w:t>4.7</w:t>
            </w:r>
            <w:r>
              <w:rPr>
                <w:rFonts w:eastAsiaTheme="minorEastAsia" w:cstheme="minorBidi"/>
                <w:b w:val="0"/>
                <w:bCs w:val="0"/>
                <w:noProof/>
                <w:kern w:val="2"/>
                <w:sz w:val="24"/>
                <w:szCs w:val="24"/>
                <w14:ligatures w14:val="standardContextual"/>
              </w:rPr>
              <w:tab/>
            </w:r>
            <w:r w:rsidRPr="00AF74D7">
              <w:rPr>
                <w:rStyle w:val="Hyperlink"/>
                <w:noProof/>
              </w:rPr>
              <w:t>Recommendation based on Financial Performance</w:t>
            </w:r>
            <w:r>
              <w:rPr>
                <w:noProof/>
                <w:webHidden/>
              </w:rPr>
              <w:tab/>
            </w:r>
            <w:r>
              <w:rPr>
                <w:noProof/>
                <w:webHidden/>
              </w:rPr>
              <w:fldChar w:fldCharType="begin"/>
            </w:r>
            <w:r>
              <w:rPr>
                <w:noProof/>
                <w:webHidden/>
              </w:rPr>
              <w:instrText xml:space="preserve"> PAGEREF _Toc225378652 \h </w:instrText>
            </w:r>
            <w:r>
              <w:rPr>
                <w:noProof/>
                <w:webHidden/>
              </w:rPr>
            </w:r>
            <w:r>
              <w:rPr>
                <w:noProof/>
                <w:webHidden/>
              </w:rPr>
              <w:fldChar w:fldCharType="separate"/>
            </w:r>
            <w:r>
              <w:rPr>
                <w:noProof/>
                <w:webHidden/>
              </w:rPr>
              <w:t>20</w:t>
            </w:r>
            <w:r>
              <w:rPr>
                <w:noProof/>
                <w:webHidden/>
              </w:rPr>
              <w:fldChar w:fldCharType="end"/>
            </w:r>
          </w:hyperlink>
        </w:p>
        <w:p w14:paraId="452474A6" w14:textId="2ECD5B62" w:rsidR="006D55D9" w:rsidRDefault="006D55D9">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378653" w:history="1">
            <w:r w:rsidRPr="00AF74D7">
              <w:rPr>
                <w:rStyle w:val="Hyperlink"/>
                <w:noProof/>
              </w:rPr>
              <w:t>4.8</w:t>
            </w:r>
            <w:r>
              <w:rPr>
                <w:rFonts w:eastAsiaTheme="minorEastAsia" w:cstheme="minorBidi"/>
                <w:b w:val="0"/>
                <w:bCs w:val="0"/>
                <w:noProof/>
                <w:kern w:val="2"/>
                <w:sz w:val="24"/>
                <w:szCs w:val="24"/>
                <w14:ligatures w14:val="standardContextual"/>
              </w:rPr>
              <w:tab/>
            </w:r>
            <w:r w:rsidRPr="00AF74D7">
              <w:rPr>
                <w:rStyle w:val="Hyperlink"/>
                <w:noProof/>
              </w:rPr>
              <w:t>Non-Financial Considerations</w:t>
            </w:r>
            <w:r>
              <w:rPr>
                <w:noProof/>
                <w:webHidden/>
              </w:rPr>
              <w:tab/>
            </w:r>
            <w:r>
              <w:rPr>
                <w:noProof/>
                <w:webHidden/>
              </w:rPr>
              <w:fldChar w:fldCharType="begin"/>
            </w:r>
            <w:r>
              <w:rPr>
                <w:noProof/>
                <w:webHidden/>
              </w:rPr>
              <w:instrText xml:space="preserve"> PAGEREF _Toc225378653 \h </w:instrText>
            </w:r>
            <w:r>
              <w:rPr>
                <w:noProof/>
                <w:webHidden/>
              </w:rPr>
            </w:r>
            <w:r>
              <w:rPr>
                <w:noProof/>
                <w:webHidden/>
              </w:rPr>
              <w:fldChar w:fldCharType="separate"/>
            </w:r>
            <w:r>
              <w:rPr>
                <w:noProof/>
                <w:webHidden/>
              </w:rPr>
              <w:t>20</w:t>
            </w:r>
            <w:r>
              <w:rPr>
                <w:noProof/>
                <w:webHidden/>
              </w:rPr>
              <w:fldChar w:fldCharType="end"/>
            </w:r>
          </w:hyperlink>
        </w:p>
        <w:p w14:paraId="229BCC03" w14:textId="483C771D" w:rsidR="006D55D9" w:rsidRDefault="006D55D9">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378654" w:history="1">
            <w:r w:rsidRPr="00AF74D7">
              <w:rPr>
                <w:rStyle w:val="Hyperlink"/>
                <w:noProof/>
              </w:rPr>
              <w:t>4.9</w:t>
            </w:r>
            <w:r>
              <w:rPr>
                <w:rFonts w:eastAsiaTheme="minorEastAsia" w:cstheme="minorBidi"/>
                <w:b w:val="0"/>
                <w:bCs w:val="0"/>
                <w:noProof/>
                <w:kern w:val="2"/>
                <w:sz w:val="24"/>
                <w:szCs w:val="24"/>
                <w14:ligatures w14:val="standardContextual"/>
              </w:rPr>
              <w:tab/>
            </w:r>
            <w:r w:rsidRPr="00AF74D7">
              <w:rPr>
                <w:rStyle w:val="Hyperlink"/>
                <w:noProof/>
              </w:rPr>
              <w:t>Capital Rationing Decision (£100m Limit)</w:t>
            </w:r>
            <w:r>
              <w:rPr>
                <w:noProof/>
                <w:webHidden/>
              </w:rPr>
              <w:tab/>
            </w:r>
            <w:r>
              <w:rPr>
                <w:noProof/>
                <w:webHidden/>
              </w:rPr>
              <w:fldChar w:fldCharType="begin"/>
            </w:r>
            <w:r>
              <w:rPr>
                <w:noProof/>
                <w:webHidden/>
              </w:rPr>
              <w:instrText xml:space="preserve"> PAGEREF _Toc225378654 \h </w:instrText>
            </w:r>
            <w:r>
              <w:rPr>
                <w:noProof/>
                <w:webHidden/>
              </w:rPr>
            </w:r>
            <w:r>
              <w:rPr>
                <w:noProof/>
                <w:webHidden/>
              </w:rPr>
              <w:fldChar w:fldCharType="separate"/>
            </w:r>
            <w:r>
              <w:rPr>
                <w:noProof/>
                <w:webHidden/>
              </w:rPr>
              <w:t>21</w:t>
            </w:r>
            <w:r>
              <w:rPr>
                <w:noProof/>
                <w:webHidden/>
              </w:rPr>
              <w:fldChar w:fldCharType="end"/>
            </w:r>
          </w:hyperlink>
        </w:p>
        <w:p w14:paraId="4DEE6269" w14:textId="2370DE29" w:rsidR="006D55D9" w:rsidRDefault="006D55D9">
          <w:pPr>
            <w:pStyle w:val="TOC2"/>
            <w:tabs>
              <w:tab w:val="left" w:pos="960"/>
              <w:tab w:val="right" w:leader="dot" w:pos="9016"/>
            </w:tabs>
            <w:rPr>
              <w:rFonts w:eastAsiaTheme="minorEastAsia" w:cstheme="minorBidi"/>
              <w:b w:val="0"/>
              <w:bCs w:val="0"/>
              <w:noProof/>
              <w:kern w:val="2"/>
              <w:sz w:val="24"/>
              <w:szCs w:val="24"/>
              <w14:ligatures w14:val="standardContextual"/>
            </w:rPr>
          </w:pPr>
          <w:hyperlink w:anchor="_Toc225378655" w:history="1">
            <w:r w:rsidRPr="00AF74D7">
              <w:rPr>
                <w:rStyle w:val="Hyperlink"/>
                <w:noProof/>
              </w:rPr>
              <w:t>4.10</w:t>
            </w:r>
            <w:r>
              <w:rPr>
                <w:rFonts w:eastAsiaTheme="minorEastAsia" w:cstheme="minorBidi"/>
                <w:b w:val="0"/>
                <w:bCs w:val="0"/>
                <w:noProof/>
                <w:kern w:val="2"/>
                <w:sz w:val="24"/>
                <w:szCs w:val="24"/>
                <w14:ligatures w14:val="standardContextual"/>
              </w:rPr>
              <w:tab/>
            </w:r>
            <w:r w:rsidRPr="00AF74D7">
              <w:rPr>
                <w:rStyle w:val="Hyperlink"/>
                <w:noProof/>
              </w:rPr>
              <w:t>Summary</w:t>
            </w:r>
            <w:r>
              <w:rPr>
                <w:noProof/>
                <w:webHidden/>
              </w:rPr>
              <w:tab/>
            </w:r>
            <w:r>
              <w:rPr>
                <w:noProof/>
                <w:webHidden/>
              </w:rPr>
              <w:fldChar w:fldCharType="begin"/>
            </w:r>
            <w:r>
              <w:rPr>
                <w:noProof/>
                <w:webHidden/>
              </w:rPr>
              <w:instrText xml:space="preserve"> PAGEREF _Toc225378655 \h </w:instrText>
            </w:r>
            <w:r>
              <w:rPr>
                <w:noProof/>
                <w:webHidden/>
              </w:rPr>
            </w:r>
            <w:r>
              <w:rPr>
                <w:noProof/>
                <w:webHidden/>
              </w:rPr>
              <w:fldChar w:fldCharType="separate"/>
            </w:r>
            <w:r>
              <w:rPr>
                <w:noProof/>
                <w:webHidden/>
              </w:rPr>
              <w:t>21</w:t>
            </w:r>
            <w:r>
              <w:rPr>
                <w:noProof/>
                <w:webHidden/>
              </w:rPr>
              <w:fldChar w:fldCharType="end"/>
            </w:r>
          </w:hyperlink>
        </w:p>
        <w:p w14:paraId="4D422F62" w14:textId="07B5A69C" w:rsidR="006D55D9" w:rsidRDefault="006D55D9">
          <w:pPr>
            <w:pStyle w:val="TOC1"/>
            <w:tabs>
              <w:tab w:val="left" w:pos="480"/>
              <w:tab w:val="right" w:leader="dot" w:pos="9016"/>
            </w:tabs>
            <w:rPr>
              <w:rFonts w:eastAsiaTheme="minorEastAsia" w:cstheme="minorBidi"/>
              <w:b w:val="0"/>
              <w:bCs w:val="0"/>
              <w:i w:val="0"/>
              <w:iCs w:val="0"/>
              <w:noProof/>
              <w:kern w:val="2"/>
              <w14:ligatures w14:val="standardContextual"/>
            </w:rPr>
          </w:pPr>
          <w:hyperlink w:anchor="_Toc225378656" w:history="1">
            <w:r w:rsidRPr="00AF74D7">
              <w:rPr>
                <w:rStyle w:val="Hyperlink"/>
                <w:noProof/>
              </w:rPr>
              <w:t>5</w:t>
            </w:r>
            <w:r>
              <w:rPr>
                <w:rFonts w:eastAsiaTheme="minorEastAsia" w:cstheme="minorBidi"/>
                <w:b w:val="0"/>
                <w:bCs w:val="0"/>
                <w:i w:val="0"/>
                <w:iCs w:val="0"/>
                <w:noProof/>
                <w:kern w:val="2"/>
                <w14:ligatures w14:val="standardContextual"/>
              </w:rPr>
              <w:tab/>
            </w:r>
            <w:r w:rsidRPr="00AF74D7">
              <w:rPr>
                <w:rStyle w:val="Hyperlink"/>
                <w:noProof/>
              </w:rPr>
              <w:t>Conclusion</w:t>
            </w:r>
            <w:r>
              <w:rPr>
                <w:noProof/>
                <w:webHidden/>
              </w:rPr>
              <w:tab/>
            </w:r>
            <w:r>
              <w:rPr>
                <w:noProof/>
                <w:webHidden/>
              </w:rPr>
              <w:fldChar w:fldCharType="begin"/>
            </w:r>
            <w:r>
              <w:rPr>
                <w:noProof/>
                <w:webHidden/>
              </w:rPr>
              <w:instrText xml:space="preserve"> PAGEREF _Toc225378656 \h </w:instrText>
            </w:r>
            <w:r>
              <w:rPr>
                <w:noProof/>
                <w:webHidden/>
              </w:rPr>
            </w:r>
            <w:r>
              <w:rPr>
                <w:noProof/>
                <w:webHidden/>
              </w:rPr>
              <w:fldChar w:fldCharType="separate"/>
            </w:r>
            <w:r>
              <w:rPr>
                <w:noProof/>
                <w:webHidden/>
              </w:rPr>
              <w:t>23</w:t>
            </w:r>
            <w:r>
              <w:rPr>
                <w:noProof/>
                <w:webHidden/>
              </w:rPr>
              <w:fldChar w:fldCharType="end"/>
            </w:r>
          </w:hyperlink>
        </w:p>
        <w:p w14:paraId="7F20A940" w14:textId="53A6D0BF" w:rsidR="006D55D9" w:rsidRDefault="006D55D9">
          <w:pPr>
            <w:pStyle w:val="TOC1"/>
            <w:tabs>
              <w:tab w:val="right" w:leader="dot" w:pos="9016"/>
            </w:tabs>
            <w:rPr>
              <w:rFonts w:eastAsiaTheme="minorEastAsia" w:cstheme="minorBidi"/>
              <w:b w:val="0"/>
              <w:bCs w:val="0"/>
              <w:i w:val="0"/>
              <w:iCs w:val="0"/>
              <w:noProof/>
              <w:kern w:val="2"/>
              <w14:ligatures w14:val="standardContextual"/>
            </w:rPr>
          </w:pPr>
          <w:hyperlink w:anchor="_Toc225378657" w:history="1">
            <w:r w:rsidRPr="00AF74D7">
              <w:rPr>
                <w:rStyle w:val="Hyperlink"/>
                <w:noProof/>
              </w:rPr>
              <w:t>References</w:t>
            </w:r>
            <w:r>
              <w:rPr>
                <w:noProof/>
                <w:webHidden/>
              </w:rPr>
              <w:tab/>
            </w:r>
            <w:r>
              <w:rPr>
                <w:noProof/>
                <w:webHidden/>
              </w:rPr>
              <w:fldChar w:fldCharType="begin"/>
            </w:r>
            <w:r>
              <w:rPr>
                <w:noProof/>
                <w:webHidden/>
              </w:rPr>
              <w:instrText xml:space="preserve"> PAGEREF _Toc225378657 \h </w:instrText>
            </w:r>
            <w:r>
              <w:rPr>
                <w:noProof/>
                <w:webHidden/>
              </w:rPr>
            </w:r>
            <w:r>
              <w:rPr>
                <w:noProof/>
                <w:webHidden/>
              </w:rPr>
              <w:fldChar w:fldCharType="separate"/>
            </w:r>
            <w:r>
              <w:rPr>
                <w:noProof/>
                <w:webHidden/>
              </w:rPr>
              <w:t>24</w:t>
            </w:r>
            <w:r>
              <w:rPr>
                <w:noProof/>
                <w:webHidden/>
              </w:rPr>
              <w:fldChar w:fldCharType="end"/>
            </w:r>
          </w:hyperlink>
        </w:p>
        <w:p w14:paraId="2309F69C" w14:textId="269D2822" w:rsidR="006D55D9" w:rsidRDefault="006D55D9">
          <w:pPr>
            <w:pStyle w:val="TOC1"/>
            <w:tabs>
              <w:tab w:val="right" w:leader="dot" w:pos="9016"/>
            </w:tabs>
            <w:rPr>
              <w:rFonts w:eastAsiaTheme="minorEastAsia" w:cstheme="minorBidi"/>
              <w:b w:val="0"/>
              <w:bCs w:val="0"/>
              <w:i w:val="0"/>
              <w:iCs w:val="0"/>
              <w:noProof/>
              <w:kern w:val="2"/>
              <w14:ligatures w14:val="standardContextual"/>
            </w:rPr>
          </w:pPr>
          <w:hyperlink w:anchor="_Toc225378658" w:history="1">
            <w:r w:rsidRPr="00AF74D7">
              <w:rPr>
                <w:rStyle w:val="Hyperlink"/>
                <w:noProof/>
              </w:rPr>
              <w:t>Appendix</w:t>
            </w:r>
            <w:r>
              <w:rPr>
                <w:noProof/>
                <w:webHidden/>
              </w:rPr>
              <w:tab/>
            </w:r>
            <w:r>
              <w:rPr>
                <w:noProof/>
                <w:webHidden/>
              </w:rPr>
              <w:fldChar w:fldCharType="begin"/>
            </w:r>
            <w:r>
              <w:rPr>
                <w:noProof/>
                <w:webHidden/>
              </w:rPr>
              <w:instrText xml:space="preserve"> PAGEREF _Toc225378658 \h </w:instrText>
            </w:r>
            <w:r>
              <w:rPr>
                <w:noProof/>
                <w:webHidden/>
              </w:rPr>
            </w:r>
            <w:r>
              <w:rPr>
                <w:noProof/>
                <w:webHidden/>
              </w:rPr>
              <w:fldChar w:fldCharType="separate"/>
            </w:r>
            <w:r>
              <w:rPr>
                <w:noProof/>
                <w:webHidden/>
              </w:rPr>
              <w:t>27</w:t>
            </w:r>
            <w:r>
              <w:rPr>
                <w:noProof/>
                <w:webHidden/>
              </w:rPr>
              <w:fldChar w:fldCharType="end"/>
            </w:r>
          </w:hyperlink>
        </w:p>
        <w:p w14:paraId="504689F9" w14:textId="467AC920" w:rsidR="006D55D9" w:rsidRDefault="006D55D9">
          <w:pPr>
            <w:pStyle w:val="TOC2"/>
            <w:tabs>
              <w:tab w:val="right" w:leader="dot" w:pos="9016"/>
            </w:tabs>
            <w:rPr>
              <w:rFonts w:eastAsiaTheme="minorEastAsia" w:cstheme="minorBidi"/>
              <w:b w:val="0"/>
              <w:bCs w:val="0"/>
              <w:noProof/>
              <w:kern w:val="2"/>
              <w:sz w:val="24"/>
              <w:szCs w:val="24"/>
              <w14:ligatures w14:val="standardContextual"/>
            </w:rPr>
          </w:pPr>
          <w:hyperlink w:anchor="_Toc225378659" w:history="1">
            <w:r w:rsidRPr="00AF74D7">
              <w:rPr>
                <w:rStyle w:val="Hyperlink"/>
                <w:noProof/>
              </w:rPr>
              <w:t>Payback Period Calculations</w:t>
            </w:r>
            <w:r>
              <w:rPr>
                <w:noProof/>
                <w:webHidden/>
              </w:rPr>
              <w:tab/>
            </w:r>
            <w:r>
              <w:rPr>
                <w:noProof/>
                <w:webHidden/>
              </w:rPr>
              <w:fldChar w:fldCharType="begin"/>
            </w:r>
            <w:r>
              <w:rPr>
                <w:noProof/>
                <w:webHidden/>
              </w:rPr>
              <w:instrText xml:space="preserve"> PAGEREF _Toc225378659 \h </w:instrText>
            </w:r>
            <w:r>
              <w:rPr>
                <w:noProof/>
                <w:webHidden/>
              </w:rPr>
            </w:r>
            <w:r>
              <w:rPr>
                <w:noProof/>
                <w:webHidden/>
              </w:rPr>
              <w:fldChar w:fldCharType="separate"/>
            </w:r>
            <w:r>
              <w:rPr>
                <w:noProof/>
                <w:webHidden/>
              </w:rPr>
              <w:t>27</w:t>
            </w:r>
            <w:r>
              <w:rPr>
                <w:noProof/>
                <w:webHidden/>
              </w:rPr>
              <w:fldChar w:fldCharType="end"/>
            </w:r>
          </w:hyperlink>
        </w:p>
        <w:p w14:paraId="3D28045A" w14:textId="024E2EDB" w:rsidR="006D55D9" w:rsidRDefault="006D55D9">
          <w:pPr>
            <w:pStyle w:val="TOC2"/>
            <w:tabs>
              <w:tab w:val="right" w:leader="dot" w:pos="9016"/>
            </w:tabs>
            <w:rPr>
              <w:rFonts w:eastAsiaTheme="minorEastAsia" w:cstheme="minorBidi"/>
              <w:b w:val="0"/>
              <w:bCs w:val="0"/>
              <w:noProof/>
              <w:kern w:val="2"/>
              <w:sz w:val="24"/>
              <w:szCs w:val="24"/>
              <w14:ligatures w14:val="standardContextual"/>
            </w:rPr>
          </w:pPr>
          <w:hyperlink w:anchor="_Toc225378660" w:history="1">
            <w:r w:rsidRPr="00AF74D7">
              <w:rPr>
                <w:rStyle w:val="Hyperlink"/>
                <w:noProof/>
              </w:rPr>
              <w:t>ARR calculations</w:t>
            </w:r>
            <w:r>
              <w:rPr>
                <w:noProof/>
                <w:webHidden/>
              </w:rPr>
              <w:tab/>
            </w:r>
            <w:r>
              <w:rPr>
                <w:noProof/>
                <w:webHidden/>
              </w:rPr>
              <w:fldChar w:fldCharType="begin"/>
            </w:r>
            <w:r>
              <w:rPr>
                <w:noProof/>
                <w:webHidden/>
              </w:rPr>
              <w:instrText xml:space="preserve"> PAGEREF _Toc225378660 \h </w:instrText>
            </w:r>
            <w:r>
              <w:rPr>
                <w:noProof/>
                <w:webHidden/>
              </w:rPr>
            </w:r>
            <w:r>
              <w:rPr>
                <w:noProof/>
                <w:webHidden/>
              </w:rPr>
              <w:fldChar w:fldCharType="separate"/>
            </w:r>
            <w:r>
              <w:rPr>
                <w:noProof/>
                <w:webHidden/>
              </w:rPr>
              <w:t>28</w:t>
            </w:r>
            <w:r>
              <w:rPr>
                <w:noProof/>
                <w:webHidden/>
              </w:rPr>
              <w:fldChar w:fldCharType="end"/>
            </w:r>
          </w:hyperlink>
        </w:p>
        <w:p w14:paraId="433BC3F1" w14:textId="15461E9A" w:rsidR="006D55D9" w:rsidRDefault="006D55D9">
          <w:pPr>
            <w:pStyle w:val="TOC2"/>
            <w:tabs>
              <w:tab w:val="right" w:leader="dot" w:pos="9016"/>
            </w:tabs>
            <w:rPr>
              <w:rFonts w:eastAsiaTheme="minorEastAsia" w:cstheme="minorBidi"/>
              <w:b w:val="0"/>
              <w:bCs w:val="0"/>
              <w:noProof/>
              <w:kern w:val="2"/>
              <w:sz w:val="24"/>
              <w:szCs w:val="24"/>
              <w14:ligatures w14:val="standardContextual"/>
            </w:rPr>
          </w:pPr>
          <w:hyperlink w:anchor="_Toc225378661" w:history="1">
            <w:r w:rsidRPr="00AF74D7">
              <w:rPr>
                <w:rStyle w:val="Hyperlink"/>
                <w:noProof/>
              </w:rPr>
              <w:t>NPV and PI Calculation</w:t>
            </w:r>
            <w:r>
              <w:rPr>
                <w:noProof/>
                <w:webHidden/>
              </w:rPr>
              <w:tab/>
            </w:r>
            <w:r>
              <w:rPr>
                <w:noProof/>
                <w:webHidden/>
              </w:rPr>
              <w:fldChar w:fldCharType="begin"/>
            </w:r>
            <w:r>
              <w:rPr>
                <w:noProof/>
                <w:webHidden/>
              </w:rPr>
              <w:instrText xml:space="preserve"> PAGEREF _Toc225378661 \h </w:instrText>
            </w:r>
            <w:r>
              <w:rPr>
                <w:noProof/>
                <w:webHidden/>
              </w:rPr>
            </w:r>
            <w:r>
              <w:rPr>
                <w:noProof/>
                <w:webHidden/>
              </w:rPr>
              <w:fldChar w:fldCharType="separate"/>
            </w:r>
            <w:r>
              <w:rPr>
                <w:noProof/>
                <w:webHidden/>
              </w:rPr>
              <w:t>29</w:t>
            </w:r>
            <w:r>
              <w:rPr>
                <w:noProof/>
                <w:webHidden/>
              </w:rPr>
              <w:fldChar w:fldCharType="end"/>
            </w:r>
          </w:hyperlink>
        </w:p>
        <w:p w14:paraId="66D8C6D2" w14:textId="23773FCD" w:rsidR="006D55D9" w:rsidRDefault="006D55D9">
          <w:pPr>
            <w:pStyle w:val="TOC2"/>
            <w:tabs>
              <w:tab w:val="right" w:leader="dot" w:pos="9016"/>
            </w:tabs>
            <w:rPr>
              <w:rFonts w:eastAsiaTheme="minorEastAsia" w:cstheme="minorBidi"/>
              <w:b w:val="0"/>
              <w:bCs w:val="0"/>
              <w:noProof/>
              <w:kern w:val="2"/>
              <w:sz w:val="24"/>
              <w:szCs w:val="24"/>
              <w14:ligatures w14:val="standardContextual"/>
            </w:rPr>
          </w:pPr>
          <w:hyperlink w:anchor="_Toc225378662" w:history="1">
            <w:r w:rsidRPr="00AF74D7">
              <w:rPr>
                <w:rStyle w:val="Hyperlink"/>
                <w:noProof/>
              </w:rPr>
              <w:t>Internal Rate of Return (IRR) Calculations</w:t>
            </w:r>
            <w:r>
              <w:rPr>
                <w:noProof/>
                <w:webHidden/>
              </w:rPr>
              <w:tab/>
            </w:r>
            <w:r>
              <w:rPr>
                <w:noProof/>
                <w:webHidden/>
              </w:rPr>
              <w:fldChar w:fldCharType="begin"/>
            </w:r>
            <w:r>
              <w:rPr>
                <w:noProof/>
                <w:webHidden/>
              </w:rPr>
              <w:instrText xml:space="preserve"> PAGEREF _Toc225378662 \h </w:instrText>
            </w:r>
            <w:r>
              <w:rPr>
                <w:noProof/>
                <w:webHidden/>
              </w:rPr>
            </w:r>
            <w:r>
              <w:rPr>
                <w:noProof/>
                <w:webHidden/>
              </w:rPr>
              <w:fldChar w:fldCharType="separate"/>
            </w:r>
            <w:r>
              <w:rPr>
                <w:noProof/>
                <w:webHidden/>
              </w:rPr>
              <w:t>30</w:t>
            </w:r>
            <w:r>
              <w:rPr>
                <w:noProof/>
                <w:webHidden/>
              </w:rPr>
              <w:fldChar w:fldCharType="end"/>
            </w:r>
          </w:hyperlink>
        </w:p>
        <w:p w14:paraId="0268D18D" w14:textId="25505110" w:rsidR="005F1147" w:rsidRDefault="005F1147">
          <w:r>
            <w:rPr>
              <w:b/>
              <w:bCs/>
              <w:noProof/>
            </w:rPr>
            <w:fldChar w:fldCharType="end"/>
          </w:r>
        </w:p>
      </w:sdtContent>
    </w:sdt>
    <w:p w14:paraId="68779334" w14:textId="3A69CD24" w:rsidR="005F1147" w:rsidRDefault="005F1147">
      <w:pPr>
        <w:spacing w:after="160" w:line="278" w:lineRule="auto"/>
        <w:jc w:val="left"/>
      </w:pPr>
      <w:r>
        <w:br w:type="page"/>
      </w:r>
    </w:p>
    <w:p w14:paraId="03E44567" w14:textId="2ED4728B" w:rsidR="00BC5935" w:rsidRPr="00E472D7" w:rsidRDefault="008C1A4C" w:rsidP="008C1A4C">
      <w:pPr>
        <w:pStyle w:val="Heading1"/>
        <w:rPr>
          <w:rFonts w:cs="Times New Roman"/>
          <w:lang w:val="en-US"/>
        </w:rPr>
      </w:pPr>
      <w:bookmarkStart w:id="0" w:name="_Toc225378629"/>
      <w:r w:rsidRPr="00E472D7">
        <w:rPr>
          <w:rFonts w:cs="Times New Roman"/>
          <w:lang w:val="en-US"/>
        </w:rPr>
        <w:lastRenderedPageBreak/>
        <w:t>Financial Health Check</w:t>
      </w:r>
      <w:bookmarkEnd w:id="0"/>
    </w:p>
    <w:p w14:paraId="336B298A" w14:textId="42C1C344" w:rsidR="008C1A4C" w:rsidRDefault="008C1A4C" w:rsidP="008C1A4C">
      <w:pPr>
        <w:rPr>
          <w:lang w:val="en-US"/>
        </w:rPr>
      </w:pPr>
      <w:r w:rsidRPr="00E472D7">
        <w:rPr>
          <w:lang w:val="en-US"/>
        </w:rPr>
        <w:t xml:space="preserve">A financial health check is the evaluation of the financial performance and stability of a company using historical financial information and important financial ratios. This section examines the financial statements of </w:t>
      </w:r>
      <w:r w:rsidRPr="001F43CE">
        <w:rPr>
          <w:b/>
          <w:bCs/>
          <w:lang w:val="en-US"/>
        </w:rPr>
        <w:t>Tesla</w:t>
      </w:r>
      <w:r w:rsidRPr="00E472D7">
        <w:rPr>
          <w:lang w:val="en-US"/>
        </w:rPr>
        <w:t xml:space="preserve"> over a 5-year period from 2020 to 2024</w:t>
      </w:r>
      <w:sdt>
        <w:sdtPr>
          <w:rPr>
            <w:lang w:val="en-US"/>
          </w:rPr>
          <w:id w:val="603393814"/>
          <w:citation/>
        </w:sdtPr>
        <w:sdtContent>
          <w:r w:rsidR="007003D5" w:rsidRPr="00E472D7">
            <w:rPr>
              <w:lang w:val="en-US"/>
            </w:rPr>
            <w:fldChar w:fldCharType="begin"/>
          </w:r>
          <w:r w:rsidR="007003D5" w:rsidRPr="00E472D7">
            <w:rPr>
              <w:lang w:val="en-US"/>
            </w:rPr>
            <w:instrText xml:space="preserve"> CITATION USE20 \l 1033 </w:instrText>
          </w:r>
          <w:r w:rsidR="007003D5" w:rsidRPr="00E472D7">
            <w:rPr>
              <w:lang w:val="en-US"/>
            </w:rPr>
            <w:fldChar w:fldCharType="separate"/>
          </w:r>
          <w:r w:rsidR="007003D5" w:rsidRPr="00E472D7">
            <w:rPr>
              <w:noProof/>
              <w:lang w:val="en-US"/>
            </w:rPr>
            <w:t xml:space="preserve"> (USES, 2020)</w:t>
          </w:r>
          <w:r w:rsidR="007003D5" w:rsidRPr="00E472D7">
            <w:rPr>
              <w:lang w:val="en-US"/>
            </w:rPr>
            <w:fldChar w:fldCharType="end"/>
          </w:r>
        </w:sdtContent>
      </w:sdt>
      <w:r w:rsidR="00E472D7" w:rsidRPr="00E472D7">
        <w:rPr>
          <w:b/>
          <w:bCs/>
          <w:sz w:val="22"/>
          <w:szCs w:val="22"/>
          <w:lang w:val="en-US"/>
        </w:rPr>
        <w:t xml:space="preserve"> </w:t>
      </w:r>
      <w:sdt>
        <w:sdtPr>
          <w:rPr>
            <w:b/>
            <w:bCs/>
            <w:sz w:val="22"/>
            <w:szCs w:val="22"/>
            <w:lang w:val="en-US"/>
          </w:rPr>
          <w:id w:val="-1063711412"/>
          <w:citation/>
        </w:sdtPr>
        <w:sdtContent>
          <w:r w:rsidR="00E472D7" w:rsidRPr="00E472D7">
            <w:rPr>
              <w:b/>
              <w:bCs/>
              <w:sz w:val="22"/>
              <w:szCs w:val="22"/>
              <w:lang w:val="en-US"/>
            </w:rPr>
            <w:fldChar w:fldCharType="begin"/>
          </w:r>
          <w:r w:rsidR="00E472D7" w:rsidRPr="00E472D7">
            <w:rPr>
              <w:b/>
              <w:bCs/>
              <w:sz w:val="22"/>
              <w:szCs w:val="22"/>
              <w:lang w:val="en-US"/>
            </w:rPr>
            <w:instrText xml:space="preserve"> CITATION USE22 \l 1033 </w:instrText>
          </w:r>
          <w:r w:rsidR="00E472D7" w:rsidRPr="00E472D7">
            <w:rPr>
              <w:b/>
              <w:bCs/>
              <w:sz w:val="22"/>
              <w:szCs w:val="22"/>
              <w:lang w:val="en-US"/>
            </w:rPr>
            <w:fldChar w:fldCharType="separate"/>
          </w:r>
          <w:r w:rsidR="00E472D7" w:rsidRPr="00E472D7">
            <w:rPr>
              <w:noProof/>
              <w:sz w:val="22"/>
              <w:szCs w:val="22"/>
              <w:lang w:val="en-US"/>
            </w:rPr>
            <w:t>(USES, 2022)</w:t>
          </w:r>
          <w:r w:rsidR="00E472D7" w:rsidRPr="00E472D7">
            <w:rPr>
              <w:b/>
              <w:bCs/>
              <w:sz w:val="22"/>
              <w:szCs w:val="22"/>
              <w:lang w:val="en-US"/>
            </w:rPr>
            <w:fldChar w:fldCharType="end"/>
          </w:r>
        </w:sdtContent>
      </w:sdt>
      <w:sdt>
        <w:sdtPr>
          <w:rPr>
            <w:b/>
            <w:bCs/>
            <w:sz w:val="22"/>
            <w:szCs w:val="22"/>
            <w:lang w:val="en-US"/>
          </w:rPr>
          <w:id w:val="-451784866"/>
          <w:citation/>
        </w:sdtPr>
        <w:sdtContent>
          <w:r w:rsidR="00E472D7" w:rsidRPr="00E472D7">
            <w:rPr>
              <w:b/>
              <w:bCs/>
              <w:sz w:val="22"/>
              <w:szCs w:val="22"/>
              <w:lang w:val="en-US"/>
            </w:rPr>
            <w:fldChar w:fldCharType="begin"/>
          </w:r>
          <w:r w:rsidR="00E472D7" w:rsidRPr="00E472D7">
            <w:rPr>
              <w:b/>
              <w:bCs/>
              <w:sz w:val="22"/>
              <w:szCs w:val="22"/>
              <w:lang w:val="en-US"/>
            </w:rPr>
            <w:instrText xml:space="preserve"> CITATION USE23 \l 1033 </w:instrText>
          </w:r>
          <w:r w:rsidR="00E472D7" w:rsidRPr="00E472D7">
            <w:rPr>
              <w:b/>
              <w:bCs/>
              <w:sz w:val="22"/>
              <w:szCs w:val="22"/>
              <w:lang w:val="en-US"/>
            </w:rPr>
            <w:fldChar w:fldCharType="separate"/>
          </w:r>
          <w:r w:rsidR="00E472D7" w:rsidRPr="00E472D7">
            <w:rPr>
              <w:b/>
              <w:bCs/>
              <w:noProof/>
              <w:sz w:val="22"/>
              <w:szCs w:val="22"/>
              <w:lang w:val="en-US"/>
            </w:rPr>
            <w:t xml:space="preserve"> </w:t>
          </w:r>
          <w:r w:rsidR="00E472D7" w:rsidRPr="00E472D7">
            <w:rPr>
              <w:noProof/>
              <w:sz w:val="22"/>
              <w:szCs w:val="22"/>
              <w:lang w:val="en-US"/>
            </w:rPr>
            <w:t>(USES, 2023)</w:t>
          </w:r>
          <w:r w:rsidR="00E472D7" w:rsidRPr="00E472D7">
            <w:rPr>
              <w:b/>
              <w:bCs/>
              <w:sz w:val="22"/>
              <w:szCs w:val="22"/>
              <w:lang w:val="en-US"/>
            </w:rPr>
            <w:fldChar w:fldCharType="end"/>
          </w:r>
        </w:sdtContent>
      </w:sdt>
      <w:sdt>
        <w:sdtPr>
          <w:rPr>
            <w:b/>
            <w:bCs/>
            <w:sz w:val="22"/>
            <w:szCs w:val="22"/>
            <w:lang w:val="en-US"/>
          </w:rPr>
          <w:id w:val="1923981474"/>
          <w:citation/>
        </w:sdtPr>
        <w:sdtContent>
          <w:r w:rsidR="00E472D7" w:rsidRPr="00E472D7">
            <w:rPr>
              <w:b/>
              <w:bCs/>
              <w:sz w:val="22"/>
              <w:szCs w:val="22"/>
              <w:lang w:val="en-US"/>
            </w:rPr>
            <w:fldChar w:fldCharType="begin"/>
          </w:r>
          <w:r w:rsidR="00E472D7" w:rsidRPr="00E472D7">
            <w:rPr>
              <w:b/>
              <w:bCs/>
              <w:sz w:val="22"/>
              <w:szCs w:val="22"/>
              <w:lang w:val="en-US"/>
            </w:rPr>
            <w:instrText xml:space="preserve"> CITATION USE24 \l 1033 </w:instrText>
          </w:r>
          <w:r w:rsidR="00E472D7" w:rsidRPr="00E472D7">
            <w:rPr>
              <w:b/>
              <w:bCs/>
              <w:sz w:val="22"/>
              <w:szCs w:val="22"/>
              <w:lang w:val="en-US"/>
            </w:rPr>
            <w:fldChar w:fldCharType="separate"/>
          </w:r>
          <w:r w:rsidR="00E472D7" w:rsidRPr="00E472D7">
            <w:rPr>
              <w:b/>
              <w:bCs/>
              <w:noProof/>
              <w:sz w:val="22"/>
              <w:szCs w:val="22"/>
              <w:lang w:val="en-US"/>
            </w:rPr>
            <w:t xml:space="preserve"> </w:t>
          </w:r>
          <w:r w:rsidR="00E472D7" w:rsidRPr="00E472D7">
            <w:rPr>
              <w:noProof/>
              <w:sz w:val="22"/>
              <w:szCs w:val="22"/>
              <w:lang w:val="en-US"/>
            </w:rPr>
            <w:t>(USEC, 2024)</w:t>
          </w:r>
          <w:r w:rsidR="00E472D7" w:rsidRPr="00E472D7">
            <w:rPr>
              <w:b/>
              <w:bCs/>
              <w:sz w:val="22"/>
              <w:szCs w:val="22"/>
              <w:lang w:val="en-US"/>
            </w:rPr>
            <w:fldChar w:fldCharType="end"/>
          </w:r>
        </w:sdtContent>
      </w:sdt>
      <w:sdt>
        <w:sdtPr>
          <w:rPr>
            <w:b/>
            <w:bCs/>
            <w:sz w:val="22"/>
            <w:szCs w:val="22"/>
            <w:lang w:val="en-US"/>
          </w:rPr>
          <w:id w:val="-598332682"/>
          <w:citation/>
        </w:sdtPr>
        <w:sdtContent>
          <w:r w:rsidR="00E472D7" w:rsidRPr="00E472D7">
            <w:rPr>
              <w:b/>
              <w:bCs/>
              <w:sz w:val="22"/>
              <w:szCs w:val="22"/>
              <w:lang w:val="en-US"/>
            </w:rPr>
            <w:fldChar w:fldCharType="begin"/>
          </w:r>
          <w:r w:rsidR="00E472D7" w:rsidRPr="00E472D7">
            <w:rPr>
              <w:b/>
              <w:bCs/>
              <w:sz w:val="22"/>
              <w:szCs w:val="22"/>
              <w:lang w:val="en-US"/>
            </w:rPr>
            <w:instrText xml:space="preserve"> CITATION USE21 \l 1033 </w:instrText>
          </w:r>
          <w:r w:rsidR="00E472D7" w:rsidRPr="00E472D7">
            <w:rPr>
              <w:b/>
              <w:bCs/>
              <w:sz w:val="22"/>
              <w:szCs w:val="22"/>
              <w:lang w:val="en-US"/>
            </w:rPr>
            <w:fldChar w:fldCharType="separate"/>
          </w:r>
          <w:r w:rsidR="00E472D7" w:rsidRPr="00E472D7">
            <w:rPr>
              <w:b/>
              <w:bCs/>
              <w:noProof/>
              <w:sz w:val="22"/>
              <w:szCs w:val="22"/>
              <w:lang w:val="en-US"/>
            </w:rPr>
            <w:t xml:space="preserve"> </w:t>
          </w:r>
          <w:r w:rsidR="00E472D7" w:rsidRPr="00E472D7">
            <w:rPr>
              <w:noProof/>
              <w:sz w:val="22"/>
              <w:szCs w:val="22"/>
              <w:lang w:val="en-US"/>
            </w:rPr>
            <w:t>(USES, 2021)</w:t>
          </w:r>
          <w:r w:rsidR="00E472D7" w:rsidRPr="00E472D7">
            <w:rPr>
              <w:b/>
              <w:bCs/>
              <w:sz w:val="22"/>
              <w:szCs w:val="22"/>
              <w:lang w:val="en-US"/>
            </w:rPr>
            <w:fldChar w:fldCharType="end"/>
          </w:r>
        </w:sdtContent>
      </w:sdt>
      <w:r w:rsidRPr="00E472D7">
        <w:rPr>
          <w:lang w:val="en-US"/>
        </w:rPr>
        <w:t xml:space="preserve">. The analysis focuses on profitability, liquidity, efficiency, gearing, investment and cash flow ratios in order to assess the company's financial position, operational performance and risk profile. Financial ratios are used extensively in interpreting financial statements, because it is possible to compare them from one period to another and detect trends in company performance. By </w:t>
      </w:r>
      <w:r w:rsidR="00066A45" w:rsidRPr="00E472D7">
        <w:rPr>
          <w:lang w:val="en-US"/>
        </w:rPr>
        <w:t>analyzing</w:t>
      </w:r>
      <w:r w:rsidRPr="00E472D7">
        <w:rPr>
          <w:lang w:val="en-US"/>
        </w:rPr>
        <w:t xml:space="preserve"> Tesla's financial ratios, it is possible to evaluate how effectively the company has generated profits, managed its assets, maintained liquidity and financed its operations</w:t>
      </w:r>
      <w:sdt>
        <w:sdtPr>
          <w:rPr>
            <w:lang w:val="en-US"/>
          </w:rPr>
          <w:id w:val="-789520489"/>
          <w:citation/>
        </w:sdtPr>
        <w:sdtContent>
          <w:r w:rsidR="00FD44F9" w:rsidRPr="00E472D7">
            <w:rPr>
              <w:lang w:val="en-US"/>
            </w:rPr>
            <w:fldChar w:fldCharType="begin"/>
          </w:r>
          <w:r w:rsidR="00FD44F9" w:rsidRPr="00E472D7">
            <w:rPr>
              <w:lang w:val="en-US"/>
            </w:rPr>
            <w:instrText xml:space="preserve"> CITATION Ran22 \l 1033 </w:instrText>
          </w:r>
          <w:r w:rsidR="00FD44F9" w:rsidRPr="00E472D7">
            <w:rPr>
              <w:lang w:val="en-US"/>
            </w:rPr>
            <w:fldChar w:fldCharType="separate"/>
          </w:r>
          <w:r w:rsidR="00FD44F9" w:rsidRPr="00E472D7">
            <w:rPr>
              <w:noProof/>
              <w:lang w:val="en-US"/>
            </w:rPr>
            <w:t xml:space="preserve"> (Westerfield, 2022)</w:t>
          </w:r>
          <w:r w:rsidR="00FD44F9" w:rsidRPr="00E472D7">
            <w:rPr>
              <w:lang w:val="en-US"/>
            </w:rPr>
            <w:fldChar w:fldCharType="end"/>
          </w:r>
        </w:sdtContent>
      </w:sdt>
      <w:r w:rsidRPr="00E472D7">
        <w:rPr>
          <w:lang w:val="en-US"/>
        </w:rPr>
        <w:t>.</w:t>
      </w:r>
      <w:r w:rsidR="00066A45" w:rsidRPr="00E472D7">
        <w:rPr>
          <w:lang w:val="en-US"/>
        </w:rPr>
        <w:t xml:space="preserve"> </w:t>
      </w:r>
      <w:r w:rsidRPr="00E472D7">
        <w:rPr>
          <w:lang w:val="en-US"/>
        </w:rPr>
        <w:t>The analysis also shows some of the strengths and potential threats that may influence the financial sustainability of Tesla in the future.</w:t>
      </w:r>
    </w:p>
    <w:p w14:paraId="19BE2FAE" w14:textId="660C488E" w:rsidR="005920E5" w:rsidRDefault="005920E5" w:rsidP="008C1A4C">
      <w:pPr>
        <w:rPr>
          <w:lang w:val="en-US"/>
        </w:rPr>
      </w:pPr>
      <w:r w:rsidRPr="005920E5">
        <w:rPr>
          <w:lang w:val="en-US"/>
        </w:rPr>
        <w:t xml:space="preserve">Tesla's financial statements </w:t>
      </w:r>
      <w:r>
        <w:rPr>
          <w:lang w:val="en-US"/>
        </w:rPr>
        <w:t xml:space="preserve">clearly </w:t>
      </w:r>
      <w:r w:rsidR="00C4593F">
        <w:rPr>
          <w:lang w:val="en-US"/>
        </w:rPr>
        <w:t>state</w:t>
      </w:r>
      <w:r>
        <w:rPr>
          <w:lang w:val="en-US"/>
        </w:rPr>
        <w:t xml:space="preserve"> the healthy business growth over the period of five year. </w:t>
      </w:r>
      <w:r w:rsidRPr="005920E5">
        <w:rPr>
          <w:lang w:val="en-US"/>
        </w:rPr>
        <w:t xml:space="preserve">The income statement </w:t>
      </w:r>
      <w:r w:rsidR="00C4593F">
        <w:rPr>
          <w:lang w:val="en-US"/>
        </w:rPr>
        <w:t xml:space="preserve">shows that revenue has increased massively from </w:t>
      </w:r>
      <w:r w:rsidR="00C4593F" w:rsidRPr="005920E5">
        <w:rPr>
          <w:lang w:val="en-US"/>
        </w:rPr>
        <w:t>$</w:t>
      </w:r>
      <w:r w:rsidR="00C4593F" w:rsidRPr="005920E5">
        <w:rPr>
          <w:lang w:val="en-US"/>
        </w:rPr>
        <w:t>31.54 billion in 2020 to $97.69 billion in 2024,</w:t>
      </w:r>
      <w:r w:rsidR="00C4593F">
        <w:rPr>
          <w:lang w:val="en-US"/>
        </w:rPr>
        <w:t xml:space="preserve"> </w:t>
      </w:r>
      <w:r w:rsidR="00C4593F" w:rsidRPr="005920E5">
        <w:rPr>
          <w:lang w:val="en-US"/>
        </w:rPr>
        <w:t>though net profit has declined in 2024 to $7.15 billion from $14.97 billion in 2023.</w:t>
      </w:r>
      <w:r w:rsidR="00C4593F">
        <w:rPr>
          <w:lang w:val="en-US"/>
        </w:rPr>
        <w:t xml:space="preserve"> This shows the nature of business that company has chosen to grow at faster pace with high sales, but it has resulted in lower profit margins. </w:t>
      </w:r>
      <w:r w:rsidRPr="005920E5">
        <w:rPr>
          <w:lang w:val="en-US"/>
        </w:rPr>
        <w:t>The statement of financial position displays major expansion as total assets went from $52.15 billion in 2020 to $122.07 billion in 2024 with equity also having a strong increase representing improved financial strength. The cash flow statement illustrates that the operating cash flow was still robust, growing from $5.94 billion in 2020 to $14.92 billion in 2024. However, capital expenditure also increased significantly, demonstrating that Tesla is continuing to invest in future growth.</w:t>
      </w:r>
    </w:p>
    <w:p w14:paraId="4CD8B745" w14:textId="05963392" w:rsidR="00E472D7" w:rsidRDefault="006B3645" w:rsidP="006B3645">
      <w:pPr>
        <w:pStyle w:val="Heading2"/>
        <w:rPr>
          <w:rStyle w:val="bzpyqfadein"/>
        </w:rPr>
      </w:pPr>
      <w:bookmarkStart w:id="1" w:name="_Toc225378630"/>
      <w:r>
        <w:rPr>
          <w:rStyle w:val="bzpyqfadein"/>
        </w:rPr>
        <w:lastRenderedPageBreak/>
        <w:t>Profitability Analysis</w:t>
      </w:r>
      <w:bookmarkEnd w:id="1"/>
    </w:p>
    <w:p w14:paraId="3DA58CB4" w14:textId="0F111750" w:rsidR="00643F04" w:rsidRDefault="00643F04" w:rsidP="00643F04">
      <w:pPr>
        <w:pStyle w:val="Caption"/>
        <w:keepNext/>
        <w:jc w:val="center"/>
      </w:pPr>
      <w:r>
        <w:t xml:space="preserve">Table </w:t>
      </w:r>
      <w:fldSimple w:instr=" SEQ Table \* ARABIC ">
        <w:r w:rsidR="003234D4">
          <w:rPr>
            <w:noProof/>
          </w:rPr>
          <w:t>1</w:t>
        </w:r>
      </w:fldSimple>
      <w:r>
        <w:t xml:space="preserve"> </w:t>
      </w:r>
      <w:r w:rsidRPr="00134EA5">
        <w:t>Tesla Profitability Ratio Analysis</w:t>
      </w:r>
      <w:r>
        <w:t xml:space="preserve"> (Self-Created)</w:t>
      </w:r>
    </w:p>
    <w:p w14:paraId="3C95A5D7" w14:textId="77777777" w:rsidR="00643F04" w:rsidRDefault="00B131B0" w:rsidP="00643F04">
      <w:pPr>
        <w:keepNext/>
      </w:pPr>
      <w:r w:rsidRPr="00B131B0">
        <w:rPr>
          <w:noProof/>
        </w:rPr>
        <w:drawing>
          <wp:inline distT="0" distB="0" distL="0" distR="0" wp14:anchorId="5F2F926E" wp14:editId="129F8BA4">
            <wp:extent cx="5731510" cy="1548130"/>
            <wp:effectExtent l="0" t="0" r="0" b="1270"/>
            <wp:docPr id="522369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369427" name=""/>
                    <pic:cNvPicPr/>
                  </pic:nvPicPr>
                  <pic:blipFill>
                    <a:blip r:embed="rId9"/>
                    <a:stretch>
                      <a:fillRect/>
                    </a:stretch>
                  </pic:blipFill>
                  <pic:spPr>
                    <a:xfrm>
                      <a:off x="0" y="0"/>
                      <a:ext cx="5731510" cy="1548130"/>
                    </a:xfrm>
                    <a:prstGeom prst="rect">
                      <a:avLst/>
                    </a:prstGeom>
                  </pic:spPr>
                </pic:pic>
              </a:graphicData>
            </a:graphic>
          </wp:inline>
        </w:drawing>
      </w:r>
    </w:p>
    <w:p w14:paraId="4DE66CF6" w14:textId="34E5FF52" w:rsidR="005E6DB3" w:rsidRPr="006344E0" w:rsidRDefault="008A7E9E" w:rsidP="00962714">
      <w:r>
        <w:t>Profitability ratios are used to measure the ability of a company to generate earnings relative to its sales, assets and shareholders' equity</w:t>
      </w:r>
      <w:sdt>
        <w:sdtPr>
          <w:id w:val="1108942465"/>
          <w:citation/>
        </w:sdtPr>
        <w:sdtContent>
          <w:r>
            <w:fldChar w:fldCharType="begin"/>
          </w:r>
          <w:r>
            <w:rPr>
              <w:lang w:val="en-US"/>
            </w:rPr>
            <w:instrText xml:space="preserve"> CITATION Bri19 \l 1033 </w:instrText>
          </w:r>
          <w:r>
            <w:fldChar w:fldCharType="separate"/>
          </w:r>
          <w:r>
            <w:rPr>
              <w:noProof/>
              <w:lang w:val="en-US"/>
            </w:rPr>
            <w:t xml:space="preserve"> </w:t>
          </w:r>
          <w:r w:rsidRPr="00700FC8">
            <w:rPr>
              <w:noProof/>
              <w:lang w:val="en-US"/>
            </w:rPr>
            <w:t>(Brigham, 2019)</w:t>
          </w:r>
          <w:r>
            <w:fldChar w:fldCharType="end"/>
          </w:r>
        </w:sdtContent>
      </w:sdt>
      <w:r>
        <w:t xml:space="preserve"> </w:t>
      </w:r>
      <w:r w:rsidR="00092777">
        <w:t>In the 2020, Tes</w:t>
      </w:r>
      <w:r>
        <w:t>l</w:t>
      </w:r>
      <w:r w:rsidR="00092777">
        <w:t>a has generated 2.29% and reached to 15.47% in the 2023, this suggests that company has maintained the consistent profitability</w:t>
      </w:r>
      <w:r>
        <w:t>.</w:t>
      </w:r>
      <w:r w:rsidR="00092777">
        <w:t xml:space="preserve"> </w:t>
      </w:r>
      <w:r w:rsidR="00350DB5">
        <w:t xml:space="preserve">During these time, there has been also increase in sales volumes, which has helped them to convert the higher profit margin. </w:t>
      </w:r>
      <w:r w:rsidR="00976253" w:rsidRPr="006344E0">
        <w:t>However, in 2023 company has received the one-time non-cash tax benefit which has boosted the net profit margin</w:t>
      </w:r>
      <w:sdt>
        <w:sdtPr>
          <w:id w:val="1749771394"/>
          <w:citation/>
        </w:sdtPr>
        <w:sdtContent>
          <w:r w:rsidR="006344E0">
            <w:fldChar w:fldCharType="begin"/>
          </w:r>
          <w:r w:rsidR="006344E0">
            <w:rPr>
              <w:lang w:val="en-US"/>
            </w:rPr>
            <w:instrText xml:space="preserve"> CITATION USE23 \l 1033 </w:instrText>
          </w:r>
          <w:r w:rsidR="006344E0">
            <w:fldChar w:fldCharType="separate"/>
          </w:r>
          <w:r w:rsidR="006344E0">
            <w:rPr>
              <w:noProof/>
              <w:lang w:val="en-US"/>
            </w:rPr>
            <w:t xml:space="preserve"> </w:t>
          </w:r>
          <w:r w:rsidR="006344E0" w:rsidRPr="006344E0">
            <w:rPr>
              <w:noProof/>
              <w:lang w:val="en-US"/>
            </w:rPr>
            <w:t>(USES, 2023)</w:t>
          </w:r>
          <w:r w:rsidR="006344E0">
            <w:fldChar w:fldCharType="end"/>
          </w:r>
        </w:sdtContent>
      </w:sdt>
      <w:r w:rsidR="00976253" w:rsidRPr="006344E0">
        <w:t xml:space="preserve">. </w:t>
      </w:r>
      <w:r w:rsidR="006344E0">
        <w:t>T</w:t>
      </w:r>
      <w:r w:rsidR="00976253" w:rsidRPr="006344E0">
        <w:t xml:space="preserve">his trend has shown the sudden drop in 2024, as the net profit margin has decreased to 7.32%, which can be resulted because of the higher competitive EV market as well as increased costs of production. </w:t>
      </w:r>
      <w:r w:rsidR="006344E0" w:rsidRPr="006344E0">
        <w:t xml:space="preserve">This ultimately resulted in lower Net Profit margin.  </w:t>
      </w:r>
      <w:r w:rsidR="00976253" w:rsidRPr="006344E0">
        <w:t xml:space="preserve">    </w:t>
      </w:r>
    </w:p>
    <w:p w14:paraId="52CB40A6" w14:textId="47224E2E" w:rsidR="00F93CC8" w:rsidRDefault="000323E6" w:rsidP="00F93CC8">
      <w:r>
        <w:t>There has been growth observed in ROA from 1.38% in 2020 to 15.29% in 2022, suggesting that their investments in assets have given them a market competitiveness and sales, whereas in 2024 it has been reduced to 5.86%</w:t>
      </w:r>
      <w:r w:rsidR="00500EF3">
        <w:t xml:space="preserve"> because of higher investments in mega-factories, AI technologies</w:t>
      </w:r>
      <w:r>
        <w:t>.</w:t>
      </w:r>
      <w:r w:rsidR="008A7E9E">
        <w:t xml:space="preserve"> </w:t>
      </w:r>
      <w:r w:rsidR="00F93CC8">
        <w:t xml:space="preserve">Tesla's ROE jumped from 3.24% in 2020 to 28.16% in 2022, meaning the company was much more adept at using the funds of shareholders to generate profit. However ROE decreased to 9.81 in 2024 due to the decrease in profit and continuous increase in the company's equity. </w:t>
      </w:r>
    </w:p>
    <w:p w14:paraId="4A5623BA" w14:textId="31BF65DF" w:rsidR="0095232E" w:rsidRDefault="0095232E" w:rsidP="0095232E">
      <w:pPr>
        <w:pStyle w:val="Heading2"/>
      </w:pPr>
      <w:bookmarkStart w:id="2" w:name="_Toc225378631"/>
      <w:r>
        <w:t>Liquidity Ratio</w:t>
      </w:r>
      <w:bookmarkEnd w:id="2"/>
      <w:r>
        <w:t xml:space="preserve"> </w:t>
      </w:r>
    </w:p>
    <w:p w14:paraId="76B9E960" w14:textId="22924F59" w:rsidR="008E0CFE" w:rsidRDefault="008E0CFE" w:rsidP="0095232E">
      <w:r>
        <w:t>Liquidity ratio is an important measure in the financial measure, which helps in understanding company’s capacity of paying short term financial obligations from its current assets</w:t>
      </w:r>
      <w:sdt>
        <w:sdtPr>
          <w:id w:val="-1447311003"/>
          <w:citation/>
        </w:sdtPr>
        <w:sdtContent>
          <w:r>
            <w:fldChar w:fldCharType="begin"/>
          </w:r>
          <w:r>
            <w:rPr>
              <w:lang w:val="en-US"/>
            </w:rPr>
            <w:instrText xml:space="preserve"> CITATION Oma162 \l 1033 </w:instrText>
          </w:r>
          <w:r>
            <w:fldChar w:fldCharType="separate"/>
          </w:r>
          <w:r>
            <w:rPr>
              <w:noProof/>
              <w:lang w:val="en-US"/>
            </w:rPr>
            <w:t xml:space="preserve"> </w:t>
          </w:r>
          <w:r w:rsidRPr="0095232E">
            <w:rPr>
              <w:noProof/>
              <w:lang w:val="en-US"/>
            </w:rPr>
            <w:t>(Durrah, 2016)</w:t>
          </w:r>
          <w:r>
            <w:fldChar w:fldCharType="end"/>
          </w:r>
        </w:sdtContent>
      </w:sdt>
      <w:r>
        <w:t>. As shown in the graph below, Tesla has maintained the current ratio well above 1, suggests that to have enough short-term assets to pay its liabilities.</w:t>
      </w:r>
      <w:r w:rsidR="006E0087">
        <w:t xml:space="preserve"> </w:t>
      </w:r>
      <w:r w:rsidR="008A7E9E">
        <w:t>From the sudden deep in 2021-22,</w:t>
      </w:r>
      <w:r w:rsidR="00896B53">
        <w:t xml:space="preserve"> in the </w:t>
      </w:r>
      <w:r w:rsidR="008A7E9E">
        <w:t xml:space="preserve"> year of </w:t>
      </w:r>
      <w:r w:rsidR="00896B53">
        <w:t>2023</w:t>
      </w:r>
      <w:r w:rsidR="008A7E9E">
        <w:t>-</w:t>
      </w:r>
      <w:r w:rsidR="00896B53">
        <w:t>24</w:t>
      </w:r>
      <w:r w:rsidR="0086681B">
        <w:t xml:space="preserve"> (Figur-1)</w:t>
      </w:r>
      <w:r w:rsidR="00896B53">
        <w:t xml:space="preserve">, </w:t>
      </w:r>
      <w:r w:rsidR="008A7E9E">
        <w:t>company</w:t>
      </w:r>
      <w:r w:rsidR="00CF04E2">
        <w:t xml:space="preserve"> has</w:t>
      </w:r>
      <w:r w:rsidR="00896B53">
        <w:t xml:space="preserve"> managed to increase </w:t>
      </w:r>
      <w:r w:rsidR="00CF04E2">
        <w:t xml:space="preserve">it to </w:t>
      </w:r>
      <w:r w:rsidR="00896B53">
        <w:t>1.73 and 2.02, suggests the strong financial position against their short-term obligation</w:t>
      </w:r>
      <w:r w:rsidR="00664A45">
        <w:t xml:space="preserve"> and have enough cushion for any </w:t>
      </w:r>
      <w:r w:rsidR="00E048B8">
        <w:t>unexpected</w:t>
      </w:r>
      <w:r w:rsidR="00664A45">
        <w:t xml:space="preserve"> </w:t>
      </w:r>
      <w:r w:rsidR="00E048B8">
        <w:t>expense (More than double)</w:t>
      </w:r>
      <w:r w:rsidR="00664A45">
        <w:t xml:space="preserve">. </w:t>
      </w:r>
    </w:p>
    <w:p w14:paraId="76D5CEDC" w14:textId="77777777" w:rsidR="00643F04" w:rsidRDefault="008B028B" w:rsidP="00643F04">
      <w:pPr>
        <w:keepNext/>
        <w:jc w:val="center"/>
      </w:pPr>
      <w:r>
        <w:rPr>
          <w:noProof/>
          <w14:ligatures w14:val="standardContextual"/>
        </w:rPr>
        <w:lastRenderedPageBreak/>
        <w:drawing>
          <wp:inline distT="0" distB="0" distL="0" distR="0" wp14:anchorId="4D3D202D" wp14:editId="31B259B5">
            <wp:extent cx="4345378" cy="2814611"/>
            <wp:effectExtent l="0" t="0" r="10795" b="17780"/>
            <wp:docPr id="768790825" name="Chart 1">
              <a:extLst xmlns:a="http://schemas.openxmlformats.org/drawingml/2006/main">
                <a:ext uri="{FF2B5EF4-FFF2-40B4-BE49-F238E27FC236}">
                  <a16:creationId xmlns:a16="http://schemas.microsoft.com/office/drawing/2014/main" id="{B1D67A94-14AD-D175-C0D3-536E94458E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47BE1B2" w14:textId="2C6F50B6" w:rsidR="0095232E" w:rsidRDefault="00643F04" w:rsidP="00643F04">
      <w:pPr>
        <w:pStyle w:val="Caption"/>
        <w:jc w:val="center"/>
      </w:pPr>
      <w:r>
        <w:t xml:space="preserve">Figure </w:t>
      </w:r>
      <w:fldSimple w:instr=" SEQ Figure \* ARABIC ">
        <w:r w:rsidR="000B2E6C">
          <w:rPr>
            <w:noProof/>
          </w:rPr>
          <w:t>1</w:t>
        </w:r>
      </w:fldSimple>
      <w:r>
        <w:t xml:space="preserve"> Tesla: Current Ratio Analysis (Self-Created)</w:t>
      </w:r>
    </w:p>
    <w:p w14:paraId="57B09C27" w14:textId="1F4AF7FA" w:rsidR="0095232E" w:rsidRDefault="0095232E" w:rsidP="0095232E">
      <w:r>
        <w:t>Tesla's quick ratio was</w:t>
      </w:r>
      <w:r w:rsidR="00DA2A56">
        <w:t xml:space="preserve"> also</w:t>
      </w:r>
      <w:r>
        <w:t xml:space="preserve"> above 1 across the period, which shows that the company was able to meet its short-term obligations without relying on the sale of inventory.</w:t>
      </w:r>
      <w:r w:rsidR="008B028B">
        <w:t xml:space="preserve"> </w:t>
      </w:r>
      <w:r w:rsidR="00DA2A56">
        <w:t>This shows that Tesla</w:t>
      </w:r>
      <w:r>
        <w:t xml:space="preserve"> has enhanced its short-term financial stability and has sufficient resources to continue its operations.</w:t>
      </w:r>
    </w:p>
    <w:p w14:paraId="2F8EB816" w14:textId="77777777" w:rsidR="00643F04" w:rsidRDefault="00643F04" w:rsidP="0095232E"/>
    <w:p w14:paraId="0560553C" w14:textId="77777777" w:rsidR="005D7F4C" w:rsidRDefault="00643F04" w:rsidP="005D7F4C">
      <w:pPr>
        <w:keepNext/>
        <w:jc w:val="center"/>
      </w:pPr>
      <w:r>
        <w:rPr>
          <w:noProof/>
          <w14:ligatures w14:val="standardContextual"/>
        </w:rPr>
        <w:drawing>
          <wp:inline distT="0" distB="0" distL="0" distR="0" wp14:anchorId="4721C613" wp14:editId="22282FA6">
            <wp:extent cx="4167265" cy="2428407"/>
            <wp:effectExtent l="0" t="0" r="11430" b="10160"/>
            <wp:docPr id="1917044684" name="Chart 1">
              <a:extLst xmlns:a="http://schemas.openxmlformats.org/drawingml/2006/main">
                <a:ext uri="{FF2B5EF4-FFF2-40B4-BE49-F238E27FC236}">
                  <a16:creationId xmlns:a16="http://schemas.microsoft.com/office/drawing/2014/main" id="{7BD812F8-DE0B-48CC-1D7D-80C21797E9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CEA2B0E" w14:textId="4AC50E85" w:rsidR="005C78B3" w:rsidRDefault="005D7F4C" w:rsidP="005D7F4C">
      <w:pPr>
        <w:pStyle w:val="Caption"/>
        <w:jc w:val="center"/>
      </w:pPr>
      <w:r>
        <w:t xml:space="preserve">Figure </w:t>
      </w:r>
      <w:fldSimple w:instr=" SEQ Figure \* ARABIC ">
        <w:r w:rsidR="000B2E6C">
          <w:rPr>
            <w:noProof/>
          </w:rPr>
          <w:t>2</w:t>
        </w:r>
      </w:fldSimple>
      <w:r>
        <w:t xml:space="preserve"> Tesla Quick Ratio Analysis (Self-Created)</w:t>
      </w:r>
    </w:p>
    <w:p w14:paraId="12175082" w14:textId="3557BEBF" w:rsidR="005D7F4C" w:rsidRDefault="00163FE7" w:rsidP="00163FE7">
      <w:pPr>
        <w:pStyle w:val="Heading2"/>
      </w:pPr>
      <w:bookmarkStart w:id="3" w:name="_Toc225378632"/>
      <w:r>
        <w:lastRenderedPageBreak/>
        <w:t>Efficiency Ratio</w:t>
      </w:r>
      <w:bookmarkEnd w:id="3"/>
    </w:p>
    <w:p w14:paraId="187C5563" w14:textId="77777777" w:rsidR="0081011E" w:rsidRDefault="0081011E" w:rsidP="0081011E">
      <w:pPr>
        <w:keepNext/>
        <w:jc w:val="center"/>
      </w:pPr>
      <w:r>
        <w:rPr>
          <w:noProof/>
          <w14:ligatures w14:val="standardContextual"/>
        </w:rPr>
        <w:drawing>
          <wp:inline distT="0" distB="0" distL="0" distR="0" wp14:anchorId="65437F39" wp14:editId="7AB8C44D">
            <wp:extent cx="4399613" cy="2738755"/>
            <wp:effectExtent l="0" t="0" r="7620" b="17145"/>
            <wp:docPr id="532031103" name="Chart 1">
              <a:extLst xmlns:a="http://schemas.openxmlformats.org/drawingml/2006/main">
                <a:ext uri="{FF2B5EF4-FFF2-40B4-BE49-F238E27FC236}">
                  <a16:creationId xmlns:a16="http://schemas.microsoft.com/office/drawing/2014/main" id="{2425B20F-A9CF-0FF2-9B7E-827B21139D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E2DC396" w14:textId="51A0816C" w:rsidR="0081011E" w:rsidRDefault="0081011E" w:rsidP="0081011E">
      <w:pPr>
        <w:pStyle w:val="Caption"/>
        <w:jc w:val="center"/>
      </w:pPr>
      <w:r>
        <w:t xml:space="preserve">Figure </w:t>
      </w:r>
      <w:fldSimple w:instr=" SEQ Figure \* ARABIC ">
        <w:r w:rsidR="000B2E6C">
          <w:rPr>
            <w:noProof/>
          </w:rPr>
          <w:t>3</w:t>
        </w:r>
      </w:fldSimple>
      <w:r>
        <w:t xml:space="preserve"> </w:t>
      </w:r>
      <w:bookmarkStart w:id="4" w:name="OLE_LINK1"/>
      <w:r>
        <w:t>Tesla Inventory Turnover Ratio (Self-Created)</w:t>
      </w:r>
    </w:p>
    <w:bookmarkEnd w:id="4"/>
    <w:p w14:paraId="46B9913E" w14:textId="1250A50F" w:rsidR="00B77015" w:rsidRDefault="00DA2A56" w:rsidP="0081011E">
      <w:r>
        <w:t xml:space="preserve">Efficiency ratios assess the efficiency of a company in utilizing its resources to generate revenue and manage its operational processes. </w:t>
      </w:r>
      <w:r>
        <w:t xml:space="preserve"> </w:t>
      </w:r>
      <w:r w:rsidR="00B77015">
        <w:t xml:space="preserve">Tesla has managed inventory turnover ratio to remain above 6, as </w:t>
      </w:r>
      <w:r w:rsidR="00B77015" w:rsidRPr="005458A3">
        <w:t>lowest found in the year of 2022.</w:t>
      </w:r>
      <w:r w:rsidR="008A1C3C" w:rsidRPr="005458A3">
        <w:t xml:space="preserve"> In this year there has been also increase in </w:t>
      </w:r>
      <w:r w:rsidR="005458A3" w:rsidRPr="005458A3">
        <w:t>inventory from $1.28 billion to $3.48 billion, as well as new logistics and factory investments</w:t>
      </w:r>
      <w:sdt>
        <w:sdtPr>
          <w:id w:val="-1467654017"/>
          <w:citation/>
        </w:sdtPr>
        <w:sdtContent>
          <w:r w:rsidR="005458A3" w:rsidRPr="005458A3">
            <w:fldChar w:fldCharType="begin"/>
          </w:r>
          <w:r w:rsidR="005458A3" w:rsidRPr="005458A3">
            <w:rPr>
              <w:lang w:val="en-US"/>
            </w:rPr>
            <w:instrText xml:space="preserve"> CITATION USE22 \l 1033 </w:instrText>
          </w:r>
          <w:r w:rsidR="005458A3" w:rsidRPr="005458A3">
            <w:fldChar w:fldCharType="separate"/>
          </w:r>
          <w:r w:rsidR="005458A3" w:rsidRPr="005458A3">
            <w:rPr>
              <w:lang w:val="en-US"/>
            </w:rPr>
            <w:t xml:space="preserve"> (USES, 2022)</w:t>
          </w:r>
          <w:r w:rsidR="005458A3" w:rsidRPr="005458A3">
            <w:fldChar w:fldCharType="end"/>
          </w:r>
        </w:sdtContent>
      </w:sdt>
      <w:r>
        <w:t xml:space="preserve"> </w:t>
      </w:r>
      <w:r w:rsidR="005458A3" w:rsidRPr="005458A3">
        <w:t>So, overall it can be interpreted that dip in 2022 inventory turnover was an investment in long-term sustainability, where they have traded short-term turnover ratios for a more sustainable, lower-cost delivery model and global manufacturing objectives.</w:t>
      </w:r>
      <w:r w:rsidR="005458A3">
        <w:t xml:space="preserve"> </w:t>
      </w:r>
    </w:p>
    <w:p w14:paraId="63BFB8FC" w14:textId="77777777" w:rsidR="005458A3" w:rsidRPr="005458A3" w:rsidRDefault="005458A3" w:rsidP="0081011E"/>
    <w:p w14:paraId="0A2DD167" w14:textId="77777777" w:rsidR="0081011E" w:rsidRDefault="0081011E" w:rsidP="0081011E">
      <w:pPr>
        <w:keepNext/>
        <w:jc w:val="center"/>
      </w:pPr>
      <w:r>
        <w:rPr>
          <w:noProof/>
          <w14:ligatures w14:val="standardContextual"/>
        </w:rPr>
        <w:drawing>
          <wp:inline distT="0" distB="0" distL="0" distR="0" wp14:anchorId="3156F5A9" wp14:editId="1D4FA560">
            <wp:extent cx="3867317" cy="2593298"/>
            <wp:effectExtent l="0" t="0" r="6350" b="10795"/>
            <wp:docPr id="1676481148" name="Chart 1">
              <a:extLst xmlns:a="http://schemas.openxmlformats.org/drawingml/2006/main">
                <a:ext uri="{FF2B5EF4-FFF2-40B4-BE49-F238E27FC236}">
                  <a16:creationId xmlns:a16="http://schemas.microsoft.com/office/drawing/2014/main" id="{2F3FF4C1-59F4-A203-A543-293E855A66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97CCCCA" w14:textId="3A9ED884" w:rsidR="0081011E" w:rsidRDefault="0081011E" w:rsidP="0081011E">
      <w:pPr>
        <w:pStyle w:val="Caption"/>
        <w:jc w:val="center"/>
      </w:pPr>
      <w:r>
        <w:t xml:space="preserve">Figure </w:t>
      </w:r>
      <w:fldSimple w:instr=" SEQ Figure \* ARABIC ">
        <w:r w:rsidR="000B2E6C">
          <w:rPr>
            <w:noProof/>
          </w:rPr>
          <w:t>4</w:t>
        </w:r>
      </w:fldSimple>
      <w:r>
        <w:t xml:space="preserve"> </w:t>
      </w:r>
      <w:r w:rsidRPr="00273406">
        <w:t xml:space="preserve">Tesla </w:t>
      </w:r>
      <w:r>
        <w:t>Receivable</w:t>
      </w:r>
      <w:r w:rsidRPr="00273406">
        <w:t xml:space="preserve"> Turnover Ratio (Self-Created)</w:t>
      </w:r>
    </w:p>
    <w:p w14:paraId="5B615468" w14:textId="77777777" w:rsidR="0081011E" w:rsidRDefault="0081011E" w:rsidP="0081011E">
      <w:r>
        <w:lastRenderedPageBreak/>
        <w:t>Receivables turnover increased dramatically from 16.72 in 2020 to over 28 in 2021, suggesting that Tesla received payments from its customers much faster. This is a good indication because the faster the collection, the better the cash availability and the lower the credit risk. Although the ratio dropped to 22.11 in 2024, it is still strong, suggesting that Tesla is continuing to convert sales into cash effectively.</w:t>
      </w:r>
    </w:p>
    <w:p w14:paraId="0B222BD2" w14:textId="77777777" w:rsidR="0081011E" w:rsidRDefault="0081011E" w:rsidP="0081011E">
      <w:pPr>
        <w:keepNext/>
        <w:jc w:val="center"/>
      </w:pPr>
      <w:r>
        <w:rPr>
          <w:noProof/>
          <w14:ligatures w14:val="standardContextual"/>
        </w:rPr>
        <w:drawing>
          <wp:inline distT="0" distB="0" distL="0" distR="0" wp14:anchorId="7CAD983C" wp14:editId="138820D4">
            <wp:extent cx="4189751" cy="2644775"/>
            <wp:effectExtent l="0" t="0" r="13970" b="9525"/>
            <wp:docPr id="366784322" name="Chart 1">
              <a:extLst xmlns:a="http://schemas.openxmlformats.org/drawingml/2006/main">
                <a:ext uri="{FF2B5EF4-FFF2-40B4-BE49-F238E27FC236}">
                  <a16:creationId xmlns:a16="http://schemas.microsoft.com/office/drawing/2014/main" id="{DF0D7B07-74A3-D4CA-476D-6CECBF4F0C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FEFFA5D" w14:textId="18E37E27" w:rsidR="0081011E" w:rsidRDefault="0081011E" w:rsidP="0081011E">
      <w:pPr>
        <w:pStyle w:val="Caption"/>
        <w:jc w:val="center"/>
      </w:pPr>
      <w:r>
        <w:t xml:space="preserve">Figure </w:t>
      </w:r>
      <w:fldSimple w:instr=" SEQ Figure \* ARABIC ">
        <w:r w:rsidR="000B2E6C">
          <w:rPr>
            <w:noProof/>
          </w:rPr>
          <w:t>5</w:t>
        </w:r>
      </w:fldSimple>
      <w:r>
        <w:t xml:space="preserve"> </w:t>
      </w:r>
      <w:r w:rsidRPr="00F448E4">
        <w:t xml:space="preserve">Tesla </w:t>
      </w:r>
      <w:r>
        <w:t>Asset</w:t>
      </w:r>
      <w:r w:rsidRPr="00F448E4">
        <w:t xml:space="preserve"> Turnover Ratio (Self-Created)</w:t>
      </w:r>
    </w:p>
    <w:p w14:paraId="28D9EA6F" w14:textId="3AD8F2C3" w:rsidR="00163FE7" w:rsidRDefault="0081011E" w:rsidP="0081011E">
      <w:r>
        <w:t xml:space="preserve">Asset turnover improved from 0.60 in 2020 to 0.99 in 2022 which shows that Tesla became much better at using its growing asset base to generate revenue. However, the decline to 0.80 in 2024 implies that recent investment in factories, infrastructure and other assets has yet to lead to matching revenue growth. </w:t>
      </w:r>
    </w:p>
    <w:p w14:paraId="15447C65" w14:textId="55AD5973" w:rsidR="0081011E" w:rsidRDefault="0081011E" w:rsidP="0081011E">
      <w:pPr>
        <w:pStyle w:val="Heading2"/>
        <w:rPr>
          <w:rStyle w:val="bzpyqfadein"/>
        </w:rPr>
      </w:pPr>
      <w:bookmarkStart w:id="5" w:name="_Toc225378633"/>
      <w:r>
        <w:rPr>
          <w:rStyle w:val="bzpyqfadein"/>
        </w:rPr>
        <w:t>Gearing Analysis</w:t>
      </w:r>
      <w:bookmarkEnd w:id="5"/>
    </w:p>
    <w:p w14:paraId="6B8D26C3" w14:textId="77777777" w:rsidR="00FD4328" w:rsidRDefault="00FD4328" w:rsidP="00FD4328">
      <w:pPr>
        <w:keepNext/>
        <w:jc w:val="center"/>
      </w:pPr>
      <w:r>
        <w:rPr>
          <w:noProof/>
          <w14:ligatures w14:val="standardContextual"/>
        </w:rPr>
        <w:drawing>
          <wp:inline distT="0" distB="0" distL="0" distR="0" wp14:anchorId="567E6986" wp14:editId="61F5EE18">
            <wp:extent cx="3717332" cy="2443397"/>
            <wp:effectExtent l="0" t="0" r="16510" b="8255"/>
            <wp:docPr id="1562793184" name="Chart 1">
              <a:extLst xmlns:a="http://schemas.openxmlformats.org/drawingml/2006/main">
                <a:ext uri="{FF2B5EF4-FFF2-40B4-BE49-F238E27FC236}">
                  <a16:creationId xmlns:a16="http://schemas.microsoft.com/office/drawing/2014/main" id="{7FC4424F-3E4D-F895-5312-E37CAFA556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653BD8E" w14:textId="3BB14259" w:rsidR="00FD4328" w:rsidRDefault="00FD4328" w:rsidP="00FD4328">
      <w:pPr>
        <w:pStyle w:val="Caption"/>
        <w:jc w:val="center"/>
      </w:pPr>
      <w:r>
        <w:t xml:space="preserve">Figure </w:t>
      </w:r>
      <w:fldSimple w:instr=" SEQ Figure \* ARABIC ">
        <w:r w:rsidR="000B2E6C">
          <w:rPr>
            <w:noProof/>
          </w:rPr>
          <w:t>6</w:t>
        </w:r>
      </w:fldSimple>
      <w:r>
        <w:t xml:space="preserve"> Tesla Debt-to-Equity Ratio (Self-Created)</w:t>
      </w:r>
    </w:p>
    <w:p w14:paraId="5C7D2A46" w14:textId="2FE5F32A" w:rsidR="00AE33E8" w:rsidRPr="00AE33E8" w:rsidRDefault="00AE33E8" w:rsidP="00AE33E8">
      <w:r>
        <w:lastRenderedPageBreak/>
        <w:t xml:space="preserve">Gering ratio is an important measure that shows how much Tesla is reliant on the borrowed funds for future growth, suggests the financial risks associated with company. </w:t>
      </w:r>
      <w:r w:rsidR="00B0720B">
        <w:t>Tesla's debt-to-equity ratio has fell from 1.28(2020) to 0.66 (2024). This is a positive result which states Tesla’s profound strategical shift from business highly dependent on the external credits to the self-funding/earnings/shareholder’s equity</w:t>
      </w:r>
      <w:sdt>
        <w:sdtPr>
          <w:id w:val="-1496339356"/>
          <w:citation/>
        </w:sdtPr>
        <w:sdtContent>
          <w:r w:rsidR="000C3C1A">
            <w:fldChar w:fldCharType="begin"/>
          </w:r>
          <w:r w:rsidR="000C3C1A">
            <w:rPr>
              <w:lang w:val="en-US"/>
            </w:rPr>
            <w:instrText xml:space="preserve"> CITATION Vas211 \l 1033 </w:instrText>
          </w:r>
          <w:r w:rsidR="000C3C1A">
            <w:fldChar w:fldCharType="separate"/>
          </w:r>
          <w:r w:rsidR="000C3C1A">
            <w:rPr>
              <w:noProof/>
              <w:lang w:val="en-US"/>
            </w:rPr>
            <w:t xml:space="preserve"> </w:t>
          </w:r>
          <w:r w:rsidR="000C3C1A" w:rsidRPr="000C3C1A">
            <w:rPr>
              <w:noProof/>
              <w:lang w:val="en-US"/>
            </w:rPr>
            <w:t>(Nukala, 2021)</w:t>
          </w:r>
          <w:r w:rsidR="000C3C1A">
            <w:fldChar w:fldCharType="end"/>
          </w:r>
        </w:sdtContent>
      </w:sdt>
      <w:r w:rsidR="00B0720B">
        <w:t xml:space="preserve">.  </w:t>
      </w:r>
    </w:p>
    <w:p w14:paraId="631BBE3D" w14:textId="77777777" w:rsidR="00FD4328" w:rsidRDefault="00FD4328" w:rsidP="00FD4328">
      <w:pPr>
        <w:keepNext/>
        <w:jc w:val="center"/>
      </w:pPr>
      <w:r>
        <w:rPr>
          <w:noProof/>
          <w14:ligatures w14:val="standardContextual"/>
        </w:rPr>
        <w:drawing>
          <wp:inline distT="0" distB="0" distL="0" distR="0" wp14:anchorId="22F5FAA6" wp14:editId="32BBE81C">
            <wp:extent cx="4572000" cy="2743200"/>
            <wp:effectExtent l="0" t="0" r="12700" b="12700"/>
            <wp:docPr id="1667662205" name="Chart 1">
              <a:extLst xmlns:a="http://schemas.openxmlformats.org/drawingml/2006/main">
                <a:ext uri="{FF2B5EF4-FFF2-40B4-BE49-F238E27FC236}">
                  <a16:creationId xmlns:a16="http://schemas.microsoft.com/office/drawing/2014/main" id="{E091FEB7-34B7-CE67-7472-FDEF74A6F4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FF28E0B" w14:textId="28122255" w:rsidR="00830E11" w:rsidRDefault="00FD4328" w:rsidP="00FD4328">
      <w:pPr>
        <w:pStyle w:val="Caption"/>
        <w:jc w:val="center"/>
      </w:pPr>
      <w:r>
        <w:t xml:space="preserve">Figure </w:t>
      </w:r>
      <w:fldSimple w:instr=" SEQ Figure \* ARABIC ">
        <w:r w:rsidR="000B2E6C">
          <w:rPr>
            <w:noProof/>
          </w:rPr>
          <w:t>7</w:t>
        </w:r>
      </w:fldSimple>
      <w:r>
        <w:t xml:space="preserve"> Tesla Debt Ratio (Self-Created)</w:t>
      </w:r>
    </w:p>
    <w:p w14:paraId="258661AD" w14:textId="73D7DF60" w:rsidR="001A4B74" w:rsidRPr="00F32F01" w:rsidRDefault="001A4B74" w:rsidP="00830E11">
      <w:r w:rsidRPr="00F32F01">
        <w:t xml:space="preserve">Tesla’s debt ratio has also been reduced from 54.49% (2020) to 39.64% (2024), suggests that now only small portion of assets are financed through liabilities. </w:t>
      </w:r>
      <w:r w:rsidR="00F32F01">
        <w:t>Although Tesla has generated the low profits in 2024, but lower debt helps company to allow spend large portion of money on future growth.</w:t>
      </w:r>
      <w:r w:rsidR="00F32F01">
        <w:rPr>
          <w:color w:val="303030"/>
          <w:shd w:val="clear" w:color="auto" w:fill="FFFFFF"/>
        </w:rPr>
        <w:t xml:space="preserve"> </w:t>
      </w:r>
    </w:p>
    <w:p w14:paraId="5845610A" w14:textId="3F95D15B" w:rsidR="00246235" w:rsidRPr="006D0F9D" w:rsidRDefault="00246235" w:rsidP="00830E11">
      <w:r w:rsidRPr="006D0F9D">
        <w:t xml:space="preserve">Overall, gearing ratio suggests that Tesla has a positive command on the financial stability through low debt and being self-funded organisation. Working in a </w:t>
      </w:r>
      <w:r w:rsidR="00DA2A56">
        <w:t>“</w:t>
      </w:r>
      <w:r w:rsidRPr="006D0F9D">
        <w:rPr>
          <w:color w:val="303030"/>
          <w:shd w:val="clear" w:color="auto" w:fill="FFFFFF"/>
        </w:rPr>
        <w:t>cyclical</w:t>
      </w:r>
      <w:r w:rsidR="00DA2A56">
        <w:rPr>
          <w:color w:val="303030"/>
          <w:shd w:val="clear" w:color="auto" w:fill="FFFFFF"/>
        </w:rPr>
        <w:t>”</w:t>
      </w:r>
      <w:r w:rsidRPr="006D0F9D">
        <w:rPr>
          <w:color w:val="303030"/>
          <w:shd w:val="clear" w:color="auto" w:fill="FFFFFF"/>
        </w:rPr>
        <w:t xml:space="preserve"> and </w:t>
      </w:r>
      <w:r w:rsidR="00DA2A56">
        <w:rPr>
          <w:color w:val="303030"/>
          <w:shd w:val="clear" w:color="auto" w:fill="FFFFFF"/>
        </w:rPr>
        <w:t>“</w:t>
      </w:r>
      <w:r w:rsidRPr="006D0F9D">
        <w:rPr>
          <w:color w:val="303030"/>
          <w:shd w:val="clear" w:color="auto" w:fill="FFFFFF"/>
        </w:rPr>
        <w:t>volatile</w:t>
      </w:r>
      <w:r w:rsidR="00DA2A56">
        <w:rPr>
          <w:color w:val="303030"/>
          <w:shd w:val="clear" w:color="auto" w:fill="FFFFFF"/>
        </w:rPr>
        <w:t>”</w:t>
      </w:r>
      <w:r w:rsidRPr="006D0F9D">
        <w:rPr>
          <w:color w:val="303030"/>
          <w:shd w:val="clear" w:color="auto" w:fill="FFFFFF"/>
        </w:rPr>
        <w:t xml:space="preserve"> industry, where conditions can be changed by external or unfavourable global market conditions, this financial stability can give a fuel to growth</w:t>
      </w:r>
      <w:sdt>
        <w:sdtPr>
          <w:rPr>
            <w:color w:val="303030"/>
            <w:shd w:val="clear" w:color="auto" w:fill="FFFFFF"/>
          </w:rPr>
          <w:id w:val="-1663693909"/>
          <w:citation/>
        </w:sdtPr>
        <w:sdtContent>
          <w:r w:rsidR="007469B1">
            <w:rPr>
              <w:color w:val="303030"/>
              <w:shd w:val="clear" w:color="auto" w:fill="FFFFFF"/>
            </w:rPr>
            <w:fldChar w:fldCharType="begin"/>
          </w:r>
          <w:r w:rsidR="007469B1">
            <w:rPr>
              <w:color w:val="303030"/>
              <w:shd w:val="clear" w:color="auto" w:fill="FFFFFF"/>
              <w:lang w:val="en-US"/>
            </w:rPr>
            <w:instrText xml:space="preserve"> CITATION Cha244 \l 1033 </w:instrText>
          </w:r>
          <w:r w:rsidR="007469B1">
            <w:rPr>
              <w:color w:val="303030"/>
              <w:shd w:val="clear" w:color="auto" w:fill="FFFFFF"/>
            </w:rPr>
            <w:fldChar w:fldCharType="separate"/>
          </w:r>
          <w:r w:rsidR="007469B1">
            <w:rPr>
              <w:noProof/>
              <w:color w:val="303030"/>
              <w:shd w:val="clear" w:color="auto" w:fill="FFFFFF"/>
              <w:lang w:val="en-US"/>
            </w:rPr>
            <w:t xml:space="preserve"> </w:t>
          </w:r>
          <w:r w:rsidR="007469B1" w:rsidRPr="007469B1">
            <w:rPr>
              <w:noProof/>
              <w:color w:val="303030"/>
              <w:shd w:val="clear" w:color="auto" w:fill="FFFFFF"/>
              <w:lang w:val="en-US"/>
            </w:rPr>
            <w:t>(Sovanhangmeas, 2024)</w:t>
          </w:r>
          <w:r w:rsidR="007469B1">
            <w:rPr>
              <w:color w:val="303030"/>
              <w:shd w:val="clear" w:color="auto" w:fill="FFFFFF"/>
            </w:rPr>
            <w:fldChar w:fldCharType="end"/>
          </w:r>
        </w:sdtContent>
      </w:sdt>
      <w:r w:rsidRPr="006D0F9D">
        <w:rPr>
          <w:color w:val="303030"/>
          <w:shd w:val="clear" w:color="auto" w:fill="FFFFFF"/>
        </w:rPr>
        <w:t xml:space="preserve">. </w:t>
      </w:r>
    </w:p>
    <w:p w14:paraId="5B314078" w14:textId="25B4E9EE" w:rsidR="00EE5C50" w:rsidRDefault="00EE5C50" w:rsidP="00EE5C50">
      <w:pPr>
        <w:pStyle w:val="Heading2"/>
      </w:pPr>
      <w:bookmarkStart w:id="6" w:name="_Toc225378634"/>
      <w:r>
        <w:lastRenderedPageBreak/>
        <w:t>Investment Ratio</w:t>
      </w:r>
      <w:bookmarkEnd w:id="6"/>
    </w:p>
    <w:p w14:paraId="6ECA357C" w14:textId="77777777" w:rsidR="004E6742" w:rsidRDefault="00EE5C50" w:rsidP="004E6742">
      <w:pPr>
        <w:keepNext/>
        <w:jc w:val="center"/>
      </w:pPr>
      <w:r>
        <w:rPr>
          <w:noProof/>
          <w14:ligatures w14:val="standardContextual"/>
        </w:rPr>
        <w:drawing>
          <wp:inline distT="0" distB="0" distL="0" distR="0" wp14:anchorId="01339BD0" wp14:editId="6DC44865">
            <wp:extent cx="4264701" cy="2353456"/>
            <wp:effectExtent l="0" t="0" r="15240" b="8890"/>
            <wp:docPr id="1967454319" name="Chart 1">
              <a:extLst xmlns:a="http://schemas.openxmlformats.org/drawingml/2006/main">
                <a:ext uri="{FF2B5EF4-FFF2-40B4-BE49-F238E27FC236}">
                  <a16:creationId xmlns:a16="http://schemas.microsoft.com/office/drawing/2014/main" id="{B8049C68-E123-8205-305F-237E00E430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A2F8006" w14:textId="508F65EA" w:rsidR="00EE5C50" w:rsidRDefault="004E6742" w:rsidP="004E6742">
      <w:pPr>
        <w:pStyle w:val="Caption"/>
        <w:jc w:val="center"/>
      </w:pPr>
      <w:r>
        <w:t xml:space="preserve">Figure </w:t>
      </w:r>
      <w:fldSimple w:instr=" SEQ Figure \* ARABIC ">
        <w:r w:rsidR="000B2E6C">
          <w:rPr>
            <w:noProof/>
          </w:rPr>
          <w:t>8</w:t>
        </w:r>
      </w:fldSimple>
      <w:r>
        <w:t xml:space="preserve"> Tesla Earning Per Share (Self-Created)</w:t>
      </w:r>
    </w:p>
    <w:p w14:paraId="77932A3C" w14:textId="7E040329" w:rsidR="004E6742" w:rsidRDefault="004C3E39" w:rsidP="00EE5C50">
      <w:r>
        <w:t>Investment ratios help in understanding the performance and growth prospects of the company for investors</w:t>
      </w:r>
      <w:r w:rsidRPr="004C3E39">
        <w:t xml:space="preserve"> </w:t>
      </w:r>
      <w:sdt>
        <w:sdtPr>
          <w:id w:val="-1206712993"/>
          <w:citation/>
        </w:sdtPr>
        <w:sdtContent>
          <w:r>
            <w:fldChar w:fldCharType="begin"/>
          </w:r>
          <w:r>
            <w:rPr>
              <w:lang w:val="en-US"/>
            </w:rPr>
            <w:instrText xml:space="preserve"> CITATION Gly09 \l 1033 </w:instrText>
          </w:r>
          <w:r>
            <w:fldChar w:fldCharType="separate"/>
          </w:r>
          <w:r>
            <w:rPr>
              <w:noProof/>
              <w:lang w:val="en-US"/>
            </w:rPr>
            <w:t xml:space="preserve"> </w:t>
          </w:r>
          <w:r w:rsidRPr="00B64BF5">
            <w:rPr>
              <w:noProof/>
              <w:lang w:val="en-US"/>
            </w:rPr>
            <w:t>(Morris, 2009)</w:t>
          </w:r>
          <w:r>
            <w:fldChar w:fldCharType="end"/>
          </w:r>
        </w:sdtContent>
      </w:sdt>
      <w:r>
        <w:t xml:space="preserve">. </w:t>
      </w:r>
      <w:r w:rsidR="004E6742">
        <w:t>Investment ratio of Tesla indicates the company has went through a great period of fast-growth, as they have secured EPS increased strongly from 0.25 in 2020 to 4.73 in 2023</w:t>
      </w:r>
      <w:r w:rsidR="00462C40">
        <w:t xml:space="preserve"> means company is making high profit and shareholder returns. </w:t>
      </w:r>
    </w:p>
    <w:p w14:paraId="0B427FF7" w14:textId="77777777" w:rsidR="004E6742" w:rsidRDefault="00EE5C50" w:rsidP="004E6742">
      <w:pPr>
        <w:keepNext/>
        <w:jc w:val="center"/>
      </w:pPr>
      <w:r>
        <w:rPr>
          <w:noProof/>
          <w14:ligatures w14:val="standardContextual"/>
        </w:rPr>
        <w:drawing>
          <wp:inline distT="0" distB="0" distL="0" distR="0" wp14:anchorId="5C2AFEE3" wp14:editId="35E73BD0">
            <wp:extent cx="3552482" cy="1993692"/>
            <wp:effectExtent l="0" t="0" r="16510" b="13335"/>
            <wp:docPr id="1965649903" name="Chart 1">
              <a:extLst xmlns:a="http://schemas.openxmlformats.org/drawingml/2006/main">
                <a:ext uri="{FF2B5EF4-FFF2-40B4-BE49-F238E27FC236}">
                  <a16:creationId xmlns:a16="http://schemas.microsoft.com/office/drawing/2014/main" id="{1E5B17C3-E971-5546-83B2-5163C14487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BB5D8A2" w14:textId="2F228039" w:rsidR="00EE5C50" w:rsidRDefault="004E6742" w:rsidP="004E6742">
      <w:pPr>
        <w:pStyle w:val="Caption"/>
        <w:jc w:val="center"/>
      </w:pPr>
      <w:r>
        <w:t xml:space="preserve">Figure </w:t>
      </w:r>
      <w:fldSimple w:instr=" SEQ Figure \* ARABIC ">
        <w:r w:rsidR="000B2E6C">
          <w:rPr>
            <w:noProof/>
          </w:rPr>
          <w:t>9</w:t>
        </w:r>
      </w:fldSimple>
      <w:r>
        <w:t xml:space="preserve"> </w:t>
      </w:r>
      <w:r w:rsidRPr="00C26D33">
        <w:t xml:space="preserve">Tesla </w:t>
      </w:r>
      <w:r>
        <w:t>P/E ratio</w:t>
      </w:r>
      <w:r w:rsidRPr="00C26D33">
        <w:t xml:space="preserve"> (Self-Created)</w:t>
      </w:r>
    </w:p>
    <w:p w14:paraId="7A447C70" w14:textId="6AE0B3D9" w:rsidR="00EE5C50" w:rsidRDefault="00EE5C50" w:rsidP="00EE5C50">
      <w:r>
        <w:t>Tesla's P/E ratio was very high in 2020, reflecting the great expectations of investors despite a low earnings level. This fell in 2022 as profitability improved but then again rose to 181 in 2024 as earnings fell but the share price remained high. This has implications that investors still foresee a strong future growth despite the weakening short-term profitability.</w:t>
      </w:r>
    </w:p>
    <w:p w14:paraId="44B8C2D8" w14:textId="77777777" w:rsidR="000B2E6C" w:rsidRDefault="00EE5C50" w:rsidP="000B2E6C">
      <w:pPr>
        <w:keepNext/>
        <w:jc w:val="center"/>
      </w:pPr>
      <w:r>
        <w:rPr>
          <w:noProof/>
          <w14:ligatures w14:val="standardContextual"/>
        </w:rPr>
        <w:lastRenderedPageBreak/>
        <w:drawing>
          <wp:inline distT="0" distB="0" distL="0" distR="0" wp14:anchorId="673461AD" wp14:editId="6F9B9D40">
            <wp:extent cx="4302177" cy="2450891"/>
            <wp:effectExtent l="0" t="0" r="15875" b="13335"/>
            <wp:docPr id="360495439" name="Chart 1">
              <a:extLst xmlns:a="http://schemas.openxmlformats.org/drawingml/2006/main">
                <a:ext uri="{FF2B5EF4-FFF2-40B4-BE49-F238E27FC236}">
                  <a16:creationId xmlns:a16="http://schemas.microsoft.com/office/drawing/2014/main" id="{1D06E6BA-D388-FECC-6324-C5916FA285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E054FB4" w14:textId="5CCFA2DA" w:rsidR="003234D4" w:rsidRDefault="000B2E6C" w:rsidP="003234D4">
      <w:pPr>
        <w:pStyle w:val="Caption"/>
        <w:jc w:val="center"/>
      </w:pPr>
      <w:r>
        <w:t xml:space="preserve">Figure </w:t>
      </w:r>
      <w:fldSimple w:instr=" SEQ Figure \* ARABIC ">
        <w:r>
          <w:rPr>
            <w:noProof/>
          </w:rPr>
          <w:t>10</w:t>
        </w:r>
      </w:fldSimple>
      <w:r>
        <w:t xml:space="preserve"> </w:t>
      </w:r>
      <w:r w:rsidRPr="006454DC">
        <w:t xml:space="preserve">Tesla </w:t>
      </w:r>
      <w:r>
        <w:t>Earning Yield</w:t>
      </w:r>
      <w:r w:rsidRPr="006454DC">
        <w:t xml:space="preserve"> ratio (Self-Created)</w:t>
      </w:r>
    </w:p>
    <w:p w14:paraId="44F8624D" w14:textId="610C680F" w:rsidR="003234D4" w:rsidRPr="003234D4" w:rsidRDefault="003234D4" w:rsidP="003234D4">
      <w:r w:rsidRPr="003234D4">
        <w:t>Tesla's investment ratios indicate that the investors view the company as a future growth company and not an income-paying one. This is indicated by its low earnings yield and the fact that Tesla does not pay dividends. Even though net income took a big hit in 2024 when it did not reach $15.0 billion but came out to be around $7.09 billion, investor confidence remained high because the market seems to be confident that Tesla's future value is driven by new areas such as autonomy, AI and robotics. In 2024, Tesla delivered around 1.</w:t>
      </w:r>
      <w:r w:rsidR="002B2D90">
        <w:t>80</w:t>
      </w:r>
      <w:r w:rsidRPr="003234D4">
        <w:t xml:space="preserve"> million vehicles but the company has also said that it is placing a bigger focus on AI-enabled products, as well as future platforms. This demonstrates that Tesla's market worth reflects more long-term expectations than just short-term profit.</w:t>
      </w:r>
    </w:p>
    <w:p w14:paraId="76CD6343" w14:textId="1FF03E55" w:rsidR="0095232E" w:rsidRDefault="00FF302A" w:rsidP="00FF302A">
      <w:pPr>
        <w:pStyle w:val="Heading2"/>
      </w:pPr>
      <w:bookmarkStart w:id="7" w:name="_Toc225378635"/>
      <w:r>
        <w:t>Cashflow Analysis</w:t>
      </w:r>
      <w:bookmarkEnd w:id="7"/>
      <w:r>
        <w:t xml:space="preserve"> </w:t>
      </w:r>
    </w:p>
    <w:p w14:paraId="0A9F733B" w14:textId="24668F0E" w:rsidR="0062452B" w:rsidRDefault="0062452B" w:rsidP="0062452B">
      <w:r>
        <w:t>Cash flow ratios determine how well Tesla can generate cash from its operations and sustain the company's activities. The operating cash flow ratio has improved from 0.42 in 2020 to 0.58 in 2021 which means the company was able to generate stronger operating cash flow in relation to current liabilities. Although it decreased a little after, it stabilized and indicated that Tesla still generates decent working cash flows</w:t>
      </w:r>
      <w:sdt>
        <w:sdtPr>
          <w:id w:val="-1794746956"/>
          <w:citation/>
        </w:sdtPr>
        <w:sdtContent>
          <w:r w:rsidR="00372096">
            <w:fldChar w:fldCharType="begin"/>
          </w:r>
          <w:r w:rsidR="00372096">
            <w:rPr>
              <w:lang w:val="en-US"/>
            </w:rPr>
            <w:instrText xml:space="preserve"> CITATION Kad24 \l 1033 </w:instrText>
          </w:r>
          <w:r w:rsidR="00372096">
            <w:fldChar w:fldCharType="separate"/>
          </w:r>
          <w:r w:rsidR="00372096">
            <w:rPr>
              <w:noProof/>
              <w:lang w:val="en-US"/>
            </w:rPr>
            <w:t xml:space="preserve"> </w:t>
          </w:r>
          <w:r w:rsidR="00372096" w:rsidRPr="00372096">
            <w:rPr>
              <w:noProof/>
              <w:lang w:val="en-US"/>
            </w:rPr>
            <w:t>(Ahmad, 2024)</w:t>
          </w:r>
          <w:r w:rsidR="00372096">
            <w:fldChar w:fldCharType="end"/>
          </w:r>
        </w:sdtContent>
      </w:sdt>
      <w:r>
        <w:t>.</w:t>
      </w:r>
    </w:p>
    <w:p w14:paraId="18ABC7C4" w14:textId="329F0612" w:rsidR="003234D4" w:rsidRDefault="003234D4" w:rsidP="003234D4">
      <w:pPr>
        <w:pStyle w:val="Caption"/>
        <w:keepNext/>
        <w:jc w:val="center"/>
      </w:pPr>
      <w:r>
        <w:t xml:space="preserve">Table </w:t>
      </w:r>
      <w:fldSimple w:instr=" SEQ Table \* ARABIC ">
        <w:r>
          <w:rPr>
            <w:noProof/>
          </w:rPr>
          <w:t>2</w:t>
        </w:r>
      </w:fldSimple>
      <w:r>
        <w:t xml:space="preserve"> Tesla Cashflow Analysis (Self-Calculated)</w:t>
      </w:r>
    </w:p>
    <w:p w14:paraId="2FB6FBD5" w14:textId="5B0022B0" w:rsidR="008F402D" w:rsidRDefault="008F402D" w:rsidP="0062452B">
      <w:r w:rsidRPr="008F402D">
        <w:rPr>
          <w:noProof/>
        </w:rPr>
        <w:drawing>
          <wp:inline distT="0" distB="0" distL="0" distR="0" wp14:anchorId="2F3FA47D" wp14:editId="5514305F">
            <wp:extent cx="5731510" cy="1392555"/>
            <wp:effectExtent l="0" t="0" r="0" b="4445"/>
            <wp:docPr id="163678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78598" name=""/>
                    <pic:cNvPicPr/>
                  </pic:nvPicPr>
                  <pic:blipFill>
                    <a:blip r:embed="rId20"/>
                    <a:stretch>
                      <a:fillRect/>
                    </a:stretch>
                  </pic:blipFill>
                  <pic:spPr>
                    <a:xfrm>
                      <a:off x="0" y="0"/>
                      <a:ext cx="5731510" cy="1392555"/>
                    </a:xfrm>
                    <a:prstGeom prst="rect">
                      <a:avLst/>
                    </a:prstGeom>
                  </pic:spPr>
                </pic:pic>
              </a:graphicData>
            </a:graphic>
          </wp:inline>
        </w:drawing>
      </w:r>
    </w:p>
    <w:p w14:paraId="1204B5EE" w14:textId="77777777" w:rsidR="00597473" w:rsidRDefault="00597473" w:rsidP="0062452B"/>
    <w:p w14:paraId="0411CF10" w14:textId="02DD9364" w:rsidR="00597473" w:rsidRDefault="00597473" w:rsidP="0062452B">
      <w:r w:rsidRPr="00597473">
        <w:t xml:space="preserve">Tesla had its highest cash flow margin in 2021 at 21.36%, indicating that Tesla was converting more of its revenue into operating cash. By 2024, it had fallen to 15.28%. </w:t>
      </w:r>
      <w:r>
        <w:t xml:space="preserve">But same year, </w:t>
      </w:r>
      <w:r w:rsidRPr="00597473">
        <w:t xml:space="preserve">operating cash flow </w:t>
      </w:r>
      <w:r>
        <w:t xml:space="preserve">was </w:t>
      </w:r>
      <w:r w:rsidRPr="00597473">
        <w:t>$14.9 billion in 2024</w:t>
      </w:r>
      <w:sdt>
        <w:sdtPr>
          <w:id w:val="1401953939"/>
          <w:citation/>
        </w:sdtPr>
        <w:sdtContent>
          <w:r w:rsidR="0089118B">
            <w:fldChar w:fldCharType="begin"/>
          </w:r>
          <w:r w:rsidR="0089118B">
            <w:rPr>
              <w:lang w:val="en-US"/>
            </w:rPr>
            <w:instrText xml:space="preserve"> CITATION USE24 \l 1033 </w:instrText>
          </w:r>
          <w:r w:rsidR="0089118B">
            <w:fldChar w:fldCharType="separate"/>
          </w:r>
          <w:r w:rsidR="0089118B">
            <w:rPr>
              <w:noProof/>
              <w:lang w:val="en-US"/>
            </w:rPr>
            <w:t xml:space="preserve"> </w:t>
          </w:r>
          <w:r w:rsidR="0089118B" w:rsidRPr="0089118B">
            <w:rPr>
              <w:noProof/>
              <w:lang w:val="en-US"/>
            </w:rPr>
            <w:t>(USEC, 2024)</w:t>
          </w:r>
          <w:r w:rsidR="0089118B">
            <w:fldChar w:fldCharType="end"/>
          </w:r>
        </w:sdtContent>
      </w:sdt>
      <w:r w:rsidRPr="00597473">
        <w:t>. The fall in the margin indicates that Tesla became less efficient in turning every dollar of revenue into cash. This was primarily due to the fact that the company was investing more into expansion, new technology, AI infrastructure and global factory growth. So, the margin declined but, nevertheless, Tesla was financially strong enough to be able to fund its future plans with its own cash</w:t>
      </w:r>
      <w:sdt>
        <w:sdtPr>
          <w:id w:val="37254930"/>
          <w:citation/>
        </w:sdtPr>
        <w:sdtContent>
          <w:r w:rsidR="0089118B">
            <w:fldChar w:fldCharType="begin"/>
          </w:r>
          <w:r w:rsidR="0089118B">
            <w:rPr>
              <w:lang w:val="en-US"/>
            </w:rPr>
            <w:instrText xml:space="preserve"> CITATION Fah23 \l 1033 </w:instrText>
          </w:r>
          <w:r w:rsidR="0089118B">
            <w:fldChar w:fldCharType="separate"/>
          </w:r>
          <w:r w:rsidR="0089118B">
            <w:rPr>
              <w:noProof/>
              <w:lang w:val="en-US"/>
            </w:rPr>
            <w:t xml:space="preserve"> </w:t>
          </w:r>
          <w:r w:rsidR="0089118B" w:rsidRPr="0089118B">
            <w:rPr>
              <w:noProof/>
              <w:lang w:val="en-US"/>
            </w:rPr>
            <w:t>(Laghari, 2023)</w:t>
          </w:r>
          <w:r w:rsidR="0089118B">
            <w:fldChar w:fldCharType="end"/>
          </w:r>
        </w:sdtContent>
      </w:sdt>
      <w:r w:rsidRPr="00597473">
        <w:t>.</w:t>
      </w:r>
    </w:p>
    <w:p w14:paraId="009AC155" w14:textId="2AC8DD3C" w:rsidR="0010028E" w:rsidRDefault="0010028E" w:rsidP="0010028E">
      <w:pPr>
        <w:pStyle w:val="Heading1"/>
      </w:pPr>
      <w:bookmarkStart w:id="8" w:name="_Toc225378636"/>
      <w:r>
        <w:t>Working Capital Management</w:t>
      </w:r>
      <w:bookmarkEnd w:id="8"/>
      <w:r>
        <w:t xml:space="preserve"> </w:t>
      </w:r>
    </w:p>
    <w:p w14:paraId="38F8F828" w14:textId="57C3762C" w:rsidR="0010028E" w:rsidRDefault="0010028E" w:rsidP="0010028E">
      <w:r>
        <w:t>Working capital management studies the efficiency of short-term assets and liability management handled by the firm in order to maintain liquidity and sustain daily operations. A major measure of this is the cash operating cycle or cash conversion cycle (CCC)</w:t>
      </w:r>
      <w:sdt>
        <w:sdtPr>
          <w:id w:val="1154956672"/>
          <w:citation/>
        </w:sdtPr>
        <w:sdtContent>
          <w:r w:rsidR="00450B6E">
            <w:fldChar w:fldCharType="begin"/>
          </w:r>
          <w:r w:rsidR="00450B6E">
            <w:rPr>
              <w:lang w:val="en-US"/>
            </w:rPr>
            <w:instrText xml:space="preserve"> CITATION Hal24 \l 1033 </w:instrText>
          </w:r>
          <w:r w:rsidR="00450B6E">
            <w:fldChar w:fldCharType="separate"/>
          </w:r>
          <w:r w:rsidR="00450B6E">
            <w:rPr>
              <w:noProof/>
              <w:lang w:val="en-US"/>
            </w:rPr>
            <w:t xml:space="preserve"> </w:t>
          </w:r>
          <w:r w:rsidR="00450B6E" w:rsidRPr="00450B6E">
            <w:rPr>
              <w:noProof/>
              <w:lang w:val="en-US"/>
            </w:rPr>
            <w:t>(Kiymaz, 2024)</w:t>
          </w:r>
          <w:r w:rsidR="00450B6E">
            <w:fldChar w:fldCharType="end"/>
          </w:r>
        </w:sdtContent>
      </w:sdt>
      <w:r>
        <w:t xml:space="preserve">. The CCC shows the time taken for the cash to be tied up in inventory and receivables before the cash is retrieved from customers, allowing for the time taken to pay the suppliers. In </w:t>
      </w:r>
      <w:r w:rsidR="00450B6E">
        <w:t>simple</w:t>
      </w:r>
      <w:r>
        <w:t xml:space="preserve"> terms, it is the measure of how fast an operating activity of a business gets turned back into cash</w:t>
      </w:r>
      <w:sdt>
        <w:sdtPr>
          <w:id w:val="381760561"/>
          <w:citation/>
        </w:sdtPr>
        <w:sdtContent>
          <w:r w:rsidR="00A76014">
            <w:fldChar w:fldCharType="begin"/>
          </w:r>
          <w:r w:rsidR="00A76014">
            <w:rPr>
              <w:lang w:val="en-US"/>
            </w:rPr>
            <w:instrText xml:space="preserve"> CITATION Fat221 \l 1033 </w:instrText>
          </w:r>
          <w:r w:rsidR="00A76014">
            <w:fldChar w:fldCharType="separate"/>
          </w:r>
          <w:r w:rsidR="00A76014">
            <w:rPr>
              <w:noProof/>
              <w:lang w:val="en-US"/>
            </w:rPr>
            <w:t xml:space="preserve"> </w:t>
          </w:r>
          <w:r w:rsidR="00A76014" w:rsidRPr="00A76014">
            <w:rPr>
              <w:noProof/>
              <w:lang w:val="en-US"/>
            </w:rPr>
            <w:t>(Asman, 2022)</w:t>
          </w:r>
          <w:r w:rsidR="00A76014">
            <w:fldChar w:fldCharType="end"/>
          </w:r>
        </w:sdtContent>
      </w:sdt>
      <w:r>
        <w:t>.</w:t>
      </w:r>
    </w:p>
    <w:p w14:paraId="5B5F79CF" w14:textId="77777777" w:rsidR="00DA2A56" w:rsidRDefault="00DA2A56" w:rsidP="0010028E"/>
    <w:p w14:paraId="6A6ABB90" w14:textId="3528DAD8" w:rsidR="008F0352" w:rsidRDefault="0010028E" w:rsidP="008F0352">
      <w:pPr>
        <w:jc w:val="center"/>
        <w:rPr>
          <w:rStyle w:val="bzpyqfadein"/>
          <w:i/>
          <w:iCs/>
          <w:u w:val="single"/>
        </w:rPr>
      </w:pPr>
      <w:r w:rsidRPr="003F3A78">
        <w:rPr>
          <w:rStyle w:val="bzpyqfadein"/>
          <w:i/>
          <w:iCs/>
          <w:u w:val="single"/>
        </w:rPr>
        <w:t>Cash Conversion Cycle = Inventory Days + Receivable Days - Payable Days</w:t>
      </w:r>
    </w:p>
    <w:p w14:paraId="573044BA" w14:textId="77777777" w:rsidR="00DA2A56" w:rsidRPr="003F3A78" w:rsidRDefault="00DA2A56" w:rsidP="008F0352">
      <w:pPr>
        <w:jc w:val="center"/>
        <w:rPr>
          <w:i/>
          <w:iCs/>
          <w:u w:val="single"/>
        </w:rPr>
      </w:pPr>
    </w:p>
    <w:p w14:paraId="4B042B51" w14:textId="6B00517B" w:rsidR="008F0352" w:rsidRDefault="008F0352" w:rsidP="008F0352">
      <w:pPr>
        <w:pStyle w:val="Caption"/>
        <w:keepNext/>
        <w:jc w:val="center"/>
      </w:pPr>
      <w:r>
        <w:t xml:space="preserve">Table </w:t>
      </w:r>
      <w:fldSimple w:instr=" SEQ Table \* ARABIC ">
        <w:r w:rsidR="003234D4">
          <w:rPr>
            <w:noProof/>
          </w:rPr>
          <w:t>3</w:t>
        </w:r>
      </w:fldSimple>
      <w:r>
        <w:t xml:space="preserve"> </w:t>
      </w:r>
      <w:r w:rsidRPr="006F0A0D">
        <w:t>Tesla Cash Conversion Cycle</w:t>
      </w:r>
      <w:r w:rsidR="00450B6E">
        <w:t xml:space="preserve"> (Self-Calculated)</w:t>
      </w:r>
    </w:p>
    <w:p w14:paraId="7C1E5100" w14:textId="77777777" w:rsidR="008F0352" w:rsidRDefault="008F0352" w:rsidP="008F0352">
      <w:pPr>
        <w:keepNext/>
      </w:pPr>
      <w:r w:rsidRPr="008F0352">
        <w:rPr>
          <w:noProof/>
        </w:rPr>
        <w:drawing>
          <wp:inline distT="0" distB="0" distL="0" distR="0" wp14:anchorId="04584333" wp14:editId="59401F5D">
            <wp:extent cx="5731510" cy="1369060"/>
            <wp:effectExtent l="0" t="0" r="0" b="2540"/>
            <wp:docPr id="2045923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923542" name=""/>
                    <pic:cNvPicPr/>
                  </pic:nvPicPr>
                  <pic:blipFill>
                    <a:blip r:embed="rId21"/>
                    <a:stretch>
                      <a:fillRect/>
                    </a:stretch>
                  </pic:blipFill>
                  <pic:spPr>
                    <a:xfrm>
                      <a:off x="0" y="0"/>
                      <a:ext cx="5731510" cy="1369060"/>
                    </a:xfrm>
                    <a:prstGeom prst="rect">
                      <a:avLst/>
                    </a:prstGeom>
                  </pic:spPr>
                </pic:pic>
              </a:graphicData>
            </a:graphic>
          </wp:inline>
        </w:drawing>
      </w:r>
    </w:p>
    <w:p w14:paraId="446E5E7E" w14:textId="77777777" w:rsidR="008F0352" w:rsidRDefault="008F0352" w:rsidP="008F0352"/>
    <w:p w14:paraId="21A1F78E" w14:textId="7A6FD97A" w:rsidR="0031249B" w:rsidRDefault="0031249B" w:rsidP="008F0352">
      <w:r>
        <w:t xml:space="preserve">From the calculations of inventory days, it was observed that there has been changes in every year, as 47.46 days (2020), decreasing to 39.02 days (2021), then increasing to 57.52 days (2022) and again decreasing to 44.87 days (2024). </w:t>
      </w:r>
      <w:r w:rsidR="00525BDB">
        <w:t xml:space="preserve">This volatility has been observed because of the strategic shifts, as </w:t>
      </w:r>
      <w:r w:rsidR="00416103">
        <w:t xml:space="preserve">in 2021 because of the lean efficiency and high demand of Model 3 and Model Y resulted in lower inventory days. </w:t>
      </w:r>
      <w:r w:rsidR="00EB7A89">
        <w:t>But in 2022, company has pivoted their focus from efficiency to resilience, with new factories and logistics transforms</w:t>
      </w:r>
      <w:sdt>
        <w:sdtPr>
          <w:id w:val="-1079049234"/>
          <w:citation/>
        </w:sdtPr>
        <w:sdtContent>
          <w:r w:rsidR="0091467C">
            <w:fldChar w:fldCharType="begin"/>
          </w:r>
          <w:r w:rsidR="0091467C">
            <w:rPr>
              <w:lang w:val="en-US"/>
            </w:rPr>
            <w:instrText xml:space="preserve"> CITATION USE22 \l 1033 </w:instrText>
          </w:r>
          <w:r w:rsidR="0091467C">
            <w:fldChar w:fldCharType="separate"/>
          </w:r>
          <w:r w:rsidR="0091467C">
            <w:rPr>
              <w:noProof/>
              <w:lang w:val="en-US"/>
            </w:rPr>
            <w:t xml:space="preserve"> </w:t>
          </w:r>
          <w:r w:rsidR="0091467C" w:rsidRPr="0091467C">
            <w:rPr>
              <w:noProof/>
              <w:lang w:val="en-US"/>
            </w:rPr>
            <w:t>(USES, 2022)</w:t>
          </w:r>
          <w:r w:rsidR="0091467C">
            <w:fldChar w:fldCharType="end"/>
          </w:r>
        </w:sdtContent>
      </w:sdt>
      <w:r w:rsidR="00EB7A89">
        <w:t xml:space="preserve">. But </w:t>
      </w:r>
      <w:r w:rsidR="00EB7A89">
        <w:lastRenderedPageBreak/>
        <w:t>control over inventory days has been regained in 2023-24, with the maturation of global manufacturing footprints</w:t>
      </w:r>
      <w:sdt>
        <w:sdtPr>
          <w:id w:val="-382944249"/>
          <w:citation/>
        </w:sdtPr>
        <w:sdtContent>
          <w:r w:rsidR="0091467C">
            <w:fldChar w:fldCharType="begin"/>
          </w:r>
          <w:r w:rsidR="0091467C">
            <w:rPr>
              <w:lang w:val="en-US"/>
            </w:rPr>
            <w:instrText xml:space="preserve"> CITATION USE24 \l 1033 </w:instrText>
          </w:r>
          <w:r w:rsidR="0091467C">
            <w:fldChar w:fldCharType="separate"/>
          </w:r>
          <w:r w:rsidR="0091467C">
            <w:rPr>
              <w:noProof/>
              <w:lang w:val="en-US"/>
            </w:rPr>
            <w:t xml:space="preserve"> </w:t>
          </w:r>
          <w:r w:rsidR="0091467C" w:rsidRPr="0091467C">
            <w:rPr>
              <w:noProof/>
              <w:lang w:val="en-US"/>
            </w:rPr>
            <w:t>(USEC, 2024)</w:t>
          </w:r>
          <w:r w:rsidR="0091467C">
            <w:fldChar w:fldCharType="end"/>
          </w:r>
        </w:sdtContent>
      </w:sdt>
      <w:r w:rsidR="00A94494">
        <w:t xml:space="preserve">, suggests the better control over the supply chain and finances. </w:t>
      </w:r>
    </w:p>
    <w:p w14:paraId="35ED7F4C" w14:textId="2B76878C" w:rsidR="00E90A85" w:rsidRDefault="004E1578" w:rsidP="008F0352">
      <w:r>
        <w:t>Receivable days continued to low in 2024(16.51) comparing from the 2020(21.83), suggests that company receives the cash from customers relatively quickly. Low receivable days helps company to convert the cash or profit from the revenue and the assets involved. This ultimately gives relief to the company from the pressure of the short-term financing</w:t>
      </w:r>
      <w:sdt>
        <w:sdtPr>
          <w:id w:val="-327516199"/>
          <w:citation/>
        </w:sdtPr>
        <w:sdtContent>
          <w:r w:rsidR="00E77965">
            <w:fldChar w:fldCharType="begin"/>
          </w:r>
          <w:r w:rsidR="00E77965">
            <w:rPr>
              <w:lang w:val="en-US"/>
            </w:rPr>
            <w:instrText xml:space="preserve"> CITATION Wah24 \l 1033 </w:instrText>
          </w:r>
          <w:r w:rsidR="00E77965">
            <w:fldChar w:fldCharType="separate"/>
          </w:r>
          <w:r w:rsidR="00E77965">
            <w:rPr>
              <w:noProof/>
              <w:lang w:val="en-US"/>
            </w:rPr>
            <w:t xml:space="preserve"> </w:t>
          </w:r>
          <w:r w:rsidR="00E77965" w:rsidRPr="00E77965">
            <w:rPr>
              <w:noProof/>
              <w:lang w:val="en-US"/>
            </w:rPr>
            <w:t>(Yusuf, 2024)</w:t>
          </w:r>
          <w:r w:rsidR="00E77965">
            <w:fldChar w:fldCharType="end"/>
          </w:r>
        </w:sdtContent>
      </w:sdt>
      <w:r>
        <w:t xml:space="preserve">. </w:t>
      </w:r>
      <w:r w:rsidR="00C06730" w:rsidRPr="00C06730">
        <w:t>At the beginning of the period, Tesla was taking longer and longer to pay its suppliers, to 70 days in the year 2020 and 68 days in the year 2021. This had declined to around 47 days by 2024. This means that earlier Tesla had been holding its cash for longer before making payments that helped its short-term liquidity. In other words, the company was getting more benefit from credit from suppliers. However, it also means that Tesla holds cash for a shorter time, so the benefit of liquidity due to delayed payments has diminished.</w:t>
      </w:r>
    </w:p>
    <w:p w14:paraId="377693A4" w14:textId="57CE9D41" w:rsidR="005C7DE4" w:rsidRDefault="00EB065B" w:rsidP="008F0352">
      <w:r>
        <w:t xml:space="preserve">The results of Tesla's cash conversion cycle shows how efficiently company is managing their working capital over the period of time. </w:t>
      </w:r>
      <w:r w:rsidR="00893A6E">
        <w:t xml:space="preserve">Negative CCC in the year of 2020-21 suggests that Tesla is collecting the cash from customer well before payments to the </w:t>
      </w:r>
      <w:r w:rsidR="004335C4">
        <w:t>suppliers</w:t>
      </w:r>
      <w:r w:rsidR="00893A6E">
        <w:t>.</w:t>
      </w:r>
      <w:r w:rsidR="004335C4">
        <w:t xml:space="preserve"> This move is seen as a good opportunity for finances to operate through the trade credits.</w:t>
      </w:r>
      <w:r w:rsidR="002A13E9">
        <w:t xml:space="preserve"> </w:t>
      </w:r>
      <w:proofErr w:type="spellStart"/>
      <w:r w:rsidR="002A13E9">
        <w:t>Atrill</w:t>
      </w:r>
      <w:proofErr w:type="spellEnd"/>
      <w:r w:rsidR="002A13E9">
        <w:t xml:space="preserve"> and McLaney</w:t>
      </w:r>
      <w:sdt>
        <w:sdtPr>
          <w:id w:val="1517193169"/>
          <w:citation/>
        </w:sdtPr>
        <w:sdtContent>
          <w:r w:rsidR="002A13E9">
            <w:fldChar w:fldCharType="begin"/>
          </w:r>
          <w:r w:rsidR="002A13E9">
            <w:rPr>
              <w:lang w:val="en-US"/>
            </w:rPr>
            <w:instrText xml:space="preserve">CITATION Atr21 \n  \t  \l 1033 </w:instrText>
          </w:r>
          <w:r w:rsidR="002A13E9">
            <w:fldChar w:fldCharType="separate"/>
          </w:r>
          <w:r w:rsidR="002A13E9">
            <w:rPr>
              <w:noProof/>
              <w:lang w:val="en-US"/>
            </w:rPr>
            <w:t xml:space="preserve"> </w:t>
          </w:r>
          <w:r w:rsidR="002A13E9" w:rsidRPr="0032564C">
            <w:rPr>
              <w:noProof/>
              <w:lang w:val="en-US"/>
            </w:rPr>
            <w:t>(2021)</w:t>
          </w:r>
          <w:r w:rsidR="002A13E9">
            <w:fldChar w:fldCharType="end"/>
          </w:r>
        </w:sdtContent>
      </w:sdt>
      <w:r w:rsidR="002A13E9">
        <w:t xml:space="preserve"> also states that negative CCC helps in improving the liquidity and to overcome the need of external borrowings for day-to-day operations. </w:t>
      </w:r>
      <w:r w:rsidR="00B731D8">
        <w:t>This results have been changed in the year of 2023-24, as CCC becomes positive and reached to 14.80. But this results are still better than the manufacturing business, suggesting that Tesla is generating more cash from their operations.</w:t>
      </w:r>
      <w:r w:rsidR="00893A6E">
        <w:t xml:space="preserve"> </w:t>
      </w:r>
      <w:r w:rsidR="00B770C8">
        <w:t>Westerfield and Jordan</w:t>
      </w:r>
      <w:sdt>
        <w:sdtPr>
          <w:id w:val="1438711469"/>
          <w:citation/>
        </w:sdtPr>
        <w:sdtContent>
          <w:r w:rsidR="00B770C8">
            <w:fldChar w:fldCharType="begin"/>
          </w:r>
          <w:r w:rsidR="00B770C8">
            <w:rPr>
              <w:lang w:val="en-US"/>
            </w:rPr>
            <w:instrText xml:space="preserve">CITATION Ran22 \n  \t  \l 1033 </w:instrText>
          </w:r>
          <w:r w:rsidR="00B770C8">
            <w:fldChar w:fldCharType="separate"/>
          </w:r>
          <w:r w:rsidR="00B770C8">
            <w:rPr>
              <w:noProof/>
              <w:lang w:val="en-US"/>
            </w:rPr>
            <w:t xml:space="preserve"> </w:t>
          </w:r>
          <w:r w:rsidR="00B770C8" w:rsidRPr="0032564C">
            <w:rPr>
              <w:noProof/>
              <w:lang w:val="en-US"/>
            </w:rPr>
            <w:t>(2022)</w:t>
          </w:r>
          <w:r w:rsidR="00B770C8">
            <w:fldChar w:fldCharType="end"/>
          </w:r>
        </w:sdtContent>
      </w:sdt>
      <w:r w:rsidR="00B770C8">
        <w:t xml:space="preserve"> outlines in their finding that higher CCC </w:t>
      </w:r>
      <w:r w:rsidR="00052D4C">
        <w:t xml:space="preserve">can be because of higher inventory commitment or less favourable payment timing. And same thing has been observed with the higher inventory for the Tesla in same period of time. </w:t>
      </w:r>
    </w:p>
    <w:p w14:paraId="1AA7E13F" w14:textId="02CCB901" w:rsidR="00AF7C40" w:rsidRDefault="00AF7C40" w:rsidP="00AF7C40">
      <w:pPr>
        <w:pStyle w:val="Heading2"/>
      </w:pPr>
      <w:bookmarkStart w:id="9" w:name="_Toc225378637"/>
      <w:r>
        <w:t>Liquidity improvement strategies</w:t>
      </w:r>
      <w:bookmarkEnd w:id="9"/>
      <w:r>
        <w:t xml:space="preserve"> </w:t>
      </w:r>
    </w:p>
    <w:p w14:paraId="2E1AC306" w14:textId="7447D0DD" w:rsidR="00AF7C40" w:rsidRDefault="00AF7C40" w:rsidP="00AF7C40">
      <w:r>
        <w:t xml:space="preserve">An analysis of the financial data shows </w:t>
      </w:r>
      <w:r>
        <w:t xml:space="preserve">that there has been shift observed in </w:t>
      </w:r>
      <w:r>
        <w:t xml:space="preserve">Tesla's liquidity position. The Cash Conversion Cycle (CCC) that has been used as a measure of operational efficiency and resource allocation went from a very </w:t>
      </w:r>
      <w:r>
        <w:t>favourable</w:t>
      </w:r>
      <w:r>
        <w:t xml:space="preserve"> negative standing in 2021 ($-15.97$ days) </w:t>
      </w:r>
      <w:r w:rsidR="005163EC">
        <w:t xml:space="preserve">has moved </w:t>
      </w:r>
      <w:r>
        <w:t>to a positive 14.80 days in 2024. This trend indicates that Tesla has to finance its own operations for more length of time before cash inflows from sales is realized.</w:t>
      </w:r>
    </w:p>
    <w:p w14:paraId="5D041D03" w14:textId="77777777" w:rsidR="00AF7C40" w:rsidRDefault="00AF7C40" w:rsidP="00AF7C40"/>
    <w:p w14:paraId="200A3971" w14:textId="77777777" w:rsidR="00AF7C40" w:rsidRDefault="00AF7C40" w:rsidP="00AF7C40"/>
    <w:p w14:paraId="1800E838" w14:textId="77777777" w:rsidR="00AF7C40" w:rsidRDefault="00AF7C40" w:rsidP="00AF7C40"/>
    <w:p w14:paraId="6A27BC44" w14:textId="434A6491" w:rsidR="00AF7C40" w:rsidRPr="00AF7C40" w:rsidRDefault="00AF7C40" w:rsidP="00AF7C40">
      <w:pPr>
        <w:rPr>
          <w:b/>
          <w:bCs/>
          <w:u w:val="single"/>
        </w:rPr>
      </w:pPr>
      <w:r w:rsidRPr="00AF7C40">
        <w:rPr>
          <w:b/>
          <w:bCs/>
          <w:u w:val="single"/>
        </w:rPr>
        <w:lastRenderedPageBreak/>
        <w:t>Inventory Optimization (DSO)</w:t>
      </w:r>
    </w:p>
    <w:p w14:paraId="5184DDF6" w14:textId="52D9F5C7" w:rsidR="00AF7C40" w:rsidRDefault="00AF7C40" w:rsidP="00AF7C40">
      <w:pPr>
        <w:pStyle w:val="ListParagraph"/>
        <w:numPr>
          <w:ilvl w:val="0"/>
          <w:numId w:val="17"/>
        </w:numPr>
      </w:pPr>
      <w:r>
        <w:t>Just-in-Time (JIT) Refinement</w:t>
      </w:r>
      <w:r w:rsidR="005163EC">
        <w:t xml:space="preserve"> –</w:t>
      </w:r>
      <w:r>
        <w:t xml:space="preserve"> </w:t>
      </w:r>
      <w:r w:rsidR="005163EC">
        <w:t xml:space="preserve">Companies like </w:t>
      </w:r>
      <w:r>
        <w:t>Tesla already a use</w:t>
      </w:r>
      <w:r w:rsidR="005163EC">
        <w:t>s</w:t>
      </w:r>
      <w:r>
        <w:t xml:space="preserve"> </w:t>
      </w:r>
      <w:r w:rsidR="005163EC">
        <w:t>and produces using</w:t>
      </w:r>
      <w:r>
        <w:t xml:space="preserve"> JIT</w:t>
      </w:r>
      <w:r w:rsidR="005163EC">
        <w:t>.</w:t>
      </w:r>
      <w:r>
        <w:t xml:space="preserve"> </w:t>
      </w:r>
      <w:r w:rsidR="005163EC">
        <w:t>B</w:t>
      </w:r>
      <w:r>
        <w:t xml:space="preserve">ut with the jump in inventory days in 2022 the </w:t>
      </w:r>
      <w:r w:rsidR="001E13C9">
        <w:t>issues of</w:t>
      </w:r>
      <w:r>
        <w:t xml:space="preserve"> in buffer stock</w:t>
      </w:r>
      <w:r w:rsidR="001E13C9">
        <w:t xml:space="preserve"> has been created</w:t>
      </w:r>
      <w:r>
        <w:t>. Implementing AI-driven demand forecasting can help to reduce the 44.90 days of inventory sitting in the system.</w:t>
      </w:r>
    </w:p>
    <w:p w14:paraId="7143F9C2" w14:textId="1CD98906" w:rsidR="00AF7C40" w:rsidRDefault="00AF7C40" w:rsidP="00AF7C40">
      <w:pPr>
        <w:pStyle w:val="ListParagraph"/>
        <w:numPr>
          <w:ilvl w:val="0"/>
          <w:numId w:val="17"/>
        </w:numPr>
      </w:pPr>
      <w:r>
        <w:t>Liquidation of Slow-Moving Stock</w:t>
      </w:r>
      <w:r w:rsidR="001E13C9">
        <w:t xml:space="preserve"> -There is a need of</w:t>
      </w:r>
      <w:r>
        <w:t xml:space="preserve"> </w:t>
      </w:r>
      <w:r w:rsidR="001E13C9">
        <w:t>p</w:t>
      </w:r>
      <w:r>
        <w:t>rovid</w:t>
      </w:r>
      <w:r w:rsidR="001E13C9">
        <w:t>ing a</w:t>
      </w:r>
      <w:r>
        <w:t xml:space="preserve"> special incentives or discounts for older model iterations, to help free up the cash that is currently tied up in the $12,017 million inventory balance.</w:t>
      </w:r>
    </w:p>
    <w:p w14:paraId="1D4344E4" w14:textId="77777777" w:rsidR="00AF7C40" w:rsidRPr="00AF7C40" w:rsidRDefault="00AF7C40" w:rsidP="00AF7C40">
      <w:pPr>
        <w:rPr>
          <w:b/>
          <w:bCs/>
          <w:u w:val="single"/>
        </w:rPr>
      </w:pPr>
      <w:r w:rsidRPr="00AF7C40">
        <w:rPr>
          <w:b/>
          <w:bCs/>
          <w:u w:val="single"/>
        </w:rPr>
        <w:t>Accounts Payable Extension (DPO Optimization)</w:t>
      </w:r>
    </w:p>
    <w:p w14:paraId="5405733C" w14:textId="1FB21003" w:rsidR="00AF7C40" w:rsidRDefault="001E13C9" w:rsidP="00AF7C40">
      <w:r>
        <w:t xml:space="preserve">One of the major reason behind positive CCC is </w:t>
      </w:r>
      <w:r w:rsidR="00AF7C40">
        <w:t>the drastic fall of Payable Days from 70.03 (2020) to 46.61 (2024).</w:t>
      </w:r>
    </w:p>
    <w:p w14:paraId="7A329023" w14:textId="1E89A62F" w:rsidR="00AF7C40" w:rsidRDefault="00AF7C40" w:rsidP="00AF7C40">
      <w:pPr>
        <w:pStyle w:val="ListParagraph"/>
        <w:numPr>
          <w:ilvl w:val="0"/>
          <w:numId w:val="18"/>
        </w:numPr>
      </w:pPr>
      <w:r>
        <w:t>Supply Chain Finance (Reverse Factoring)</w:t>
      </w:r>
      <w:r w:rsidR="001E13C9">
        <w:t xml:space="preserve"> -</w:t>
      </w:r>
      <w:r>
        <w:t xml:space="preserve"> Tesla </w:t>
      </w:r>
      <w:r w:rsidR="001E13C9">
        <w:t>can</w:t>
      </w:r>
      <w:r>
        <w:t xml:space="preserve"> use its high credit standing to enable third-party financing of suppliers. This enables vendors to get early payment from financial institutions, and Tesla retains its long payment terms, thereby sustaining its internal cash reserves.</w:t>
      </w:r>
    </w:p>
    <w:p w14:paraId="2F877DE7" w14:textId="00D07572" w:rsidR="00AF7C40" w:rsidRDefault="00AF7C40" w:rsidP="00AF7C40">
      <w:pPr>
        <w:pStyle w:val="ListParagraph"/>
        <w:numPr>
          <w:ilvl w:val="0"/>
          <w:numId w:val="18"/>
        </w:numPr>
      </w:pPr>
      <w:r>
        <w:t>Vendor Negotiation: Strategic re-alignment of the contracts with key battery cell manufacturers to match the payment outflows with the realization of revenue from vehicle sales.</w:t>
      </w:r>
    </w:p>
    <w:p w14:paraId="1DEDFB81" w14:textId="4C2695F0" w:rsidR="00AF7C40" w:rsidRDefault="007D3B61" w:rsidP="007D3B61">
      <w:pPr>
        <w:pStyle w:val="Heading2"/>
      </w:pPr>
      <w:bookmarkStart w:id="10" w:name="_Toc225378638"/>
      <w:r>
        <w:t>Comparative Assessment of Financing Instruments</w:t>
      </w:r>
      <w:bookmarkEnd w:id="10"/>
    </w:p>
    <w:p w14:paraId="0E4EAB9D" w14:textId="0611760D" w:rsidR="007D3B61" w:rsidRPr="007D3B61" w:rsidRDefault="007231CD" w:rsidP="007D3B61">
      <w:r>
        <w:rPr>
          <w:noProof/>
          <w14:ligatures w14:val="standardContextual"/>
        </w:rPr>
        <w:drawing>
          <wp:inline distT="0" distB="0" distL="0" distR="0" wp14:anchorId="66EA94FB" wp14:editId="6E85CE21">
            <wp:extent cx="5731510" cy="2717165"/>
            <wp:effectExtent l="0" t="0" r="0" b="635"/>
            <wp:docPr id="1061311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311479" name="Picture 1061311479"/>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717165"/>
                    </a:xfrm>
                    <a:prstGeom prst="rect">
                      <a:avLst/>
                    </a:prstGeom>
                  </pic:spPr>
                </pic:pic>
              </a:graphicData>
            </a:graphic>
          </wp:inline>
        </w:drawing>
      </w:r>
    </w:p>
    <w:p w14:paraId="2BEFA4A7" w14:textId="3CE31412" w:rsidR="00AF7C40" w:rsidRPr="00AF7C40" w:rsidRDefault="007231CD" w:rsidP="00AF7C40">
      <w:r w:rsidRPr="007231CD">
        <w:t xml:space="preserve">Tesla's move to a positive Cash Conversion Cycle requires to take a two-pronged strategy involving operational tightening of inventory and receivables along with a strategic extension of payables. For immediate liquidity management, </w:t>
      </w:r>
      <w:r w:rsidRPr="007231CD">
        <w:rPr>
          <w:b/>
          <w:bCs/>
        </w:rPr>
        <w:t>short-term commercial paper</w:t>
      </w:r>
      <w:r w:rsidRPr="007231CD">
        <w:t xml:space="preserve"> or revolving </w:t>
      </w:r>
      <w:r w:rsidRPr="007231CD">
        <w:lastRenderedPageBreak/>
        <w:t>credit facilities are the most efficient instruments because they provide the agility needed to manage for the current 15-day funding gap without the structural burden of long-term debt.</w:t>
      </w:r>
    </w:p>
    <w:p w14:paraId="4C8190DC" w14:textId="47E1AFB1" w:rsidR="00D26C97" w:rsidRDefault="00D26C97" w:rsidP="00D26C97">
      <w:pPr>
        <w:pStyle w:val="Heading1"/>
        <w:rPr>
          <w:rStyle w:val="bzpyqfadein"/>
        </w:rPr>
      </w:pPr>
      <w:bookmarkStart w:id="11" w:name="_Toc225378639"/>
      <w:r>
        <w:rPr>
          <w:rStyle w:val="bzpyqfadein"/>
        </w:rPr>
        <w:t>Strategic Financial Restructuring Plan</w:t>
      </w:r>
      <w:bookmarkEnd w:id="11"/>
    </w:p>
    <w:p w14:paraId="6CDA7AAC" w14:textId="0B00338E" w:rsidR="00FC0F9A" w:rsidRDefault="00FC0F9A" w:rsidP="00FC0F9A">
      <w:r>
        <w:t>Financial restructuring involves changing company's capital structure, asset base or financing strategy in order to improve financial stability, support growth and protect shareholder value</w:t>
      </w:r>
      <w:sdt>
        <w:sdtPr>
          <w:id w:val="-1879776247"/>
          <w:citation/>
        </w:sdtPr>
        <w:sdtContent>
          <w:r w:rsidR="00182662">
            <w:fldChar w:fldCharType="begin"/>
          </w:r>
          <w:r w:rsidR="00182662">
            <w:rPr>
              <w:lang w:val="en-US"/>
            </w:rPr>
            <w:instrText xml:space="preserve"> CITATION Hus24 \l 1033 </w:instrText>
          </w:r>
          <w:r w:rsidR="00182662">
            <w:fldChar w:fldCharType="separate"/>
          </w:r>
          <w:r w:rsidR="00182662">
            <w:rPr>
              <w:noProof/>
              <w:lang w:val="en-US"/>
            </w:rPr>
            <w:t xml:space="preserve"> </w:t>
          </w:r>
          <w:r w:rsidR="00182662" w:rsidRPr="00182662">
            <w:rPr>
              <w:noProof/>
              <w:lang w:val="en-US"/>
            </w:rPr>
            <w:t>(Fahdil, 2024)</w:t>
          </w:r>
          <w:r w:rsidR="00182662">
            <w:fldChar w:fldCharType="end"/>
          </w:r>
        </w:sdtContent>
      </w:sdt>
      <w:r>
        <w:t xml:space="preserve">. For Tesla, </w:t>
      </w:r>
      <w:r w:rsidR="00182662">
        <w:t xml:space="preserve">restructuring is relevant as previous financial analysis shows the company has managed to have higher revenue and gearing ratio, but profitability has been decreased in 2024. </w:t>
      </w:r>
      <w:r>
        <w:t>The above implies that Tesla is financially strong, but still needs to manage expansion carefully so that it does not reduce returns.</w:t>
      </w:r>
    </w:p>
    <w:p w14:paraId="56EDF940" w14:textId="14A0F6E6" w:rsidR="00D26C97" w:rsidRDefault="00FC0F9A" w:rsidP="00FC0F9A">
      <w:r>
        <w:t>This section recommends three restructuring options: equity injection, selective divestiture and strategic partnerships or merger related expansion. These are assessed in terms of shareholder value, debt structure and operational flexibility. International and ethical issues like taxation, currency risk, inflation and CSR etc. are also taken into consideration.</w:t>
      </w:r>
    </w:p>
    <w:p w14:paraId="623AEB97" w14:textId="696DDF09" w:rsidR="00FC0F9A" w:rsidRDefault="00FC0F9A" w:rsidP="00FC0F9A">
      <w:pPr>
        <w:pStyle w:val="Heading2"/>
        <w:rPr>
          <w:rStyle w:val="bzpyqfadein"/>
        </w:rPr>
      </w:pPr>
      <w:bookmarkStart w:id="12" w:name="_Toc225378640"/>
      <w:r>
        <w:rPr>
          <w:rStyle w:val="bzpyqfadein"/>
        </w:rPr>
        <w:t>Equity Injection</w:t>
      </w:r>
      <w:bookmarkEnd w:id="12"/>
    </w:p>
    <w:p w14:paraId="232DD935" w14:textId="40D274A3" w:rsidR="00FC0F9A" w:rsidRDefault="00FC0F9A" w:rsidP="00FC0F9A">
      <w:r>
        <w:t xml:space="preserve">One realistic alternative for Tesla is additional equity injection via new share issuance or strategic equity investment. Tesla has already shored up the balance sheet with their reduced leverage, and </w:t>
      </w:r>
      <w:r w:rsidRPr="00851DF9">
        <w:t>additional equity funding could facilitate massive capital requirements in battery technology, AI systems, global manufacturing and charging infrastructure.</w:t>
      </w:r>
      <w:r w:rsidR="00270F02" w:rsidRPr="00851DF9">
        <w:t xml:space="preserve"> As in the automotive sector, it requires the massive cash investments, to build and ramp the manufacturing facilities. Equity injection can help Tesla to overcome the issue of economic shocks, rising interest rates, or market slowdowns without the risk of insolvency. This can give company a flexibility to have long-term Growth.</w:t>
      </w:r>
      <w:r w:rsidR="00270F02">
        <w:rPr>
          <w:rStyle w:val="ng-star-inserted"/>
          <w:rFonts w:ascii="Google Sans Text" w:hAnsi="Google Sans Text"/>
          <w:color w:val="303030"/>
          <w:shd w:val="clear" w:color="auto" w:fill="FFFFFF"/>
        </w:rPr>
        <w:t xml:space="preserve"> </w:t>
      </w:r>
    </w:p>
    <w:p w14:paraId="46D26776" w14:textId="084988F9" w:rsidR="00FC0F9A" w:rsidRDefault="00FC0F9A" w:rsidP="00FC0F9A">
      <w:r>
        <w:t>The major benefit of equity financing is that it decreases the need for debt. As Brigham and Ehrhardt</w:t>
      </w:r>
      <w:sdt>
        <w:sdtPr>
          <w:id w:val="-1233925259"/>
          <w:citation/>
        </w:sdtPr>
        <w:sdtContent>
          <w:r w:rsidR="004039A5">
            <w:fldChar w:fldCharType="begin"/>
          </w:r>
          <w:r w:rsidR="004039A5">
            <w:rPr>
              <w:lang w:val="en-US"/>
            </w:rPr>
            <w:instrText xml:space="preserve">CITATION Bri19 \n  \t  \l 1033 </w:instrText>
          </w:r>
          <w:r w:rsidR="004039A5">
            <w:fldChar w:fldCharType="separate"/>
          </w:r>
          <w:r w:rsidR="004039A5">
            <w:rPr>
              <w:noProof/>
              <w:lang w:val="en-US"/>
            </w:rPr>
            <w:t xml:space="preserve"> </w:t>
          </w:r>
          <w:r w:rsidR="004039A5" w:rsidRPr="004039A5">
            <w:rPr>
              <w:noProof/>
              <w:lang w:val="en-US"/>
            </w:rPr>
            <w:t>(2019)</w:t>
          </w:r>
          <w:r w:rsidR="004039A5">
            <w:fldChar w:fldCharType="end"/>
          </w:r>
        </w:sdtContent>
      </w:sdt>
      <w:r>
        <w:t xml:space="preserve"> explain, equity is a strengthening force of the balance sheet since it does not establish fixed repayment obligations. For Tesla, this would help preserve liquidity and reduce financial pressure in periods of weaker margins or uncertainty of market demand. It would also be in line with Tesla's declining debt to equity ratio, which indicates that the company has room to fund growth without dramatically increasing leverage.</w:t>
      </w:r>
    </w:p>
    <w:p w14:paraId="53238455" w14:textId="667E1C10" w:rsidR="00FC0F9A" w:rsidRDefault="00FC0F9A" w:rsidP="00FC0F9A">
      <w:r>
        <w:t xml:space="preserve">However, equity financing can dilute the existing shareholders. This means that the effect on the shareholder value depends on whether the funds are used efficiently or not. If new equity is invested in projects that enhance productivity and augment competitive advantage and generate high future returns, the long-term gain of enhanced firm value may outweigh the </w:t>
      </w:r>
      <w:r>
        <w:lastRenderedPageBreak/>
        <w:t>dilution effect</w:t>
      </w:r>
      <w:sdt>
        <w:sdtPr>
          <w:id w:val="295963401"/>
          <w:citation/>
        </w:sdtPr>
        <w:sdtContent>
          <w:r w:rsidR="004039A5">
            <w:fldChar w:fldCharType="begin"/>
          </w:r>
          <w:r w:rsidR="004039A5">
            <w:rPr>
              <w:lang w:val="en-US"/>
            </w:rPr>
            <w:instrText xml:space="preserve"> CITATION Mik22 \l 1033 </w:instrText>
          </w:r>
          <w:r w:rsidR="004039A5">
            <w:fldChar w:fldCharType="separate"/>
          </w:r>
          <w:r w:rsidR="004039A5">
            <w:rPr>
              <w:noProof/>
              <w:lang w:val="en-US"/>
            </w:rPr>
            <w:t xml:space="preserve"> </w:t>
          </w:r>
          <w:r w:rsidR="004039A5" w:rsidRPr="004039A5">
            <w:rPr>
              <w:noProof/>
              <w:lang w:val="en-US"/>
            </w:rPr>
            <w:t>(Burkart, 2022)</w:t>
          </w:r>
          <w:r w:rsidR="004039A5">
            <w:fldChar w:fldCharType="end"/>
          </w:r>
        </w:sdtContent>
      </w:sdt>
      <w:r>
        <w:t>. In Tesla's case, equity finance is best suited to strategic investment in the areas with high growth rates rather than short-term operating support.</w:t>
      </w:r>
    </w:p>
    <w:p w14:paraId="26641459" w14:textId="28E5DCFE" w:rsidR="00FC0F9A" w:rsidRDefault="00FC0F9A" w:rsidP="00FC0F9A">
      <w:pPr>
        <w:pStyle w:val="Heading2"/>
        <w:rPr>
          <w:rStyle w:val="bzpyqfadein"/>
        </w:rPr>
      </w:pPr>
      <w:bookmarkStart w:id="13" w:name="_Toc225378641"/>
      <w:r>
        <w:rPr>
          <w:rStyle w:val="bzpyqfadein"/>
        </w:rPr>
        <w:t>Selective Divestiture</w:t>
      </w:r>
      <w:bookmarkEnd w:id="13"/>
    </w:p>
    <w:p w14:paraId="4D21AA41" w14:textId="279C250A" w:rsidR="003713BA" w:rsidRDefault="003713BA" w:rsidP="00FC0F9A">
      <w:r>
        <w:t xml:space="preserve">Another option can be a selective divestiture of non-core, or activities which are not providing a good returns to the company. </w:t>
      </w:r>
      <w:r w:rsidR="008E28CF">
        <w:t xml:space="preserve">Basically it is about freeing up some capital from the activities which are not making value to the company. </w:t>
      </w:r>
      <w:r w:rsidR="007713D8">
        <w:t xml:space="preserve">Tesla can also </w:t>
      </w:r>
      <w:r w:rsidR="00A409A3">
        <w:t>get</w:t>
      </w:r>
      <w:r w:rsidR="007713D8">
        <w:t xml:space="preserve"> benefit from this by improving efficiency and profitability, and company has done this kind of activities in past. </w:t>
      </w:r>
      <w:r w:rsidR="00A409A3">
        <w:t xml:space="preserve">Like in 2019, they have shut down the stores to incurred $50 million cost and also $37 million facilities have been shut as it is not matching up with efficiency. </w:t>
      </w:r>
      <w:r w:rsidR="005E6A08">
        <w:t xml:space="preserve">For the future, Tesla should focus on phasing out less efficient technologies and models. </w:t>
      </w:r>
      <w:r w:rsidR="0080735A">
        <w:t>And also they should review smaller underperforming units like solar roof installation units and “non-tesla vehicle marketing”, which are acquired by trade-ins against the EVs.</w:t>
      </w:r>
      <w:r w:rsidR="0066706B">
        <w:t xml:space="preserve"> This kind of activities can help company to enhance the shareholder value in long-run by transferring investments to higher returns</w:t>
      </w:r>
      <w:sdt>
        <w:sdtPr>
          <w:id w:val="1705895744"/>
          <w:citation/>
        </w:sdtPr>
        <w:sdtContent>
          <w:r w:rsidR="00E77ED9">
            <w:fldChar w:fldCharType="begin"/>
          </w:r>
          <w:r w:rsidR="00E77ED9">
            <w:rPr>
              <w:lang w:val="en-US"/>
            </w:rPr>
            <w:instrText xml:space="preserve"> CITATION Dun20 \l 1033 </w:instrText>
          </w:r>
          <w:r w:rsidR="00E77ED9">
            <w:fldChar w:fldCharType="separate"/>
          </w:r>
          <w:r w:rsidR="00E77ED9">
            <w:rPr>
              <w:noProof/>
              <w:lang w:val="en-US"/>
            </w:rPr>
            <w:t xml:space="preserve"> </w:t>
          </w:r>
          <w:r w:rsidR="00E77ED9" w:rsidRPr="00E77ED9">
            <w:rPr>
              <w:noProof/>
              <w:lang w:val="en-US"/>
            </w:rPr>
            <w:t>(Pham, 2020)</w:t>
          </w:r>
          <w:r w:rsidR="00E77ED9">
            <w:fldChar w:fldCharType="end"/>
          </w:r>
        </w:sdtContent>
      </w:sdt>
      <w:r w:rsidR="0066706B">
        <w:t xml:space="preserve">. </w:t>
      </w:r>
    </w:p>
    <w:p w14:paraId="37FEA625" w14:textId="1CF329A2" w:rsidR="00970396" w:rsidRDefault="00970396" w:rsidP="00FC0F9A">
      <w:r>
        <w:t xml:space="preserve">But this can be a tricky plan for the Tesla, as the company is wholly structured around the vertical integration. </w:t>
      </w:r>
      <w:r w:rsidR="00851E04">
        <w:t xml:space="preserve">In such case, activities such as manufacturing, software, batteries, energy and services are closely connected, and selling off can affect the other business activities as well. </w:t>
      </w:r>
      <w:r w:rsidR="00053045">
        <w:t>For that reason, Tesla's only divestment strategy should be selective divestiture, based on strategic fit and financial performance rather than simply short-term cash generation.</w:t>
      </w:r>
    </w:p>
    <w:p w14:paraId="281A5EB5" w14:textId="7DA000EB" w:rsidR="00FC0F9A" w:rsidRDefault="00FC0F9A" w:rsidP="00FC0F9A">
      <w:pPr>
        <w:pStyle w:val="Heading2"/>
        <w:rPr>
          <w:rStyle w:val="bzpyqfadein"/>
        </w:rPr>
      </w:pPr>
      <w:bookmarkStart w:id="14" w:name="_Toc225378642"/>
      <w:r>
        <w:rPr>
          <w:rStyle w:val="bzpyqfadein"/>
        </w:rPr>
        <w:t>Strategic Partnerships</w:t>
      </w:r>
      <w:bookmarkEnd w:id="14"/>
      <w:r>
        <w:rPr>
          <w:rStyle w:val="bzpyqfadein"/>
        </w:rPr>
        <w:t xml:space="preserve"> </w:t>
      </w:r>
    </w:p>
    <w:p w14:paraId="2B4BDA44" w14:textId="73655B94" w:rsidR="00FC7B87" w:rsidRDefault="00421E0D" w:rsidP="00FC7B87">
      <w:r>
        <w:t xml:space="preserve">Strategic partnership and Merger-based expansion can also be a good option for the Tesla, as it can help in resource sharing particularly in developing new technology. </w:t>
      </w:r>
      <w:r w:rsidR="001B61F6">
        <w:t xml:space="preserve">Tesla operates in an environment which requires huge amount for infrastructure development and continuous growth. </w:t>
      </w:r>
      <w:r w:rsidR="00D31394">
        <w:t>This can be highly applicable for the charging, battery production and factory development. For example, Tesla’s NACS charging agreements let other car manufacturers to use its’ charging networks, which can help them in generating a regular income.</w:t>
      </w:r>
      <w:r w:rsidR="00FC7B87">
        <w:t xml:space="preserve"> In such way, strategic partnership can help in reducing investment risk and increasing competitive advantage if the firms involved have complementary strengths</w:t>
      </w:r>
      <w:r w:rsidR="00584D2F" w:rsidRPr="00584D2F">
        <w:t xml:space="preserve"> </w:t>
      </w:r>
      <w:sdt>
        <w:sdtPr>
          <w:id w:val="-1304925100"/>
          <w:citation/>
        </w:sdtPr>
        <w:sdtContent>
          <w:r w:rsidR="00584D2F">
            <w:fldChar w:fldCharType="begin"/>
          </w:r>
          <w:r w:rsidR="00584D2F">
            <w:rPr>
              <w:lang w:val="en-US"/>
            </w:rPr>
            <w:instrText xml:space="preserve"> CITATION Dra20 \l 1033 </w:instrText>
          </w:r>
          <w:r w:rsidR="00584D2F">
            <w:fldChar w:fldCharType="separate"/>
          </w:r>
          <w:r w:rsidR="00584D2F">
            <w:rPr>
              <w:noProof/>
              <w:lang w:val="en-US"/>
            </w:rPr>
            <w:t xml:space="preserve"> </w:t>
          </w:r>
          <w:r w:rsidR="00584D2F" w:rsidRPr="003553E1">
            <w:rPr>
              <w:noProof/>
              <w:lang w:val="en-US"/>
            </w:rPr>
            <w:t>(Dubrovski, 2020)</w:t>
          </w:r>
          <w:r w:rsidR="00584D2F">
            <w:fldChar w:fldCharType="end"/>
          </w:r>
        </w:sdtContent>
      </w:sdt>
      <w:r w:rsidR="00FC7B87">
        <w:t>.</w:t>
      </w:r>
    </w:p>
    <w:p w14:paraId="5C40E545" w14:textId="607BDF34" w:rsidR="00FC7B87" w:rsidRDefault="00FC7B87" w:rsidP="00FC7B87">
      <w:r>
        <w:t xml:space="preserve">At the same time, non-resource financing can be a good option for Tesla to increase the pace of international expansion. As regional loan is taken for one project, risk also stays with that one project only not the entire business (Gigafactory Shanghai). </w:t>
      </w:r>
      <w:r w:rsidR="00005433">
        <w:t xml:space="preserve">At the same time, Panasonic has made the partnership in this factory building and battery technological development, which </w:t>
      </w:r>
      <w:r w:rsidR="00005433">
        <w:lastRenderedPageBreak/>
        <w:t>has helped Tesla to lower the risk as well as to increase the speed of technological development, hence improved competitiveness</w:t>
      </w:r>
      <w:sdt>
        <w:sdtPr>
          <w:id w:val="660972526"/>
          <w:citation/>
        </w:sdtPr>
        <w:sdtContent>
          <w:r w:rsidR="00584D2F">
            <w:fldChar w:fldCharType="begin"/>
          </w:r>
          <w:r w:rsidR="00584D2F">
            <w:rPr>
              <w:lang w:val="en-US"/>
            </w:rPr>
            <w:instrText xml:space="preserve"> CITATION Tes14 \l 1033 </w:instrText>
          </w:r>
          <w:r w:rsidR="00584D2F">
            <w:fldChar w:fldCharType="separate"/>
          </w:r>
          <w:r w:rsidR="00584D2F">
            <w:rPr>
              <w:noProof/>
              <w:lang w:val="en-US"/>
            </w:rPr>
            <w:t xml:space="preserve"> </w:t>
          </w:r>
          <w:r w:rsidR="00584D2F" w:rsidRPr="00584D2F">
            <w:rPr>
              <w:noProof/>
              <w:lang w:val="en-US"/>
            </w:rPr>
            <w:t>(Tesla, 2014)</w:t>
          </w:r>
          <w:r w:rsidR="00584D2F">
            <w:fldChar w:fldCharType="end"/>
          </w:r>
        </w:sdtContent>
      </w:sdt>
      <w:r w:rsidR="00005433">
        <w:t xml:space="preserve">. </w:t>
      </w:r>
    </w:p>
    <w:p w14:paraId="643BA7EE" w14:textId="53128049" w:rsidR="00FC0F9A" w:rsidRDefault="00FC0F9A" w:rsidP="00FC0F9A">
      <w:pPr>
        <w:pStyle w:val="Heading2"/>
        <w:rPr>
          <w:rStyle w:val="bzpyqfadein"/>
        </w:rPr>
      </w:pPr>
      <w:bookmarkStart w:id="15" w:name="_Toc225378643"/>
      <w:r>
        <w:rPr>
          <w:rStyle w:val="bzpyqfadein"/>
        </w:rPr>
        <w:t>Impact on Shareholder Value, Debt Structure and Flexibility</w:t>
      </w:r>
      <w:bookmarkEnd w:id="15"/>
    </w:p>
    <w:p w14:paraId="67B2FACD" w14:textId="4DD91475" w:rsidR="003D50C0" w:rsidRDefault="003D50C0" w:rsidP="003D50C0">
      <w:r>
        <w:t>These restructuring strategies are expected to result in improved financial performance of Tesla as a whole in the future. Equity injection will boost the capital base of the company and lower the financial risk, but this may lead to slight dilution of shareholders. However, if they are invested in high-growth projects such as AI and automation, then shareholder value is likely to be raised in the longer-term.</w:t>
      </w:r>
    </w:p>
    <w:p w14:paraId="1DFCFFC8" w14:textId="31A20689" w:rsidR="003D50C0" w:rsidRDefault="003D50C0" w:rsidP="003D50C0">
      <w:r>
        <w:t>Selective divestiture will assist Tesla to enhance profitability and efficiency by eliminating underperforming or non-core activities. This will enable the company to allocate its resources to areas with high returns, resulting in improved financial performance. Strategic partnerships will ease the expansion cost and risk by sharing costs and risks. This will help Tesla grow faster without having to take on too much debt.</w:t>
      </w:r>
    </w:p>
    <w:p w14:paraId="3A5A052D" w14:textId="0DED6CBC" w:rsidR="003D50C0" w:rsidRPr="003D50C0" w:rsidRDefault="003D50C0" w:rsidP="003D50C0">
      <w:r>
        <w:t>Overall, these strategies will ensure that the debt structure is maintained, as there is no over-reliance on borrowing. At the same time, they will improve operational flexibility, they are able to respond quickly to market changes and technological advancements and cost pressures in the future at Tesla.</w:t>
      </w:r>
    </w:p>
    <w:p w14:paraId="365DE3FD" w14:textId="7595542A" w:rsidR="00FC0F9A" w:rsidRDefault="00FC0F9A" w:rsidP="00FC0F9A">
      <w:pPr>
        <w:pStyle w:val="Heading2"/>
        <w:rPr>
          <w:rStyle w:val="bzpyqfadein"/>
        </w:rPr>
      </w:pPr>
      <w:bookmarkStart w:id="16" w:name="_Toc225378644"/>
      <w:r>
        <w:rPr>
          <w:rStyle w:val="bzpyqfadein"/>
        </w:rPr>
        <w:t>International and Ethical Considerations</w:t>
      </w:r>
      <w:bookmarkEnd w:id="16"/>
    </w:p>
    <w:p w14:paraId="4FF08B10" w14:textId="73AFE7C5" w:rsidR="00446CA6" w:rsidRDefault="00446CA6" w:rsidP="00965734">
      <w:r w:rsidRPr="00965734">
        <w:t xml:space="preserve">Having the global business operations, Tesla has to consider all the aspects associated with the internation and ethical points. </w:t>
      </w:r>
      <w:r w:rsidR="00663F18" w:rsidRPr="00965734">
        <w:t xml:space="preserve">Currency risk is one that can severely affects the economic and restructuring operations, as in 2023 company faced a challenge in revenue decline because of </w:t>
      </w:r>
      <w:r w:rsidR="00663F18" w:rsidRPr="00965734">
        <w:rPr>
          <w:color w:val="303030"/>
          <w:shd w:val="clear" w:color="auto" w:fill="FFFFFF"/>
        </w:rPr>
        <w:t xml:space="preserve">strengthening of the U.S. dollar. </w:t>
      </w:r>
      <w:r w:rsidR="00965734">
        <w:rPr>
          <w:color w:val="303030"/>
          <w:shd w:val="clear" w:color="auto" w:fill="FFFFFF"/>
        </w:rPr>
        <w:t xml:space="preserve">Although, company’s approach of localised procurement and manufacturing provides the natural hedge to their operations, but movement of exchange rate can impact the </w:t>
      </w:r>
      <w:r w:rsidR="00965734">
        <w:t xml:space="preserve">profitability and investment returns. </w:t>
      </w:r>
    </w:p>
    <w:p w14:paraId="498563DD" w14:textId="5D602800" w:rsidR="006D7486" w:rsidRDefault="00425BB4" w:rsidP="00965734">
      <w:r>
        <w:t>Taxation is also one of the important criteria to look for, as many countries are offering the tax incentives for EV production and energy investments.</w:t>
      </w:r>
      <w:r w:rsidR="00406154">
        <w:t xml:space="preserve"> Tesla has also gained the 1</w:t>
      </w:r>
      <w:r w:rsidR="00AB52D9">
        <w:t>5</w:t>
      </w:r>
      <w:r w:rsidR="00406154">
        <w:t>% corporate income tax benefit in 20</w:t>
      </w:r>
      <w:r w:rsidR="00AB52D9">
        <w:t>20-2023</w:t>
      </w:r>
      <w:sdt>
        <w:sdtPr>
          <w:id w:val="2140145111"/>
          <w:citation/>
        </w:sdtPr>
        <w:sdtContent>
          <w:r w:rsidR="00AB52D9">
            <w:fldChar w:fldCharType="begin"/>
          </w:r>
          <w:r w:rsidR="00AB52D9">
            <w:rPr>
              <w:lang w:val="en-US"/>
            </w:rPr>
            <w:instrText xml:space="preserve"> CITATION USE21 \l 1033 </w:instrText>
          </w:r>
          <w:r w:rsidR="00AB52D9">
            <w:fldChar w:fldCharType="separate"/>
          </w:r>
          <w:r w:rsidR="00AB52D9">
            <w:rPr>
              <w:noProof/>
              <w:lang w:val="en-US"/>
            </w:rPr>
            <w:t xml:space="preserve"> </w:t>
          </w:r>
          <w:r w:rsidR="00AB52D9" w:rsidRPr="00AB52D9">
            <w:rPr>
              <w:noProof/>
              <w:lang w:val="en-US"/>
            </w:rPr>
            <w:t>(USES, 2021)</w:t>
          </w:r>
          <w:r w:rsidR="00AB52D9">
            <w:fldChar w:fldCharType="end"/>
          </w:r>
        </w:sdtContent>
      </w:sdt>
      <w:r w:rsidR="00AB52D9">
        <w:t>.</w:t>
      </w:r>
      <w:r w:rsidR="00406154">
        <w:t xml:space="preserve"> </w:t>
      </w:r>
      <w:r w:rsidR="00CD33EC">
        <w:t xml:space="preserve">In such case, it is very important for Tesla to structure the expansion in such a way that provide efficiency. </w:t>
      </w:r>
      <w:r w:rsidR="00176AEB">
        <w:t xml:space="preserve">And yet, it is very important that company remain transparent and compliant, which gives further boost. </w:t>
      </w:r>
    </w:p>
    <w:p w14:paraId="22931D7B" w14:textId="6DFE9F2E" w:rsidR="00262383" w:rsidRPr="00965734" w:rsidRDefault="00262383" w:rsidP="00965734">
      <w:r>
        <w:t xml:space="preserve">CSR and Ethical values are equally important for the global footprint. Tesla’s brand is already associated with the sustainability and renewable energy innovation, creates the foundation for the credibility. Every country has their own regulations related to environment protection and </w:t>
      </w:r>
      <w:r>
        <w:lastRenderedPageBreak/>
        <w:t xml:space="preserve">it is important for Tesla to comply it. </w:t>
      </w:r>
      <w:r w:rsidR="00ED4BAD">
        <w:t>This has been also stated that</w:t>
      </w:r>
      <w:r>
        <w:t xml:space="preserve"> </w:t>
      </w:r>
      <w:r w:rsidR="00ED4BAD">
        <w:t xml:space="preserve">following ethical </w:t>
      </w:r>
      <w:r w:rsidR="00D939F4">
        <w:t>behaviour</w:t>
      </w:r>
      <w:r w:rsidR="00ED4BAD">
        <w:t xml:space="preserve"> and practicing good governance helps in enhancing the long-term value of the business by building trust among the stakeholders</w:t>
      </w:r>
      <w:sdt>
        <w:sdtPr>
          <w:id w:val="1730423262"/>
          <w:citation/>
        </w:sdtPr>
        <w:sdtContent>
          <w:r w:rsidR="00B350B1">
            <w:fldChar w:fldCharType="begin"/>
          </w:r>
          <w:r w:rsidR="00B350B1">
            <w:rPr>
              <w:lang w:val="en-US"/>
            </w:rPr>
            <w:instrText xml:space="preserve"> CITATION Cel24 \l 1033 </w:instrText>
          </w:r>
          <w:r w:rsidR="00B350B1">
            <w:fldChar w:fldCharType="separate"/>
          </w:r>
          <w:r w:rsidR="00B350B1">
            <w:rPr>
              <w:noProof/>
              <w:lang w:val="en-US"/>
            </w:rPr>
            <w:t xml:space="preserve"> </w:t>
          </w:r>
          <w:r w:rsidR="00B350B1" w:rsidRPr="00B350B1">
            <w:rPr>
              <w:noProof/>
              <w:lang w:val="en-US"/>
            </w:rPr>
            <w:t>(Celestin, 2024)</w:t>
          </w:r>
          <w:r w:rsidR="00B350B1">
            <w:fldChar w:fldCharType="end"/>
          </w:r>
        </w:sdtContent>
      </w:sdt>
      <w:r w:rsidR="00ED4BAD">
        <w:t xml:space="preserve">. </w:t>
      </w:r>
    </w:p>
    <w:p w14:paraId="566E1B83" w14:textId="67263C35" w:rsidR="00BF76C6" w:rsidRDefault="00BF76C6" w:rsidP="00BF76C6">
      <w:pPr>
        <w:pStyle w:val="Heading1"/>
        <w:rPr>
          <w:rStyle w:val="bzpyqfadein"/>
        </w:rPr>
      </w:pPr>
      <w:bookmarkStart w:id="17" w:name="_Toc225378645"/>
      <w:r>
        <w:rPr>
          <w:rStyle w:val="bzpyqfadein"/>
        </w:rPr>
        <w:t>Investment Appraisal and Capital Budgeting</w:t>
      </w:r>
      <w:bookmarkEnd w:id="17"/>
    </w:p>
    <w:p w14:paraId="4A64A149" w14:textId="43883209" w:rsidR="00281045" w:rsidRDefault="00281045" w:rsidP="00281045">
      <w:r>
        <w:t>Investment appraisal is made use of to evaluate the financial viability of the projects and assist in making a decision</w:t>
      </w:r>
      <w:sdt>
        <w:sdtPr>
          <w:id w:val="559523875"/>
          <w:citation/>
        </w:sdtPr>
        <w:sdtContent>
          <w:r w:rsidR="00034BDB">
            <w:fldChar w:fldCharType="begin"/>
          </w:r>
          <w:r w:rsidR="00034BDB">
            <w:rPr>
              <w:lang w:val="en-US"/>
            </w:rPr>
            <w:instrText xml:space="preserve"> CITATION Abd251 \l 1033 </w:instrText>
          </w:r>
          <w:r w:rsidR="00034BDB">
            <w:fldChar w:fldCharType="separate"/>
          </w:r>
          <w:r w:rsidR="00034BDB">
            <w:rPr>
              <w:noProof/>
              <w:lang w:val="en-US"/>
            </w:rPr>
            <w:t xml:space="preserve"> </w:t>
          </w:r>
          <w:r w:rsidR="00034BDB" w:rsidRPr="00034BDB">
            <w:rPr>
              <w:noProof/>
              <w:lang w:val="en-US"/>
            </w:rPr>
            <w:t>(Khaliq, 2025)</w:t>
          </w:r>
          <w:r w:rsidR="00034BDB">
            <w:fldChar w:fldCharType="end"/>
          </w:r>
        </w:sdtContent>
      </w:sdt>
      <w:r>
        <w:t>. For Tesla, the choice of investment is critical as large investments in capital determine the profitability, liquidity and long term growth. This section evaluates three projects proposed using Payback Period (PBP), Accounting Rate of Return (ARR), Net Present Value (NPV), Profitability Index (PI) and Internal Rate of Return (IRR), assuming a discount rate of 10%.</w:t>
      </w:r>
    </w:p>
    <w:p w14:paraId="0E82EED5" w14:textId="5C103499" w:rsidR="00E82B9D" w:rsidRDefault="00E82B9D" w:rsidP="00E82B9D">
      <w:pPr>
        <w:pStyle w:val="Heading2"/>
      </w:pPr>
      <w:bookmarkStart w:id="18" w:name="_Toc225378646"/>
      <w:r>
        <w:t>Payback Period</w:t>
      </w:r>
      <w:bookmarkEnd w:id="18"/>
      <w:r>
        <w:t xml:space="preserve"> </w:t>
      </w:r>
    </w:p>
    <w:p w14:paraId="118C3F0B" w14:textId="77777777" w:rsidR="00281045" w:rsidRDefault="00281045" w:rsidP="00281045">
      <w:r>
        <w:t>Payback Period is used to measure the rate of recovery of the initial investment.</w:t>
      </w:r>
    </w:p>
    <w:p w14:paraId="2C40C6CE" w14:textId="7DCBA0F6" w:rsidR="00745C79" w:rsidRDefault="00745C79" w:rsidP="00400155">
      <w:pPr>
        <w:pStyle w:val="NormalWeb"/>
        <w:numPr>
          <w:ilvl w:val="0"/>
          <w:numId w:val="14"/>
        </w:numPr>
      </w:pPr>
      <w:r>
        <w:rPr>
          <w:rStyle w:val="bzpyqfadein"/>
        </w:rPr>
        <w:t xml:space="preserve">Project A - </w:t>
      </w:r>
      <w:r>
        <w:rPr>
          <w:rStyle w:val="bzpyqfadein"/>
          <w:b/>
          <w:bCs/>
        </w:rPr>
        <w:t>4.2 years</w:t>
      </w:r>
    </w:p>
    <w:p w14:paraId="4C178EB3" w14:textId="187A9A31" w:rsidR="00745C79" w:rsidRDefault="00745C79" w:rsidP="00400155">
      <w:pPr>
        <w:pStyle w:val="NormalWeb"/>
        <w:numPr>
          <w:ilvl w:val="0"/>
          <w:numId w:val="14"/>
        </w:numPr>
      </w:pPr>
      <w:r>
        <w:rPr>
          <w:rStyle w:val="bzpyqfadein"/>
        </w:rPr>
        <w:t xml:space="preserve">Project B - </w:t>
      </w:r>
      <w:r>
        <w:rPr>
          <w:rStyle w:val="bzpyqfadein"/>
          <w:b/>
          <w:bCs/>
        </w:rPr>
        <w:t>4.5 years</w:t>
      </w:r>
    </w:p>
    <w:p w14:paraId="4C5B5473" w14:textId="327A1135" w:rsidR="00281045" w:rsidRDefault="00745C79" w:rsidP="00400155">
      <w:pPr>
        <w:pStyle w:val="NormalWeb"/>
        <w:numPr>
          <w:ilvl w:val="0"/>
          <w:numId w:val="14"/>
        </w:numPr>
      </w:pPr>
      <w:r>
        <w:rPr>
          <w:rStyle w:val="bzpyqfadein"/>
        </w:rPr>
        <w:t xml:space="preserve">Project C - </w:t>
      </w:r>
      <w:r>
        <w:rPr>
          <w:rStyle w:val="bzpyqfadein"/>
          <w:b/>
          <w:bCs/>
        </w:rPr>
        <w:t>3.4 years</w:t>
      </w:r>
    </w:p>
    <w:p w14:paraId="7867B9E3" w14:textId="3A87526D" w:rsidR="00281045" w:rsidRDefault="00281045" w:rsidP="00281045">
      <w:r>
        <w:t>Project C has shortest payback period that is faster return of cash. This is important for Tesla as previously it had been analysed that there is some pressure on cash efficiency. A shorter payback decreases the risk of liquidity and increases the flexibility of the finances.</w:t>
      </w:r>
    </w:p>
    <w:p w14:paraId="5526C218" w14:textId="3E5332D9" w:rsidR="00BF76C6" w:rsidRDefault="00281045" w:rsidP="00281045">
      <w:r>
        <w:t>However, PBP disregards cash flows after recovery, and does not allow for the time value of money. Therefore, it should not be used against them alone.</w:t>
      </w:r>
    </w:p>
    <w:p w14:paraId="5F9FB3BC" w14:textId="5FCF3F34" w:rsidR="00E82B9D" w:rsidRDefault="00E82B9D" w:rsidP="00E82B9D">
      <w:pPr>
        <w:pStyle w:val="Heading2"/>
        <w:rPr>
          <w:rStyle w:val="bzpyqfadein"/>
        </w:rPr>
      </w:pPr>
      <w:bookmarkStart w:id="19" w:name="_Toc225378647"/>
      <w:r>
        <w:rPr>
          <w:rStyle w:val="bzpyqfadein"/>
        </w:rPr>
        <w:t>Accounting Rate of Return (ARR)</w:t>
      </w:r>
      <w:bookmarkEnd w:id="19"/>
    </w:p>
    <w:p w14:paraId="141DEFA4" w14:textId="1570E58E" w:rsidR="008707B0" w:rsidRDefault="008707B0" w:rsidP="008707B0">
      <w:r>
        <w:t>ARR is a measure of average profit in relation to investment.</w:t>
      </w:r>
    </w:p>
    <w:p w14:paraId="37E907CF" w14:textId="27233A26" w:rsidR="008707B0" w:rsidRDefault="008707B0" w:rsidP="008707B0">
      <w:pPr>
        <w:pStyle w:val="ListParagraph"/>
        <w:numPr>
          <w:ilvl w:val="0"/>
          <w:numId w:val="4"/>
        </w:numPr>
      </w:pPr>
      <w:r>
        <w:t>Project A: ~16%</w:t>
      </w:r>
    </w:p>
    <w:p w14:paraId="23D86EB9" w14:textId="0D7A9B2D" w:rsidR="008707B0" w:rsidRDefault="008707B0" w:rsidP="008707B0">
      <w:pPr>
        <w:pStyle w:val="ListParagraph"/>
        <w:numPr>
          <w:ilvl w:val="0"/>
          <w:numId w:val="4"/>
        </w:numPr>
      </w:pPr>
      <w:r>
        <w:t>Project B: ~11%</w:t>
      </w:r>
    </w:p>
    <w:p w14:paraId="7D63C9CF" w14:textId="6864A07A" w:rsidR="008707B0" w:rsidRDefault="008707B0" w:rsidP="008707B0">
      <w:pPr>
        <w:pStyle w:val="ListParagraph"/>
        <w:numPr>
          <w:ilvl w:val="0"/>
          <w:numId w:val="4"/>
        </w:numPr>
      </w:pPr>
      <w:r>
        <w:t>Project C: ~16%</w:t>
      </w:r>
    </w:p>
    <w:p w14:paraId="784204EE" w14:textId="77777777" w:rsidR="008707B0" w:rsidRDefault="008707B0" w:rsidP="008707B0">
      <w:r>
        <w:t>Projects A and C are better than Project B, meaning that higher accounting returns are earned. This is consistent with Tesla's desire to have a strong profitability, especially since the downturn in 2024 was observed. However, ARR is not based on cash flow but on accounting profit and does not consider timing hence is less reliable than NPV or IRR.</w:t>
      </w:r>
    </w:p>
    <w:p w14:paraId="0C98D7BC" w14:textId="355CB69D" w:rsidR="008707B0" w:rsidRDefault="008707B0" w:rsidP="008707B0">
      <w:pPr>
        <w:pStyle w:val="Heading2"/>
      </w:pPr>
      <w:bookmarkStart w:id="20" w:name="_Toc225378648"/>
      <w:r>
        <w:rPr>
          <w:rStyle w:val="bzpyqfadein"/>
        </w:rPr>
        <w:lastRenderedPageBreak/>
        <w:t>Net Present Value (NPV)</w:t>
      </w:r>
      <w:bookmarkEnd w:id="20"/>
    </w:p>
    <w:p w14:paraId="147E2F2D" w14:textId="636D0289" w:rsidR="008707B0" w:rsidRDefault="008707B0" w:rsidP="008707B0">
      <w:r>
        <w:t>NPV is the most important method as it is the most important measure of value creation.</w:t>
      </w:r>
    </w:p>
    <w:p w14:paraId="286BBA6D" w14:textId="680736A8" w:rsidR="008707B0" w:rsidRDefault="008707B0" w:rsidP="008707B0">
      <w:pPr>
        <w:pStyle w:val="ListParagraph"/>
        <w:numPr>
          <w:ilvl w:val="0"/>
          <w:numId w:val="5"/>
        </w:numPr>
      </w:pPr>
      <w:r>
        <w:t>Project A:-~0.7m (slightly negative)</w:t>
      </w:r>
    </w:p>
    <w:p w14:paraId="4FE72D6B" w14:textId="77C8B2A7" w:rsidR="008707B0" w:rsidRDefault="008707B0" w:rsidP="008707B0">
      <w:pPr>
        <w:pStyle w:val="ListParagraph"/>
        <w:numPr>
          <w:ilvl w:val="0"/>
          <w:numId w:val="5"/>
        </w:numPr>
      </w:pPr>
      <w:r>
        <w:t>Project B: ~-£8.3m (negative)</w:t>
      </w:r>
    </w:p>
    <w:p w14:paraId="394C8E08" w14:textId="52DC3B61" w:rsidR="008707B0" w:rsidRDefault="008707B0" w:rsidP="008707B0">
      <w:pPr>
        <w:pStyle w:val="ListParagraph"/>
        <w:numPr>
          <w:ilvl w:val="0"/>
          <w:numId w:val="5"/>
        </w:numPr>
      </w:pPr>
      <w:r>
        <w:t>Project C: ~+£0.6m (positive)</w:t>
      </w:r>
    </w:p>
    <w:p w14:paraId="79030ACC" w14:textId="72EA61E2" w:rsidR="008707B0" w:rsidRDefault="008707B0" w:rsidP="008707B0">
      <w:r>
        <w:t>Only Project C produces a positive NPV (meaning that it adds value to the firm after accounting for the cost of capital). According to corporate finance theory, projects with positive NPV should be accepted because they increase the shareholder wealth</w:t>
      </w:r>
      <w:sdt>
        <w:sdtPr>
          <w:id w:val="1993669986"/>
          <w:citation/>
        </w:sdtPr>
        <w:sdtContent>
          <w:r w:rsidR="002D7DE0">
            <w:fldChar w:fldCharType="begin"/>
          </w:r>
          <w:r w:rsidR="002D7DE0">
            <w:rPr>
              <w:lang w:val="en-US"/>
            </w:rPr>
            <w:instrText xml:space="preserve"> CITATION Ros20 \l 1033 </w:instrText>
          </w:r>
          <w:r w:rsidR="002D7DE0">
            <w:fldChar w:fldCharType="separate"/>
          </w:r>
          <w:r w:rsidR="002D7DE0">
            <w:rPr>
              <w:noProof/>
              <w:lang w:val="en-US"/>
            </w:rPr>
            <w:t xml:space="preserve"> </w:t>
          </w:r>
          <w:r w:rsidR="002D7DE0" w:rsidRPr="002D7DE0">
            <w:rPr>
              <w:noProof/>
              <w:lang w:val="en-US"/>
            </w:rPr>
            <w:t>(Ross, 2020)</w:t>
          </w:r>
          <w:r w:rsidR="002D7DE0">
            <w:fldChar w:fldCharType="end"/>
          </w:r>
        </w:sdtContent>
      </w:sdt>
    </w:p>
    <w:p w14:paraId="04C22BA0" w14:textId="77777777" w:rsidR="008707B0" w:rsidRDefault="008707B0" w:rsidP="008707B0">
      <w:r>
        <w:t>Project A is at or near break-even but still destroys value ever-so-slightly, whereas Project B performs poorly because there are lower overall returns.</w:t>
      </w:r>
    </w:p>
    <w:p w14:paraId="6950E566" w14:textId="20A15710" w:rsidR="008707B0" w:rsidRDefault="008707B0" w:rsidP="008707B0">
      <w:pPr>
        <w:pStyle w:val="Heading2"/>
        <w:rPr>
          <w:rStyle w:val="bzpyqfadein"/>
        </w:rPr>
      </w:pPr>
      <w:bookmarkStart w:id="21" w:name="_Toc225378649"/>
      <w:r>
        <w:rPr>
          <w:rStyle w:val="bzpyqfadein"/>
        </w:rPr>
        <w:t>Profitability Index (PI)</w:t>
      </w:r>
      <w:bookmarkEnd w:id="21"/>
    </w:p>
    <w:p w14:paraId="6635AE32" w14:textId="179AB321" w:rsidR="00652231" w:rsidRDefault="00652231" w:rsidP="00652231">
      <w:r>
        <w:t>PI is a measurement of the value created for each unit of investment.</w:t>
      </w:r>
    </w:p>
    <w:p w14:paraId="2A58EB52" w14:textId="24D6C3EB" w:rsidR="00652231" w:rsidRDefault="00652231" w:rsidP="00652231">
      <w:pPr>
        <w:pStyle w:val="ListParagraph"/>
        <w:numPr>
          <w:ilvl w:val="0"/>
          <w:numId w:val="6"/>
        </w:numPr>
      </w:pPr>
      <w:r>
        <w:t>Project A: ~0.99</w:t>
      </w:r>
    </w:p>
    <w:p w14:paraId="3048785D" w14:textId="77777777" w:rsidR="00652231" w:rsidRDefault="00652231" w:rsidP="00652231">
      <w:pPr>
        <w:pStyle w:val="ListParagraph"/>
        <w:numPr>
          <w:ilvl w:val="0"/>
          <w:numId w:val="6"/>
        </w:numPr>
      </w:pPr>
      <w:r>
        <w:t>Project B: ~0.83</w:t>
      </w:r>
    </w:p>
    <w:p w14:paraId="5EA44F43" w14:textId="77777777" w:rsidR="00652231" w:rsidRDefault="00652231" w:rsidP="00652231">
      <w:pPr>
        <w:pStyle w:val="ListParagraph"/>
        <w:numPr>
          <w:ilvl w:val="0"/>
          <w:numId w:val="6"/>
        </w:numPr>
      </w:pPr>
      <w:r>
        <w:t>Project C: ~1.01</w:t>
      </w:r>
    </w:p>
    <w:p w14:paraId="4FDE16A8" w14:textId="52382DFA" w:rsidR="00002128" w:rsidRDefault="00002128" w:rsidP="00652231">
      <w:r>
        <w:t xml:space="preserve">A PI value greater than 1 means project is creating the value, in other words returns from project is higher than the invested value. </w:t>
      </w:r>
      <w:r w:rsidR="00580F62">
        <w:t xml:space="preserve">Since the project C is only having the value greater than 1, it is the profitable and worth investing. </w:t>
      </w:r>
    </w:p>
    <w:p w14:paraId="1E4F0926" w14:textId="1BA3A6D3" w:rsidR="00652231" w:rsidRDefault="00652231" w:rsidP="00652231">
      <w:pPr>
        <w:pStyle w:val="Heading2"/>
      </w:pPr>
      <w:bookmarkStart w:id="22" w:name="_Toc225378650"/>
      <w:r>
        <w:t>Internal Rate of Return (IRR)</w:t>
      </w:r>
      <w:bookmarkEnd w:id="22"/>
    </w:p>
    <w:p w14:paraId="0D204829" w14:textId="70439EED" w:rsidR="00652231" w:rsidRDefault="00652231" w:rsidP="00652231">
      <w:r>
        <w:t>IRR shows the discount rate at which NPV becomes zero.</w:t>
      </w:r>
    </w:p>
    <w:p w14:paraId="1ADCD328" w14:textId="6D34E5BA" w:rsidR="00652231" w:rsidRDefault="00652231" w:rsidP="00652231">
      <w:pPr>
        <w:pStyle w:val="ListParagraph"/>
        <w:numPr>
          <w:ilvl w:val="0"/>
          <w:numId w:val="7"/>
        </w:numPr>
      </w:pPr>
      <w:r>
        <w:t>Project A: ~9%</w:t>
      </w:r>
    </w:p>
    <w:p w14:paraId="4682EFD5" w14:textId="215E0589" w:rsidR="00652231" w:rsidRDefault="00652231" w:rsidP="00652231">
      <w:pPr>
        <w:pStyle w:val="ListParagraph"/>
        <w:numPr>
          <w:ilvl w:val="0"/>
          <w:numId w:val="7"/>
        </w:numPr>
      </w:pPr>
      <w:r>
        <w:t>Project B: ~3%</w:t>
      </w:r>
    </w:p>
    <w:p w14:paraId="7A69B066" w14:textId="2F072114" w:rsidR="00652231" w:rsidRDefault="00652231" w:rsidP="00652231">
      <w:pPr>
        <w:pStyle w:val="ListParagraph"/>
        <w:numPr>
          <w:ilvl w:val="0"/>
          <w:numId w:val="7"/>
        </w:numPr>
      </w:pPr>
      <w:r>
        <w:t>Project C: ~11–12%</w:t>
      </w:r>
    </w:p>
    <w:p w14:paraId="4C5FEC87" w14:textId="43A121CE" w:rsidR="008707B0" w:rsidRPr="008707B0" w:rsidRDefault="00652231" w:rsidP="00652231">
      <w:r>
        <w:t>Since the required return is 10 percent only Project C is above the cost of capital. Project A is a little bit lower than Project B, while Project B is much lower. This proves that Project C is financially viable, while the others are not.</w:t>
      </w:r>
    </w:p>
    <w:p w14:paraId="13CC909E" w14:textId="77777777" w:rsidR="00652231" w:rsidRDefault="00652231" w:rsidP="00652231">
      <w:pPr>
        <w:pStyle w:val="Heading2"/>
      </w:pPr>
      <w:bookmarkStart w:id="23" w:name="_Toc225378651"/>
      <w:r>
        <w:t>Overall Comparison</w:t>
      </w:r>
      <w:bookmarkEnd w:id="23"/>
      <w:r>
        <w:t xml:space="preserve"> </w:t>
      </w:r>
    </w:p>
    <w:p w14:paraId="7D451C8E" w14:textId="18A2018A" w:rsidR="00652231" w:rsidRDefault="00652231" w:rsidP="00652231">
      <w:r>
        <w:t>In all the techniques, Project C does the best:</w:t>
      </w:r>
    </w:p>
    <w:p w14:paraId="518B0464" w14:textId="54EC6EAF" w:rsidR="00652231" w:rsidRDefault="00652231" w:rsidP="00652231">
      <w:pPr>
        <w:pStyle w:val="ListParagraph"/>
        <w:numPr>
          <w:ilvl w:val="0"/>
          <w:numId w:val="8"/>
        </w:numPr>
      </w:pPr>
      <w:r>
        <w:t>Fastest payback - supports liquidity</w:t>
      </w:r>
    </w:p>
    <w:p w14:paraId="3B80F49C" w14:textId="14FE3665" w:rsidR="00652231" w:rsidRDefault="00652231" w:rsidP="00652231">
      <w:pPr>
        <w:pStyle w:val="ListParagraph"/>
        <w:numPr>
          <w:ilvl w:val="0"/>
          <w:numId w:val="8"/>
        </w:numPr>
      </w:pPr>
      <w:r>
        <w:t>Strong ARR - good profitability</w:t>
      </w:r>
    </w:p>
    <w:p w14:paraId="5109B099" w14:textId="777977B0" w:rsidR="00652231" w:rsidRDefault="00652231" w:rsidP="00652231">
      <w:pPr>
        <w:pStyle w:val="ListParagraph"/>
        <w:numPr>
          <w:ilvl w:val="0"/>
          <w:numId w:val="8"/>
        </w:numPr>
      </w:pPr>
      <w:r>
        <w:lastRenderedPageBreak/>
        <w:t>Positive NPV - creates shareholder value</w:t>
      </w:r>
    </w:p>
    <w:p w14:paraId="5CFDE9BE" w14:textId="3975E674" w:rsidR="00652231" w:rsidRDefault="00652231" w:rsidP="00652231">
      <w:pPr>
        <w:pStyle w:val="ListParagraph"/>
        <w:numPr>
          <w:ilvl w:val="0"/>
          <w:numId w:val="8"/>
        </w:numPr>
      </w:pPr>
      <w:r>
        <w:t>PI &gt; 1 → efficient investment</w:t>
      </w:r>
    </w:p>
    <w:p w14:paraId="6D868AE2" w14:textId="4D892AC8" w:rsidR="00652231" w:rsidRDefault="00652231" w:rsidP="00652231">
      <w:pPr>
        <w:pStyle w:val="ListParagraph"/>
        <w:numPr>
          <w:ilvl w:val="0"/>
          <w:numId w:val="8"/>
        </w:numPr>
      </w:pPr>
      <w:r>
        <w:t>IRR greater than 10% - financially acceptable</w:t>
      </w:r>
    </w:p>
    <w:p w14:paraId="34D76D47" w14:textId="223B0D4E" w:rsidR="00652231" w:rsidRDefault="00652231" w:rsidP="00652231">
      <w:r>
        <w:t>Project A is borderline and doesn't have the required return. Project B consistently performs worst and so should be rejected.</w:t>
      </w:r>
    </w:p>
    <w:p w14:paraId="4B20F34A" w14:textId="5CD62AD2" w:rsidR="00652231" w:rsidRDefault="00652231" w:rsidP="00652231">
      <w:pPr>
        <w:pStyle w:val="Heading2"/>
      </w:pPr>
      <w:bookmarkStart w:id="24" w:name="_Toc225378652"/>
      <w:r>
        <w:t>Recommendation based on Financial Performance</w:t>
      </w:r>
      <w:bookmarkEnd w:id="24"/>
    </w:p>
    <w:p w14:paraId="1F7E11D6" w14:textId="1F3593AE" w:rsidR="00652231" w:rsidRDefault="00652231" w:rsidP="00652231">
      <w:r>
        <w:t>Project C is the best option for Tesla.</w:t>
      </w:r>
    </w:p>
    <w:p w14:paraId="1D1069A5" w14:textId="656F486F" w:rsidR="00652231" w:rsidRDefault="00652231" w:rsidP="00652231">
      <w:r>
        <w:t>This recommendation is in line with Tesla's financial condition. The previous ratio analysis revealed that although Tesla enjoys good revenue growth and improving gearing, profitability deteriorated in 2024 and cash flow efficiency weakened a bit. This means that Tesla should prioritise projects that:</w:t>
      </w:r>
    </w:p>
    <w:p w14:paraId="4E9DE9C6" w14:textId="793ABC70" w:rsidR="00652231" w:rsidRDefault="00652231" w:rsidP="00A6749D">
      <w:pPr>
        <w:pStyle w:val="ListParagraph"/>
        <w:numPr>
          <w:ilvl w:val="0"/>
          <w:numId w:val="10"/>
        </w:numPr>
      </w:pPr>
      <w:r>
        <w:t>Generate impressive returns (profitability focus)</w:t>
      </w:r>
    </w:p>
    <w:p w14:paraId="6DEE89A9" w14:textId="5D5C0707" w:rsidR="00652231" w:rsidRDefault="00652231" w:rsidP="00A6749D">
      <w:pPr>
        <w:pStyle w:val="ListParagraph"/>
        <w:numPr>
          <w:ilvl w:val="0"/>
          <w:numId w:val="10"/>
        </w:numPr>
      </w:pPr>
      <w:r>
        <w:t>Increase cash recovery (liquidity focus)</w:t>
      </w:r>
    </w:p>
    <w:p w14:paraId="48B12FB2" w14:textId="51CCF399" w:rsidR="00652231" w:rsidRDefault="00652231" w:rsidP="00652231">
      <w:pPr>
        <w:pStyle w:val="ListParagraph"/>
        <w:numPr>
          <w:ilvl w:val="0"/>
          <w:numId w:val="10"/>
        </w:numPr>
      </w:pPr>
      <w:r>
        <w:t>Create Long-Term Value (NPV Positive)</w:t>
      </w:r>
    </w:p>
    <w:p w14:paraId="4BDFE823" w14:textId="2E86786D" w:rsidR="00652231" w:rsidRDefault="00652231" w:rsidP="00652231">
      <w:r>
        <w:t>Project C meets every one of these criteria. Its faster payback helps in liquidity, which is important with the increase in the cash conversion cycle. Its positive NPV means that shareholder value will be improved, which is important since the market value of Tesla is so high.</w:t>
      </w:r>
    </w:p>
    <w:p w14:paraId="1F11CE8B" w14:textId="77777777" w:rsidR="00652231" w:rsidRDefault="00652231" w:rsidP="00652231">
      <w:r>
        <w:t>Project A might seem acceptable from ARR but the negative NPV indicates that it is not really creating value. This points to the reason why NPV is preferred over the accounting-based measures (Brigham and Ehrhardt, 2019).</w:t>
      </w:r>
    </w:p>
    <w:p w14:paraId="55658229" w14:textId="77777777" w:rsidR="00B77B31" w:rsidRDefault="00B77B31" w:rsidP="00B77B31">
      <w:pPr>
        <w:pStyle w:val="Heading2"/>
      </w:pPr>
      <w:bookmarkStart w:id="25" w:name="_Toc225378653"/>
      <w:r>
        <w:rPr>
          <w:rStyle w:val="bzpyqfadein"/>
        </w:rPr>
        <w:t>Non-Financial Considerations</w:t>
      </w:r>
      <w:bookmarkEnd w:id="25"/>
    </w:p>
    <w:p w14:paraId="5DB03B07" w14:textId="68AE9E33" w:rsidR="00B77B31" w:rsidRDefault="00B77B31" w:rsidP="00B77B31">
      <w:r>
        <w:t>Financial results are not sufficient. Tesla also has to take non-financial risks into consideration.</w:t>
      </w:r>
    </w:p>
    <w:p w14:paraId="41CBE185" w14:textId="2DBB7E8E" w:rsidR="00936B1E" w:rsidRDefault="00936B1E" w:rsidP="00936B1E">
      <w:pPr>
        <w:pStyle w:val="ListParagraph"/>
        <w:numPr>
          <w:ilvl w:val="0"/>
          <w:numId w:val="15"/>
        </w:numPr>
      </w:pPr>
      <w:r>
        <w:t>Political risk is important because Tesla works in many countries, so project results can be affected by government rules, trade barriers or changes in EV support schemes. A project like C, which provides stronger returns sooner may be safer in the event of a sudden change in regulations.</w:t>
      </w:r>
    </w:p>
    <w:p w14:paraId="5E46FEF2" w14:textId="0CF2E5A1" w:rsidR="00936B1E" w:rsidRDefault="00936B1E" w:rsidP="00936B1E">
      <w:pPr>
        <w:pStyle w:val="ListParagraph"/>
        <w:numPr>
          <w:ilvl w:val="0"/>
          <w:numId w:val="15"/>
        </w:numPr>
      </w:pPr>
      <w:r>
        <w:t>Customer loyalty and demand is also important as Tesla relies on customer interest in their products. Project C has stronger cash flows in the middle years, which suggests it is a good option for growth and expansion and might help Tesla keep customers engaged in the long term.</w:t>
      </w:r>
    </w:p>
    <w:p w14:paraId="3B9206BF" w14:textId="5D60155F" w:rsidR="00936B1E" w:rsidRDefault="00936B1E" w:rsidP="00936B1E">
      <w:pPr>
        <w:pStyle w:val="ListParagraph"/>
        <w:numPr>
          <w:ilvl w:val="0"/>
          <w:numId w:val="15"/>
        </w:numPr>
      </w:pPr>
      <w:r>
        <w:lastRenderedPageBreak/>
        <w:t>Technological risk is also a factor since innovative projects are never without uncertainty. However, if a project will recover cash back faster, the company is less exposed to changes or failure of technology over time.</w:t>
      </w:r>
    </w:p>
    <w:p w14:paraId="02E24969" w14:textId="6C199D7C" w:rsidR="00936B1E" w:rsidRDefault="00936B1E" w:rsidP="00936B1E">
      <w:pPr>
        <w:pStyle w:val="ListParagraph"/>
        <w:numPr>
          <w:ilvl w:val="0"/>
          <w:numId w:val="15"/>
        </w:numPr>
      </w:pPr>
      <w:r>
        <w:t>Sustainability and ESG are also relevant as Tesla is interested in clean energy and innovation. Projects such as C, which foster efficiency and future expansion, are more in line with Tesla's overall mission and long-term strategy.</w:t>
      </w:r>
    </w:p>
    <w:p w14:paraId="34B67929" w14:textId="77777777" w:rsidR="00B77B31" w:rsidRDefault="00B77B31" w:rsidP="00B77B31">
      <w:r>
        <w:t>Overall, Project C offers a better balance of financial return and risk exposure.</w:t>
      </w:r>
    </w:p>
    <w:p w14:paraId="4FF34F13" w14:textId="6C4EA853" w:rsidR="00A6749D" w:rsidRDefault="00A6749D" w:rsidP="00A6749D">
      <w:pPr>
        <w:pStyle w:val="Heading2"/>
        <w:rPr>
          <w:rStyle w:val="bzpyqfadein"/>
        </w:rPr>
      </w:pPr>
      <w:bookmarkStart w:id="26" w:name="_Toc225378654"/>
      <w:r>
        <w:rPr>
          <w:rStyle w:val="bzpyqfadein"/>
        </w:rPr>
        <w:t>Capital Rationing Decision (£100m Limit)</w:t>
      </w:r>
      <w:bookmarkEnd w:id="26"/>
    </w:p>
    <w:p w14:paraId="296119C2" w14:textId="546D4880" w:rsidR="00A6749D" w:rsidRDefault="00A6749D" w:rsidP="00A6749D">
      <w:r>
        <w:t>Tesla is allowed to invest in up to two projects (each costs (GBP)50m).</w:t>
      </w:r>
    </w:p>
    <w:p w14:paraId="01FCC0EB" w14:textId="7F832938" w:rsidR="00A6749D" w:rsidRDefault="00A6749D" w:rsidP="00A6749D">
      <w:r>
        <w:t>Possible combinations:</w:t>
      </w:r>
    </w:p>
    <w:p w14:paraId="00CC20CA" w14:textId="65D13790" w:rsidR="00A6749D" w:rsidRDefault="00A6749D" w:rsidP="00A6749D">
      <w:pPr>
        <w:pStyle w:val="ListParagraph"/>
        <w:numPr>
          <w:ilvl w:val="0"/>
          <w:numId w:val="11"/>
        </w:numPr>
      </w:pPr>
      <w:r>
        <w:t>A + B &gt; total NPV is very much negative</w:t>
      </w:r>
    </w:p>
    <w:p w14:paraId="0B68852A" w14:textId="264D70A5" w:rsidR="00A6749D" w:rsidRDefault="00A6749D" w:rsidP="00A6749D">
      <w:pPr>
        <w:pStyle w:val="ListParagraph"/>
        <w:numPr>
          <w:ilvl w:val="0"/>
          <w:numId w:val="11"/>
        </w:numPr>
      </w:pPr>
      <w:r>
        <w:t>A + C → NPV = (-0.7 + 0.6) ≈ -0.1 (near zero)</w:t>
      </w:r>
    </w:p>
    <w:p w14:paraId="1C092C4A" w14:textId="03E741E9" w:rsidR="00A6749D" w:rsidRDefault="00A6749D" w:rsidP="00A6749D">
      <w:pPr>
        <w:pStyle w:val="ListParagraph"/>
        <w:numPr>
          <w:ilvl w:val="0"/>
          <w:numId w:val="11"/>
        </w:numPr>
      </w:pPr>
      <w:r>
        <w:t>B + C → NPV = (-8.3 + 0.6) ≈ -7.7 (negative)</w:t>
      </w:r>
    </w:p>
    <w:p w14:paraId="16C6B078" w14:textId="24BA195C" w:rsidR="00A6749D" w:rsidRDefault="00A6749D" w:rsidP="00A6749D">
      <w:r>
        <w:t>The optimal choice is Project C + Project A, which has the largest sum of returns, despite the slightly negative total NPV.</w:t>
      </w:r>
    </w:p>
    <w:p w14:paraId="65C31FD6" w14:textId="2E56CE72" w:rsidR="00A6749D" w:rsidRDefault="00A6749D" w:rsidP="00A6749D">
      <w:r>
        <w:t>However, a better rational decision is:</w:t>
      </w:r>
    </w:p>
    <w:p w14:paraId="3F664282" w14:textId="533AA4D9" w:rsidR="00A6749D" w:rsidRDefault="00A6749D" w:rsidP="00A6749D">
      <w:r>
        <w:t>Invest only in Project C - reject others</w:t>
      </w:r>
    </w:p>
    <w:p w14:paraId="48BD5656" w14:textId="7054BA6D" w:rsidR="00A6749D" w:rsidRDefault="00A6749D" w:rsidP="00A6749D">
      <w:r>
        <w:t>This is due to the fact that capital budgeting theory clearly states that firms should only accept projects with positive NPV. When a company invests in negative NPV project, it decreases the wealth of their shareholders</w:t>
      </w:r>
      <w:sdt>
        <w:sdtPr>
          <w:id w:val="873431987"/>
          <w:citation/>
        </w:sdtPr>
        <w:sdtContent>
          <w:r w:rsidR="00936B1E">
            <w:fldChar w:fldCharType="begin"/>
          </w:r>
          <w:r w:rsidR="00936B1E">
            <w:rPr>
              <w:lang w:val="en-US"/>
            </w:rPr>
            <w:instrText xml:space="preserve"> CITATION Ros20 \l 1033 </w:instrText>
          </w:r>
          <w:r w:rsidR="00936B1E">
            <w:fldChar w:fldCharType="separate"/>
          </w:r>
          <w:r w:rsidR="00936B1E">
            <w:rPr>
              <w:noProof/>
              <w:lang w:val="en-US"/>
            </w:rPr>
            <w:t xml:space="preserve"> </w:t>
          </w:r>
          <w:r w:rsidR="00936B1E" w:rsidRPr="00936B1E">
            <w:rPr>
              <w:noProof/>
              <w:lang w:val="en-US"/>
            </w:rPr>
            <w:t>(Ross, 2020)</w:t>
          </w:r>
          <w:r w:rsidR="00936B1E">
            <w:fldChar w:fldCharType="end"/>
          </w:r>
        </w:sdtContent>
      </w:sdt>
      <w:r>
        <w:t>.</w:t>
      </w:r>
    </w:p>
    <w:p w14:paraId="152B6913" w14:textId="22A5F9CF" w:rsidR="00A6749D" w:rsidRDefault="00A6749D" w:rsidP="00A6749D">
      <w:r>
        <w:t>If Tesla has to make full use of the budget of 100m then A + C is the least damaging solution. But from a value maximisation perspective, the only decision is Project C, which is the strongest decision.</w:t>
      </w:r>
    </w:p>
    <w:p w14:paraId="4D2D2652" w14:textId="405AD1ED" w:rsidR="008D6A16" w:rsidRPr="00A6749D" w:rsidRDefault="008D6A16" w:rsidP="008D6A16">
      <w:pPr>
        <w:pStyle w:val="Heading2"/>
      </w:pPr>
      <w:bookmarkStart w:id="27" w:name="_Toc225378655"/>
      <w:r>
        <w:t>Summary</w:t>
      </w:r>
      <w:bookmarkEnd w:id="27"/>
    </w:p>
    <w:p w14:paraId="13A64F99" w14:textId="1534E791" w:rsidR="008D6A16" w:rsidRDefault="008D6A16" w:rsidP="008D6A16">
      <w:r>
        <w:t>Analysis shows that the only project that fits all financial criteria is Project C. It has the shortest payback period, good accounting returns, positive NPV, PI more than 1 and IRR more than the required rate of return. This means that it generates value for the shareholders while it is also able to support liquidity and profitability.</w:t>
      </w:r>
    </w:p>
    <w:p w14:paraId="6B87EA2F" w14:textId="29A4588E" w:rsidR="008D6A16" w:rsidRDefault="008D6A16" w:rsidP="008D6A16">
      <w:r>
        <w:t>Project A is marginal and Project B is obviously not suitable. When taking into account Tesla's financial position, including some recent stress on profitability and efficiency of working capital, the Project C offers the optimal balance between return and risk.</w:t>
      </w:r>
    </w:p>
    <w:p w14:paraId="2EE89F95" w14:textId="77777777" w:rsidR="005F1147" w:rsidRDefault="008D6A16" w:rsidP="008D6A16">
      <w:r>
        <w:lastRenderedPageBreak/>
        <w:t>Under capital rationing therefore, Project C should be the priority. If more investment is needed, Project A can be considered as a second choice perhaps, but with caution. Overall, Project C is the most financially and strategically appropriate investment for Tesla to make.</w:t>
      </w:r>
    </w:p>
    <w:p w14:paraId="61FCF3C8" w14:textId="77777777" w:rsidR="005F1147" w:rsidRDefault="005F1147">
      <w:pPr>
        <w:spacing w:after="160" w:line="278" w:lineRule="auto"/>
        <w:jc w:val="left"/>
      </w:pPr>
      <w:r>
        <w:br w:type="page"/>
      </w:r>
    </w:p>
    <w:p w14:paraId="68EB0D8F" w14:textId="77777777" w:rsidR="005F1147" w:rsidRDefault="005F1147" w:rsidP="005F1147">
      <w:pPr>
        <w:pStyle w:val="Heading1"/>
      </w:pPr>
      <w:bookmarkStart w:id="28" w:name="_Toc225378656"/>
      <w:r>
        <w:lastRenderedPageBreak/>
        <w:t>Conclusion</w:t>
      </w:r>
      <w:bookmarkEnd w:id="28"/>
      <w:r>
        <w:t xml:space="preserve"> </w:t>
      </w:r>
    </w:p>
    <w:p w14:paraId="73440469" w14:textId="77777777" w:rsidR="005F1147" w:rsidRDefault="005F1147" w:rsidP="005F1147">
      <w:r w:rsidRPr="005F1147">
        <w:t>Overall the analysis shows that Tesla is financially strong, with significant revenue growth, improved liquidity and reduced dependence on debt. However, the trend of declining profitability and efficiency in 2024 shows increasing competitive pressure and difficulties of fast expansion. The working capital analysis shows that even though liquidity is stable, more cash is now tied up in operations which might suggest the need for better management of inventory and payment problems. Strategic restructuring options like equity financing, selective divestiture and partnerships are important to facilitate future growth while remaining financially stable. The investment appraisal found Project C to be the most suitable option because it generates value and is liquidity friendly. Overall, Tesla is challenged to balance growth and efficiency to maintain long term performance in a competitive and technology driven market.</w:t>
      </w:r>
    </w:p>
    <w:p w14:paraId="6B633CC9" w14:textId="77777777" w:rsidR="005F1147" w:rsidRDefault="005F1147">
      <w:pPr>
        <w:spacing w:after="160" w:line="278" w:lineRule="auto"/>
        <w:jc w:val="left"/>
      </w:pPr>
      <w:r>
        <w:br w:type="page"/>
      </w:r>
    </w:p>
    <w:p w14:paraId="44FDD663" w14:textId="77777777" w:rsidR="005F1147" w:rsidRDefault="005F1147" w:rsidP="005F1147">
      <w:pPr>
        <w:pStyle w:val="Heading1"/>
        <w:numPr>
          <w:ilvl w:val="0"/>
          <w:numId w:val="0"/>
        </w:numPr>
        <w:ind w:left="432" w:hanging="432"/>
      </w:pPr>
      <w:bookmarkStart w:id="29" w:name="_Toc225378657"/>
      <w:r>
        <w:lastRenderedPageBreak/>
        <w:t>References</w:t>
      </w:r>
      <w:bookmarkEnd w:id="29"/>
      <w:r>
        <w:t xml:space="preserve"> </w:t>
      </w:r>
    </w:p>
    <w:p w14:paraId="0CDFAE6B" w14:textId="77777777" w:rsidR="005F1147" w:rsidRDefault="005F1147" w:rsidP="005F1147">
      <w:pPr>
        <w:pStyle w:val="ListParagraph"/>
        <w:numPr>
          <w:ilvl w:val="0"/>
          <w:numId w:val="16"/>
        </w:numPr>
        <w:jc w:val="left"/>
      </w:pPr>
      <w:r>
        <w:t xml:space="preserve">Ahmad, K. K., 2024. The Impact of Operating Cash Flow on Corporate Profitability: Amman Stock Exchange case </w:t>
      </w:r>
      <w:proofErr w:type="spellStart"/>
      <w:r>
        <w:t>studyThe</w:t>
      </w:r>
      <w:proofErr w:type="spellEnd"/>
      <w:r>
        <w:t xml:space="preserve"> Impact of Operating Cash Flow on Corporate Profitability: Amman Stock Exchange case study. Journal of Economics and Administrative Sciences .</w:t>
      </w:r>
    </w:p>
    <w:p w14:paraId="7C32F33E" w14:textId="77777777" w:rsidR="005F1147" w:rsidRDefault="005F1147" w:rsidP="005F1147">
      <w:pPr>
        <w:pStyle w:val="ListParagraph"/>
        <w:numPr>
          <w:ilvl w:val="0"/>
          <w:numId w:val="16"/>
        </w:numPr>
        <w:jc w:val="left"/>
      </w:pPr>
      <w:r>
        <w:t>Asman, F. N., 2022. Cash Conversion Cycle and Firm’s Performance. International Journal of Academic Research in Business and Social Sciences , 12(11).</w:t>
      </w:r>
    </w:p>
    <w:p w14:paraId="49AA9074" w14:textId="77777777" w:rsidR="005F1147" w:rsidRDefault="005F1147" w:rsidP="005F1147">
      <w:pPr>
        <w:pStyle w:val="ListParagraph"/>
        <w:numPr>
          <w:ilvl w:val="0"/>
          <w:numId w:val="16"/>
        </w:numPr>
        <w:jc w:val="left"/>
      </w:pPr>
      <w:proofErr w:type="spellStart"/>
      <w:r>
        <w:t>Atrill</w:t>
      </w:r>
      <w:proofErr w:type="spellEnd"/>
      <w:r>
        <w:t>, P. a. M. E., 2021. Accounting and Finance for Non-Specialists.. Pearson.</w:t>
      </w:r>
    </w:p>
    <w:p w14:paraId="2F748071" w14:textId="77777777" w:rsidR="005F1147" w:rsidRDefault="005F1147" w:rsidP="005F1147">
      <w:pPr>
        <w:pStyle w:val="ListParagraph"/>
        <w:numPr>
          <w:ilvl w:val="0"/>
          <w:numId w:val="16"/>
        </w:numPr>
        <w:jc w:val="left"/>
      </w:pPr>
      <w:r>
        <w:t>Brigham, E. a. E. M., 2019. Brigham, E.F. and Ehrhardt, M.C.. Financial Management: Theory and Practice.</w:t>
      </w:r>
    </w:p>
    <w:p w14:paraId="237041C6" w14:textId="77777777" w:rsidR="005F1147" w:rsidRDefault="005F1147" w:rsidP="005F1147">
      <w:pPr>
        <w:pStyle w:val="ListParagraph"/>
        <w:numPr>
          <w:ilvl w:val="0"/>
          <w:numId w:val="16"/>
        </w:numPr>
        <w:jc w:val="left"/>
      </w:pPr>
      <w:r>
        <w:t>Burkart, M., 2022. Equity Issuance Methods and Dilution. The Review of Corporate Finance Studies , 12(1).</w:t>
      </w:r>
    </w:p>
    <w:p w14:paraId="249810CA" w14:textId="77777777" w:rsidR="005F1147" w:rsidRDefault="005F1147" w:rsidP="005F1147">
      <w:pPr>
        <w:pStyle w:val="ListParagraph"/>
        <w:numPr>
          <w:ilvl w:val="0"/>
          <w:numId w:val="16"/>
        </w:numPr>
        <w:jc w:val="left"/>
      </w:pPr>
      <w:r>
        <w:t xml:space="preserve">Celestin, P. M., 2024. </w:t>
      </w:r>
      <w:proofErr w:type="spellStart"/>
      <w:r>
        <w:t>Analyzing</w:t>
      </w:r>
      <w:proofErr w:type="spellEnd"/>
      <w:r>
        <w:t xml:space="preserve"> the Role of Ethical Business Practices in Building Consumer Trust and Long-Term Brand Loyalty: Leveraging Corporate Ethics as a Competitive Advantage. </w:t>
      </w:r>
    </w:p>
    <w:p w14:paraId="78C8D046" w14:textId="77777777" w:rsidR="005F1147" w:rsidRDefault="005F1147" w:rsidP="005F1147">
      <w:pPr>
        <w:pStyle w:val="ListParagraph"/>
        <w:numPr>
          <w:ilvl w:val="0"/>
          <w:numId w:val="16"/>
        </w:numPr>
        <w:jc w:val="left"/>
      </w:pPr>
      <w:r>
        <w:t>Dubrovski, D., 2020. Characteristics of Strategic Partnerships between Differently Successful Companies. Journal of Financial Risk Management, 9(2).</w:t>
      </w:r>
    </w:p>
    <w:p w14:paraId="4AEB04CA" w14:textId="77777777" w:rsidR="005F1147" w:rsidRDefault="005F1147" w:rsidP="005F1147">
      <w:pPr>
        <w:pStyle w:val="ListParagraph"/>
        <w:numPr>
          <w:ilvl w:val="0"/>
          <w:numId w:val="16"/>
        </w:numPr>
        <w:jc w:val="left"/>
      </w:pPr>
      <w:r>
        <w:t>Durrah, O., 2016. Exploring the Relationship between Liquidity Ratios and Indicators of Financial Performance: An Analytical Study on Food Industrial Companies Listed in Amman Bursa. International Journal of Economics and Financial Issues, 6(2), pp. 435-441.</w:t>
      </w:r>
    </w:p>
    <w:p w14:paraId="3523A0DC" w14:textId="77777777" w:rsidR="005F1147" w:rsidRDefault="005F1147" w:rsidP="005F1147">
      <w:pPr>
        <w:pStyle w:val="ListParagraph"/>
        <w:numPr>
          <w:ilvl w:val="0"/>
          <w:numId w:val="16"/>
        </w:numPr>
        <w:jc w:val="left"/>
      </w:pPr>
      <w:proofErr w:type="spellStart"/>
      <w:r>
        <w:t>Fahdil</w:t>
      </w:r>
      <w:proofErr w:type="spellEnd"/>
      <w:r>
        <w:t xml:space="preserve">, H. N., 2024. Corporate Bankruptcy and Financial Restructuring. Journal of </w:t>
      </w:r>
      <w:proofErr w:type="spellStart"/>
      <w:r>
        <w:t>Ecohumanism</w:t>
      </w:r>
      <w:proofErr w:type="spellEnd"/>
      <w:r>
        <w:t xml:space="preserve"> , 3(5), pp. 234-248.</w:t>
      </w:r>
    </w:p>
    <w:p w14:paraId="32DEEBD8" w14:textId="77777777" w:rsidR="005F1147" w:rsidRDefault="005F1147" w:rsidP="005F1147">
      <w:pPr>
        <w:pStyle w:val="ListParagraph"/>
        <w:numPr>
          <w:ilvl w:val="0"/>
          <w:numId w:val="16"/>
        </w:numPr>
        <w:jc w:val="left"/>
      </w:pPr>
      <w:r>
        <w:t>Khaliq, A., 2025. Making the Right Choice: A Literature-Based Analysis on Investment Appraisal. IRJEMS International Research Journal of Economics and Management Studies, 4(1).</w:t>
      </w:r>
    </w:p>
    <w:p w14:paraId="2D0A81BB" w14:textId="77777777" w:rsidR="005F1147" w:rsidRDefault="005F1147" w:rsidP="005F1147">
      <w:pPr>
        <w:pStyle w:val="ListParagraph"/>
        <w:numPr>
          <w:ilvl w:val="0"/>
          <w:numId w:val="16"/>
        </w:numPr>
        <w:jc w:val="left"/>
      </w:pPr>
      <w:proofErr w:type="spellStart"/>
      <w:r>
        <w:t>Kiymaz</w:t>
      </w:r>
      <w:proofErr w:type="spellEnd"/>
      <w:r>
        <w:t>, H., 2024. Working capital management and firm performance: A comparative analysis of developed and emerging economies. Borsa Istanbul Review, 24(3), pp. 634-642.</w:t>
      </w:r>
    </w:p>
    <w:p w14:paraId="64948C63" w14:textId="77777777" w:rsidR="005F1147" w:rsidRDefault="005F1147" w:rsidP="005F1147">
      <w:pPr>
        <w:pStyle w:val="ListParagraph"/>
        <w:numPr>
          <w:ilvl w:val="0"/>
          <w:numId w:val="16"/>
        </w:numPr>
        <w:jc w:val="left"/>
      </w:pPr>
      <w:r>
        <w:t xml:space="preserve">Laghari, F., 2023. Cash flow management and its effect on firm performance: Empirical evidence on non-financial firms of China. </w:t>
      </w:r>
      <w:proofErr w:type="spellStart"/>
      <w:r>
        <w:t>PLoS</w:t>
      </w:r>
      <w:proofErr w:type="spellEnd"/>
      <w:r>
        <w:t xml:space="preserve"> One., 18(16).</w:t>
      </w:r>
    </w:p>
    <w:p w14:paraId="2D4854ED" w14:textId="77777777" w:rsidR="005F1147" w:rsidRDefault="005F1147" w:rsidP="005F1147">
      <w:pPr>
        <w:pStyle w:val="ListParagraph"/>
        <w:numPr>
          <w:ilvl w:val="0"/>
          <w:numId w:val="16"/>
        </w:numPr>
        <w:jc w:val="left"/>
      </w:pPr>
      <w:r>
        <w:t>Morris, G. D., 2009. Chapter 19 - Management Accounting. Finance Director's Handbook (Fifth edition), pp. 765-778.</w:t>
      </w:r>
    </w:p>
    <w:p w14:paraId="4AEEC816" w14:textId="77777777" w:rsidR="005F1147" w:rsidRDefault="005F1147" w:rsidP="005F1147">
      <w:pPr>
        <w:pStyle w:val="ListParagraph"/>
        <w:numPr>
          <w:ilvl w:val="0"/>
          <w:numId w:val="16"/>
        </w:numPr>
        <w:jc w:val="left"/>
      </w:pPr>
      <w:r>
        <w:lastRenderedPageBreak/>
        <w:t>Nukala, V. B., 2021. Role of debt-to-equity ratio in project investment valuation, assessing risk and return in capital markets. Future Business Journal.</w:t>
      </w:r>
    </w:p>
    <w:p w14:paraId="457ED27A" w14:textId="77777777" w:rsidR="005F1147" w:rsidRDefault="005F1147" w:rsidP="005F1147">
      <w:pPr>
        <w:pStyle w:val="ListParagraph"/>
        <w:numPr>
          <w:ilvl w:val="0"/>
          <w:numId w:val="16"/>
        </w:numPr>
        <w:jc w:val="left"/>
      </w:pPr>
      <w:r>
        <w:t xml:space="preserve">Pham, D. (., 2020. Corporate Divestiture Decisions and Long-Run Performance. Journal of </w:t>
      </w:r>
      <w:proofErr w:type="spellStart"/>
      <w:r>
        <w:t>Behavioral</w:t>
      </w:r>
      <w:proofErr w:type="spellEnd"/>
      <w:r>
        <w:t xml:space="preserve"> Finance , 22(2), pp. 1-15.</w:t>
      </w:r>
    </w:p>
    <w:p w14:paraId="2D5D6E09" w14:textId="77777777" w:rsidR="005F1147" w:rsidRDefault="005F1147" w:rsidP="005F1147">
      <w:pPr>
        <w:pStyle w:val="ListParagraph"/>
        <w:numPr>
          <w:ilvl w:val="0"/>
          <w:numId w:val="16"/>
        </w:numPr>
        <w:jc w:val="left"/>
      </w:pPr>
      <w:r>
        <w:t>Ross, S. W. R. a. J. J., 2020. Corporate Finance.. 13th Edition, McGraw-Hill Education..</w:t>
      </w:r>
    </w:p>
    <w:p w14:paraId="31801555" w14:textId="77777777" w:rsidR="005F1147" w:rsidRDefault="005F1147" w:rsidP="005F1147">
      <w:pPr>
        <w:pStyle w:val="ListParagraph"/>
        <w:numPr>
          <w:ilvl w:val="0"/>
          <w:numId w:val="16"/>
        </w:numPr>
        <w:jc w:val="left"/>
      </w:pPr>
      <w:proofErr w:type="spellStart"/>
      <w:r>
        <w:t>Sovanhangmeas</w:t>
      </w:r>
      <w:proofErr w:type="spellEnd"/>
      <w:r>
        <w:t>, C., 2024. A Debt Risk Analysis of Automotive Enterprises. Economics &amp; Management Information.</w:t>
      </w:r>
    </w:p>
    <w:p w14:paraId="57732365" w14:textId="77777777" w:rsidR="005F1147" w:rsidRDefault="005F1147" w:rsidP="005F1147">
      <w:pPr>
        <w:pStyle w:val="ListParagraph"/>
        <w:numPr>
          <w:ilvl w:val="0"/>
          <w:numId w:val="16"/>
        </w:numPr>
        <w:jc w:val="left"/>
      </w:pPr>
      <w:r>
        <w:t>Tesla, 2014. Panasonic and Tesla Sign Agreement for the Gigafactory Globe Newswire. [Online] Available at: https://ir.tesla.com/press-release/panasonic-and-tesla-sign-agreement-gigafactory</w:t>
      </w:r>
    </w:p>
    <w:p w14:paraId="7721BB9F" w14:textId="77777777" w:rsidR="005F1147" w:rsidRDefault="005F1147" w:rsidP="005F1147">
      <w:pPr>
        <w:pStyle w:val="ListParagraph"/>
        <w:numPr>
          <w:ilvl w:val="0"/>
          <w:numId w:val="16"/>
        </w:numPr>
        <w:jc w:val="left"/>
      </w:pPr>
      <w:r>
        <w:t>USEC, 2024. UNITED STATES SECURITIES AND EXCHANGE COMMISSION. [Online] Available at: https://www.annualreports.com/HostedData/AnnualReports/PDF/NASDAQ_TSLA_2024.pdf</w:t>
      </w:r>
    </w:p>
    <w:p w14:paraId="6427AC1C" w14:textId="77777777" w:rsidR="005F1147" w:rsidRDefault="005F1147" w:rsidP="005F1147">
      <w:pPr>
        <w:pStyle w:val="ListParagraph"/>
        <w:numPr>
          <w:ilvl w:val="0"/>
          <w:numId w:val="16"/>
        </w:numPr>
        <w:jc w:val="left"/>
      </w:pPr>
      <w:r>
        <w:t>USES, 2020. UNITED STATES SECURITIES AND EXCHANGE COMMISSION Tesla Inc.. [Online] Available at: https://www.annualreports.com/HostedData/AnnualReportArchive/t/NASDAQ_TSLA_2020.pdf</w:t>
      </w:r>
    </w:p>
    <w:p w14:paraId="610296D8" w14:textId="77777777" w:rsidR="005F1147" w:rsidRDefault="005F1147" w:rsidP="005F1147">
      <w:pPr>
        <w:pStyle w:val="ListParagraph"/>
        <w:numPr>
          <w:ilvl w:val="0"/>
          <w:numId w:val="16"/>
        </w:numPr>
        <w:jc w:val="left"/>
      </w:pPr>
      <w:r>
        <w:t>USES, 2021. UNITED STATES SECURITIES AND EXCHANGE COMMISSION. [Online] Available at: https://ir.tesla.com/_flysystem/s3/sec/000162828025003063/tsla-20241231-gen.pdf#:~:text=The%20following%20table%20summarizes%20our,Options</w:t>
      </w:r>
    </w:p>
    <w:p w14:paraId="3B61D328" w14:textId="77777777" w:rsidR="005F1147" w:rsidRDefault="005F1147" w:rsidP="005F1147">
      <w:pPr>
        <w:pStyle w:val="ListParagraph"/>
        <w:numPr>
          <w:ilvl w:val="0"/>
          <w:numId w:val="16"/>
        </w:numPr>
        <w:jc w:val="left"/>
      </w:pPr>
      <w:r>
        <w:t>USES, 2022. UNITED STATES SECURITIES AND EXCHANGE COMMISSION. [Online] Available at: https://www.annualreports.com/HostedData/AnnualReportArchive/t/NASDAQ_TSLA_2022.pdf</w:t>
      </w:r>
    </w:p>
    <w:p w14:paraId="32EE7495" w14:textId="77777777" w:rsidR="005F1147" w:rsidRDefault="005F1147" w:rsidP="005F1147">
      <w:pPr>
        <w:pStyle w:val="ListParagraph"/>
        <w:numPr>
          <w:ilvl w:val="0"/>
          <w:numId w:val="16"/>
        </w:numPr>
        <w:jc w:val="left"/>
      </w:pPr>
      <w:r>
        <w:t>USES, 2023. UNITED STATES SECURITIES AND EXCHANGE COMMISSION. [Online] Available at: https://www.annualreports.com/HostedData/AnnualReportArchive/t/NASDAQ_TSLA_2023.pdf</w:t>
      </w:r>
    </w:p>
    <w:p w14:paraId="00FB43D0" w14:textId="77777777" w:rsidR="005F1147" w:rsidRDefault="005F1147" w:rsidP="005F1147">
      <w:pPr>
        <w:pStyle w:val="ListParagraph"/>
        <w:numPr>
          <w:ilvl w:val="0"/>
          <w:numId w:val="16"/>
        </w:numPr>
        <w:jc w:val="left"/>
      </w:pPr>
      <w:r>
        <w:t>Westerfield, R. W., 2022. Fundamentals of CORPORATE FINANCE. McGraw-Hill.</w:t>
      </w:r>
    </w:p>
    <w:p w14:paraId="42652135" w14:textId="77777777" w:rsidR="005F1147" w:rsidRDefault="005F1147" w:rsidP="005F1147">
      <w:pPr>
        <w:pStyle w:val="ListParagraph"/>
        <w:numPr>
          <w:ilvl w:val="0"/>
          <w:numId w:val="16"/>
        </w:numPr>
        <w:jc w:val="left"/>
      </w:pPr>
      <w:r>
        <w:lastRenderedPageBreak/>
        <w:t xml:space="preserve">Yusuf, W. E., 2024. The Effect of Receivables Turnover, Inventory Turnover and Current Ratio on Profitability. </w:t>
      </w:r>
      <w:proofErr w:type="spellStart"/>
      <w:r>
        <w:t>Jurnal</w:t>
      </w:r>
      <w:proofErr w:type="spellEnd"/>
      <w:r>
        <w:t xml:space="preserve"> </w:t>
      </w:r>
      <w:proofErr w:type="spellStart"/>
      <w:r>
        <w:t>Ilmiah</w:t>
      </w:r>
      <w:proofErr w:type="spellEnd"/>
      <w:r>
        <w:t xml:space="preserve"> </w:t>
      </w:r>
      <w:proofErr w:type="spellStart"/>
      <w:r>
        <w:t>Manajemen</w:t>
      </w:r>
      <w:proofErr w:type="spellEnd"/>
      <w:r>
        <w:t xml:space="preserve"> dan </w:t>
      </w:r>
      <w:proofErr w:type="spellStart"/>
      <w:r>
        <w:t>Bisnis</w:t>
      </w:r>
      <w:proofErr w:type="spellEnd"/>
      <w:r>
        <w:t>.</w:t>
      </w:r>
    </w:p>
    <w:p w14:paraId="2D9A1E30" w14:textId="4F667729" w:rsidR="005F1147" w:rsidRDefault="005F1147" w:rsidP="005F1147"/>
    <w:p w14:paraId="4FC67A09" w14:textId="5BAE3396" w:rsidR="00745C79" w:rsidRDefault="00745C79" w:rsidP="005F1147">
      <w:r>
        <w:br w:type="page"/>
      </w:r>
    </w:p>
    <w:p w14:paraId="3E3737E0" w14:textId="4BF1A8F9" w:rsidR="00745C79" w:rsidRDefault="00745C79" w:rsidP="00745C79">
      <w:pPr>
        <w:pStyle w:val="Heading1"/>
        <w:numPr>
          <w:ilvl w:val="0"/>
          <w:numId w:val="0"/>
        </w:numPr>
        <w:ind w:left="432" w:hanging="432"/>
      </w:pPr>
      <w:bookmarkStart w:id="30" w:name="_Toc225378658"/>
      <w:r>
        <w:lastRenderedPageBreak/>
        <w:t>Appendix</w:t>
      </w:r>
      <w:bookmarkEnd w:id="30"/>
      <w:r>
        <w:t xml:space="preserve"> </w:t>
      </w:r>
    </w:p>
    <w:p w14:paraId="6B6F6910" w14:textId="7F1CF90E" w:rsidR="00745C79" w:rsidRDefault="00E82B9D" w:rsidP="00E82B9D">
      <w:pPr>
        <w:pStyle w:val="Heading2"/>
        <w:numPr>
          <w:ilvl w:val="0"/>
          <w:numId w:val="0"/>
        </w:numPr>
        <w:ind w:left="576" w:hanging="576"/>
      </w:pPr>
      <w:bookmarkStart w:id="31" w:name="_Toc225378659"/>
      <w:r>
        <w:t>Payback Period Calculations</w:t>
      </w:r>
      <w:bookmarkEnd w:id="31"/>
    </w:p>
    <w:p w14:paraId="60B91979" w14:textId="60E2516B" w:rsidR="00E82B9D" w:rsidRDefault="00E82B9D" w:rsidP="00E82B9D">
      <w:pPr>
        <w:jc w:val="center"/>
      </w:pPr>
      <w:r w:rsidRPr="00E82B9D">
        <w:rPr>
          <w:noProof/>
        </w:rPr>
        <w:drawing>
          <wp:inline distT="0" distB="0" distL="0" distR="0" wp14:anchorId="655A64D7" wp14:editId="57DB6651">
            <wp:extent cx="3149600" cy="2451100"/>
            <wp:effectExtent l="0" t="0" r="0" b="0"/>
            <wp:docPr id="426620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620607" name=""/>
                    <pic:cNvPicPr/>
                  </pic:nvPicPr>
                  <pic:blipFill>
                    <a:blip r:embed="rId23"/>
                    <a:stretch>
                      <a:fillRect/>
                    </a:stretch>
                  </pic:blipFill>
                  <pic:spPr>
                    <a:xfrm>
                      <a:off x="0" y="0"/>
                      <a:ext cx="3149600" cy="2451100"/>
                    </a:xfrm>
                    <a:prstGeom prst="rect">
                      <a:avLst/>
                    </a:prstGeom>
                  </pic:spPr>
                </pic:pic>
              </a:graphicData>
            </a:graphic>
          </wp:inline>
        </w:drawing>
      </w:r>
    </w:p>
    <w:p w14:paraId="34D95534" w14:textId="455EF9B7" w:rsidR="00E82B9D" w:rsidRDefault="00E82B9D" w:rsidP="00E82B9D">
      <w:pPr>
        <w:jc w:val="center"/>
      </w:pPr>
      <w:r w:rsidRPr="00E82B9D">
        <w:rPr>
          <w:noProof/>
        </w:rPr>
        <w:drawing>
          <wp:inline distT="0" distB="0" distL="0" distR="0" wp14:anchorId="679EC522" wp14:editId="50FDA4FC">
            <wp:extent cx="3086100" cy="2451100"/>
            <wp:effectExtent l="0" t="0" r="0" b="0"/>
            <wp:docPr id="516926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926778" name=""/>
                    <pic:cNvPicPr/>
                  </pic:nvPicPr>
                  <pic:blipFill>
                    <a:blip r:embed="rId24"/>
                    <a:stretch>
                      <a:fillRect/>
                    </a:stretch>
                  </pic:blipFill>
                  <pic:spPr>
                    <a:xfrm>
                      <a:off x="0" y="0"/>
                      <a:ext cx="3086100" cy="2451100"/>
                    </a:xfrm>
                    <a:prstGeom prst="rect">
                      <a:avLst/>
                    </a:prstGeom>
                  </pic:spPr>
                </pic:pic>
              </a:graphicData>
            </a:graphic>
          </wp:inline>
        </w:drawing>
      </w:r>
    </w:p>
    <w:p w14:paraId="0ECF2571" w14:textId="444A72AF" w:rsidR="00E82B9D" w:rsidRPr="00E82B9D" w:rsidRDefault="00E82B9D" w:rsidP="00E82B9D">
      <w:pPr>
        <w:jc w:val="center"/>
      </w:pPr>
      <w:r w:rsidRPr="00E82B9D">
        <w:rPr>
          <w:noProof/>
        </w:rPr>
        <w:drawing>
          <wp:inline distT="0" distB="0" distL="0" distR="0" wp14:anchorId="771E72D8" wp14:editId="6628CF6A">
            <wp:extent cx="3086100" cy="2451100"/>
            <wp:effectExtent l="0" t="0" r="0" b="0"/>
            <wp:docPr id="6528724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872486" name=""/>
                    <pic:cNvPicPr/>
                  </pic:nvPicPr>
                  <pic:blipFill>
                    <a:blip r:embed="rId25"/>
                    <a:stretch>
                      <a:fillRect/>
                    </a:stretch>
                  </pic:blipFill>
                  <pic:spPr>
                    <a:xfrm>
                      <a:off x="0" y="0"/>
                      <a:ext cx="3086100" cy="2451100"/>
                    </a:xfrm>
                    <a:prstGeom prst="rect">
                      <a:avLst/>
                    </a:prstGeom>
                  </pic:spPr>
                </pic:pic>
              </a:graphicData>
            </a:graphic>
          </wp:inline>
        </w:drawing>
      </w:r>
    </w:p>
    <w:p w14:paraId="52CAC2D4" w14:textId="77777777" w:rsidR="00745C79" w:rsidRDefault="00745C79" w:rsidP="00281045"/>
    <w:p w14:paraId="5B963B72" w14:textId="77777777" w:rsidR="008707B0" w:rsidRDefault="008707B0" w:rsidP="00281045"/>
    <w:p w14:paraId="40DF13A9" w14:textId="1B452EE2" w:rsidR="008707B0" w:rsidRDefault="008707B0" w:rsidP="008707B0">
      <w:pPr>
        <w:pStyle w:val="Heading2"/>
        <w:numPr>
          <w:ilvl w:val="0"/>
          <w:numId w:val="0"/>
        </w:numPr>
        <w:ind w:left="576" w:hanging="576"/>
      </w:pPr>
      <w:bookmarkStart w:id="32" w:name="_Toc225378660"/>
      <w:r>
        <w:lastRenderedPageBreak/>
        <w:t>ARR calculations</w:t>
      </w:r>
      <w:bookmarkEnd w:id="32"/>
      <w:r>
        <w:t xml:space="preserve"> </w:t>
      </w:r>
    </w:p>
    <w:p w14:paraId="0BF9D488" w14:textId="3CA21551" w:rsidR="008707B0" w:rsidRDefault="008707B0" w:rsidP="008707B0">
      <w:pPr>
        <w:jc w:val="center"/>
      </w:pPr>
      <w:r w:rsidRPr="008707B0">
        <w:rPr>
          <w:noProof/>
        </w:rPr>
        <w:drawing>
          <wp:inline distT="0" distB="0" distL="0" distR="0" wp14:anchorId="31189DBE" wp14:editId="18684948">
            <wp:extent cx="2489200" cy="2044700"/>
            <wp:effectExtent l="0" t="0" r="0" b="0"/>
            <wp:docPr id="58315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15556" name=""/>
                    <pic:cNvPicPr/>
                  </pic:nvPicPr>
                  <pic:blipFill>
                    <a:blip r:embed="rId26"/>
                    <a:stretch>
                      <a:fillRect/>
                    </a:stretch>
                  </pic:blipFill>
                  <pic:spPr>
                    <a:xfrm>
                      <a:off x="0" y="0"/>
                      <a:ext cx="2489200" cy="2044700"/>
                    </a:xfrm>
                    <a:prstGeom prst="rect">
                      <a:avLst/>
                    </a:prstGeom>
                  </pic:spPr>
                </pic:pic>
              </a:graphicData>
            </a:graphic>
          </wp:inline>
        </w:drawing>
      </w:r>
    </w:p>
    <w:p w14:paraId="33B9E1DB" w14:textId="0D8AC2FC" w:rsidR="008707B0" w:rsidRDefault="008707B0" w:rsidP="008707B0">
      <w:pPr>
        <w:jc w:val="center"/>
      </w:pPr>
      <w:r w:rsidRPr="008707B0">
        <w:rPr>
          <w:noProof/>
        </w:rPr>
        <w:drawing>
          <wp:inline distT="0" distB="0" distL="0" distR="0" wp14:anchorId="1F66E87C" wp14:editId="49F19398">
            <wp:extent cx="2489200" cy="2044700"/>
            <wp:effectExtent l="0" t="0" r="0" b="0"/>
            <wp:docPr id="224747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747610" name=""/>
                    <pic:cNvPicPr/>
                  </pic:nvPicPr>
                  <pic:blipFill>
                    <a:blip r:embed="rId27"/>
                    <a:stretch>
                      <a:fillRect/>
                    </a:stretch>
                  </pic:blipFill>
                  <pic:spPr>
                    <a:xfrm>
                      <a:off x="0" y="0"/>
                      <a:ext cx="2489200" cy="2044700"/>
                    </a:xfrm>
                    <a:prstGeom prst="rect">
                      <a:avLst/>
                    </a:prstGeom>
                  </pic:spPr>
                </pic:pic>
              </a:graphicData>
            </a:graphic>
          </wp:inline>
        </w:drawing>
      </w:r>
    </w:p>
    <w:p w14:paraId="5D764897" w14:textId="3D360D64" w:rsidR="008707B0" w:rsidRDefault="008707B0" w:rsidP="008707B0">
      <w:pPr>
        <w:jc w:val="center"/>
      </w:pPr>
      <w:r w:rsidRPr="008707B0">
        <w:rPr>
          <w:noProof/>
        </w:rPr>
        <w:drawing>
          <wp:inline distT="0" distB="0" distL="0" distR="0" wp14:anchorId="5DAC8B58" wp14:editId="3F6A9CE4">
            <wp:extent cx="2489200" cy="2044700"/>
            <wp:effectExtent l="0" t="0" r="0" b="0"/>
            <wp:docPr id="1073993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993570" name=""/>
                    <pic:cNvPicPr/>
                  </pic:nvPicPr>
                  <pic:blipFill>
                    <a:blip r:embed="rId28"/>
                    <a:stretch>
                      <a:fillRect/>
                    </a:stretch>
                  </pic:blipFill>
                  <pic:spPr>
                    <a:xfrm>
                      <a:off x="0" y="0"/>
                      <a:ext cx="2489200" cy="2044700"/>
                    </a:xfrm>
                    <a:prstGeom prst="rect">
                      <a:avLst/>
                    </a:prstGeom>
                  </pic:spPr>
                </pic:pic>
              </a:graphicData>
            </a:graphic>
          </wp:inline>
        </w:drawing>
      </w:r>
    </w:p>
    <w:p w14:paraId="175A88E0" w14:textId="0741C907" w:rsidR="005F1147" w:rsidRDefault="005F1147">
      <w:pPr>
        <w:spacing w:after="160" w:line="278" w:lineRule="auto"/>
        <w:jc w:val="left"/>
      </w:pPr>
      <w:r>
        <w:br w:type="page"/>
      </w:r>
    </w:p>
    <w:p w14:paraId="01C9C83F" w14:textId="0718AF14" w:rsidR="005F1147" w:rsidRDefault="005F1147" w:rsidP="005F1147">
      <w:pPr>
        <w:pStyle w:val="Heading2"/>
        <w:numPr>
          <w:ilvl w:val="0"/>
          <w:numId w:val="0"/>
        </w:numPr>
        <w:ind w:left="576" w:hanging="576"/>
      </w:pPr>
      <w:bookmarkStart w:id="33" w:name="_Toc225378661"/>
      <w:r>
        <w:lastRenderedPageBreak/>
        <w:t>NPV and PI Calculation</w:t>
      </w:r>
      <w:bookmarkEnd w:id="33"/>
    </w:p>
    <w:p w14:paraId="1F70631E" w14:textId="378C17E6" w:rsidR="005F1147" w:rsidRDefault="005F1147" w:rsidP="005F1147">
      <w:pPr>
        <w:jc w:val="center"/>
      </w:pPr>
      <w:r w:rsidRPr="005F1147">
        <w:rPr>
          <w:noProof/>
        </w:rPr>
        <w:drawing>
          <wp:inline distT="0" distB="0" distL="0" distR="0" wp14:anchorId="147DA341" wp14:editId="32ECC024">
            <wp:extent cx="3644900" cy="2247900"/>
            <wp:effectExtent l="0" t="0" r="0" b="0"/>
            <wp:docPr id="30734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34381" name=""/>
                    <pic:cNvPicPr/>
                  </pic:nvPicPr>
                  <pic:blipFill>
                    <a:blip r:embed="rId29"/>
                    <a:stretch>
                      <a:fillRect/>
                    </a:stretch>
                  </pic:blipFill>
                  <pic:spPr>
                    <a:xfrm>
                      <a:off x="0" y="0"/>
                      <a:ext cx="3644900" cy="2247900"/>
                    </a:xfrm>
                    <a:prstGeom prst="rect">
                      <a:avLst/>
                    </a:prstGeom>
                  </pic:spPr>
                </pic:pic>
              </a:graphicData>
            </a:graphic>
          </wp:inline>
        </w:drawing>
      </w:r>
    </w:p>
    <w:p w14:paraId="31C689C0" w14:textId="77777777" w:rsidR="005F1147" w:rsidRDefault="005F1147" w:rsidP="005F1147">
      <w:pPr>
        <w:jc w:val="center"/>
      </w:pPr>
    </w:p>
    <w:p w14:paraId="13BA95B3" w14:textId="4EE4DC6D" w:rsidR="005F1147" w:rsidRDefault="005F1147" w:rsidP="005F1147">
      <w:pPr>
        <w:jc w:val="center"/>
      </w:pPr>
      <w:r w:rsidRPr="005F1147">
        <w:rPr>
          <w:noProof/>
        </w:rPr>
        <w:drawing>
          <wp:inline distT="0" distB="0" distL="0" distR="0" wp14:anchorId="3CE93031" wp14:editId="58EAA589">
            <wp:extent cx="3644900" cy="2247900"/>
            <wp:effectExtent l="0" t="0" r="0" b="0"/>
            <wp:docPr id="507892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892539" name=""/>
                    <pic:cNvPicPr/>
                  </pic:nvPicPr>
                  <pic:blipFill>
                    <a:blip r:embed="rId30"/>
                    <a:stretch>
                      <a:fillRect/>
                    </a:stretch>
                  </pic:blipFill>
                  <pic:spPr>
                    <a:xfrm>
                      <a:off x="0" y="0"/>
                      <a:ext cx="3644900" cy="2247900"/>
                    </a:xfrm>
                    <a:prstGeom prst="rect">
                      <a:avLst/>
                    </a:prstGeom>
                  </pic:spPr>
                </pic:pic>
              </a:graphicData>
            </a:graphic>
          </wp:inline>
        </w:drawing>
      </w:r>
    </w:p>
    <w:p w14:paraId="3D181249" w14:textId="77777777" w:rsidR="005F1147" w:rsidRDefault="005F1147" w:rsidP="005F1147">
      <w:pPr>
        <w:jc w:val="center"/>
      </w:pPr>
    </w:p>
    <w:p w14:paraId="05684F77" w14:textId="107CB08D" w:rsidR="005F1147" w:rsidRDefault="005F1147" w:rsidP="005F1147">
      <w:pPr>
        <w:jc w:val="center"/>
      </w:pPr>
      <w:r w:rsidRPr="005F1147">
        <w:rPr>
          <w:noProof/>
        </w:rPr>
        <w:drawing>
          <wp:inline distT="0" distB="0" distL="0" distR="0" wp14:anchorId="1A8DD9FB" wp14:editId="4EF033F8">
            <wp:extent cx="3644900" cy="2247900"/>
            <wp:effectExtent l="0" t="0" r="0" b="0"/>
            <wp:docPr id="1998087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087115" name=""/>
                    <pic:cNvPicPr/>
                  </pic:nvPicPr>
                  <pic:blipFill>
                    <a:blip r:embed="rId31"/>
                    <a:stretch>
                      <a:fillRect/>
                    </a:stretch>
                  </pic:blipFill>
                  <pic:spPr>
                    <a:xfrm>
                      <a:off x="0" y="0"/>
                      <a:ext cx="3644900" cy="2247900"/>
                    </a:xfrm>
                    <a:prstGeom prst="rect">
                      <a:avLst/>
                    </a:prstGeom>
                  </pic:spPr>
                </pic:pic>
              </a:graphicData>
            </a:graphic>
          </wp:inline>
        </w:drawing>
      </w:r>
    </w:p>
    <w:p w14:paraId="0107D91D" w14:textId="2520D34D" w:rsidR="005F1147" w:rsidRDefault="005F1147">
      <w:pPr>
        <w:spacing w:after="160" w:line="278" w:lineRule="auto"/>
        <w:jc w:val="left"/>
      </w:pPr>
      <w:r>
        <w:br w:type="page"/>
      </w:r>
    </w:p>
    <w:p w14:paraId="5EABC8BD" w14:textId="11D367B6" w:rsidR="005F1147" w:rsidRDefault="005F1147" w:rsidP="005F1147">
      <w:pPr>
        <w:pStyle w:val="Heading2"/>
        <w:numPr>
          <w:ilvl w:val="0"/>
          <w:numId w:val="0"/>
        </w:numPr>
        <w:ind w:left="576" w:hanging="576"/>
      </w:pPr>
      <w:bookmarkStart w:id="34" w:name="_Toc225378662"/>
      <w:r>
        <w:lastRenderedPageBreak/>
        <w:t>Internal Rate of Return (IRR) Calculations</w:t>
      </w:r>
      <w:bookmarkEnd w:id="34"/>
    </w:p>
    <w:p w14:paraId="50F1008C" w14:textId="67F0CCB1" w:rsidR="005F1147" w:rsidRDefault="005F1147" w:rsidP="005F1147">
      <w:pPr>
        <w:jc w:val="center"/>
      </w:pPr>
      <w:r w:rsidRPr="005F1147">
        <w:rPr>
          <w:noProof/>
        </w:rPr>
        <w:drawing>
          <wp:inline distT="0" distB="0" distL="0" distR="0" wp14:anchorId="1BE99B2A" wp14:editId="6BF24D35">
            <wp:extent cx="1663700" cy="1841500"/>
            <wp:effectExtent l="0" t="0" r="0" b="0"/>
            <wp:docPr id="1741498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498682" name=""/>
                    <pic:cNvPicPr/>
                  </pic:nvPicPr>
                  <pic:blipFill>
                    <a:blip r:embed="rId32"/>
                    <a:stretch>
                      <a:fillRect/>
                    </a:stretch>
                  </pic:blipFill>
                  <pic:spPr>
                    <a:xfrm>
                      <a:off x="0" y="0"/>
                      <a:ext cx="1663700" cy="1841500"/>
                    </a:xfrm>
                    <a:prstGeom prst="rect">
                      <a:avLst/>
                    </a:prstGeom>
                  </pic:spPr>
                </pic:pic>
              </a:graphicData>
            </a:graphic>
          </wp:inline>
        </w:drawing>
      </w:r>
    </w:p>
    <w:p w14:paraId="21CE7C53" w14:textId="77777777" w:rsidR="005F1147" w:rsidRDefault="005F1147" w:rsidP="005F1147">
      <w:pPr>
        <w:jc w:val="center"/>
      </w:pPr>
    </w:p>
    <w:p w14:paraId="33CCEF7E" w14:textId="729625AC" w:rsidR="005F1147" w:rsidRDefault="005F1147" w:rsidP="005F1147">
      <w:pPr>
        <w:jc w:val="center"/>
      </w:pPr>
      <w:r w:rsidRPr="005F1147">
        <w:rPr>
          <w:noProof/>
        </w:rPr>
        <w:drawing>
          <wp:inline distT="0" distB="0" distL="0" distR="0" wp14:anchorId="05302FC0" wp14:editId="24A47A65">
            <wp:extent cx="1663700" cy="1841500"/>
            <wp:effectExtent l="0" t="0" r="0" b="0"/>
            <wp:docPr id="1566538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538796" name=""/>
                    <pic:cNvPicPr/>
                  </pic:nvPicPr>
                  <pic:blipFill>
                    <a:blip r:embed="rId33"/>
                    <a:stretch>
                      <a:fillRect/>
                    </a:stretch>
                  </pic:blipFill>
                  <pic:spPr>
                    <a:xfrm>
                      <a:off x="0" y="0"/>
                      <a:ext cx="1663700" cy="1841500"/>
                    </a:xfrm>
                    <a:prstGeom prst="rect">
                      <a:avLst/>
                    </a:prstGeom>
                  </pic:spPr>
                </pic:pic>
              </a:graphicData>
            </a:graphic>
          </wp:inline>
        </w:drawing>
      </w:r>
    </w:p>
    <w:p w14:paraId="525D066F" w14:textId="77777777" w:rsidR="005F1147" w:rsidRDefault="005F1147" w:rsidP="005F1147">
      <w:pPr>
        <w:jc w:val="center"/>
      </w:pPr>
    </w:p>
    <w:p w14:paraId="29CDE63B" w14:textId="684F3224" w:rsidR="005F1147" w:rsidRPr="005F1147" w:rsidRDefault="005F1147" w:rsidP="005F1147">
      <w:pPr>
        <w:jc w:val="center"/>
      </w:pPr>
      <w:r w:rsidRPr="005F1147">
        <w:rPr>
          <w:noProof/>
        </w:rPr>
        <w:drawing>
          <wp:inline distT="0" distB="0" distL="0" distR="0" wp14:anchorId="4143741A" wp14:editId="53C9ECB9">
            <wp:extent cx="1663700" cy="1841500"/>
            <wp:effectExtent l="0" t="0" r="0" b="0"/>
            <wp:docPr id="1608788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788790" name=""/>
                    <pic:cNvPicPr/>
                  </pic:nvPicPr>
                  <pic:blipFill>
                    <a:blip r:embed="rId34"/>
                    <a:stretch>
                      <a:fillRect/>
                    </a:stretch>
                  </pic:blipFill>
                  <pic:spPr>
                    <a:xfrm>
                      <a:off x="0" y="0"/>
                      <a:ext cx="1663700" cy="1841500"/>
                    </a:xfrm>
                    <a:prstGeom prst="rect">
                      <a:avLst/>
                    </a:prstGeom>
                  </pic:spPr>
                </pic:pic>
              </a:graphicData>
            </a:graphic>
          </wp:inline>
        </w:drawing>
      </w:r>
    </w:p>
    <w:p w14:paraId="7756F96D" w14:textId="77777777" w:rsidR="005F1147" w:rsidRDefault="005F1147" w:rsidP="005F1147"/>
    <w:p w14:paraId="0669E074" w14:textId="77777777" w:rsidR="005F1147" w:rsidRDefault="005F1147" w:rsidP="005F1147">
      <w:pPr>
        <w:jc w:val="center"/>
      </w:pPr>
    </w:p>
    <w:p w14:paraId="3F57E414" w14:textId="77777777" w:rsidR="005F1147" w:rsidRPr="005F1147" w:rsidRDefault="005F1147" w:rsidP="005F1147">
      <w:pPr>
        <w:jc w:val="center"/>
      </w:pPr>
    </w:p>
    <w:p w14:paraId="120D3059" w14:textId="77777777" w:rsidR="005F1147" w:rsidRPr="005F1147" w:rsidRDefault="005F1147" w:rsidP="005F1147"/>
    <w:sectPr w:rsidR="005F1147" w:rsidRPr="005F1147">
      <w:footerReference w:type="even"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7203C" w14:textId="77777777" w:rsidR="00B50651" w:rsidRDefault="00B50651" w:rsidP="005F1147">
      <w:pPr>
        <w:spacing w:line="240" w:lineRule="auto"/>
      </w:pPr>
      <w:r>
        <w:separator/>
      </w:r>
    </w:p>
  </w:endnote>
  <w:endnote w:type="continuationSeparator" w:id="0">
    <w:p w14:paraId="4AA98AA8" w14:textId="77777777" w:rsidR="00B50651" w:rsidRDefault="00B50651" w:rsidP="005F11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Google Sans Tex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52283150"/>
      <w:docPartObj>
        <w:docPartGallery w:val="Page Numbers (Bottom of Page)"/>
        <w:docPartUnique/>
      </w:docPartObj>
    </w:sdtPr>
    <w:sdtContent>
      <w:p w14:paraId="0F54A73A" w14:textId="404D81DC" w:rsidR="005F1147" w:rsidRDefault="005F1147" w:rsidP="006A0B5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AE5DCCD" w14:textId="77777777" w:rsidR="005F1147" w:rsidRDefault="005F1147" w:rsidP="005F11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56849334"/>
      <w:docPartObj>
        <w:docPartGallery w:val="Page Numbers (Bottom of Page)"/>
        <w:docPartUnique/>
      </w:docPartObj>
    </w:sdtPr>
    <w:sdtContent>
      <w:p w14:paraId="395CCA23" w14:textId="5E30563E" w:rsidR="005F1147" w:rsidRDefault="005F1147" w:rsidP="006A0B5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7BEC754B" w14:textId="77777777" w:rsidR="005F1147" w:rsidRDefault="005F1147" w:rsidP="005F114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7FE61" w14:textId="77777777" w:rsidR="00B50651" w:rsidRDefault="00B50651" w:rsidP="005F1147">
      <w:pPr>
        <w:spacing w:line="240" w:lineRule="auto"/>
      </w:pPr>
      <w:r>
        <w:separator/>
      </w:r>
    </w:p>
  </w:footnote>
  <w:footnote w:type="continuationSeparator" w:id="0">
    <w:p w14:paraId="1FFE7FAE" w14:textId="77777777" w:rsidR="00B50651" w:rsidRDefault="00B50651" w:rsidP="005F114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60CC1"/>
    <w:multiLevelType w:val="hybridMultilevel"/>
    <w:tmpl w:val="108E5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8A383C"/>
    <w:multiLevelType w:val="hybridMultilevel"/>
    <w:tmpl w:val="3A6EE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8C5140"/>
    <w:multiLevelType w:val="hybridMultilevel"/>
    <w:tmpl w:val="71EE5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FE39E5"/>
    <w:multiLevelType w:val="hybridMultilevel"/>
    <w:tmpl w:val="A4F49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B03572"/>
    <w:multiLevelType w:val="hybridMultilevel"/>
    <w:tmpl w:val="7532697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1846EA"/>
    <w:multiLevelType w:val="hybridMultilevel"/>
    <w:tmpl w:val="886C1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B5051D"/>
    <w:multiLevelType w:val="multilevel"/>
    <w:tmpl w:val="7F5207F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46852C98"/>
    <w:multiLevelType w:val="hybridMultilevel"/>
    <w:tmpl w:val="EFFC3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7E65C0"/>
    <w:multiLevelType w:val="hybridMultilevel"/>
    <w:tmpl w:val="631A4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885B26"/>
    <w:multiLevelType w:val="hybridMultilevel"/>
    <w:tmpl w:val="F24CF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D52E0E"/>
    <w:multiLevelType w:val="hybridMultilevel"/>
    <w:tmpl w:val="17AA5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804E5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65B653F4"/>
    <w:multiLevelType w:val="hybridMultilevel"/>
    <w:tmpl w:val="214CE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4A5C12"/>
    <w:multiLevelType w:val="hybridMultilevel"/>
    <w:tmpl w:val="EE688C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A38080A"/>
    <w:multiLevelType w:val="hybridMultilevel"/>
    <w:tmpl w:val="48FC8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A05CCF"/>
    <w:multiLevelType w:val="hybridMultilevel"/>
    <w:tmpl w:val="66D2E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0870A0"/>
    <w:multiLevelType w:val="hybridMultilevel"/>
    <w:tmpl w:val="EE1C5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9862830">
    <w:abstractNumId w:val="6"/>
  </w:num>
  <w:num w:numId="2" w16cid:durableId="1851672695">
    <w:abstractNumId w:val="6"/>
  </w:num>
  <w:num w:numId="3" w16cid:durableId="556891596">
    <w:abstractNumId w:val="11"/>
  </w:num>
  <w:num w:numId="4" w16cid:durableId="1579090574">
    <w:abstractNumId w:val="5"/>
  </w:num>
  <w:num w:numId="5" w16cid:durableId="1992977597">
    <w:abstractNumId w:val="12"/>
  </w:num>
  <w:num w:numId="6" w16cid:durableId="301007318">
    <w:abstractNumId w:val="2"/>
  </w:num>
  <w:num w:numId="7" w16cid:durableId="105390846">
    <w:abstractNumId w:val="3"/>
  </w:num>
  <w:num w:numId="8" w16cid:durableId="395008148">
    <w:abstractNumId w:val="16"/>
  </w:num>
  <w:num w:numId="9" w16cid:durableId="903757566">
    <w:abstractNumId w:val="10"/>
  </w:num>
  <w:num w:numId="10" w16cid:durableId="739333148">
    <w:abstractNumId w:val="15"/>
  </w:num>
  <w:num w:numId="11" w16cid:durableId="183985874">
    <w:abstractNumId w:val="9"/>
  </w:num>
  <w:num w:numId="12" w16cid:durableId="73208279">
    <w:abstractNumId w:val="0"/>
  </w:num>
  <w:num w:numId="13" w16cid:durableId="588387523">
    <w:abstractNumId w:val="4"/>
  </w:num>
  <w:num w:numId="14" w16cid:durableId="2138602146">
    <w:abstractNumId w:val="13"/>
  </w:num>
  <w:num w:numId="15" w16cid:durableId="144205340">
    <w:abstractNumId w:val="14"/>
  </w:num>
  <w:num w:numId="16" w16cid:durableId="1430659939">
    <w:abstractNumId w:val="7"/>
  </w:num>
  <w:num w:numId="17" w16cid:durableId="1857228272">
    <w:abstractNumId w:val="8"/>
  </w:num>
  <w:num w:numId="18" w16cid:durableId="10027047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A4C"/>
    <w:rsid w:val="00002128"/>
    <w:rsid w:val="00005433"/>
    <w:rsid w:val="000323E6"/>
    <w:rsid w:val="00034BDB"/>
    <w:rsid w:val="00052D4C"/>
    <w:rsid w:val="00053045"/>
    <w:rsid w:val="00066A45"/>
    <w:rsid w:val="00092777"/>
    <w:rsid w:val="000B2E6C"/>
    <w:rsid w:val="000C3C1A"/>
    <w:rsid w:val="000D3C8C"/>
    <w:rsid w:val="000D55DB"/>
    <w:rsid w:val="0010028E"/>
    <w:rsid w:val="00142BD3"/>
    <w:rsid w:val="001444E3"/>
    <w:rsid w:val="00163FE7"/>
    <w:rsid w:val="00176AEB"/>
    <w:rsid w:val="00182662"/>
    <w:rsid w:val="00190EB4"/>
    <w:rsid w:val="001A4B74"/>
    <w:rsid w:val="001A7F36"/>
    <w:rsid w:val="001B61F6"/>
    <w:rsid w:val="001E0BD7"/>
    <w:rsid w:val="001E13C9"/>
    <w:rsid w:val="001F43CE"/>
    <w:rsid w:val="00216F97"/>
    <w:rsid w:val="00246235"/>
    <w:rsid w:val="00262383"/>
    <w:rsid w:val="00270F02"/>
    <w:rsid w:val="00281045"/>
    <w:rsid w:val="00290C43"/>
    <w:rsid w:val="002A13E9"/>
    <w:rsid w:val="002B2D90"/>
    <w:rsid w:val="002D4191"/>
    <w:rsid w:val="002D7DE0"/>
    <w:rsid w:val="002E6901"/>
    <w:rsid w:val="0031249B"/>
    <w:rsid w:val="003234D4"/>
    <w:rsid w:val="0032564C"/>
    <w:rsid w:val="00343619"/>
    <w:rsid w:val="00350DB5"/>
    <w:rsid w:val="0035100D"/>
    <w:rsid w:val="003553E1"/>
    <w:rsid w:val="003713BA"/>
    <w:rsid w:val="00372096"/>
    <w:rsid w:val="003D50C0"/>
    <w:rsid w:val="003D6CD1"/>
    <w:rsid w:val="003F3A78"/>
    <w:rsid w:val="00400155"/>
    <w:rsid w:val="0040260F"/>
    <w:rsid w:val="004039A5"/>
    <w:rsid w:val="00406154"/>
    <w:rsid w:val="00416103"/>
    <w:rsid w:val="00421C49"/>
    <w:rsid w:val="00421E0D"/>
    <w:rsid w:val="00425BB4"/>
    <w:rsid w:val="004335C4"/>
    <w:rsid w:val="00446CA6"/>
    <w:rsid w:val="00450B6E"/>
    <w:rsid w:val="00462C40"/>
    <w:rsid w:val="00491B40"/>
    <w:rsid w:val="004B0322"/>
    <w:rsid w:val="004C3E39"/>
    <w:rsid w:val="004E1578"/>
    <w:rsid w:val="004E6742"/>
    <w:rsid w:val="00500EF3"/>
    <w:rsid w:val="005163EC"/>
    <w:rsid w:val="005166B6"/>
    <w:rsid w:val="00525BDB"/>
    <w:rsid w:val="005458A3"/>
    <w:rsid w:val="005565BC"/>
    <w:rsid w:val="00580F62"/>
    <w:rsid w:val="005810DD"/>
    <w:rsid w:val="00584A91"/>
    <w:rsid w:val="00584D2F"/>
    <w:rsid w:val="005920E5"/>
    <w:rsid w:val="00597473"/>
    <w:rsid w:val="005B1CF6"/>
    <w:rsid w:val="005C78B3"/>
    <w:rsid w:val="005C7DE4"/>
    <w:rsid w:val="005D1CAD"/>
    <w:rsid w:val="005D7F4C"/>
    <w:rsid w:val="005E6A08"/>
    <w:rsid w:val="005E6DB3"/>
    <w:rsid w:val="005F1147"/>
    <w:rsid w:val="0061563A"/>
    <w:rsid w:val="0062452B"/>
    <w:rsid w:val="00626FF8"/>
    <w:rsid w:val="006344E0"/>
    <w:rsid w:val="00643F04"/>
    <w:rsid w:val="00651FF2"/>
    <w:rsid w:val="00652231"/>
    <w:rsid w:val="00663F18"/>
    <w:rsid w:val="00664A45"/>
    <w:rsid w:val="0066706B"/>
    <w:rsid w:val="00681501"/>
    <w:rsid w:val="006B3645"/>
    <w:rsid w:val="006D0F9D"/>
    <w:rsid w:val="006D1806"/>
    <w:rsid w:val="006D55D9"/>
    <w:rsid w:val="006D7486"/>
    <w:rsid w:val="006E0087"/>
    <w:rsid w:val="007003D5"/>
    <w:rsid w:val="00700FC8"/>
    <w:rsid w:val="00711779"/>
    <w:rsid w:val="00714E0A"/>
    <w:rsid w:val="007231CD"/>
    <w:rsid w:val="00745C79"/>
    <w:rsid w:val="007469B1"/>
    <w:rsid w:val="007713D8"/>
    <w:rsid w:val="00777DA6"/>
    <w:rsid w:val="0078169B"/>
    <w:rsid w:val="00787A1A"/>
    <w:rsid w:val="007B696D"/>
    <w:rsid w:val="007D3B61"/>
    <w:rsid w:val="0080735A"/>
    <w:rsid w:val="0081011E"/>
    <w:rsid w:val="00830E11"/>
    <w:rsid w:val="00851DF9"/>
    <w:rsid w:val="00851E04"/>
    <w:rsid w:val="00854D74"/>
    <w:rsid w:val="008626D1"/>
    <w:rsid w:val="0086681B"/>
    <w:rsid w:val="00867F09"/>
    <w:rsid w:val="008707B0"/>
    <w:rsid w:val="0089118B"/>
    <w:rsid w:val="00893A6E"/>
    <w:rsid w:val="00896B53"/>
    <w:rsid w:val="008A1C3C"/>
    <w:rsid w:val="008A7E9E"/>
    <w:rsid w:val="008B028B"/>
    <w:rsid w:val="008C1A4C"/>
    <w:rsid w:val="008D6A16"/>
    <w:rsid w:val="008E0CFE"/>
    <w:rsid w:val="008E28CF"/>
    <w:rsid w:val="008F0352"/>
    <w:rsid w:val="008F402D"/>
    <w:rsid w:val="0091467C"/>
    <w:rsid w:val="0093006B"/>
    <w:rsid w:val="00936B1E"/>
    <w:rsid w:val="0095232E"/>
    <w:rsid w:val="00962714"/>
    <w:rsid w:val="00965734"/>
    <w:rsid w:val="00970396"/>
    <w:rsid w:val="009740CC"/>
    <w:rsid w:val="00976253"/>
    <w:rsid w:val="009C2658"/>
    <w:rsid w:val="009C6C77"/>
    <w:rsid w:val="00A25FAB"/>
    <w:rsid w:val="00A409A3"/>
    <w:rsid w:val="00A6749D"/>
    <w:rsid w:val="00A76014"/>
    <w:rsid w:val="00A76CF5"/>
    <w:rsid w:val="00A94494"/>
    <w:rsid w:val="00A9717A"/>
    <w:rsid w:val="00AA071F"/>
    <w:rsid w:val="00AB52D9"/>
    <w:rsid w:val="00AE33E8"/>
    <w:rsid w:val="00AF3A15"/>
    <w:rsid w:val="00AF7389"/>
    <w:rsid w:val="00AF7C40"/>
    <w:rsid w:val="00B0720B"/>
    <w:rsid w:val="00B131B0"/>
    <w:rsid w:val="00B350B1"/>
    <w:rsid w:val="00B50651"/>
    <w:rsid w:val="00B64BF5"/>
    <w:rsid w:val="00B731D8"/>
    <w:rsid w:val="00B77015"/>
    <w:rsid w:val="00B770C8"/>
    <w:rsid w:val="00B77B31"/>
    <w:rsid w:val="00BC5935"/>
    <w:rsid w:val="00BF76C6"/>
    <w:rsid w:val="00C06730"/>
    <w:rsid w:val="00C33B5D"/>
    <w:rsid w:val="00C4593F"/>
    <w:rsid w:val="00C64F2E"/>
    <w:rsid w:val="00CD33EC"/>
    <w:rsid w:val="00CF04E2"/>
    <w:rsid w:val="00CF381A"/>
    <w:rsid w:val="00D01208"/>
    <w:rsid w:val="00D11156"/>
    <w:rsid w:val="00D161B9"/>
    <w:rsid w:val="00D26C97"/>
    <w:rsid w:val="00D31394"/>
    <w:rsid w:val="00D939F4"/>
    <w:rsid w:val="00DA2A56"/>
    <w:rsid w:val="00DD078D"/>
    <w:rsid w:val="00E048B8"/>
    <w:rsid w:val="00E266C6"/>
    <w:rsid w:val="00E32F01"/>
    <w:rsid w:val="00E33741"/>
    <w:rsid w:val="00E472D7"/>
    <w:rsid w:val="00E50B67"/>
    <w:rsid w:val="00E50D33"/>
    <w:rsid w:val="00E77965"/>
    <w:rsid w:val="00E77ED9"/>
    <w:rsid w:val="00E82B9D"/>
    <w:rsid w:val="00E90A85"/>
    <w:rsid w:val="00EB065B"/>
    <w:rsid w:val="00EB3AD0"/>
    <w:rsid w:val="00EB7A89"/>
    <w:rsid w:val="00ED4BAD"/>
    <w:rsid w:val="00EE5C50"/>
    <w:rsid w:val="00F16F8A"/>
    <w:rsid w:val="00F32F01"/>
    <w:rsid w:val="00F35BC0"/>
    <w:rsid w:val="00F92B82"/>
    <w:rsid w:val="00F93CC8"/>
    <w:rsid w:val="00FC0F9A"/>
    <w:rsid w:val="00FC7B87"/>
    <w:rsid w:val="00FD4328"/>
    <w:rsid w:val="00FD44F9"/>
    <w:rsid w:val="00FE02EB"/>
    <w:rsid w:val="00FF302A"/>
    <w:rsid w:val="00FF52F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AEF29"/>
  <w15:chartTrackingRefBased/>
  <w15:docId w15:val="{B50CE8A6-9AB1-244C-B2C3-8E82FED03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4191"/>
    <w:pPr>
      <w:spacing w:after="0" w:line="360" w:lineRule="auto"/>
      <w:jc w:val="both"/>
    </w:pPr>
    <w:rPr>
      <w:rFonts w:ascii="Times New Roman" w:hAnsi="Times New Roman" w:cs="Times New Roman"/>
      <w:kern w:val="0"/>
      <w:lang w:eastAsia="en-GB"/>
      <w14:ligatures w14:val="none"/>
    </w:rPr>
  </w:style>
  <w:style w:type="paragraph" w:styleId="Heading1">
    <w:name w:val="heading 1"/>
    <w:basedOn w:val="Normal"/>
    <w:next w:val="Normal"/>
    <w:link w:val="Heading1Char"/>
    <w:autoRedefine/>
    <w:uiPriority w:val="9"/>
    <w:qFormat/>
    <w:rsid w:val="00E32F01"/>
    <w:pPr>
      <w:keepNext/>
      <w:keepLines/>
      <w:numPr>
        <w:numId w:val="3"/>
      </w:numPr>
      <w:spacing w:before="360" w:after="80"/>
      <w:outlineLvl w:val="0"/>
    </w:pPr>
    <w:rPr>
      <w:rFonts w:eastAsiaTheme="majorEastAsia" w:cstheme="majorBidi"/>
      <w:color w:val="0F4761" w:themeColor="accent1" w:themeShade="BF"/>
      <w:sz w:val="28"/>
      <w:szCs w:val="40"/>
    </w:rPr>
  </w:style>
  <w:style w:type="paragraph" w:styleId="Heading2">
    <w:name w:val="heading 2"/>
    <w:basedOn w:val="Normal"/>
    <w:next w:val="Normal"/>
    <w:link w:val="Heading2Char"/>
    <w:autoRedefine/>
    <w:uiPriority w:val="9"/>
    <w:unhideWhenUsed/>
    <w:qFormat/>
    <w:rsid w:val="00681501"/>
    <w:pPr>
      <w:keepNext/>
      <w:keepLines/>
      <w:numPr>
        <w:ilvl w:val="1"/>
        <w:numId w:val="3"/>
      </w:numPr>
      <w:spacing w:before="160" w:after="80"/>
      <w:outlineLvl w:val="1"/>
    </w:pPr>
    <w:rPr>
      <w:rFonts w:eastAsiaTheme="majorEastAsia" w:cstheme="majorBidi"/>
      <w:color w:val="0F4761" w:themeColor="accent1" w:themeShade="BF"/>
      <w:sz w:val="28"/>
      <w:szCs w:val="32"/>
    </w:rPr>
  </w:style>
  <w:style w:type="paragraph" w:styleId="Heading3">
    <w:name w:val="heading 3"/>
    <w:basedOn w:val="Normal"/>
    <w:next w:val="Normal"/>
    <w:link w:val="Heading3Char"/>
    <w:autoRedefine/>
    <w:uiPriority w:val="9"/>
    <w:unhideWhenUsed/>
    <w:qFormat/>
    <w:rsid w:val="005810DD"/>
    <w:pPr>
      <w:keepNext/>
      <w:keepLines/>
      <w:numPr>
        <w:ilvl w:val="2"/>
        <w:numId w:val="3"/>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1A4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C1A4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C1A4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C1A4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C1A4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C1A4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F01"/>
    <w:rPr>
      <w:rFonts w:ascii="Times New Roman" w:eastAsiaTheme="majorEastAsia" w:hAnsi="Times New Roman" w:cstheme="majorBidi"/>
      <w:color w:val="0F4761" w:themeColor="accent1" w:themeShade="BF"/>
      <w:kern w:val="0"/>
      <w:sz w:val="28"/>
      <w:szCs w:val="40"/>
      <w:lang w:eastAsia="en-GB"/>
      <w14:ligatures w14:val="none"/>
    </w:rPr>
  </w:style>
  <w:style w:type="paragraph" w:customStyle="1" w:styleId="Style2">
    <w:name w:val="Style2"/>
    <w:basedOn w:val="Heading1"/>
    <w:rsid w:val="00711779"/>
  </w:style>
  <w:style w:type="character" w:customStyle="1" w:styleId="Heading2Char">
    <w:name w:val="Heading 2 Char"/>
    <w:basedOn w:val="DefaultParagraphFont"/>
    <w:link w:val="Heading2"/>
    <w:uiPriority w:val="9"/>
    <w:rsid w:val="00681501"/>
    <w:rPr>
      <w:rFonts w:ascii="Times New Roman" w:eastAsiaTheme="majorEastAsia" w:hAnsi="Times New Roman" w:cstheme="majorBidi"/>
      <w:color w:val="0F4761" w:themeColor="accent1" w:themeShade="BF"/>
      <w:kern w:val="0"/>
      <w:sz w:val="28"/>
      <w:szCs w:val="32"/>
      <w:lang w:eastAsia="en-GB"/>
      <w14:ligatures w14:val="none"/>
    </w:rPr>
  </w:style>
  <w:style w:type="character" w:customStyle="1" w:styleId="Heading3Char">
    <w:name w:val="Heading 3 Char"/>
    <w:basedOn w:val="DefaultParagraphFont"/>
    <w:link w:val="Heading3"/>
    <w:uiPriority w:val="9"/>
    <w:rsid w:val="005810DD"/>
    <w:rPr>
      <w:rFonts w:ascii="Times New Roman" w:eastAsiaTheme="majorEastAsia" w:hAnsi="Times New Roman" w:cstheme="majorBidi"/>
      <w:color w:val="0F4761" w:themeColor="accent1" w:themeShade="BF"/>
      <w:kern w:val="0"/>
      <w:sz w:val="28"/>
      <w:szCs w:val="28"/>
      <w:lang w:eastAsia="en-GB"/>
      <w14:ligatures w14:val="none"/>
    </w:rPr>
  </w:style>
  <w:style w:type="character" w:customStyle="1" w:styleId="Heading4Char">
    <w:name w:val="Heading 4 Char"/>
    <w:basedOn w:val="DefaultParagraphFont"/>
    <w:link w:val="Heading4"/>
    <w:uiPriority w:val="9"/>
    <w:semiHidden/>
    <w:rsid w:val="008C1A4C"/>
    <w:rPr>
      <w:rFonts w:eastAsiaTheme="majorEastAsia" w:cstheme="majorBidi"/>
      <w:i/>
      <w:iCs/>
      <w:color w:val="0F4761" w:themeColor="accent1" w:themeShade="BF"/>
      <w:kern w:val="0"/>
      <w:lang w:eastAsia="en-GB"/>
      <w14:ligatures w14:val="none"/>
    </w:rPr>
  </w:style>
  <w:style w:type="character" w:customStyle="1" w:styleId="Heading5Char">
    <w:name w:val="Heading 5 Char"/>
    <w:basedOn w:val="DefaultParagraphFont"/>
    <w:link w:val="Heading5"/>
    <w:uiPriority w:val="9"/>
    <w:semiHidden/>
    <w:rsid w:val="008C1A4C"/>
    <w:rPr>
      <w:rFonts w:eastAsiaTheme="majorEastAsia" w:cstheme="majorBidi"/>
      <w:color w:val="0F4761" w:themeColor="accent1" w:themeShade="BF"/>
      <w:kern w:val="0"/>
      <w:lang w:eastAsia="en-GB"/>
      <w14:ligatures w14:val="none"/>
    </w:rPr>
  </w:style>
  <w:style w:type="character" w:customStyle="1" w:styleId="Heading6Char">
    <w:name w:val="Heading 6 Char"/>
    <w:basedOn w:val="DefaultParagraphFont"/>
    <w:link w:val="Heading6"/>
    <w:uiPriority w:val="9"/>
    <w:semiHidden/>
    <w:rsid w:val="008C1A4C"/>
    <w:rPr>
      <w:rFonts w:eastAsiaTheme="majorEastAsia" w:cstheme="majorBidi"/>
      <w:i/>
      <w:iCs/>
      <w:color w:val="595959" w:themeColor="text1" w:themeTint="A6"/>
      <w:kern w:val="0"/>
      <w:lang w:eastAsia="en-GB"/>
      <w14:ligatures w14:val="none"/>
    </w:rPr>
  </w:style>
  <w:style w:type="character" w:customStyle="1" w:styleId="Heading7Char">
    <w:name w:val="Heading 7 Char"/>
    <w:basedOn w:val="DefaultParagraphFont"/>
    <w:link w:val="Heading7"/>
    <w:uiPriority w:val="9"/>
    <w:semiHidden/>
    <w:rsid w:val="008C1A4C"/>
    <w:rPr>
      <w:rFonts w:eastAsiaTheme="majorEastAsia" w:cstheme="majorBidi"/>
      <w:color w:val="595959" w:themeColor="text1" w:themeTint="A6"/>
      <w:kern w:val="0"/>
      <w:lang w:eastAsia="en-GB"/>
      <w14:ligatures w14:val="none"/>
    </w:rPr>
  </w:style>
  <w:style w:type="character" w:customStyle="1" w:styleId="Heading8Char">
    <w:name w:val="Heading 8 Char"/>
    <w:basedOn w:val="DefaultParagraphFont"/>
    <w:link w:val="Heading8"/>
    <w:uiPriority w:val="9"/>
    <w:semiHidden/>
    <w:rsid w:val="008C1A4C"/>
    <w:rPr>
      <w:rFonts w:eastAsiaTheme="majorEastAsia" w:cstheme="majorBidi"/>
      <w:i/>
      <w:iCs/>
      <w:color w:val="272727" w:themeColor="text1" w:themeTint="D8"/>
      <w:kern w:val="0"/>
      <w:lang w:eastAsia="en-GB"/>
      <w14:ligatures w14:val="none"/>
    </w:rPr>
  </w:style>
  <w:style w:type="character" w:customStyle="1" w:styleId="Heading9Char">
    <w:name w:val="Heading 9 Char"/>
    <w:basedOn w:val="DefaultParagraphFont"/>
    <w:link w:val="Heading9"/>
    <w:uiPriority w:val="9"/>
    <w:semiHidden/>
    <w:rsid w:val="008C1A4C"/>
    <w:rPr>
      <w:rFonts w:eastAsiaTheme="majorEastAsia" w:cstheme="majorBidi"/>
      <w:color w:val="272727" w:themeColor="text1" w:themeTint="D8"/>
      <w:kern w:val="0"/>
      <w:lang w:eastAsia="en-GB"/>
      <w14:ligatures w14:val="none"/>
    </w:rPr>
  </w:style>
  <w:style w:type="paragraph" w:styleId="Title">
    <w:name w:val="Title"/>
    <w:basedOn w:val="Normal"/>
    <w:next w:val="Normal"/>
    <w:link w:val="TitleChar"/>
    <w:uiPriority w:val="10"/>
    <w:qFormat/>
    <w:rsid w:val="008C1A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1A4C"/>
    <w:rPr>
      <w:rFonts w:asciiTheme="majorHAnsi" w:eastAsiaTheme="majorEastAsia" w:hAnsiTheme="majorHAnsi" w:cstheme="majorBidi"/>
      <w:spacing w:val="-10"/>
      <w:kern w:val="28"/>
      <w:sz w:val="56"/>
      <w:szCs w:val="56"/>
      <w:lang w:eastAsia="en-GB"/>
      <w14:ligatures w14:val="none"/>
    </w:rPr>
  </w:style>
  <w:style w:type="paragraph" w:styleId="Subtitle">
    <w:name w:val="Subtitle"/>
    <w:basedOn w:val="Normal"/>
    <w:next w:val="Normal"/>
    <w:link w:val="SubtitleChar"/>
    <w:uiPriority w:val="11"/>
    <w:qFormat/>
    <w:rsid w:val="008C1A4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1A4C"/>
    <w:rPr>
      <w:rFonts w:eastAsiaTheme="majorEastAsia" w:cstheme="majorBidi"/>
      <w:color w:val="595959" w:themeColor="text1" w:themeTint="A6"/>
      <w:spacing w:val="15"/>
      <w:kern w:val="0"/>
      <w:sz w:val="28"/>
      <w:szCs w:val="28"/>
      <w:lang w:eastAsia="en-GB"/>
      <w14:ligatures w14:val="none"/>
    </w:rPr>
  </w:style>
  <w:style w:type="paragraph" w:styleId="Quote">
    <w:name w:val="Quote"/>
    <w:basedOn w:val="Normal"/>
    <w:next w:val="Normal"/>
    <w:link w:val="QuoteChar"/>
    <w:uiPriority w:val="29"/>
    <w:qFormat/>
    <w:rsid w:val="008C1A4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C1A4C"/>
    <w:rPr>
      <w:rFonts w:ascii="Times New Roman" w:hAnsi="Times New Roman" w:cs="Times New Roman"/>
      <w:i/>
      <w:iCs/>
      <w:color w:val="404040" w:themeColor="text1" w:themeTint="BF"/>
      <w:kern w:val="0"/>
      <w:lang w:eastAsia="en-GB"/>
      <w14:ligatures w14:val="none"/>
    </w:rPr>
  </w:style>
  <w:style w:type="paragraph" w:styleId="ListParagraph">
    <w:name w:val="List Paragraph"/>
    <w:basedOn w:val="Normal"/>
    <w:uiPriority w:val="34"/>
    <w:qFormat/>
    <w:rsid w:val="008C1A4C"/>
    <w:pPr>
      <w:ind w:left="720"/>
      <w:contextualSpacing/>
    </w:pPr>
  </w:style>
  <w:style w:type="character" w:styleId="IntenseEmphasis">
    <w:name w:val="Intense Emphasis"/>
    <w:basedOn w:val="DefaultParagraphFont"/>
    <w:uiPriority w:val="21"/>
    <w:qFormat/>
    <w:rsid w:val="008C1A4C"/>
    <w:rPr>
      <w:i/>
      <w:iCs/>
      <w:color w:val="0F4761" w:themeColor="accent1" w:themeShade="BF"/>
    </w:rPr>
  </w:style>
  <w:style w:type="paragraph" w:styleId="IntenseQuote">
    <w:name w:val="Intense Quote"/>
    <w:basedOn w:val="Normal"/>
    <w:next w:val="Normal"/>
    <w:link w:val="IntenseQuoteChar"/>
    <w:uiPriority w:val="30"/>
    <w:qFormat/>
    <w:rsid w:val="008C1A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1A4C"/>
    <w:rPr>
      <w:rFonts w:ascii="Times New Roman" w:hAnsi="Times New Roman" w:cs="Times New Roman"/>
      <w:i/>
      <w:iCs/>
      <w:color w:val="0F4761" w:themeColor="accent1" w:themeShade="BF"/>
      <w:kern w:val="0"/>
      <w:lang w:eastAsia="en-GB"/>
      <w14:ligatures w14:val="none"/>
    </w:rPr>
  </w:style>
  <w:style w:type="character" w:styleId="IntenseReference">
    <w:name w:val="Intense Reference"/>
    <w:basedOn w:val="DefaultParagraphFont"/>
    <w:uiPriority w:val="32"/>
    <w:qFormat/>
    <w:rsid w:val="008C1A4C"/>
    <w:rPr>
      <w:b/>
      <w:bCs/>
      <w:smallCaps/>
      <w:color w:val="0F4761" w:themeColor="accent1" w:themeShade="BF"/>
      <w:spacing w:val="5"/>
    </w:rPr>
  </w:style>
  <w:style w:type="character" w:customStyle="1" w:styleId="bzpyqfadein">
    <w:name w:val="bz_pyq_fadein"/>
    <w:basedOn w:val="DefaultParagraphFont"/>
    <w:rsid w:val="006B3645"/>
  </w:style>
  <w:style w:type="paragraph" w:styleId="Caption">
    <w:name w:val="caption"/>
    <w:basedOn w:val="Normal"/>
    <w:next w:val="Normal"/>
    <w:uiPriority w:val="35"/>
    <w:unhideWhenUsed/>
    <w:qFormat/>
    <w:rsid w:val="00643F04"/>
    <w:pPr>
      <w:spacing w:after="200" w:line="240" w:lineRule="auto"/>
    </w:pPr>
    <w:rPr>
      <w:i/>
      <w:iCs/>
      <w:color w:val="0E2841" w:themeColor="text2"/>
      <w:sz w:val="18"/>
      <w:szCs w:val="18"/>
    </w:rPr>
  </w:style>
  <w:style w:type="character" w:styleId="Hyperlink">
    <w:name w:val="Hyperlink"/>
    <w:basedOn w:val="DefaultParagraphFont"/>
    <w:uiPriority w:val="99"/>
    <w:unhideWhenUsed/>
    <w:rsid w:val="0032564C"/>
    <w:rPr>
      <w:color w:val="0000FF"/>
      <w:u w:val="single"/>
    </w:rPr>
  </w:style>
  <w:style w:type="paragraph" w:styleId="NormalWeb">
    <w:name w:val="Normal (Web)"/>
    <w:basedOn w:val="Normal"/>
    <w:uiPriority w:val="99"/>
    <w:unhideWhenUsed/>
    <w:rsid w:val="00745C79"/>
    <w:pPr>
      <w:spacing w:before="100" w:beforeAutospacing="1" w:after="100" w:afterAutospacing="1" w:line="240" w:lineRule="auto"/>
      <w:jc w:val="left"/>
    </w:pPr>
  </w:style>
  <w:style w:type="character" w:customStyle="1" w:styleId="ng-star-inserted">
    <w:name w:val="ng-star-inserted"/>
    <w:basedOn w:val="DefaultParagraphFont"/>
    <w:rsid w:val="00270F02"/>
  </w:style>
  <w:style w:type="paragraph" w:styleId="Bibliography">
    <w:name w:val="Bibliography"/>
    <w:basedOn w:val="Normal"/>
    <w:next w:val="Normal"/>
    <w:uiPriority w:val="37"/>
    <w:unhideWhenUsed/>
    <w:rsid w:val="005F1147"/>
  </w:style>
  <w:style w:type="paragraph" w:styleId="Footer">
    <w:name w:val="footer"/>
    <w:basedOn w:val="Normal"/>
    <w:link w:val="FooterChar"/>
    <w:uiPriority w:val="99"/>
    <w:unhideWhenUsed/>
    <w:rsid w:val="005F1147"/>
    <w:pPr>
      <w:tabs>
        <w:tab w:val="center" w:pos="4513"/>
        <w:tab w:val="right" w:pos="9026"/>
      </w:tabs>
      <w:spacing w:line="240" w:lineRule="auto"/>
    </w:pPr>
  </w:style>
  <w:style w:type="character" w:customStyle="1" w:styleId="FooterChar">
    <w:name w:val="Footer Char"/>
    <w:basedOn w:val="DefaultParagraphFont"/>
    <w:link w:val="Footer"/>
    <w:uiPriority w:val="99"/>
    <w:rsid w:val="005F1147"/>
    <w:rPr>
      <w:rFonts w:ascii="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5F1147"/>
  </w:style>
  <w:style w:type="paragraph" w:styleId="TOCHeading">
    <w:name w:val="TOC Heading"/>
    <w:basedOn w:val="Heading1"/>
    <w:next w:val="Normal"/>
    <w:uiPriority w:val="39"/>
    <w:unhideWhenUsed/>
    <w:qFormat/>
    <w:rsid w:val="005F1147"/>
    <w:pPr>
      <w:numPr>
        <w:numId w:val="0"/>
      </w:numPr>
      <w:spacing w:before="480" w:after="0" w:line="276" w:lineRule="auto"/>
      <w:jc w:val="left"/>
      <w:outlineLvl w:val="9"/>
    </w:pPr>
    <w:rPr>
      <w:rFonts w:asciiTheme="majorHAnsi" w:hAnsiTheme="majorHAnsi"/>
      <w:b/>
      <w:bCs/>
      <w:szCs w:val="28"/>
      <w:lang w:val="en-US" w:eastAsia="en-US"/>
    </w:rPr>
  </w:style>
  <w:style w:type="paragraph" w:styleId="TOC1">
    <w:name w:val="toc 1"/>
    <w:basedOn w:val="Normal"/>
    <w:next w:val="Normal"/>
    <w:autoRedefine/>
    <w:uiPriority w:val="39"/>
    <w:unhideWhenUsed/>
    <w:rsid w:val="005F1147"/>
    <w:pPr>
      <w:spacing w:before="120"/>
      <w:jc w:val="left"/>
    </w:pPr>
    <w:rPr>
      <w:rFonts w:asciiTheme="minorHAnsi" w:hAnsiTheme="minorHAnsi"/>
      <w:b/>
      <w:bCs/>
      <w:i/>
      <w:iCs/>
    </w:rPr>
  </w:style>
  <w:style w:type="paragraph" w:styleId="TOC2">
    <w:name w:val="toc 2"/>
    <w:basedOn w:val="Normal"/>
    <w:next w:val="Normal"/>
    <w:autoRedefine/>
    <w:uiPriority w:val="39"/>
    <w:unhideWhenUsed/>
    <w:rsid w:val="005F1147"/>
    <w:pPr>
      <w:spacing w:before="120"/>
      <w:ind w:left="240"/>
      <w:jc w:val="left"/>
    </w:pPr>
    <w:rPr>
      <w:rFonts w:asciiTheme="minorHAnsi" w:hAnsiTheme="minorHAnsi"/>
      <w:b/>
      <w:bCs/>
      <w:sz w:val="22"/>
      <w:szCs w:val="22"/>
    </w:rPr>
  </w:style>
  <w:style w:type="paragraph" w:styleId="TOC3">
    <w:name w:val="toc 3"/>
    <w:basedOn w:val="Normal"/>
    <w:next w:val="Normal"/>
    <w:autoRedefine/>
    <w:uiPriority w:val="39"/>
    <w:semiHidden/>
    <w:unhideWhenUsed/>
    <w:rsid w:val="005F1147"/>
    <w:pPr>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5F1147"/>
    <w:pPr>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5F1147"/>
    <w:pPr>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5F1147"/>
    <w:pPr>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5F1147"/>
    <w:pPr>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5F1147"/>
    <w:pPr>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5F1147"/>
    <w:pPr>
      <w:ind w:left="1920"/>
      <w:jc w:val="left"/>
    </w:pPr>
    <w:rPr>
      <w:rFonts w:asciiTheme="minorHAnsi" w:hAnsiTheme="minorHAnsi"/>
      <w:sz w:val="20"/>
      <w:szCs w:val="20"/>
    </w:rPr>
  </w:style>
  <w:style w:type="paragraph" w:styleId="Header">
    <w:name w:val="header"/>
    <w:basedOn w:val="Normal"/>
    <w:link w:val="HeaderChar"/>
    <w:uiPriority w:val="99"/>
    <w:unhideWhenUsed/>
    <w:rsid w:val="002E6901"/>
    <w:pPr>
      <w:tabs>
        <w:tab w:val="center" w:pos="4513"/>
        <w:tab w:val="right" w:pos="9026"/>
      </w:tabs>
      <w:spacing w:line="240" w:lineRule="auto"/>
    </w:pPr>
  </w:style>
  <w:style w:type="character" w:customStyle="1" w:styleId="HeaderChar">
    <w:name w:val="Header Char"/>
    <w:basedOn w:val="DefaultParagraphFont"/>
    <w:link w:val="Header"/>
    <w:uiPriority w:val="99"/>
    <w:rsid w:val="002E6901"/>
    <w:rPr>
      <w:rFonts w:ascii="Times New Roman" w:hAnsi="Times New Roman" w:cs="Times New Roman"/>
      <w:kern w:val="0"/>
      <w:lang w:eastAsia="en-GB"/>
      <w14:ligatures w14:val="none"/>
    </w:rPr>
  </w:style>
  <w:style w:type="table" w:styleId="TableGrid">
    <w:name w:val="Table Grid"/>
    <w:basedOn w:val="TableNormal"/>
    <w:uiPriority w:val="39"/>
    <w:rsid w:val="007231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7231C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660121">
      <w:bodyDiv w:val="1"/>
      <w:marLeft w:val="0"/>
      <w:marRight w:val="0"/>
      <w:marTop w:val="0"/>
      <w:marBottom w:val="0"/>
      <w:divBdr>
        <w:top w:val="none" w:sz="0" w:space="0" w:color="auto"/>
        <w:left w:val="none" w:sz="0" w:space="0" w:color="auto"/>
        <w:bottom w:val="none" w:sz="0" w:space="0" w:color="auto"/>
        <w:right w:val="none" w:sz="0" w:space="0" w:color="auto"/>
      </w:divBdr>
    </w:div>
    <w:div w:id="75783846">
      <w:bodyDiv w:val="1"/>
      <w:marLeft w:val="0"/>
      <w:marRight w:val="0"/>
      <w:marTop w:val="0"/>
      <w:marBottom w:val="0"/>
      <w:divBdr>
        <w:top w:val="none" w:sz="0" w:space="0" w:color="auto"/>
        <w:left w:val="none" w:sz="0" w:space="0" w:color="auto"/>
        <w:bottom w:val="none" w:sz="0" w:space="0" w:color="auto"/>
        <w:right w:val="none" w:sz="0" w:space="0" w:color="auto"/>
      </w:divBdr>
    </w:div>
    <w:div w:id="127405040">
      <w:bodyDiv w:val="1"/>
      <w:marLeft w:val="0"/>
      <w:marRight w:val="0"/>
      <w:marTop w:val="0"/>
      <w:marBottom w:val="0"/>
      <w:divBdr>
        <w:top w:val="none" w:sz="0" w:space="0" w:color="auto"/>
        <w:left w:val="none" w:sz="0" w:space="0" w:color="auto"/>
        <w:bottom w:val="none" w:sz="0" w:space="0" w:color="auto"/>
        <w:right w:val="none" w:sz="0" w:space="0" w:color="auto"/>
      </w:divBdr>
    </w:div>
    <w:div w:id="160898079">
      <w:bodyDiv w:val="1"/>
      <w:marLeft w:val="0"/>
      <w:marRight w:val="0"/>
      <w:marTop w:val="0"/>
      <w:marBottom w:val="0"/>
      <w:divBdr>
        <w:top w:val="none" w:sz="0" w:space="0" w:color="auto"/>
        <w:left w:val="none" w:sz="0" w:space="0" w:color="auto"/>
        <w:bottom w:val="none" w:sz="0" w:space="0" w:color="auto"/>
        <w:right w:val="none" w:sz="0" w:space="0" w:color="auto"/>
      </w:divBdr>
    </w:div>
    <w:div w:id="305284102">
      <w:bodyDiv w:val="1"/>
      <w:marLeft w:val="0"/>
      <w:marRight w:val="0"/>
      <w:marTop w:val="0"/>
      <w:marBottom w:val="0"/>
      <w:divBdr>
        <w:top w:val="none" w:sz="0" w:space="0" w:color="auto"/>
        <w:left w:val="none" w:sz="0" w:space="0" w:color="auto"/>
        <w:bottom w:val="none" w:sz="0" w:space="0" w:color="auto"/>
        <w:right w:val="none" w:sz="0" w:space="0" w:color="auto"/>
      </w:divBdr>
    </w:div>
    <w:div w:id="334916349">
      <w:bodyDiv w:val="1"/>
      <w:marLeft w:val="0"/>
      <w:marRight w:val="0"/>
      <w:marTop w:val="0"/>
      <w:marBottom w:val="0"/>
      <w:divBdr>
        <w:top w:val="none" w:sz="0" w:space="0" w:color="auto"/>
        <w:left w:val="none" w:sz="0" w:space="0" w:color="auto"/>
        <w:bottom w:val="none" w:sz="0" w:space="0" w:color="auto"/>
        <w:right w:val="none" w:sz="0" w:space="0" w:color="auto"/>
      </w:divBdr>
    </w:div>
    <w:div w:id="401559575">
      <w:bodyDiv w:val="1"/>
      <w:marLeft w:val="0"/>
      <w:marRight w:val="0"/>
      <w:marTop w:val="0"/>
      <w:marBottom w:val="0"/>
      <w:divBdr>
        <w:top w:val="none" w:sz="0" w:space="0" w:color="auto"/>
        <w:left w:val="none" w:sz="0" w:space="0" w:color="auto"/>
        <w:bottom w:val="none" w:sz="0" w:space="0" w:color="auto"/>
        <w:right w:val="none" w:sz="0" w:space="0" w:color="auto"/>
      </w:divBdr>
    </w:div>
    <w:div w:id="413820095">
      <w:bodyDiv w:val="1"/>
      <w:marLeft w:val="0"/>
      <w:marRight w:val="0"/>
      <w:marTop w:val="0"/>
      <w:marBottom w:val="0"/>
      <w:divBdr>
        <w:top w:val="none" w:sz="0" w:space="0" w:color="auto"/>
        <w:left w:val="none" w:sz="0" w:space="0" w:color="auto"/>
        <w:bottom w:val="none" w:sz="0" w:space="0" w:color="auto"/>
        <w:right w:val="none" w:sz="0" w:space="0" w:color="auto"/>
      </w:divBdr>
    </w:div>
    <w:div w:id="461994587">
      <w:bodyDiv w:val="1"/>
      <w:marLeft w:val="0"/>
      <w:marRight w:val="0"/>
      <w:marTop w:val="0"/>
      <w:marBottom w:val="0"/>
      <w:divBdr>
        <w:top w:val="none" w:sz="0" w:space="0" w:color="auto"/>
        <w:left w:val="none" w:sz="0" w:space="0" w:color="auto"/>
        <w:bottom w:val="none" w:sz="0" w:space="0" w:color="auto"/>
        <w:right w:val="none" w:sz="0" w:space="0" w:color="auto"/>
      </w:divBdr>
    </w:div>
    <w:div w:id="501551055">
      <w:bodyDiv w:val="1"/>
      <w:marLeft w:val="0"/>
      <w:marRight w:val="0"/>
      <w:marTop w:val="0"/>
      <w:marBottom w:val="0"/>
      <w:divBdr>
        <w:top w:val="none" w:sz="0" w:space="0" w:color="auto"/>
        <w:left w:val="none" w:sz="0" w:space="0" w:color="auto"/>
        <w:bottom w:val="none" w:sz="0" w:space="0" w:color="auto"/>
        <w:right w:val="none" w:sz="0" w:space="0" w:color="auto"/>
      </w:divBdr>
    </w:div>
    <w:div w:id="576014176">
      <w:bodyDiv w:val="1"/>
      <w:marLeft w:val="0"/>
      <w:marRight w:val="0"/>
      <w:marTop w:val="0"/>
      <w:marBottom w:val="0"/>
      <w:divBdr>
        <w:top w:val="none" w:sz="0" w:space="0" w:color="auto"/>
        <w:left w:val="none" w:sz="0" w:space="0" w:color="auto"/>
        <w:bottom w:val="none" w:sz="0" w:space="0" w:color="auto"/>
        <w:right w:val="none" w:sz="0" w:space="0" w:color="auto"/>
      </w:divBdr>
    </w:div>
    <w:div w:id="632953531">
      <w:bodyDiv w:val="1"/>
      <w:marLeft w:val="0"/>
      <w:marRight w:val="0"/>
      <w:marTop w:val="0"/>
      <w:marBottom w:val="0"/>
      <w:divBdr>
        <w:top w:val="none" w:sz="0" w:space="0" w:color="auto"/>
        <w:left w:val="none" w:sz="0" w:space="0" w:color="auto"/>
        <w:bottom w:val="none" w:sz="0" w:space="0" w:color="auto"/>
        <w:right w:val="none" w:sz="0" w:space="0" w:color="auto"/>
      </w:divBdr>
    </w:div>
    <w:div w:id="635109744">
      <w:bodyDiv w:val="1"/>
      <w:marLeft w:val="0"/>
      <w:marRight w:val="0"/>
      <w:marTop w:val="0"/>
      <w:marBottom w:val="0"/>
      <w:divBdr>
        <w:top w:val="none" w:sz="0" w:space="0" w:color="auto"/>
        <w:left w:val="none" w:sz="0" w:space="0" w:color="auto"/>
        <w:bottom w:val="none" w:sz="0" w:space="0" w:color="auto"/>
        <w:right w:val="none" w:sz="0" w:space="0" w:color="auto"/>
      </w:divBdr>
    </w:div>
    <w:div w:id="636959456">
      <w:bodyDiv w:val="1"/>
      <w:marLeft w:val="0"/>
      <w:marRight w:val="0"/>
      <w:marTop w:val="0"/>
      <w:marBottom w:val="0"/>
      <w:divBdr>
        <w:top w:val="none" w:sz="0" w:space="0" w:color="auto"/>
        <w:left w:val="none" w:sz="0" w:space="0" w:color="auto"/>
        <w:bottom w:val="none" w:sz="0" w:space="0" w:color="auto"/>
        <w:right w:val="none" w:sz="0" w:space="0" w:color="auto"/>
      </w:divBdr>
    </w:div>
    <w:div w:id="644049707">
      <w:bodyDiv w:val="1"/>
      <w:marLeft w:val="0"/>
      <w:marRight w:val="0"/>
      <w:marTop w:val="0"/>
      <w:marBottom w:val="0"/>
      <w:divBdr>
        <w:top w:val="none" w:sz="0" w:space="0" w:color="auto"/>
        <w:left w:val="none" w:sz="0" w:space="0" w:color="auto"/>
        <w:bottom w:val="none" w:sz="0" w:space="0" w:color="auto"/>
        <w:right w:val="none" w:sz="0" w:space="0" w:color="auto"/>
      </w:divBdr>
    </w:div>
    <w:div w:id="645085804">
      <w:bodyDiv w:val="1"/>
      <w:marLeft w:val="0"/>
      <w:marRight w:val="0"/>
      <w:marTop w:val="0"/>
      <w:marBottom w:val="0"/>
      <w:divBdr>
        <w:top w:val="none" w:sz="0" w:space="0" w:color="auto"/>
        <w:left w:val="none" w:sz="0" w:space="0" w:color="auto"/>
        <w:bottom w:val="none" w:sz="0" w:space="0" w:color="auto"/>
        <w:right w:val="none" w:sz="0" w:space="0" w:color="auto"/>
      </w:divBdr>
    </w:div>
    <w:div w:id="647057327">
      <w:bodyDiv w:val="1"/>
      <w:marLeft w:val="0"/>
      <w:marRight w:val="0"/>
      <w:marTop w:val="0"/>
      <w:marBottom w:val="0"/>
      <w:divBdr>
        <w:top w:val="none" w:sz="0" w:space="0" w:color="auto"/>
        <w:left w:val="none" w:sz="0" w:space="0" w:color="auto"/>
        <w:bottom w:val="none" w:sz="0" w:space="0" w:color="auto"/>
        <w:right w:val="none" w:sz="0" w:space="0" w:color="auto"/>
      </w:divBdr>
    </w:div>
    <w:div w:id="720372120">
      <w:bodyDiv w:val="1"/>
      <w:marLeft w:val="0"/>
      <w:marRight w:val="0"/>
      <w:marTop w:val="0"/>
      <w:marBottom w:val="0"/>
      <w:divBdr>
        <w:top w:val="none" w:sz="0" w:space="0" w:color="auto"/>
        <w:left w:val="none" w:sz="0" w:space="0" w:color="auto"/>
        <w:bottom w:val="none" w:sz="0" w:space="0" w:color="auto"/>
        <w:right w:val="none" w:sz="0" w:space="0" w:color="auto"/>
      </w:divBdr>
    </w:div>
    <w:div w:id="756564108">
      <w:bodyDiv w:val="1"/>
      <w:marLeft w:val="0"/>
      <w:marRight w:val="0"/>
      <w:marTop w:val="0"/>
      <w:marBottom w:val="0"/>
      <w:divBdr>
        <w:top w:val="none" w:sz="0" w:space="0" w:color="auto"/>
        <w:left w:val="none" w:sz="0" w:space="0" w:color="auto"/>
        <w:bottom w:val="none" w:sz="0" w:space="0" w:color="auto"/>
        <w:right w:val="none" w:sz="0" w:space="0" w:color="auto"/>
      </w:divBdr>
    </w:div>
    <w:div w:id="776290063">
      <w:bodyDiv w:val="1"/>
      <w:marLeft w:val="0"/>
      <w:marRight w:val="0"/>
      <w:marTop w:val="0"/>
      <w:marBottom w:val="0"/>
      <w:divBdr>
        <w:top w:val="none" w:sz="0" w:space="0" w:color="auto"/>
        <w:left w:val="none" w:sz="0" w:space="0" w:color="auto"/>
        <w:bottom w:val="none" w:sz="0" w:space="0" w:color="auto"/>
        <w:right w:val="none" w:sz="0" w:space="0" w:color="auto"/>
      </w:divBdr>
    </w:div>
    <w:div w:id="802961947">
      <w:bodyDiv w:val="1"/>
      <w:marLeft w:val="0"/>
      <w:marRight w:val="0"/>
      <w:marTop w:val="0"/>
      <w:marBottom w:val="0"/>
      <w:divBdr>
        <w:top w:val="none" w:sz="0" w:space="0" w:color="auto"/>
        <w:left w:val="none" w:sz="0" w:space="0" w:color="auto"/>
        <w:bottom w:val="none" w:sz="0" w:space="0" w:color="auto"/>
        <w:right w:val="none" w:sz="0" w:space="0" w:color="auto"/>
      </w:divBdr>
    </w:div>
    <w:div w:id="914440493">
      <w:bodyDiv w:val="1"/>
      <w:marLeft w:val="0"/>
      <w:marRight w:val="0"/>
      <w:marTop w:val="0"/>
      <w:marBottom w:val="0"/>
      <w:divBdr>
        <w:top w:val="none" w:sz="0" w:space="0" w:color="auto"/>
        <w:left w:val="none" w:sz="0" w:space="0" w:color="auto"/>
        <w:bottom w:val="none" w:sz="0" w:space="0" w:color="auto"/>
        <w:right w:val="none" w:sz="0" w:space="0" w:color="auto"/>
      </w:divBdr>
    </w:div>
    <w:div w:id="933590239">
      <w:bodyDiv w:val="1"/>
      <w:marLeft w:val="0"/>
      <w:marRight w:val="0"/>
      <w:marTop w:val="0"/>
      <w:marBottom w:val="0"/>
      <w:divBdr>
        <w:top w:val="none" w:sz="0" w:space="0" w:color="auto"/>
        <w:left w:val="none" w:sz="0" w:space="0" w:color="auto"/>
        <w:bottom w:val="none" w:sz="0" w:space="0" w:color="auto"/>
        <w:right w:val="none" w:sz="0" w:space="0" w:color="auto"/>
      </w:divBdr>
    </w:div>
    <w:div w:id="967734942">
      <w:bodyDiv w:val="1"/>
      <w:marLeft w:val="0"/>
      <w:marRight w:val="0"/>
      <w:marTop w:val="0"/>
      <w:marBottom w:val="0"/>
      <w:divBdr>
        <w:top w:val="none" w:sz="0" w:space="0" w:color="auto"/>
        <w:left w:val="none" w:sz="0" w:space="0" w:color="auto"/>
        <w:bottom w:val="none" w:sz="0" w:space="0" w:color="auto"/>
        <w:right w:val="none" w:sz="0" w:space="0" w:color="auto"/>
      </w:divBdr>
    </w:div>
    <w:div w:id="982197546">
      <w:bodyDiv w:val="1"/>
      <w:marLeft w:val="0"/>
      <w:marRight w:val="0"/>
      <w:marTop w:val="0"/>
      <w:marBottom w:val="0"/>
      <w:divBdr>
        <w:top w:val="none" w:sz="0" w:space="0" w:color="auto"/>
        <w:left w:val="none" w:sz="0" w:space="0" w:color="auto"/>
        <w:bottom w:val="none" w:sz="0" w:space="0" w:color="auto"/>
        <w:right w:val="none" w:sz="0" w:space="0" w:color="auto"/>
      </w:divBdr>
    </w:div>
    <w:div w:id="993802721">
      <w:bodyDiv w:val="1"/>
      <w:marLeft w:val="0"/>
      <w:marRight w:val="0"/>
      <w:marTop w:val="0"/>
      <w:marBottom w:val="0"/>
      <w:divBdr>
        <w:top w:val="none" w:sz="0" w:space="0" w:color="auto"/>
        <w:left w:val="none" w:sz="0" w:space="0" w:color="auto"/>
        <w:bottom w:val="none" w:sz="0" w:space="0" w:color="auto"/>
        <w:right w:val="none" w:sz="0" w:space="0" w:color="auto"/>
      </w:divBdr>
    </w:div>
    <w:div w:id="1004674266">
      <w:bodyDiv w:val="1"/>
      <w:marLeft w:val="0"/>
      <w:marRight w:val="0"/>
      <w:marTop w:val="0"/>
      <w:marBottom w:val="0"/>
      <w:divBdr>
        <w:top w:val="none" w:sz="0" w:space="0" w:color="auto"/>
        <w:left w:val="none" w:sz="0" w:space="0" w:color="auto"/>
        <w:bottom w:val="none" w:sz="0" w:space="0" w:color="auto"/>
        <w:right w:val="none" w:sz="0" w:space="0" w:color="auto"/>
      </w:divBdr>
    </w:div>
    <w:div w:id="1029183609">
      <w:bodyDiv w:val="1"/>
      <w:marLeft w:val="0"/>
      <w:marRight w:val="0"/>
      <w:marTop w:val="0"/>
      <w:marBottom w:val="0"/>
      <w:divBdr>
        <w:top w:val="none" w:sz="0" w:space="0" w:color="auto"/>
        <w:left w:val="none" w:sz="0" w:space="0" w:color="auto"/>
        <w:bottom w:val="none" w:sz="0" w:space="0" w:color="auto"/>
        <w:right w:val="none" w:sz="0" w:space="0" w:color="auto"/>
      </w:divBdr>
    </w:div>
    <w:div w:id="1046492883">
      <w:bodyDiv w:val="1"/>
      <w:marLeft w:val="0"/>
      <w:marRight w:val="0"/>
      <w:marTop w:val="0"/>
      <w:marBottom w:val="0"/>
      <w:divBdr>
        <w:top w:val="none" w:sz="0" w:space="0" w:color="auto"/>
        <w:left w:val="none" w:sz="0" w:space="0" w:color="auto"/>
        <w:bottom w:val="none" w:sz="0" w:space="0" w:color="auto"/>
        <w:right w:val="none" w:sz="0" w:space="0" w:color="auto"/>
      </w:divBdr>
    </w:div>
    <w:div w:id="1060666869">
      <w:bodyDiv w:val="1"/>
      <w:marLeft w:val="0"/>
      <w:marRight w:val="0"/>
      <w:marTop w:val="0"/>
      <w:marBottom w:val="0"/>
      <w:divBdr>
        <w:top w:val="none" w:sz="0" w:space="0" w:color="auto"/>
        <w:left w:val="none" w:sz="0" w:space="0" w:color="auto"/>
        <w:bottom w:val="none" w:sz="0" w:space="0" w:color="auto"/>
        <w:right w:val="none" w:sz="0" w:space="0" w:color="auto"/>
      </w:divBdr>
    </w:div>
    <w:div w:id="1079207330">
      <w:bodyDiv w:val="1"/>
      <w:marLeft w:val="0"/>
      <w:marRight w:val="0"/>
      <w:marTop w:val="0"/>
      <w:marBottom w:val="0"/>
      <w:divBdr>
        <w:top w:val="none" w:sz="0" w:space="0" w:color="auto"/>
        <w:left w:val="none" w:sz="0" w:space="0" w:color="auto"/>
        <w:bottom w:val="none" w:sz="0" w:space="0" w:color="auto"/>
        <w:right w:val="none" w:sz="0" w:space="0" w:color="auto"/>
      </w:divBdr>
    </w:div>
    <w:div w:id="1175531802">
      <w:bodyDiv w:val="1"/>
      <w:marLeft w:val="0"/>
      <w:marRight w:val="0"/>
      <w:marTop w:val="0"/>
      <w:marBottom w:val="0"/>
      <w:divBdr>
        <w:top w:val="none" w:sz="0" w:space="0" w:color="auto"/>
        <w:left w:val="none" w:sz="0" w:space="0" w:color="auto"/>
        <w:bottom w:val="none" w:sz="0" w:space="0" w:color="auto"/>
        <w:right w:val="none" w:sz="0" w:space="0" w:color="auto"/>
      </w:divBdr>
    </w:div>
    <w:div w:id="1182352197">
      <w:bodyDiv w:val="1"/>
      <w:marLeft w:val="0"/>
      <w:marRight w:val="0"/>
      <w:marTop w:val="0"/>
      <w:marBottom w:val="0"/>
      <w:divBdr>
        <w:top w:val="none" w:sz="0" w:space="0" w:color="auto"/>
        <w:left w:val="none" w:sz="0" w:space="0" w:color="auto"/>
        <w:bottom w:val="none" w:sz="0" w:space="0" w:color="auto"/>
        <w:right w:val="none" w:sz="0" w:space="0" w:color="auto"/>
      </w:divBdr>
    </w:div>
    <w:div w:id="1236168195">
      <w:bodyDiv w:val="1"/>
      <w:marLeft w:val="0"/>
      <w:marRight w:val="0"/>
      <w:marTop w:val="0"/>
      <w:marBottom w:val="0"/>
      <w:divBdr>
        <w:top w:val="none" w:sz="0" w:space="0" w:color="auto"/>
        <w:left w:val="none" w:sz="0" w:space="0" w:color="auto"/>
        <w:bottom w:val="none" w:sz="0" w:space="0" w:color="auto"/>
        <w:right w:val="none" w:sz="0" w:space="0" w:color="auto"/>
      </w:divBdr>
    </w:div>
    <w:div w:id="1244922081">
      <w:bodyDiv w:val="1"/>
      <w:marLeft w:val="0"/>
      <w:marRight w:val="0"/>
      <w:marTop w:val="0"/>
      <w:marBottom w:val="0"/>
      <w:divBdr>
        <w:top w:val="none" w:sz="0" w:space="0" w:color="auto"/>
        <w:left w:val="none" w:sz="0" w:space="0" w:color="auto"/>
        <w:bottom w:val="none" w:sz="0" w:space="0" w:color="auto"/>
        <w:right w:val="none" w:sz="0" w:space="0" w:color="auto"/>
      </w:divBdr>
    </w:div>
    <w:div w:id="1317995507">
      <w:bodyDiv w:val="1"/>
      <w:marLeft w:val="0"/>
      <w:marRight w:val="0"/>
      <w:marTop w:val="0"/>
      <w:marBottom w:val="0"/>
      <w:divBdr>
        <w:top w:val="none" w:sz="0" w:space="0" w:color="auto"/>
        <w:left w:val="none" w:sz="0" w:space="0" w:color="auto"/>
        <w:bottom w:val="none" w:sz="0" w:space="0" w:color="auto"/>
        <w:right w:val="none" w:sz="0" w:space="0" w:color="auto"/>
      </w:divBdr>
    </w:div>
    <w:div w:id="1370059919">
      <w:bodyDiv w:val="1"/>
      <w:marLeft w:val="0"/>
      <w:marRight w:val="0"/>
      <w:marTop w:val="0"/>
      <w:marBottom w:val="0"/>
      <w:divBdr>
        <w:top w:val="none" w:sz="0" w:space="0" w:color="auto"/>
        <w:left w:val="none" w:sz="0" w:space="0" w:color="auto"/>
        <w:bottom w:val="none" w:sz="0" w:space="0" w:color="auto"/>
        <w:right w:val="none" w:sz="0" w:space="0" w:color="auto"/>
      </w:divBdr>
    </w:div>
    <w:div w:id="1406534591">
      <w:bodyDiv w:val="1"/>
      <w:marLeft w:val="0"/>
      <w:marRight w:val="0"/>
      <w:marTop w:val="0"/>
      <w:marBottom w:val="0"/>
      <w:divBdr>
        <w:top w:val="none" w:sz="0" w:space="0" w:color="auto"/>
        <w:left w:val="none" w:sz="0" w:space="0" w:color="auto"/>
        <w:bottom w:val="none" w:sz="0" w:space="0" w:color="auto"/>
        <w:right w:val="none" w:sz="0" w:space="0" w:color="auto"/>
      </w:divBdr>
    </w:div>
    <w:div w:id="1411929442">
      <w:bodyDiv w:val="1"/>
      <w:marLeft w:val="0"/>
      <w:marRight w:val="0"/>
      <w:marTop w:val="0"/>
      <w:marBottom w:val="0"/>
      <w:divBdr>
        <w:top w:val="none" w:sz="0" w:space="0" w:color="auto"/>
        <w:left w:val="none" w:sz="0" w:space="0" w:color="auto"/>
        <w:bottom w:val="none" w:sz="0" w:space="0" w:color="auto"/>
        <w:right w:val="none" w:sz="0" w:space="0" w:color="auto"/>
      </w:divBdr>
    </w:div>
    <w:div w:id="1424374966">
      <w:bodyDiv w:val="1"/>
      <w:marLeft w:val="0"/>
      <w:marRight w:val="0"/>
      <w:marTop w:val="0"/>
      <w:marBottom w:val="0"/>
      <w:divBdr>
        <w:top w:val="none" w:sz="0" w:space="0" w:color="auto"/>
        <w:left w:val="none" w:sz="0" w:space="0" w:color="auto"/>
        <w:bottom w:val="none" w:sz="0" w:space="0" w:color="auto"/>
        <w:right w:val="none" w:sz="0" w:space="0" w:color="auto"/>
      </w:divBdr>
    </w:div>
    <w:div w:id="1429887952">
      <w:bodyDiv w:val="1"/>
      <w:marLeft w:val="0"/>
      <w:marRight w:val="0"/>
      <w:marTop w:val="0"/>
      <w:marBottom w:val="0"/>
      <w:divBdr>
        <w:top w:val="none" w:sz="0" w:space="0" w:color="auto"/>
        <w:left w:val="none" w:sz="0" w:space="0" w:color="auto"/>
        <w:bottom w:val="none" w:sz="0" w:space="0" w:color="auto"/>
        <w:right w:val="none" w:sz="0" w:space="0" w:color="auto"/>
      </w:divBdr>
    </w:div>
    <w:div w:id="1456828924">
      <w:bodyDiv w:val="1"/>
      <w:marLeft w:val="0"/>
      <w:marRight w:val="0"/>
      <w:marTop w:val="0"/>
      <w:marBottom w:val="0"/>
      <w:divBdr>
        <w:top w:val="none" w:sz="0" w:space="0" w:color="auto"/>
        <w:left w:val="none" w:sz="0" w:space="0" w:color="auto"/>
        <w:bottom w:val="none" w:sz="0" w:space="0" w:color="auto"/>
        <w:right w:val="none" w:sz="0" w:space="0" w:color="auto"/>
      </w:divBdr>
    </w:div>
    <w:div w:id="1548107556">
      <w:bodyDiv w:val="1"/>
      <w:marLeft w:val="0"/>
      <w:marRight w:val="0"/>
      <w:marTop w:val="0"/>
      <w:marBottom w:val="0"/>
      <w:divBdr>
        <w:top w:val="none" w:sz="0" w:space="0" w:color="auto"/>
        <w:left w:val="none" w:sz="0" w:space="0" w:color="auto"/>
        <w:bottom w:val="none" w:sz="0" w:space="0" w:color="auto"/>
        <w:right w:val="none" w:sz="0" w:space="0" w:color="auto"/>
      </w:divBdr>
    </w:div>
    <w:div w:id="1554735547">
      <w:bodyDiv w:val="1"/>
      <w:marLeft w:val="0"/>
      <w:marRight w:val="0"/>
      <w:marTop w:val="0"/>
      <w:marBottom w:val="0"/>
      <w:divBdr>
        <w:top w:val="none" w:sz="0" w:space="0" w:color="auto"/>
        <w:left w:val="none" w:sz="0" w:space="0" w:color="auto"/>
        <w:bottom w:val="none" w:sz="0" w:space="0" w:color="auto"/>
        <w:right w:val="none" w:sz="0" w:space="0" w:color="auto"/>
      </w:divBdr>
    </w:div>
    <w:div w:id="1587574453">
      <w:bodyDiv w:val="1"/>
      <w:marLeft w:val="0"/>
      <w:marRight w:val="0"/>
      <w:marTop w:val="0"/>
      <w:marBottom w:val="0"/>
      <w:divBdr>
        <w:top w:val="none" w:sz="0" w:space="0" w:color="auto"/>
        <w:left w:val="none" w:sz="0" w:space="0" w:color="auto"/>
        <w:bottom w:val="none" w:sz="0" w:space="0" w:color="auto"/>
        <w:right w:val="none" w:sz="0" w:space="0" w:color="auto"/>
      </w:divBdr>
    </w:div>
    <w:div w:id="1603296996">
      <w:bodyDiv w:val="1"/>
      <w:marLeft w:val="0"/>
      <w:marRight w:val="0"/>
      <w:marTop w:val="0"/>
      <w:marBottom w:val="0"/>
      <w:divBdr>
        <w:top w:val="none" w:sz="0" w:space="0" w:color="auto"/>
        <w:left w:val="none" w:sz="0" w:space="0" w:color="auto"/>
        <w:bottom w:val="none" w:sz="0" w:space="0" w:color="auto"/>
        <w:right w:val="none" w:sz="0" w:space="0" w:color="auto"/>
      </w:divBdr>
    </w:div>
    <w:div w:id="1639607861">
      <w:bodyDiv w:val="1"/>
      <w:marLeft w:val="0"/>
      <w:marRight w:val="0"/>
      <w:marTop w:val="0"/>
      <w:marBottom w:val="0"/>
      <w:divBdr>
        <w:top w:val="none" w:sz="0" w:space="0" w:color="auto"/>
        <w:left w:val="none" w:sz="0" w:space="0" w:color="auto"/>
        <w:bottom w:val="none" w:sz="0" w:space="0" w:color="auto"/>
        <w:right w:val="none" w:sz="0" w:space="0" w:color="auto"/>
      </w:divBdr>
    </w:div>
    <w:div w:id="1656571915">
      <w:bodyDiv w:val="1"/>
      <w:marLeft w:val="0"/>
      <w:marRight w:val="0"/>
      <w:marTop w:val="0"/>
      <w:marBottom w:val="0"/>
      <w:divBdr>
        <w:top w:val="none" w:sz="0" w:space="0" w:color="auto"/>
        <w:left w:val="none" w:sz="0" w:space="0" w:color="auto"/>
        <w:bottom w:val="none" w:sz="0" w:space="0" w:color="auto"/>
        <w:right w:val="none" w:sz="0" w:space="0" w:color="auto"/>
      </w:divBdr>
    </w:div>
    <w:div w:id="1661613699">
      <w:bodyDiv w:val="1"/>
      <w:marLeft w:val="0"/>
      <w:marRight w:val="0"/>
      <w:marTop w:val="0"/>
      <w:marBottom w:val="0"/>
      <w:divBdr>
        <w:top w:val="none" w:sz="0" w:space="0" w:color="auto"/>
        <w:left w:val="none" w:sz="0" w:space="0" w:color="auto"/>
        <w:bottom w:val="none" w:sz="0" w:space="0" w:color="auto"/>
        <w:right w:val="none" w:sz="0" w:space="0" w:color="auto"/>
      </w:divBdr>
    </w:div>
    <w:div w:id="1678535091">
      <w:bodyDiv w:val="1"/>
      <w:marLeft w:val="0"/>
      <w:marRight w:val="0"/>
      <w:marTop w:val="0"/>
      <w:marBottom w:val="0"/>
      <w:divBdr>
        <w:top w:val="none" w:sz="0" w:space="0" w:color="auto"/>
        <w:left w:val="none" w:sz="0" w:space="0" w:color="auto"/>
        <w:bottom w:val="none" w:sz="0" w:space="0" w:color="auto"/>
        <w:right w:val="none" w:sz="0" w:space="0" w:color="auto"/>
      </w:divBdr>
    </w:div>
    <w:div w:id="1759983474">
      <w:bodyDiv w:val="1"/>
      <w:marLeft w:val="0"/>
      <w:marRight w:val="0"/>
      <w:marTop w:val="0"/>
      <w:marBottom w:val="0"/>
      <w:divBdr>
        <w:top w:val="none" w:sz="0" w:space="0" w:color="auto"/>
        <w:left w:val="none" w:sz="0" w:space="0" w:color="auto"/>
        <w:bottom w:val="none" w:sz="0" w:space="0" w:color="auto"/>
        <w:right w:val="none" w:sz="0" w:space="0" w:color="auto"/>
      </w:divBdr>
    </w:div>
    <w:div w:id="1796945703">
      <w:bodyDiv w:val="1"/>
      <w:marLeft w:val="0"/>
      <w:marRight w:val="0"/>
      <w:marTop w:val="0"/>
      <w:marBottom w:val="0"/>
      <w:divBdr>
        <w:top w:val="none" w:sz="0" w:space="0" w:color="auto"/>
        <w:left w:val="none" w:sz="0" w:space="0" w:color="auto"/>
        <w:bottom w:val="none" w:sz="0" w:space="0" w:color="auto"/>
        <w:right w:val="none" w:sz="0" w:space="0" w:color="auto"/>
      </w:divBdr>
    </w:div>
    <w:div w:id="1877430325">
      <w:bodyDiv w:val="1"/>
      <w:marLeft w:val="0"/>
      <w:marRight w:val="0"/>
      <w:marTop w:val="0"/>
      <w:marBottom w:val="0"/>
      <w:divBdr>
        <w:top w:val="none" w:sz="0" w:space="0" w:color="auto"/>
        <w:left w:val="none" w:sz="0" w:space="0" w:color="auto"/>
        <w:bottom w:val="none" w:sz="0" w:space="0" w:color="auto"/>
        <w:right w:val="none" w:sz="0" w:space="0" w:color="auto"/>
      </w:divBdr>
    </w:div>
    <w:div w:id="1891919888">
      <w:bodyDiv w:val="1"/>
      <w:marLeft w:val="0"/>
      <w:marRight w:val="0"/>
      <w:marTop w:val="0"/>
      <w:marBottom w:val="0"/>
      <w:divBdr>
        <w:top w:val="none" w:sz="0" w:space="0" w:color="auto"/>
        <w:left w:val="none" w:sz="0" w:space="0" w:color="auto"/>
        <w:bottom w:val="none" w:sz="0" w:space="0" w:color="auto"/>
        <w:right w:val="none" w:sz="0" w:space="0" w:color="auto"/>
      </w:divBdr>
    </w:div>
    <w:div w:id="1940332486">
      <w:bodyDiv w:val="1"/>
      <w:marLeft w:val="0"/>
      <w:marRight w:val="0"/>
      <w:marTop w:val="0"/>
      <w:marBottom w:val="0"/>
      <w:divBdr>
        <w:top w:val="none" w:sz="0" w:space="0" w:color="auto"/>
        <w:left w:val="none" w:sz="0" w:space="0" w:color="auto"/>
        <w:bottom w:val="none" w:sz="0" w:space="0" w:color="auto"/>
        <w:right w:val="none" w:sz="0" w:space="0" w:color="auto"/>
      </w:divBdr>
    </w:div>
    <w:div w:id="1988170879">
      <w:bodyDiv w:val="1"/>
      <w:marLeft w:val="0"/>
      <w:marRight w:val="0"/>
      <w:marTop w:val="0"/>
      <w:marBottom w:val="0"/>
      <w:divBdr>
        <w:top w:val="none" w:sz="0" w:space="0" w:color="auto"/>
        <w:left w:val="none" w:sz="0" w:space="0" w:color="auto"/>
        <w:bottom w:val="none" w:sz="0" w:space="0" w:color="auto"/>
        <w:right w:val="none" w:sz="0" w:space="0" w:color="auto"/>
      </w:divBdr>
    </w:div>
    <w:div w:id="2015061759">
      <w:bodyDiv w:val="1"/>
      <w:marLeft w:val="0"/>
      <w:marRight w:val="0"/>
      <w:marTop w:val="0"/>
      <w:marBottom w:val="0"/>
      <w:divBdr>
        <w:top w:val="none" w:sz="0" w:space="0" w:color="auto"/>
        <w:left w:val="none" w:sz="0" w:space="0" w:color="auto"/>
        <w:bottom w:val="none" w:sz="0" w:space="0" w:color="auto"/>
        <w:right w:val="none" w:sz="0" w:space="0" w:color="auto"/>
      </w:divBdr>
    </w:div>
    <w:div w:id="2018388238">
      <w:bodyDiv w:val="1"/>
      <w:marLeft w:val="0"/>
      <w:marRight w:val="0"/>
      <w:marTop w:val="0"/>
      <w:marBottom w:val="0"/>
      <w:divBdr>
        <w:top w:val="none" w:sz="0" w:space="0" w:color="auto"/>
        <w:left w:val="none" w:sz="0" w:space="0" w:color="auto"/>
        <w:bottom w:val="none" w:sz="0" w:space="0" w:color="auto"/>
        <w:right w:val="none" w:sz="0" w:space="0" w:color="auto"/>
      </w:divBdr>
    </w:div>
    <w:div w:id="2024283196">
      <w:bodyDiv w:val="1"/>
      <w:marLeft w:val="0"/>
      <w:marRight w:val="0"/>
      <w:marTop w:val="0"/>
      <w:marBottom w:val="0"/>
      <w:divBdr>
        <w:top w:val="none" w:sz="0" w:space="0" w:color="auto"/>
        <w:left w:val="none" w:sz="0" w:space="0" w:color="auto"/>
        <w:bottom w:val="none" w:sz="0" w:space="0" w:color="auto"/>
        <w:right w:val="none" w:sz="0" w:space="0" w:color="auto"/>
      </w:divBdr>
    </w:div>
    <w:div w:id="2138838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image" Target="media/image9.emf"/><Relationship Id="rId21" Type="http://schemas.openxmlformats.org/officeDocument/2006/relationships/image" Target="media/image4.emf"/><Relationship Id="rId34" Type="http://schemas.openxmlformats.org/officeDocument/2006/relationships/image" Target="media/image17.emf"/><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image" Target="media/image8.emf"/><Relationship Id="rId33" Type="http://schemas.openxmlformats.org/officeDocument/2006/relationships/image" Target="media/image16.emf"/><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image" Target="media/image3.emf"/><Relationship Id="rId29"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image" Target="media/image7.emf"/><Relationship Id="rId32" Type="http://schemas.openxmlformats.org/officeDocument/2006/relationships/image" Target="media/image15.emf"/><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image" Target="media/image6.emf"/><Relationship Id="rId28" Type="http://schemas.openxmlformats.org/officeDocument/2006/relationships/image" Target="media/image11.emf"/><Relationship Id="rId36" Type="http://schemas.openxmlformats.org/officeDocument/2006/relationships/footer" Target="footer2.xml"/><Relationship Id="rId10" Type="http://schemas.openxmlformats.org/officeDocument/2006/relationships/chart" Target="charts/chart1.xml"/><Relationship Id="rId19" Type="http://schemas.openxmlformats.org/officeDocument/2006/relationships/chart" Target="charts/chart10.xml"/><Relationship Id="rId31" Type="http://schemas.openxmlformats.org/officeDocument/2006/relationships/image" Target="media/image14.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chart" Target="charts/chart5.xml"/><Relationship Id="rId22" Type="http://schemas.openxmlformats.org/officeDocument/2006/relationships/image" Target="media/image5.png"/><Relationship Id="rId27" Type="http://schemas.openxmlformats.org/officeDocument/2006/relationships/image" Target="media/image10.emf"/><Relationship Id="rId30" Type="http://schemas.openxmlformats.org/officeDocument/2006/relationships/image" Target="media/image13.emf"/><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Users/rajpatel/Documents/Edumate/2026/Feb/X3.Namira%20Tesla%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rajpatel/Documents/Edumate/2026/Feb/X3.Namira%20Tesla%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rajpatel/Documents/Edumate/2026/Feb/X3.Namira%20Tesla%2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rajpatel/Documents/Edumate/2026/Feb/X3.Namira%20Tesla%20.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rajpatel/Documents/Edumate/2026/Feb/X3.Namira%20Tesla%20.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rajpatel/Documents/Edumate/2026/Feb/X3.Namira%20Tesla%20.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Users/rajpatel/Documents/Edumate/2026/Feb/X3.Namira%20Tesla%20.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Users/rajpatel/Documents/Edumate/2026/Feb/X3.Namira%20Tesla%20.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Users/rajpatel/Documents/Edumate/2026/Feb/X3.Namira%20Tesla%20.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Users/rajpatel/Documents/Edumate/2026/Feb/X3.Namira%20Tesla%20.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'Financial Data and Ratio Analys'!$A$17</c:f>
              <c:strCache>
                <c:ptCount val="1"/>
                <c:pt idx="0">
                  <c:v>Current Ratio</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'Financial Data and Ratio Analys'!$B$1:$F$1</c:f>
              <c:numCache>
                <c:formatCode>General</c:formatCode>
                <c:ptCount val="5"/>
                <c:pt idx="0">
                  <c:v>2020</c:v>
                </c:pt>
                <c:pt idx="1">
                  <c:v>2021</c:v>
                </c:pt>
                <c:pt idx="2">
                  <c:v>2022</c:v>
                </c:pt>
                <c:pt idx="3">
                  <c:v>2023</c:v>
                </c:pt>
                <c:pt idx="4">
                  <c:v>2024</c:v>
                </c:pt>
              </c:numCache>
            </c:numRef>
          </c:cat>
          <c:val>
            <c:numRef>
              <c:f>'Financial Data and Ratio Analys'!$B$17:$F$17</c:f>
              <c:numCache>
                <c:formatCode>0.00</c:formatCode>
                <c:ptCount val="5"/>
                <c:pt idx="0">
                  <c:v>1.8751403705783267</c:v>
                </c:pt>
                <c:pt idx="1">
                  <c:v>1.3752854605430094</c:v>
                </c:pt>
                <c:pt idx="2">
                  <c:v>1.53195552061103</c:v>
                </c:pt>
                <c:pt idx="3">
                  <c:v>1.7258939752330598</c:v>
                </c:pt>
                <c:pt idx="4">
                  <c:v>2.0249123902709831</c:v>
                </c:pt>
              </c:numCache>
            </c:numRef>
          </c:val>
          <c:extLst>
            <c:ext xmlns:c16="http://schemas.microsoft.com/office/drawing/2014/chart" uri="{C3380CC4-5D6E-409C-BE32-E72D297353CC}">
              <c16:uniqueId val="{00000000-7FF8-AC4E-94B0-16BFC735AFF2}"/>
            </c:ext>
          </c:extLst>
        </c:ser>
        <c:dLbls>
          <c:dLblPos val="inEnd"/>
          <c:showLegendKey val="0"/>
          <c:showVal val="1"/>
          <c:showCatName val="0"/>
          <c:showSerName val="0"/>
          <c:showPercent val="0"/>
          <c:showBubbleSize val="0"/>
        </c:dLbls>
        <c:gapWidth val="41"/>
        <c:axId val="1615428735"/>
        <c:axId val="1423092063"/>
      </c:barChart>
      <c:catAx>
        <c:axId val="161542873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423092063"/>
        <c:crosses val="autoZero"/>
        <c:auto val="1"/>
        <c:lblAlgn val="ctr"/>
        <c:lblOffset val="100"/>
        <c:noMultiLvlLbl val="0"/>
      </c:catAx>
      <c:valAx>
        <c:axId val="1423092063"/>
        <c:scaling>
          <c:orientation val="minMax"/>
        </c:scaling>
        <c:delete val="1"/>
        <c:axPos val="l"/>
        <c:numFmt formatCode="0.00" sourceLinked="1"/>
        <c:majorTickMark val="none"/>
        <c:minorTickMark val="none"/>
        <c:tickLblPos val="nextTo"/>
        <c:crossAx val="161542873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'Financial Data and Ratio Analys'!$A$18</c:f>
              <c:strCache>
                <c:ptCount val="1"/>
                <c:pt idx="0">
                  <c:v>Quick Ratio</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'Financial Data and Ratio Analys'!$B$1:$F$1</c:f>
              <c:numCache>
                <c:formatCode>General</c:formatCode>
                <c:ptCount val="5"/>
                <c:pt idx="0">
                  <c:v>2020</c:v>
                </c:pt>
                <c:pt idx="1">
                  <c:v>2021</c:v>
                </c:pt>
                <c:pt idx="2">
                  <c:v>2022</c:v>
                </c:pt>
                <c:pt idx="3">
                  <c:v>2023</c:v>
                </c:pt>
                <c:pt idx="4">
                  <c:v>2024</c:v>
                </c:pt>
              </c:numCache>
            </c:numRef>
          </c:cat>
          <c:val>
            <c:numRef>
              <c:f>'Financial Data and Ratio Analys'!$B$18:$F$18</c:f>
              <c:numCache>
                <c:formatCode>0.00</c:formatCode>
                <c:ptCount val="5"/>
                <c:pt idx="0">
                  <c:v>1.5873104997192589</c:v>
                </c:pt>
                <c:pt idx="1">
                  <c:v>1.0831261101243339</c:v>
                </c:pt>
                <c:pt idx="2">
                  <c:v>1.0512561308922086</c:v>
                </c:pt>
                <c:pt idx="3">
                  <c:v>1.2519131765688047</c:v>
                </c:pt>
                <c:pt idx="4">
                  <c:v>1.6079594739946568</c:v>
                </c:pt>
              </c:numCache>
            </c:numRef>
          </c:val>
          <c:extLst>
            <c:ext xmlns:c16="http://schemas.microsoft.com/office/drawing/2014/chart" uri="{C3380CC4-5D6E-409C-BE32-E72D297353CC}">
              <c16:uniqueId val="{00000000-5427-A945-89E2-4F5D234F56EF}"/>
            </c:ext>
          </c:extLst>
        </c:ser>
        <c:dLbls>
          <c:dLblPos val="inEnd"/>
          <c:showLegendKey val="0"/>
          <c:showVal val="1"/>
          <c:showCatName val="0"/>
          <c:showSerName val="0"/>
          <c:showPercent val="0"/>
          <c:showBubbleSize val="0"/>
        </c:dLbls>
        <c:gapWidth val="41"/>
        <c:axId val="1324968383"/>
        <c:axId val="1324945295"/>
      </c:barChart>
      <c:catAx>
        <c:axId val="132496838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324945295"/>
        <c:crosses val="autoZero"/>
        <c:auto val="1"/>
        <c:lblAlgn val="ctr"/>
        <c:lblOffset val="100"/>
        <c:noMultiLvlLbl val="0"/>
      </c:catAx>
      <c:valAx>
        <c:axId val="1324945295"/>
        <c:scaling>
          <c:orientation val="minMax"/>
        </c:scaling>
        <c:delete val="1"/>
        <c:axPos val="l"/>
        <c:numFmt formatCode="0.00" sourceLinked="1"/>
        <c:majorTickMark val="none"/>
        <c:minorTickMark val="none"/>
        <c:tickLblPos val="nextTo"/>
        <c:crossAx val="132496838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'Financial Data and Ratio Analys'!$A$24</c:f>
              <c:strCache>
                <c:ptCount val="1"/>
                <c:pt idx="0">
                  <c:v>Inventory Turnover</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'Financial Data and Ratio Analys'!$B$1:$F$1</c:f>
              <c:numCache>
                <c:formatCode>General</c:formatCode>
                <c:ptCount val="5"/>
                <c:pt idx="0">
                  <c:v>2020</c:v>
                </c:pt>
                <c:pt idx="1">
                  <c:v>2021</c:v>
                </c:pt>
                <c:pt idx="2">
                  <c:v>2022</c:v>
                </c:pt>
                <c:pt idx="3">
                  <c:v>2023</c:v>
                </c:pt>
                <c:pt idx="4">
                  <c:v>2024</c:v>
                </c:pt>
              </c:numCache>
            </c:numRef>
          </c:cat>
          <c:val>
            <c:numRef>
              <c:f>'Financial Data and Ratio Analys'!$B$24:$F$24</c:f>
              <c:numCache>
                <c:formatCode>0.00</c:formatCode>
                <c:ptCount val="5"/>
                <c:pt idx="0">
                  <c:v>7.6898317483540604</c:v>
                </c:pt>
                <c:pt idx="1">
                  <c:v>9.3491401771756131</c:v>
                </c:pt>
                <c:pt idx="2">
                  <c:v>6.3448866734169327</c:v>
                </c:pt>
                <c:pt idx="3">
                  <c:v>7.1020842506971968</c:v>
                </c:pt>
                <c:pt idx="4">
                  <c:v>8.1293168011983017</c:v>
                </c:pt>
              </c:numCache>
            </c:numRef>
          </c:val>
          <c:extLst>
            <c:ext xmlns:c16="http://schemas.microsoft.com/office/drawing/2014/chart" uri="{C3380CC4-5D6E-409C-BE32-E72D297353CC}">
              <c16:uniqueId val="{00000000-BBD7-024B-A15D-BE66AE5F2C47}"/>
            </c:ext>
          </c:extLst>
        </c:ser>
        <c:dLbls>
          <c:dLblPos val="inEnd"/>
          <c:showLegendKey val="0"/>
          <c:showVal val="1"/>
          <c:showCatName val="0"/>
          <c:showSerName val="0"/>
          <c:showPercent val="0"/>
          <c:showBubbleSize val="0"/>
        </c:dLbls>
        <c:gapWidth val="65"/>
        <c:axId val="1391368927"/>
        <c:axId val="1391370639"/>
      </c:barChart>
      <c:catAx>
        <c:axId val="1391368927"/>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391370639"/>
        <c:crosses val="autoZero"/>
        <c:auto val="1"/>
        <c:lblAlgn val="ctr"/>
        <c:lblOffset val="100"/>
        <c:noMultiLvlLbl val="0"/>
      </c:catAx>
      <c:valAx>
        <c:axId val="1391370639"/>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391368927"/>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'Financial Data and Ratio Analys'!$A$25</c:f>
              <c:strCache>
                <c:ptCount val="1"/>
                <c:pt idx="0">
                  <c:v>Receivable Turnover</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'Financial Data and Ratio Analys'!$B$1:$F$1</c:f>
              <c:numCache>
                <c:formatCode>General</c:formatCode>
                <c:ptCount val="5"/>
                <c:pt idx="0">
                  <c:v>2020</c:v>
                </c:pt>
                <c:pt idx="1">
                  <c:v>2021</c:v>
                </c:pt>
                <c:pt idx="2">
                  <c:v>2022</c:v>
                </c:pt>
                <c:pt idx="3">
                  <c:v>2023</c:v>
                </c:pt>
                <c:pt idx="4">
                  <c:v>2024</c:v>
                </c:pt>
              </c:numCache>
            </c:numRef>
          </c:cat>
          <c:val>
            <c:numRef>
              <c:f>'Financial Data and Ratio Analys'!$B$25:$F$25</c:f>
              <c:numCache>
                <c:formatCode>0.00</c:formatCode>
                <c:ptCount val="5"/>
                <c:pt idx="0">
                  <c:v>16.721102863202546</c:v>
                </c:pt>
                <c:pt idx="1">
                  <c:v>28.135389440669105</c:v>
                </c:pt>
                <c:pt idx="2">
                  <c:v>27.595528455284551</c:v>
                </c:pt>
                <c:pt idx="3">
                  <c:v>27.5863740022805</c:v>
                </c:pt>
                <c:pt idx="4">
                  <c:v>22.111815301041194</c:v>
                </c:pt>
              </c:numCache>
            </c:numRef>
          </c:val>
          <c:extLst>
            <c:ext xmlns:c16="http://schemas.microsoft.com/office/drawing/2014/chart" uri="{C3380CC4-5D6E-409C-BE32-E72D297353CC}">
              <c16:uniqueId val="{00000000-B783-4B49-AB0A-5167FEB8809E}"/>
            </c:ext>
          </c:extLst>
        </c:ser>
        <c:dLbls>
          <c:dLblPos val="inEnd"/>
          <c:showLegendKey val="0"/>
          <c:showVal val="1"/>
          <c:showCatName val="0"/>
          <c:showSerName val="0"/>
          <c:showPercent val="0"/>
          <c:showBubbleSize val="0"/>
        </c:dLbls>
        <c:gapWidth val="65"/>
        <c:axId val="1391315583"/>
        <c:axId val="1391317295"/>
      </c:barChart>
      <c:catAx>
        <c:axId val="1391315583"/>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391317295"/>
        <c:crosses val="autoZero"/>
        <c:auto val="1"/>
        <c:lblAlgn val="ctr"/>
        <c:lblOffset val="100"/>
        <c:noMultiLvlLbl val="0"/>
      </c:catAx>
      <c:valAx>
        <c:axId val="1391317295"/>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39131558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'Financial Data and Ratio Analys'!$A$26</c:f>
              <c:strCache>
                <c:ptCount val="1"/>
                <c:pt idx="0">
                  <c:v>Asset Turnover Ratio</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'Financial Data and Ratio Analys'!$B$1:$F$1</c:f>
              <c:numCache>
                <c:formatCode>General</c:formatCode>
                <c:ptCount val="5"/>
                <c:pt idx="0">
                  <c:v>2020</c:v>
                </c:pt>
                <c:pt idx="1">
                  <c:v>2021</c:v>
                </c:pt>
                <c:pt idx="2">
                  <c:v>2022</c:v>
                </c:pt>
                <c:pt idx="3">
                  <c:v>2023</c:v>
                </c:pt>
                <c:pt idx="4">
                  <c:v>2024</c:v>
                </c:pt>
              </c:numCache>
            </c:numRef>
          </c:cat>
          <c:val>
            <c:numRef>
              <c:f>'Financial Data and Ratio Analys'!$B$26:$F$26</c:f>
              <c:numCache>
                <c:formatCode>0.00</c:formatCode>
                <c:ptCount val="5"/>
                <c:pt idx="0">
                  <c:v>0.60474035437600671</c:v>
                </c:pt>
                <c:pt idx="1">
                  <c:v>0.86628253206933736</c:v>
                </c:pt>
                <c:pt idx="2">
                  <c:v>0.98936092691102528</c:v>
                </c:pt>
                <c:pt idx="3">
                  <c:v>0.90766099532911892</c:v>
                </c:pt>
                <c:pt idx="4">
                  <c:v>0.80027852871303351</c:v>
                </c:pt>
              </c:numCache>
            </c:numRef>
          </c:val>
          <c:extLst>
            <c:ext xmlns:c16="http://schemas.microsoft.com/office/drawing/2014/chart" uri="{C3380CC4-5D6E-409C-BE32-E72D297353CC}">
              <c16:uniqueId val="{00000000-6E2E-3F41-B6D2-18D7B90864DC}"/>
            </c:ext>
          </c:extLst>
        </c:ser>
        <c:dLbls>
          <c:dLblPos val="inEnd"/>
          <c:showLegendKey val="0"/>
          <c:showVal val="1"/>
          <c:showCatName val="0"/>
          <c:showSerName val="0"/>
          <c:showPercent val="0"/>
          <c:showBubbleSize val="0"/>
        </c:dLbls>
        <c:gapWidth val="65"/>
        <c:axId val="1370610479"/>
        <c:axId val="976350592"/>
      </c:barChart>
      <c:catAx>
        <c:axId val="1370610479"/>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976350592"/>
        <c:crosses val="autoZero"/>
        <c:auto val="1"/>
        <c:lblAlgn val="ctr"/>
        <c:lblOffset val="100"/>
        <c:noMultiLvlLbl val="0"/>
      </c:catAx>
      <c:valAx>
        <c:axId val="976350592"/>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37061047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'Financial Data and Ratio Analys'!$A$28</c:f>
              <c:strCache>
                <c:ptCount val="1"/>
                <c:pt idx="0">
                  <c:v>Debt-to-Equity </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'Financial Data and Ratio Analys'!$B$1:$F$1</c:f>
              <c:numCache>
                <c:formatCode>General</c:formatCode>
                <c:ptCount val="5"/>
                <c:pt idx="0">
                  <c:v>2020</c:v>
                </c:pt>
                <c:pt idx="1">
                  <c:v>2021</c:v>
                </c:pt>
                <c:pt idx="2">
                  <c:v>2022</c:v>
                </c:pt>
                <c:pt idx="3">
                  <c:v>2023</c:v>
                </c:pt>
                <c:pt idx="4">
                  <c:v>2024</c:v>
                </c:pt>
              </c:numCache>
            </c:numRef>
          </c:cat>
          <c:val>
            <c:numRef>
              <c:f>'Financial Data and Ratio Analys'!$B$28:$F$28</c:f>
              <c:numCache>
                <c:formatCode>0.00</c:formatCode>
                <c:ptCount val="5"/>
                <c:pt idx="0">
                  <c:v>1.2786501687289089</c:v>
                </c:pt>
                <c:pt idx="1">
                  <c:v>1.0118917486501706</c:v>
                </c:pt>
                <c:pt idx="2">
                  <c:v>0.81513958482462423</c:v>
                </c:pt>
                <c:pt idx="3">
                  <c:v>0.68667177571287163</c:v>
                </c:pt>
                <c:pt idx="4">
                  <c:v>0.66366765871655264</c:v>
                </c:pt>
              </c:numCache>
            </c:numRef>
          </c:val>
          <c:extLst>
            <c:ext xmlns:c16="http://schemas.microsoft.com/office/drawing/2014/chart" uri="{C3380CC4-5D6E-409C-BE32-E72D297353CC}">
              <c16:uniqueId val="{00000000-3D95-6C4B-87B6-3831CE27181F}"/>
            </c:ext>
          </c:extLst>
        </c:ser>
        <c:dLbls>
          <c:dLblPos val="inEnd"/>
          <c:showLegendKey val="0"/>
          <c:showVal val="1"/>
          <c:showCatName val="0"/>
          <c:showSerName val="0"/>
          <c:showPercent val="0"/>
          <c:showBubbleSize val="0"/>
        </c:dLbls>
        <c:gapWidth val="41"/>
        <c:axId val="1684909487"/>
        <c:axId val="1685165775"/>
      </c:barChart>
      <c:catAx>
        <c:axId val="168490948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1685165775"/>
        <c:crosses val="autoZero"/>
        <c:auto val="1"/>
        <c:lblAlgn val="ctr"/>
        <c:lblOffset val="100"/>
        <c:noMultiLvlLbl val="0"/>
      </c:catAx>
      <c:valAx>
        <c:axId val="1685165775"/>
        <c:scaling>
          <c:orientation val="minMax"/>
        </c:scaling>
        <c:delete val="1"/>
        <c:axPos val="l"/>
        <c:numFmt formatCode="0.00" sourceLinked="1"/>
        <c:majorTickMark val="none"/>
        <c:minorTickMark val="none"/>
        <c:tickLblPos val="nextTo"/>
        <c:crossAx val="1684909487"/>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'Financial Data and Ratio Analys'!$A$29</c:f>
              <c:strCache>
                <c:ptCount val="1"/>
                <c:pt idx="0">
                  <c:v>Debt Ratio</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'Financial Data and Ratio Analys'!$B$29:$F$29</c:f>
              <c:numCache>
                <c:formatCode>0.00%</c:formatCode>
                <c:ptCount val="5"/>
                <c:pt idx="0">
                  <c:v>0.54494899133236174</c:v>
                </c:pt>
                <c:pt idx="1">
                  <c:v>0.49167082454813216</c:v>
                </c:pt>
                <c:pt idx="2">
                  <c:v>0.44256600840438193</c:v>
                </c:pt>
                <c:pt idx="3">
                  <c:v>0.40339342324935751</c:v>
                </c:pt>
                <c:pt idx="4">
                  <c:v>0.39641189481445072</c:v>
                </c:pt>
              </c:numCache>
            </c:numRef>
          </c:val>
          <c:extLst>
            <c:ext xmlns:c16="http://schemas.microsoft.com/office/drawing/2014/chart" uri="{C3380CC4-5D6E-409C-BE32-E72D297353CC}">
              <c16:uniqueId val="{00000000-76D8-5347-B7B7-AE29CF6FBE50}"/>
            </c:ext>
          </c:extLst>
        </c:ser>
        <c:dLbls>
          <c:dLblPos val="inEnd"/>
          <c:showLegendKey val="0"/>
          <c:showVal val="1"/>
          <c:showCatName val="0"/>
          <c:showSerName val="0"/>
          <c:showPercent val="0"/>
          <c:showBubbleSize val="0"/>
        </c:dLbls>
        <c:gapWidth val="41"/>
        <c:axId val="1050407104"/>
        <c:axId val="821798064"/>
      </c:barChart>
      <c:catAx>
        <c:axId val="1050407104"/>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821798064"/>
        <c:crosses val="autoZero"/>
        <c:auto val="1"/>
        <c:lblAlgn val="ctr"/>
        <c:lblOffset val="100"/>
        <c:noMultiLvlLbl val="0"/>
      </c:catAx>
      <c:valAx>
        <c:axId val="821798064"/>
        <c:scaling>
          <c:orientation val="minMax"/>
        </c:scaling>
        <c:delete val="1"/>
        <c:axPos val="l"/>
        <c:numFmt formatCode="0.00%" sourceLinked="1"/>
        <c:majorTickMark val="none"/>
        <c:minorTickMark val="none"/>
        <c:tickLblPos val="nextTo"/>
        <c:crossAx val="105040710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'Financial Data and Ratio Analys'!$A$31</c:f>
              <c:strCache>
                <c:ptCount val="1"/>
                <c:pt idx="0">
                  <c:v>Earning Per Share</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'Financial Data and Ratio Analys'!$B$1:$F$1</c:f>
              <c:numCache>
                <c:formatCode>General</c:formatCode>
                <c:ptCount val="5"/>
                <c:pt idx="0">
                  <c:v>2020</c:v>
                </c:pt>
                <c:pt idx="1">
                  <c:v>2021</c:v>
                </c:pt>
                <c:pt idx="2">
                  <c:v>2022</c:v>
                </c:pt>
                <c:pt idx="3">
                  <c:v>2023</c:v>
                </c:pt>
                <c:pt idx="4">
                  <c:v>2024</c:v>
                </c:pt>
              </c:numCache>
            </c:numRef>
          </c:cat>
          <c:val>
            <c:numRef>
              <c:f>'Financial Data and Ratio Analys'!$B$31:$F$31</c:f>
              <c:numCache>
                <c:formatCode>0.00</c:formatCode>
                <c:ptCount val="5"/>
                <c:pt idx="0">
                  <c:v>0.2576840600428878</c:v>
                </c:pt>
                <c:pt idx="1">
                  <c:v>1.9074011490368368</c:v>
                </c:pt>
                <c:pt idx="2">
                  <c:v>4.0214057507987224</c:v>
                </c:pt>
                <c:pt idx="3">
                  <c:v>4.7177063642091994</c:v>
                </c:pt>
                <c:pt idx="4">
                  <c:v>2.2374100719424459</c:v>
                </c:pt>
              </c:numCache>
            </c:numRef>
          </c:val>
          <c:extLst>
            <c:ext xmlns:c16="http://schemas.microsoft.com/office/drawing/2014/chart" uri="{C3380CC4-5D6E-409C-BE32-E72D297353CC}">
              <c16:uniqueId val="{00000000-F988-7442-8D61-3834DF549A0E}"/>
            </c:ext>
          </c:extLst>
        </c:ser>
        <c:dLbls>
          <c:dLblPos val="outEnd"/>
          <c:showLegendKey val="0"/>
          <c:showVal val="1"/>
          <c:showCatName val="0"/>
          <c:showSerName val="0"/>
          <c:showPercent val="0"/>
          <c:showBubbleSize val="0"/>
        </c:dLbls>
        <c:gapWidth val="444"/>
        <c:overlap val="-90"/>
        <c:axId val="1685165359"/>
        <c:axId val="1614904463"/>
      </c:barChart>
      <c:catAx>
        <c:axId val="168516535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614904463"/>
        <c:crosses val="autoZero"/>
        <c:auto val="1"/>
        <c:lblAlgn val="ctr"/>
        <c:lblOffset val="100"/>
        <c:noMultiLvlLbl val="0"/>
      </c:catAx>
      <c:valAx>
        <c:axId val="1614904463"/>
        <c:scaling>
          <c:orientation val="minMax"/>
        </c:scaling>
        <c:delete val="1"/>
        <c:axPos val="l"/>
        <c:numFmt formatCode="0.00" sourceLinked="1"/>
        <c:majorTickMark val="none"/>
        <c:minorTickMark val="none"/>
        <c:tickLblPos val="nextTo"/>
        <c:crossAx val="168516535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'Financial Data and Ratio Analys'!$A$33</c:f>
              <c:strCache>
                <c:ptCount val="1"/>
                <c:pt idx="0">
                  <c:v>P/E</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'Financial Data and Ratio Analys'!$B$1:$F$1</c:f>
              <c:numCache>
                <c:formatCode>General</c:formatCode>
                <c:ptCount val="5"/>
                <c:pt idx="0">
                  <c:v>2020</c:v>
                </c:pt>
                <c:pt idx="1">
                  <c:v>2021</c:v>
                </c:pt>
                <c:pt idx="2">
                  <c:v>2022</c:v>
                </c:pt>
                <c:pt idx="3">
                  <c:v>2023</c:v>
                </c:pt>
                <c:pt idx="4">
                  <c:v>2024</c:v>
                </c:pt>
              </c:numCache>
            </c:numRef>
          </c:cat>
          <c:val>
            <c:numRef>
              <c:f>'Financial Data and Ratio Analys'!$B$33:$F$33</c:f>
              <c:numCache>
                <c:formatCode>0.00</c:formatCode>
                <c:ptCount val="5"/>
                <c:pt idx="0">
                  <c:v>940.88</c:v>
                </c:pt>
                <c:pt idx="1">
                  <c:v>188.37433155080211</c:v>
                </c:pt>
                <c:pt idx="2">
                  <c:v>30.641791044776124</c:v>
                </c:pt>
                <c:pt idx="3">
                  <c:v>52.532769556025364</c:v>
                </c:pt>
                <c:pt idx="4">
                  <c:v>181.09417040358744</c:v>
                </c:pt>
              </c:numCache>
            </c:numRef>
          </c:val>
          <c:extLst>
            <c:ext xmlns:c16="http://schemas.microsoft.com/office/drawing/2014/chart" uri="{C3380CC4-5D6E-409C-BE32-E72D297353CC}">
              <c16:uniqueId val="{00000000-3C1C-AA4F-B588-EACBCA0689D5}"/>
            </c:ext>
          </c:extLst>
        </c:ser>
        <c:dLbls>
          <c:dLblPos val="outEnd"/>
          <c:showLegendKey val="0"/>
          <c:showVal val="1"/>
          <c:showCatName val="0"/>
          <c:showSerName val="0"/>
          <c:showPercent val="0"/>
          <c:showBubbleSize val="0"/>
        </c:dLbls>
        <c:gapWidth val="444"/>
        <c:overlap val="-90"/>
        <c:axId val="985921936"/>
        <c:axId val="986032592"/>
      </c:barChart>
      <c:catAx>
        <c:axId val="98592193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986032592"/>
        <c:crosses val="autoZero"/>
        <c:auto val="1"/>
        <c:lblAlgn val="ctr"/>
        <c:lblOffset val="100"/>
        <c:noMultiLvlLbl val="0"/>
      </c:catAx>
      <c:valAx>
        <c:axId val="986032592"/>
        <c:scaling>
          <c:orientation val="minMax"/>
        </c:scaling>
        <c:delete val="1"/>
        <c:axPos val="l"/>
        <c:numFmt formatCode="0.00" sourceLinked="1"/>
        <c:majorTickMark val="none"/>
        <c:minorTickMark val="none"/>
        <c:tickLblPos val="nextTo"/>
        <c:crossAx val="98592193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'Financial Data and Ratio Analys'!$A$32</c:f>
              <c:strCache>
                <c:ptCount val="1"/>
                <c:pt idx="0">
                  <c:v>Earnings Yield</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'Financial Data and Ratio Analys'!$B$1:$F$1</c:f>
              <c:numCache>
                <c:formatCode>General</c:formatCode>
                <c:ptCount val="5"/>
                <c:pt idx="0">
                  <c:v>2020</c:v>
                </c:pt>
                <c:pt idx="1">
                  <c:v>2021</c:v>
                </c:pt>
                <c:pt idx="2">
                  <c:v>2022</c:v>
                </c:pt>
                <c:pt idx="3">
                  <c:v>2023</c:v>
                </c:pt>
                <c:pt idx="4">
                  <c:v>2024</c:v>
                </c:pt>
              </c:numCache>
            </c:numRef>
          </c:cat>
          <c:val>
            <c:numRef>
              <c:f>'Financial Data and Ratio Analys'!$B$32:$F$32</c:f>
              <c:numCache>
                <c:formatCode>0.00%</c:formatCode>
                <c:ptCount val="5"/>
                <c:pt idx="0">
                  <c:v>1.0628347929597824E-3</c:v>
                </c:pt>
                <c:pt idx="1">
                  <c:v>5.3085788905921768E-3</c:v>
                </c:pt>
                <c:pt idx="2">
                  <c:v>3.263516804676083E-2</c:v>
                </c:pt>
                <c:pt idx="3">
                  <c:v>1.903573728267869E-2</c:v>
                </c:pt>
                <c:pt idx="4">
                  <c:v>5.5219889064976229E-3</c:v>
                </c:pt>
              </c:numCache>
            </c:numRef>
          </c:val>
          <c:extLst>
            <c:ext xmlns:c16="http://schemas.microsoft.com/office/drawing/2014/chart" uri="{C3380CC4-5D6E-409C-BE32-E72D297353CC}">
              <c16:uniqueId val="{00000000-3323-6A48-A1CF-F25745CEA7F7}"/>
            </c:ext>
          </c:extLst>
        </c:ser>
        <c:dLbls>
          <c:dLblPos val="outEnd"/>
          <c:showLegendKey val="0"/>
          <c:showVal val="1"/>
          <c:showCatName val="0"/>
          <c:showSerName val="0"/>
          <c:showPercent val="0"/>
          <c:showBubbleSize val="0"/>
        </c:dLbls>
        <c:gapWidth val="444"/>
        <c:overlap val="-90"/>
        <c:axId val="985831040"/>
        <c:axId val="985832752"/>
      </c:barChart>
      <c:catAx>
        <c:axId val="98583104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985832752"/>
        <c:crosses val="autoZero"/>
        <c:auto val="1"/>
        <c:lblAlgn val="ctr"/>
        <c:lblOffset val="100"/>
        <c:noMultiLvlLbl val="0"/>
      </c:catAx>
      <c:valAx>
        <c:axId val="985832752"/>
        <c:scaling>
          <c:orientation val="minMax"/>
        </c:scaling>
        <c:delete val="1"/>
        <c:axPos val="l"/>
        <c:numFmt formatCode="0.00%" sourceLinked="1"/>
        <c:majorTickMark val="none"/>
        <c:minorTickMark val="none"/>
        <c:tickLblPos val="nextTo"/>
        <c:crossAx val="98583104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Ran22</b:Tag>
    <b:SourceType>JournalArticle</b:SourceType>
    <b:Guid>{EF0738A3-3605-2A46-B0D5-40E9ECC8EF3B}</b:Guid>
    <b:Author>
      <b:Author>
        <b:NameList>
          <b:Person>
            <b:Last>Westerfield</b:Last>
            <b:First>Randolph</b:First>
            <b:Middle>W.</b:Middle>
          </b:Person>
        </b:NameList>
      </b:Author>
    </b:Author>
    <b:Title>Fundamentals of CORPORATE FINANCE</b:Title>
    <b:JournalName>McGraw-Hill</b:JournalName>
    <b:Year>2022</b:Year>
    <b:RefOrder>6</b:RefOrder>
  </b:Source>
  <b:Source>
    <b:Tag>USE20</b:Tag>
    <b:SourceType>InternetSite</b:SourceType>
    <b:Guid>{1EEB61F4-E263-6A4A-9B7F-06F915460430}</b:Guid>
    <b:Title>UNITED STATES SECURITIES AND EXCHANGE COMMISSION Tesla Inc.</b:Title>
    <b:Year>2020</b:Year>
    <b:Author>
      <b:Author>
        <b:Corporate>USES</b:Corporate>
      </b:Author>
    </b:Author>
    <b:URL>https://www.annualreports.com/HostedData/AnnualReportArchive/t/NASDAQ_TSLA_2020.pdf</b:URL>
    <b:RefOrder>1</b:RefOrder>
  </b:Source>
  <b:Source>
    <b:Tag>USE22</b:Tag>
    <b:SourceType>InternetSite</b:SourceType>
    <b:Guid>{4B3EFD12-E66D-234A-B816-B7C4FFCAF717}</b:Guid>
    <b:Author>
      <b:Author>
        <b:Corporate>USES</b:Corporate>
      </b:Author>
    </b:Author>
    <b:Title>UNITED STATES SECURITIES AND EXCHANGE COMMISSION</b:Title>
    <b:URL>https://www.annualreports.com/HostedData/AnnualReportArchive/t/NASDAQ_TSLA_2022.pdf</b:URL>
    <b:Year>2022</b:Year>
    <b:RefOrder>2</b:RefOrder>
  </b:Source>
  <b:Source>
    <b:Tag>USE23</b:Tag>
    <b:SourceType>InternetSite</b:SourceType>
    <b:Guid>{2C203D65-B191-3A40-ABDD-1DBDB4C8DD66}</b:Guid>
    <b:Author>
      <b:Author>
        <b:Corporate>USES</b:Corporate>
      </b:Author>
    </b:Author>
    <b:Title>UNITED STATES SECURITIES AND EXCHANGE COMMISSION</b:Title>
    <b:URL>https://www.annualreports.com/HostedData/AnnualReportArchive/t/NASDAQ_TSLA_2023.pdf</b:URL>
    <b:Year>2023</b:Year>
    <b:RefOrder>3</b:RefOrder>
  </b:Source>
  <b:Source>
    <b:Tag>USE24</b:Tag>
    <b:SourceType>InternetSite</b:SourceType>
    <b:Guid>{7F875ABE-C07F-EF4B-BE50-544FBAAD42F2}</b:Guid>
    <b:Author>
      <b:Author>
        <b:Corporate>USEC</b:Corporate>
      </b:Author>
    </b:Author>
    <b:Title>UNITED STATES SECURITIES AND EXCHANGE COMMISSION</b:Title>
    <b:URL>https://www.annualreports.com/HostedData/AnnualReports/PDF/NASDAQ_TSLA_2024.pdf</b:URL>
    <b:Year>2024</b:Year>
    <b:RefOrder>4</b:RefOrder>
  </b:Source>
  <b:Source>
    <b:Tag>USE21</b:Tag>
    <b:SourceType>InternetSite</b:SourceType>
    <b:Guid>{5376FBA4-BE38-F741-806F-704B87FF6E55}</b:Guid>
    <b:Author>
      <b:Author>
        <b:Corporate>USES</b:Corporate>
      </b:Author>
    </b:Author>
    <b:Title>UNITED STATES SECURITIES AND EXCHANGE COMMISSION</b:Title>
    <b:URL>https://ir.tesla.com/_flysystem/s3/sec/000162828025003063/tsla-20241231-gen.pdf#:~:text=The%20following%20table%20summarizes%20our,Options</b:URL>
    <b:Year>2021</b:Year>
    <b:RefOrder>5</b:RefOrder>
  </b:Source>
  <b:Source>
    <b:Tag>Bri19</b:Tag>
    <b:SourceType>JournalArticle</b:SourceType>
    <b:Guid>{83B7570E-ED92-BE47-8829-7BF44930C712}</b:Guid>
    <b:Author>
      <b:Author>
        <b:NameList>
          <b:Person>
            <b:Last>Brigham</b:Last>
            <b:First>E.F.</b:First>
            <b:Middle>and Ehrhardt, M.C.</b:Middle>
          </b:Person>
        </b:NameList>
      </b:Author>
    </b:Author>
    <b:Title>Brigham, E.F. and Ehrhardt, M.C.</b:Title>
    <b:Year>2019</b:Year>
    <b:JournalName>Financial Management: Theory and Practice</b:JournalName>
    <b:RefOrder>7</b:RefOrder>
  </b:Source>
  <b:Source>
    <b:Tag>Oma162</b:Tag>
    <b:SourceType>JournalArticle</b:SourceType>
    <b:Guid>{F2D22F0E-0D2D-834A-BB03-22DABC4879CF}</b:Guid>
    <b:Author>
      <b:Author>
        <b:NameList>
          <b:Person>
            <b:Last>Durrah</b:Last>
            <b:First>Omar</b:First>
          </b:Person>
        </b:NameList>
      </b:Author>
    </b:Author>
    <b:Title>Exploring the Relationship between Liquidity Ratios and Indicators of Financial Performance: An Analytical Study on Food Industrial Companies Listed in Amman Bursa</b:Title>
    <b:JournalName>International Journal of Economics and Financial Issues</b:JournalName>
    <b:Year>2016</b:Year>
    <b:Volume>6</b:Volume>
    <b:Issue>2</b:Issue>
    <b:Pages>435-441</b:Pages>
    <b:RefOrder>8</b:RefOrder>
  </b:Source>
  <b:Source>
    <b:Tag>Sya24</b:Tag>
    <b:SourceType>JournalArticle</b:SourceType>
    <b:Guid>{85C3EA4A-A8EC-CD4F-99A6-D69C5CC3B4BF}</b:Guid>
    <b:Author>
      <b:Author>
        <b:NameList>
          <b:Person>
            <b:Last>Surachman</b:Last>
            <b:First>Syania</b:First>
            <b:Middle>Rosy</b:Middle>
          </b:Person>
        </b:NameList>
      </b:Author>
    </b:Author>
    <b:Title>Effect of Cash Turnover and Quick Ratio on Profitability: Study Of Multinational Companies Producing Chemicals (2019-2021 Period)</b:Title>
    <b:JournalName>Journal of Economics Management and Entrepreneurship </b:JournalName>
    <b:Year>2024</b:Year>
    <b:Volume>1</b:Volume>
    <b:Issue>2</b:Issue>
    <b:Pages>94-102</b:Pages>
    <b:RefOrder>26</b:RefOrder>
  </b:Source>
  <b:Source>
    <b:Tag>Atr21</b:Tag>
    <b:SourceType>JournalArticle</b:SourceType>
    <b:Guid>{C46C9F5B-7AF1-3744-B1B2-6C7313579408}</b:Guid>
    <b:Author>
      <b:Author>
        <b:NameList>
          <b:Person>
            <b:Last>Atrill</b:Last>
            <b:First>P.</b:First>
            <b:Middle>and McLaney, E.</b:Middle>
          </b:Person>
        </b:NameList>
      </b:Author>
    </b:Author>
    <b:Title>Accounting and Finance for Non-Specialists.</b:Title>
    <b:JournalName>Pearson</b:JournalName>
    <b:Year>2021</b:Year>
    <b:RefOrder>17</b:RefOrder>
  </b:Source>
  <b:Source>
    <b:Tag>Vas211</b:Tag>
    <b:SourceType>JournalArticle</b:SourceType>
    <b:Guid>{6AC26FF8-C32C-3946-8E4A-F3ED69D72930}</b:Guid>
    <b:Author>
      <b:Author>
        <b:NameList>
          <b:Person>
            <b:Last>Nukala</b:Last>
            <b:First>Vasishta</b:First>
            <b:Middle>Bhargava</b:Middle>
          </b:Person>
        </b:NameList>
      </b:Author>
    </b:Author>
    <b:Title>Role of debt-to-equity ratio in project investment valuation, assessing risk and return in capital markets</b:Title>
    <b:JournalName>Future Business Journal</b:JournalName>
    <b:Year>2021</b:Year>
    <b:RefOrder>9</b:RefOrder>
  </b:Source>
  <b:Source>
    <b:Tag>Cha244</b:Tag>
    <b:SourceType>JournalArticle</b:SourceType>
    <b:Guid>{8FD5CAAE-179F-BF42-ABB5-0A0B9CD1C459}</b:Guid>
    <b:Author>
      <b:Author>
        <b:NameList>
          <b:Person>
            <b:Last>Sovanhangmeas</b:Last>
            <b:First>Chap</b:First>
          </b:Person>
        </b:NameList>
      </b:Author>
    </b:Author>
    <b:Title>A Debt Risk Analysis of Automotive Enterprises</b:Title>
    <b:JournalName>Economics &amp; Management Information</b:JournalName>
    <b:Year>2024</b:Year>
    <b:RefOrder>10</b:RefOrder>
  </b:Source>
  <b:Source>
    <b:Tag>Gly09</b:Tag>
    <b:SourceType>JournalArticle</b:SourceType>
    <b:Guid>{867989BE-6B70-3A45-9C28-2E2BAA35EC75}</b:Guid>
    <b:Author>
      <b:Author>
        <b:NameList>
          <b:Person>
            <b:Last>Morris</b:Last>
            <b:First>Glynis</b:First>
            <b:Middle>D</b:Middle>
          </b:Person>
        </b:NameList>
      </b:Author>
    </b:Author>
    <b:Title>Chapter 19 - Management Accounting</b:Title>
    <b:JournalName> Finance Director's Handbook (Fifth edition)</b:JournalName>
    <b:Year>2009</b:Year>
    <b:Pages>765-778</b:Pages>
    <b:RefOrder>11</b:RefOrder>
  </b:Source>
  <b:Source>
    <b:Tag>Kad24</b:Tag>
    <b:SourceType>JournalArticle</b:SourceType>
    <b:Guid>{22B31152-1CD7-FC45-94E6-1F0CE8C0AE54}</b:Guid>
    <b:Author>
      <b:Author>
        <b:NameList>
          <b:Person>
            <b:Last>Ahmad</b:Last>
            <b:First>Kadhm</b:First>
            <b:Middle>Kamal</b:Middle>
          </b:Person>
        </b:NameList>
      </b:Author>
    </b:Author>
    <b:Title>The Impact of Operating Cash Flow on Corporate Profitability: Amman Stock Exchange case studyThe Impact of Operating Cash Flow on Corporate Profitability: Amman Stock Exchange case study</b:Title>
    <b:JournalName>Journal of Economics and Administrative Sciences </b:JournalName>
    <b:Year>2024</b:Year>
    <b:RefOrder>12</b:RefOrder>
  </b:Source>
  <b:Source>
    <b:Tag>Fah23</b:Tag>
    <b:SourceType>JournalArticle</b:SourceType>
    <b:Guid>{32444D8A-1A8B-604E-A493-E8D5C2702329}</b:Guid>
    <b:Author>
      <b:Author>
        <b:NameList>
          <b:Person>
            <b:Last>Laghari</b:Last>
            <b:First>Fahmida</b:First>
          </b:Person>
        </b:NameList>
      </b:Author>
    </b:Author>
    <b:Title>Cash flow management and its effect on firm performance: Empirical evidence on non-financial firms of China </b:Title>
    <b:JournalName>PLoS One.</b:JournalName>
    <b:Year>2023</b:Year>
    <b:Volume>18</b:Volume>
    <b:Issue>16</b:Issue>
    <b:RefOrder>13</b:RefOrder>
  </b:Source>
  <b:Source>
    <b:Tag>Hal24</b:Tag>
    <b:SourceType>JournalArticle</b:SourceType>
    <b:Guid>{3CE14A98-3ECD-2642-B158-80B9D8523574}</b:Guid>
    <b:Author>
      <b:Author>
        <b:NameList>
          <b:Person>
            <b:Last>Kiymaz</b:Last>
            <b:First>Halil</b:First>
          </b:Person>
        </b:NameList>
      </b:Author>
    </b:Author>
    <b:Title>Working capital management and firm performance: A comparative analysis of developed and emerging economies</b:Title>
    <b:JournalName>Borsa Istanbul Review</b:JournalName>
    <b:Year>2024</b:Year>
    <b:Volume>24</b:Volume>
    <b:Issue>3</b:Issue>
    <b:Pages>634-642</b:Pages>
    <b:RefOrder>14</b:RefOrder>
  </b:Source>
  <b:Source>
    <b:Tag>Fat221</b:Tag>
    <b:SourceType>JournalArticle</b:SourceType>
    <b:Guid>{3048F0DF-AF66-3644-AC66-71EF8A4ACBA9}</b:Guid>
    <b:Author>
      <b:Author>
        <b:NameList>
          <b:Person>
            <b:Last>Asman</b:Last>
            <b:First>Fathin</b:First>
            <b:Middle>Nabila</b:Middle>
          </b:Person>
        </b:NameList>
      </b:Author>
    </b:Author>
    <b:Title>Cash Conversion Cycle and Firm’s Performance</b:Title>
    <b:JournalName>International Journal of Academic Research in Business and Social Sciences </b:JournalName>
    <b:Year>2022</b:Year>
    <b:Volume>12</b:Volume>
    <b:Issue>11</b:Issue>
    <b:RefOrder>15</b:RefOrder>
  </b:Source>
  <b:Source>
    <b:Tag>Wah24</b:Tag>
    <b:SourceType>JournalArticle</b:SourceType>
    <b:Guid>{6D80F81C-8891-E54D-9FB5-C5ED0C6FC077}</b:Guid>
    <b:Author>
      <b:Author>
        <b:NameList>
          <b:Person>
            <b:Last>Yusuf</b:Last>
            <b:First>Wahyu</b:First>
            <b:Middle>Ersandi</b:Middle>
          </b:Person>
        </b:NameList>
      </b:Author>
    </b:Author>
    <b:Title>The Effect of Receivables Turnover, Inventory Turnover and Current Ratio on Profitability</b:Title>
    <b:JournalName>Jurnal Ilmiah Manajemen dan Bisnis</b:JournalName>
    <b:Year>2024</b:Year>
    <b:RefOrder>16</b:RefOrder>
  </b:Source>
  <b:Source>
    <b:Tag>Hus24</b:Tag>
    <b:SourceType>JournalArticle</b:SourceType>
    <b:Guid>{FED34336-21E8-7948-AA24-003AEC2FE135}</b:Guid>
    <b:Author>
      <b:Author>
        <b:NameList>
          <b:Person>
            <b:Last>Fahdil</b:Last>
            <b:First>Husam</b:First>
            <b:Middle>Nawfal</b:Middle>
          </b:Person>
        </b:NameList>
      </b:Author>
    </b:Author>
    <b:Title>Corporate Bankruptcy and Financial Restructuring</b:Title>
    <b:JournalName>Journal of Ecohumanism </b:JournalName>
    <b:Year>2024</b:Year>
    <b:Volume>3</b:Volume>
    <b:Issue>5</b:Issue>
    <b:Pages>234-248</b:Pages>
    <b:RefOrder>18</b:RefOrder>
  </b:Source>
  <b:Source>
    <b:Tag>Mik22</b:Tag>
    <b:SourceType>JournalArticle</b:SourceType>
    <b:Guid>{EE48D45A-4208-B448-A2B1-F95470FB3C8C}</b:Guid>
    <b:Author>
      <b:Author>
        <b:NameList>
          <b:Person>
            <b:Last>Burkart</b:Last>
            <b:First>Mike</b:First>
          </b:Person>
        </b:NameList>
      </b:Author>
    </b:Author>
    <b:Title>Equity Issuance Methods and Dilution</b:Title>
    <b:JournalName>The Review of Corporate Finance Studies </b:JournalName>
    <b:Year>2022</b:Year>
    <b:Volume>12</b:Volume>
    <b:Issue>1</b:Issue>
    <b:RefOrder>19</b:RefOrder>
  </b:Source>
  <b:Source>
    <b:Tag>Dun20</b:Tag>
    <b:SourceType>JournalArticle</b:SourceType>
    <b:Guid>{7857B760-8C83-864A-B9C9-8DCB03B9B3F4}</b:Guid>
    <b:Author>
      <b:Author>
        <b:NameList>
          <b:Person>
            <b:Last>Pham</b:Last>
            <b:First>Dung</b:First>
            <b:Middle>(June)</b:Middle>
          </b:Person>
        </b:NameList>
      </b:Author>
    </b:Author>
    <b:Title>Corporate Divestiture Decisions and Long-Run Performance</b:Title>
    <b:JournalName>Journal of Behavioral Finance </b:JournalName>
    <b:Year>2020</b:Year>
    <b:Volume>22</b:Volume>
    <b:Issue>2</b:Issue>
    <b:Pages>1-15</b:Pages>
    <b:RefOrder>20</b:RefOrder>
  </b:Source>
  <b:Source>
    <b:Tag>Dra20</b:Tag>
    <b:SourceType>JournalArticle</b:SourceType>
    <b:Guid>{6E4CA7E3-CD7C-C84E-866E-C7BFE3F65E16}</b:Guid>
    <b:Author>
      <b:Author>
        <b:NameList>
          <b:Person>
            <b:Last>Dubrovski</b:Last>
            <b:First>Drago</b:First>
          </b:Person>
        </b:NameList>
      </b:Author>
    </b:Author>
    <b:Title>Characteristics of Strategic Partnerships between Differently Successful Companies</b:Title>
    <b:JournalName>Journal of Financial Risk Management</b:JournalName>
    <b:Year>2020</b:Year>
    <b:Volume>9</b:Volume>
    <b:Issue>2</b:Issue>
    <b:RefOrder>21</b:RefOrder>
  </b:Source>
  <b:Source>
    <b:Tag>Tes14</b:Tag>
    <b:SourceType>InternetSite</b:SourceType>
    <b:Guid>{318D663C-D527-2044-B35C-59C2DB0F66D9}</b:Guid>
    <b:Title>Panasonic and Tesla Sign Agreement for the Gigafactory Globe Newswire</b:Title>
    <b:Year>2014</b:Year>
    <b:Author>
      <b:Author>
        <b:Corporate>Tesla</b:Corporate>
      </b:Author>
    </b:Author>
    <b:URL>https://ir.tesla.com/press-release/panasonic-and-tesla-sign-agreement-gigafactory</b:URL>
    <b:RefOrder>22</b:RefOrder>
  </b:Source>
  <b:Source>
    <b:Tag>Cel24</b:Tag>
    <b:SourceType>JournalArticle</b:SourceType>
    <b:Guid>{AF00511E-CA3C-064D-8A07-22824D00122D}</b:Guid>
    <b:Author>
      <b:Author>
        <b:NameList>
          <b:Person>
            <b:Last>Celestin</b:Last>
            <b:First>Prof</b:First>
            <b:Middle>Mbonigaba</b:Middle>
          </b:Person>
        </b:NameList>
      </b:Author>
    </b:Author>
    <b:Title>Analyzing the Role of Ethical Business Practices in Building Consumer Trust and Long-Term Brand Loyalty: Leveraging Corporate Ethics as a Competitive Advantage</b:Title>
    <b:Year>2024</b:Year>
    <b:RefOrder>23</b:RefOrder>
  </b:Source>
  <b:Source>
    <b:Tag>Abd251</b:Tag>
    <b:SourceType>JournalArticle</b:SourceType>
    <b:Guid>{2891D5B7-E1ED-5A4D-BE0E-34F7D422600D}</b:Guid>
    <b:Author>
      <b:Author>
        <b:NameList>
          <b:Person>
            <b:Last>Khaliq</b:Last>
            <b:First>Abdul</b:First>
          </b:Person>
        </b:NameList>
      </b:Author>
    </b:Author>
    <b:Title>Making the Right Choice: A Literature-Based Analysis on Investment Appraisal</b:Title>
    <b:JournalName>IRJEMS International Research Journal of Economics and Management Studies</b:JournalName>
    <b:Year>2025</b:Year>
    <b:Volume>4</b:Volume>
    <b:Issue>1</b:Issue>
    <b:RefOrder>24</b:RefOrder>
  </b:Source>
  <b:Source>
    <b:Tag>Ros20</b:Tag>
    <b:SourceType>JournalArticle</b:SourceType>
    <b:Guid>{5FD652D9-6533-514D-BD24-268966EF9760}</b:Guid>
    <b:Author>
      <b:Author>
        <b:NameList>
          <b:Person>
            <b:Last>Ross</b:Last>
            <b:First>S.A.,</b:First>
            <b:Middle>Westerfield, R.W. and Jaffe, J.F.</b:Middle>
          </b:Person>
        </b:NameList>
      </b:Author>
    </b:Author>
    <b:Title>Corporate Finance. </b:Title>
    <b:JournalName>13th Edition, McGraw-Hill Education.</b:JournalName>
    <b:Year>2020</b:Year>
    <b:RefOrder>25</b:RefOrder>
  </b:Source>
</b:Sources>
</file>

<file path=customXml/itemProps1.xml><?xml version="1.0" encoding="utf-8"?>
<ds:datastoreItem xmlns:ds="http://schemas.openxmlformats.org/officeDocument/2006/customXml" ds:itemID="{20F29476-9F49-DD45-BB22-2E52AA657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30</Pages>
  <Words>6319</Words>
  <Characters>34881</Characters>
  <Application>Microsoft Office Word</Application>
  <DocSecurity>0</DocSecurity>
  <Lines>645</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 Patel</dc:creator>
  <cp:keywords/>
  <dc:description/>
  <cp:lastModifiedBy>Raj Patel</cp:lastModifiedBy>
  <cp:revision>182</cp:revision>
  <dcterms:created xsi:type="dcterms:W3CDTF">2026-03-16T12:25:00Z</dcterms:created>
  <dcterms:modified xsi:type="dcterms:W3CDTF">2026-03-25T19:20:00Z</dcterms:modified>
</cp:coreProperties>
</file>