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F3E07" w14:textId="3FB236F2" w:rsidR="0097547A" w:rsidRDefault="0097547A">
      <w:pPr>
        <w:spacing w:after="360" w:line="360" w:lineRule="auto"/>
        <w:jc w:val="center"/>
        <w:rPr>
          <w:b/>
          <w:bCs/>
          <w:sz w:val="28"/>
          <w:szCs w:val="28"/>
        </w:rPr>
      </w:pPr>
    </w:p>
    <w:p w14:paraId="5658E770" w14:textId="1836FC65" w:rsidR="00AB19D9" w:rsidRDefault="00077A8F">
      <w:pPr>
        <w:spacing w:after="360" w:line="360" w:lineRule="auto"/>
        <w:jc w:val="center"/>
        <w:rPr>
          <w:b/>
          <w:bCs/>
          <w:sz w:val="28"/>
          <w:szCs w:val="28"/>
        </w:rPr>
      </w:pPr>
      <w:r>
        <w:rPr>
          <w:b/>
          <w:bCs/>
          <w:sz w:val="28"/>
          <w:szCs w:val="28"/>
        </w:rPr>
        <w:t xml:space="preserve">Student Name: </w:t>
      </w:r>
      <w:proofErr w:type="spellStart"/>
      <w:r>
        <w:rPr>
          <w:b/>
          <w:bCs/>
          <w:sz w:val="28"/>
          <w:szCs w:val="28"/>
        </w:rPr>
        <w:t>Mojisola</w:t>
      </w:r>
      <w:proofErr w:type="spellEnd"/>
      <w:r>
        <w:rPr>
          <w:b/>
          <w:bCs/>
          <w:sz w:val="28"/>
          <w:szCs w:val="28"/>
        </w:rPr>
        <w:t xml:space="preserve"> </w:t>
      </w:r>
      <w:proofErr w:type="spellStart"/>
      <w:r>
        <w:rPr>
          <w:b/>
          <w:bCs/>
          <w:sz w:val="28"/>
          <w:szCs w:val="28"/>
        </w:rPr>
        <w:t>Abatti</w:t>
      </w:r>
      <w:proofErr w:type="spellEnd"/>
      <w:r>
        <w:rPr>
          <w:b/>
          <w:bCs/>
          <w:sz w:val="28"/>
          <w:szCs w:val="28"/>
        </w:rPr>
        <w:t xml:space="preserve"> </w:t>
      </w:r>
    </w:p>
    <w:p w14:paraId="75E984E6" w14:textId="4077CA9B" w:rsidR="00E13A28" w:rsidRDefault="00E13A28">
      <w:pPr>
        <w:spacing w:after="360" w:line="360" w:lineRule="auto"/>
        <w:jc w:val="center"/>
        <w:rPr>
          <w:b/>
          <w:bCs/>
          <w:sz w:val="28"/>
          <w:szCs w:val="28"/>
        </w:rPr>
      </w:pPr>
      <w:r>
        <w:rPr>
          <w:b/>
          <w:bCs/>
          <w:sz w:val="28"/>
          <w:szCs w:val="28"/>
        </w:rPr>
        <w:t xml:space="preserve">ID: </w:t>
      </w:r>
      <w:r w:rsidR="009853F3">
        <w:rPr>
          <w:b/>
          <w:bCs/>
          <w:sz w:val="28"/>
          <w:szCs w:val="28"/>
        </w:rPr>
        <w:t xml:space="preserve">2515877 </w:t>
      </w:r>
    </w:p>
    <w:p w14:paraId="1871C92A" w14:textId="1A2698D4" w:rsidR="009853F3" w:rsidRDefault="009853F3">
      <w:pPr>
        <w:spacing w:after="360" w:line="360" w:lineRule="auto"/>
        <w:jc w:val="center"/>
        <w:rPr>
          <w:b/>
          <w:bCs/>
          <w:sz w:val="28"/>
          <w:szCs w:val="28"/>
        </w:rPr>
      </w:pPr>
      <w:r>
        <w:rPr>
          <w:b/>
          <w:bCs/>
          <w:sz w:val="28"/>
          <w:szCs w:val="28"/>
        </w:rPr>
        <w:t xml:space="preserve">Lecturer Name: Christiana </w:t>
      </w:r>
      <w:proofErr w:type="spellStart"/>
      <w:r>
        <w:rPr>
          <w:b/>
          <w:bCs/>
          <w:sz w:val="28"/>
          <w:szCs w:val="28"/>
        </w:rPr>
        <w:t>Melam</w:t>
      </w:r>
      <w:proofErr w:type="spellEnd"/>
      <w:r>
        <w:rPr>
          <w:b/>
          <w:bCs/>
          <w:sz w:val="28"/>
          <w:szCs w:val="28"/>
        </w:rPr>
        <w:t xml:space="preserve"> </w:t>
      </w:r>
    </w:p>
    <w:p w14:paraId="576D54A8" w14:textId="66A9AB18" w:rsidR="00970830" w:rsidRDefault="00970830" w:rsidP="00FF1BEA">
      <w:pPr>
        <w:spacing w:after="360" w:line="360" w:lineRule="auto"/>
        <w:jc w:val="center"/>
        <w:rPr>
          <w:b/>
          <w:bCs/>
          <w:sz w:val="28"/>
          <w:szCs w:val="28"/>
        </w:rPr>
      </w:pPr>
      <w:r>
        <w:rPr>
          <w:b/>
          <w:bCs/>
          <w:sz w:val="28"/>
          <w:szCs w:val="28"/>
        </w:rPr>
        <w:t xml:space="preserve">Topic: </w:t>
      </w:r>
      <w:r w:rsidRPr="00A46DEA">
        <w:rPr>
          <w:b/>
          <w:bCs/>
          <w:sz w:val="28"/>
          <w:szCs w:val="28"/>
        </w:rPr>
        <w:t>Communication, Record Keeping and Collaborative Practice in the Care of Mrs Thompson</w:t>
      </w:r>
      <w:r>
        <w:rPr>
          <w:b/>
          <w:bCs/>
          <w:sz w:val="28"/>
          <w:szCs w:val="28"/>
        </w:rPr>
        <w:t xml:space="preserve"> </w:t>
      </w:r>
      <w:r w:rsidR="00DA1143">
        <w:rPr>
          <w:b/>
          <w:bCs/>
          <w:sz w:val="28"/>
          <w:szCs w:val="28"/>
        </w:rPr>
        <w:t>(Report 2)</w:t>
      </w:r>
    </w:p>
    <w:p w14:paraId="25532A33" w14:textId="7D7D1619" w:rsidR="00F70B63" w:rsidRDefault="00141DDC" w:rsidP="00FF1BEA">
      <w:pPr>
        <w:spacing w:after="360" w:line="360" w:lineRule="auto"/>
        <w:jc w:val="center"/>
        <w:rPr>
          <w:b/>
          <w:bCs/>
          <w:sz w:val="28"/>
          <w:szCs w:val="28"/>
        </w:rPr>
      </w:pPr>
      <w:r>
        <w:rPr>
          <w:b/>
          <w:bCs/>
          <w:sz w:val="28"/>
          <w:szCs w:val="28"/>
        </w:rPr>
        <w:t>Course Title:</w:t>
      </w:r>
      <w:r w:rsidR="00216290">
        <w:rPr>
          <w:b/>
          <w:bCs/>
          <w:sz w:val="28"/>
          <w:szCs w:val="28"/>
        </w:rPr>
        <w:t xml:space="preserve"> LCHS4003 </w:t>
      </w:r>
    </w:p>
    <w:p w14:paraId="3289C890" w14:textId="6715AE1C" w:rsidR="00141DDC" w:rsidRDefault="008F486D" w:rsidP="00FF1BEA">
      <w:pPr>
        <w:spacing w:after="360" w:line="360" w:lineRule="auto"/>
        <w:jc w:val="center"/>
        <w:rPr>
          <w:b/>
          <w:bCs/>
          <w:sz w:val="28"/>
          <w:szCs w:val="28"/>
        </w:rPr>
      </w:pPr>
      <w:r>
        <w:rPr>
          <w:b/>
          <w:bCs/>
          <w:sz w:val="28"/>
          <w:szCs w:val="28"/>
        </w:rPr>
        <w:t xml:space="preserve">Course Name: Introduction to Health and Social </w:t>
      </w:r>
      <w:r w:rsidR="00216290">
        <w:rPr>
          <w:b/>
          <w:bCs/>
          <w:sz w:val="28"/>
          <w:szCs w:val="28"/>
        </w:rPr>
        <w:t xml:space="preserve">Care </w:t>
      </w:r>
    </w:p>
    <w:p w14:paraId="069635AB" w14:textId="18559E21" w:rsidR="009853F3" w:rsidRDefault="009853F3">
      <w:pPr>
        <w:spacing w:after="360" w:line="360" w:lineRule="auto"/>
        <w:jc w:val="center"/>
        <w:rPr>
          <w:b/>
          <w:bCs/>
          <w:sz w:val="28"/>
          <w:szCs w:val="28"/>
        </w:rPr>
      </w:pPr>
    </w:p>
    <w:p w14:paraId="0425EEE7" w14:textId="77777777" w:rsidR="00897870" w:rsidRDefault="00897870">
      <w:pPr>
        <w:spacing w:after="360" w:line="360" w:lineRule="auto"/>
        <w:jc w:val="center"/>
        <w:rPr>
          <w:b/>
          <w:bCs/>
          <w:sz w:val="28"/>
          <w:szCs w:val="28"/>
        </w:rPr>
      </w:pPr>
    </w:p>
    <w:p w14:paraId="7BE4DDD2" w14:textId="77777777" w:rsidR="00DD37AE" w:rsidRDefault="00DD37AE">
      <w:pPr>
        <w:spacing w:after="360" w:line="360" w:lineRule="auto"/>
        <w:jc w:val="center"/>
        <w:rPr>
          <w:b/>
          <w:bCs/>
          <w:sz w:val="28"/>
          <w:szCs w:val="28"/>
        </w:rPr>
      </w:pPr>
    </w:p>
    <w:p w14:paraId="2E5673D1" w14:textId="77777777" w:rsidR="00DD37AE" w:rsidRPr="00A46DEA" w:rsidRDefault="00DD37AE">
      <w:pPr>
        <w:spacing w:after="360" w:line="360" w:lineRule="auto"/>
        <w:jc w:val="center"/>
      </w:pPr>
    </w:p>
    <w:p w14:paraId="6AB96DD8" w14:textId="77777777" w:rsidR="00B30BA0" w:rsidRDefault="00B30BA0">
      <w:pPr>
        <w:rPr>
          <w:b/>
          <w:bCs/>
          <w:color w:val="000000"/>
          <w:sz w:val="24"/>
          <w:szCs w:val="24"/>
        </w:rPr>
      </w:pPr>
      <w:r>
        <w:br w:type="page"/>
      </w:r>
    </w:p>
    <w:sdt>
      <w:sdtPr>
        <w:rPr>
          <w:rFonts w:ascii="Arial" w:eastAsia="Arial" w:hAnsi="Arial" w:cs="Arial"/>
          <w:color w:val="auto"/>
          <w:sz w:val="22"/>
          <w:szCs w:val="22"/>
          <w:lang w:val="en-GB" w:eastAsia="en-GB"/>
        </w:rPr>
        <w:id w:val="-1413163770"/>
        <w:docPartObj>
          <w:docPartGallery w:val="Table of Contents"/>
          <w:docPartUnique/>
        </w:docPartObj>
      </w:sdtPr>
      <w:sdtEndPr>
        <w:rPr>
          <w:b/>
          <w:bCs/>
          <w:noProof/>
        </w:rPr>
      </w:sdtEndPr>
      <w:sdtContent>
        <w:p w14:paraId="1D2372BA" w14:textId="71C962DB" w:rsidR="006A5889" w:rsidRPr="006A5889" w:rsidRDefault="006A5889" w:rsidP="006A5889">
          <w:pPr>
            <w:pStyle w:val="TOCHeading"/>
            <w:spacing w:line="480" w:lineRule="auto"/>
            <w:jc w:val="center"/>
            <w:rPr>
              <w:rFonts w:ascii="Arial" w:hAnsi="Arial" w:cs="Arial"/>
              <w:b/>
              <w:bCs/>
              <w:color w:val="auto"/>
            </w:rPr>
          </w:pPr>
          <w:r w:rsidRPr="006A5889">
            <w:rPr>
              <w:rFonts w:ascii="Arial" w:hAnsi="Arial" w:cs="Arial"/>
              <w:b/>
              <w:bCs/>
              <w:color w:val="auto"/>
            </w:rPr>
            <w:t>Table of Contents</w:t>
          </w:r>
        </w:p>
        <w:p w14:paraId="40EB3852" w14:textId="7536D6EA" w:rsidR="006A5889" w:rsidRPr="006A5889" w:rsidRDefault="006A5889" w:rsidP="006A5889">
          <w:pPr>
            <w:pStyle w:val="TOC1"/>
            <w:tabs>
              <w:tab w:val="right" w:leader="dot" w:pos="9016"/>
            </w:tabs>
            <w:spacing w:line="480" w:lineRule="auto"/>
            <w:rPr>
              <w:noProof/>
            </w:rPr>
          </w:pPr>
          <w:r w:rsidRPr="006A5889">
            <w:fldChar w:fldCharType="begin"/>
          </w:r>
          <w:r w:rsidRPr="006A5889">
            <w:instrText xml:space="preserve"> TOC \o "1-3" \h \z \u </w:instrText>
          </w:r>
          <w:r w:rsidRPr="006A5889">
            <w:fldChar w:fldCharType="separate"/>
          </w:r>
          <w:hyperlink w:anchor="_Toc237531506" w:history="1">
            <w:r w:rsidRPr="006A5889">
              <w:rPr>
                <w:rStyle w:val="Hyperlink"/>
                <w:noProof/>
                <w:color w:val="auto"/>
              </w:rPr>
              <w:t>Introduction</w:t>
            </w:r>
            <w:r w:rsidRPr="006A5889">
              <w:rPr>
                <w:noProof/>
                <w:webHidden/>
              </w:rPr>
              <w:tab/>
            </w:r>
            <w:r w:rsidRPr="006A5889">
              <w:rPr>
                <w:noProof/>
                <w:webHidden/>
              </w:rPr>
              <w:fldChar w:fldCharType="begin"/>
            </w:r>
            <w:r w:rsidRPr="006A5889">
              <w:rPr>
                <w:noProof/>
                <w:webHidden/>
              </w:rPr>
              <w:instrText xml:space="preserve"> PAGEREF _Toc237531506 \h </w:instrText>
            </w:r>
            <w:r w:rsidRPr="006A5889">
              <w:rPr>
                <w:noProof/>
                <w:webHidden/>
              </w:rPr>
            </w:r>
            <w:r w:rsidRPr="006A5889">
              <w:rPr>
                <w:noProof/>
                <w:webHidden/>
              </w:rPr>
              <w:fldChar w:fldCharType="separate"/>
            </w:r>
            <w:r w:rsidRPr="006A5889">
              <w:rPr>
                <w:noProof/>
                <w:webHidden/>
              </w:rPr>
              <w:t>3</w:t>
            </w:r>
            <w:r w:rsidRPr="006A5889">
              <w:rPr>
                <w:noProof/>
                <w:webHidden/>
              </w:rPr>
              <w:fldChar w:fldCharType="end"/>
            </w:r>
          </w:hyperlink>
        </w:p>
        <w:p w14:paraId="1ADC6FCB" w14:textId="489684F9" w:rsidR="006A5889" w:rsidRPr="006A5889" w:rsidRDefault="006A5889" w:rsidP="006A5889">
          <w:pPr>
            <w:pStyle w:val="TOC1"/>
            <w:tabs>
              <w:tab w:val="right" w:leader="dot" w:pos="9016"/>
            </w:tabs>
            <w:spacing w:line="480" w:lineRule="auto"/>
            <w:rPr>
              <w:noProof/>
            </w:rPr>
          </w:pPr>
          <w:hyperlink w:anchor="_Toc237531507" w:history="1">
            <w:r w:rsidRPr="006A5889">
              <w:rPr>
                <w:rStyle w:val="Hyperlink"/>
                <w:noProof/>
                <w:color w:val="auto"/>
              </w:rPr>
              <w:t>1. Effective Communication in Mrs Thompson's Care</w:t>
            </w:r>
            <w:r w:rsidRPr="006A5889">
              <w:rPr>
                <w:noProof/>
                <w:webHidden/>
              </w:rPr>
              <w:tab/>
            </w:r>
            <w:r w:rsidRPr="006A5889">
              <w:rPr>
                <w:noProof/>
                <w:webHidden/>
              </w:rPr>
              <w:fldChar w:fldCharType="begin"/>
            </w:r>
            <w:r w:rsidRPr="006A5889">
              <w:rPr>
                <w:noProof/>
                <w:webHidden/>
              </w:rPr>
              <w:instrText xml:space="preserve"> PAGEREF _Toc237531507 \h </w:instrText>
            </w:r>
            <w:r w:rsidRPr="006A5889">
              <w:rPr>
                <w:noProof/>
                <w:webHidden/>
              </w:rPr>
            </w:r>
            <w:r w:rsidRPr="006A5889">
              <w:rPr>
                <w:noProof/>
                <w:webHidden/>
              </w:rPr>
              <w:fldChar w:fldCharType="separate"/>
            </w:r>
            <w:r w:rsidRPr="006A5889">
              <w:rPr>
                <w:noProof/>
                <w:webHidden/>
              </w:rPr>
              <w:t>3</w:t>
            </w:r>
            <w:r w:rsidRPr="006A5889">
              <w:rPr>
                <w:noProof/>
                <w:webHidden/>
              </w:rPr>
              <w:fldChar w:fldCharType="end"/>
            </w:r>
          </w:hyperlink>
        </w:p>
        <w:p w14:paraId="15B97599" w14:textId="079C81E1" w:rsidR="006A5889" w:rsidRPr="006A5889" w:rsidRDefault="006A5889" w:rsidP="006A5889">
          <w:pPr>
            <w:pStyle w:val="TOC1"/>
            <w:tabs>
              <w:tab w:val="right" w:leader="dot" w:pos="9016"/>
            </w:tabs>
            <w:spacing w:line="480" w:lineRule="auto"/>
            <w:rPr>
              <w:noProof/>
            </w:rPr>
          </w:pPr>
          <w:hyperlink w:anchor="_Toc237531508" w:history="1">
            <w:r w:rsidRPr="006A5889">
              <w:rPr>
                <w:rStyle w:val="Hyperlink"/>
                <w:noProof/>
                <w:color w:val="auto"/>
              </w:rPr>
              <w:t>2. Administrative Skills and Record Keeping</w:t>
            </w:r>
            <w:r w:rsidRPr="006A5889">
              <w:rPr>
                <w:noProof/>
                <w:webHidden/>
              </w:rPr>
              <w:tab/>
            </w:r>
            <w:r w:rsidRPr="006A5889">
              <w:rPr>
                <w:noProof/>
                <w:webHidden/>
              </w:rPr>
              <w:fldChar w:fldCharType="begin"/>
            </w:r>
            <w:r w:rsidRPr="006A5889">
              <w:rPr>
                <w:noProof/>
                <w:webHidden/>
              </w:rPr>
              <w:instrText xml:space="preserve"> PAGEREF _Toc237531508 \h </w:instrText>
            </w:r>
            <w:r w:rsidRPr="006A5889">
              <w:rPr>
                <w:noProof/>
                <w:webHidden/>
              </w:rPr>
            </w:r>
            <w:r w:rsidRPr="006A5889">
              <w:rPr>
                <w:noProof/>
                <w:webHidden/>
              </w:rPr>
              <w:fldChar w:fldCharType="separate"/>
            </w:r>
            <w:r w:rsidRPr="006A5889">
              <w:rPr>
                <w:noProof/>
                <w:webHidden/>
              </w:rPr>
              <w:t>4</w:t>
            </w:r>
            <w:r w:rsidRPr="006A5889">
              <w:rPr>
                <w:noProof/>
                <w:webHidden/>
              </w:rPr>
              <w:fldChar w:fldCharType="end"/>
            </w:r>
          </w:hyperlink>
        </w:p>
        <w:p w14:paraId="06E12090" w14:textId="25A138BF" w:rsidR="006A5889" w:rsidRPr="006A5889" w:rsidRDefault="006A5889" w:rsidP="006A5889">
          <w:pPr>
            <w:pStyle w:val="TOC1"/>
            <w:tabs>
              <w:tab w:val="right" w:leader="dot" w:pos="9016"/>
            </w:tabs>
            <w:spacing w:line="480" w:lineRule="auto"/>
            <w:rPr>
              <w:noProof/>
            </w:rPr>
          </w:pPr>
          <w:hyperlink w:anchor="_Toc237531509" w:history="1">
            <w:r w:rsidRPr="006A5889">
              <w:rPr>
                <w:rStyle w:val="Hyperlink"/>
                <w:noProof/>
                <w:color w:val="auto"/>
              </w:rPr>
              <w:t>3. Collaborative Working with Other Professionals</w:t>
            </w:r>
            <w:r w:rsidRPr="006A5889">
              <w:rPr>
                <w:noProof/>
                <w:webHidden/>
              </w:rPr>
              <w:tab/>
            </w:r>
            <w:r w:rsidRPr="006A5889">
              <w:rPr>
                <w:noProof/>
                <w:webHidden/>
              </w:rPr>
              <w:fldChar w:fldCharType="begin"/>
            </w:r>
            <w:r w:rsidRPr="006A5889">
              <w:rPr>
                <w:noProof/>
                <w:webHidden/>
              </w:rPr>
              <w:instrText xml:space="preserve"> PAGEREF _Toc237531509 \h </w:instrText>
            </w:r>
            <w:r w:rsidRPr="006A5889">
              <w:rPr>
                <w:noProof/>
                <w:webHidden/>
              </w:rPr>
            </w:r>
            <w:r w:rsidRPr="006A5889">
              <w:rPr>
                <w:noProof/>
                <w:webHidden/>
              </w:rPr>
              <w:fldChar w:fldCharType="separate"/>
            </w:r>
            <w:r w:rsidRPr="006A5889">
              <w:rPr>
                <w:noProof/>
                <w:webHidden/>
              </w:rPr>
              <w:t>5</w:t>
            </w:r>
            <w:r w:rsidRPr="006A5889">
              <w:rPr>
                <w:noProof/>
                <w:webHidden/>
              </w:rPr>
              <w:fldChar w:fldCharType="end"/>
            </w:r>
          </w:hyperlink>
        </w:p>
        <w:p w14:paraId="05AAEDB6" w14:textId="77187D22" w:rsidR="006A5889" w:rsidRPr="006A5889" w:rsidRDefault="006A5889" w:rsidP="006A5889">
          <w:pPr>
            <w:pStyle w:val="TOC1"/>
            <w:tabs>
              <w:tab w:val="right" w:leader="dot" w:pos="9016"/>
            </w:tabs>
            <w:spacing w:line="480" w:lineRule="auto"/>
            <w:rPr>
              <w:noProof/>
            </w:rPr>
          </w:pPr>
          <w:hyperlink w:anchor="_Toc237531510" w:history="1">
            <w:r w:rsidRPr="006A5889">
              <w:rPr>
                <w:rStyle w:val="Hyperlink"/>
                <w:noProof/>
                <w:color w:val="auto"/>
              </w:rPr>
              <w:t>Conclusion</w:t>
            </w:r>
            <w:r w:rsidRPr="006A5889">
              <w:rPr>
                <w:noProof/>
                <w:webHidden/>
              </w:rPr>
              <w:tab/>
            </w:r>
            <w:r w:rsidRPr="006A5889">
              <w:rPr>
                <w:noProof/>
                <w:webHidden/>
              </w:rPr>
              <w:fldChar w:fldCharType="begin"/>
            </w:r>
            <w:r w:rsidRPr="006A5889">
              <w:rPr>
                <w:noProof/>
                <w:webHidden/>
              </w:rPr>
              <w:instrText xml:space="preserve"> PAGEREF _Toc237531510 \h </w:instrText>
            </w:r>
            <w:r w:rsidRPr="006A5889">
              <w:rPr>
                <w:noProof/>
                <w:webHidden/>
              </w:rPr>
            </w:r>
            <w:r w:rsidRPr="006A5889">
              <w:rPr>
                <w:noProof/>
                <w:webHidden/>
              </w:rPr>
              <w:fldChar w:fldCharType="separate"/>
            </w:r>
            <w:r w:rsidRPr="006A5889">
              <w:rPr>
                <w:noProof/>
                <w:webHidden/>
              </w:rPr>
              <w:t>6</w:t>
            </w:r>
            <w:r w:rsidRPr="006A5889">
              <w:rPr>
                <w:noProof/>
                <w:webHidden/>
              </w:rPr>
              <w:fldChar w:fldCharType="end"/>
            </w:r>
          </w:hyperlink>
        </w:p>
        <w:p w14:paraId="096E17D7" w14:textId="7804AAB5" w:rsidR="006A5889" w:rsidRPr="006A5889" w:rsidRDefault="006A5889" w:rsidP="006A5889">
          <w:pPr>
            <w:pStyle w:val="TOC1"/>
            <w:tabs>
              <w:tab w:val="right" w:leader="dot" w:pos="9016"/>
            </w:tabs>
            <w:spacing w:line="480" w:lineRule="auto"/>
            <w:rPr>
              <w:noProof/>
            </w:rPr>
          </w:pPr>
          <w:hyperlink w:anchor="_Toc237531511" w:history="1">
            <w:r w:rsidRPr="006A5889">
              <w:rPr>
                <w:rStyle w:val="Hyperlink"/>
                <w:noProof/>
                <w:color w:val="auto"/>
              </w:rPr>
              <w:t>Reference</w:t>
            </w:r>
            <w:r w:rsidRPr="006A5889">
              <w:rPr>
                <w:noProof/>
                <w:webHidden/>
              </w:rPr>
              <w:tab/>
            </w:r>
            <w:r w:rsidRPr="006A5889">
              <w:rPr>
                <w:noProof/>
                <w:webHidden/>
              </w:rPr>
              <w:fldChar w:fldCharType="begin"/>
            </w:r>
            <w:r w:rsidRPr="006A5889">
              <w:rPr>
                <w:noProof/>
                <w:webHidden/>
              </w:rPr>
              <w:instrText xml:space="preserve"> PAGEREF _Toc237531511 \h </w:instrText>
            </w:r>
            <w:r w:rsidRPr="006A5889">
              <w:rPr>
                <w:noProof/>
                <w:webHidden/>
              </w:rPr>
            </w:r>
            <w:r w:rsidRPr="006A5889">
              <w:rPr>
                <w:noProof/>
                <w:webHidden/>
              </w:rPr>
              <w:fldChar w:fldCharType="separate"/>
            </w:r>
            <w:r w:rsidRPr="006A5889">
              <w:rPr>
                <w:noProof/>
                <w:webHidden/>
              </w:rPr>
              <w:t>7</w:t>
            </w:r>
            <w:r w:rsidRPr="006A5889">
              <w:rPr>
                <w:noProof/>
                <w:webHidden/>
              </w:rPr>
              <w:fldChar w:fldCharType="end"/>
            </w:r>
          </w:hyperlink>
        </w:p>
        <w:p w14:paraId="73F51313" w14:textId="6615EA46" w:rsidR="006A5889" w:rsidRPr="006A5889" w:rsidRDefault="006A5889" w:rsidP="006A5889">
          <w:pPr>
            <w:spacing w:line="480" w:lineRule="auto"/>
          </w:pPr>
          <w:r w:rsidRPr="006A5889">
            <w:rPr>
              <w:b/>
              <w:bCs/>
              <w:noProof/>
            </w:rPr>
            <w:fldChar w:fldCharType="end"/>
          </w:r>
        </w:p>
      </w:sdtContent>
    </w:sdt>
    <w:p w14:paraId="69B7F7BD" w14:textId="77777777" w:rsidR="006A5889" w:rsidRPr="006A5889" w:rsidRDefault="006A5889" w:rsidP="006A5889">
      <w:pPr>
        <w:spacing w:line="480" w:lineRule="auto"/>
        <w:rPr>
          <w:b/>
          <w:bCs/>
          <w:sz w:val="24"/>
          <w:szCs w:val="24"/>
        </w:rPr>
      </w:pPr>
      <w:r w:rsidRPr="006A5889">
        <w:br w:type="page"/>
      </w:r>
    </w:p>
    <w:p w14:paraId="780B6004" w14:textId="4395ED28" w:rsidR="0097547A" w:rsidRDefault="00E33719">
      <w:pPr>
        <w:pStyle w:val="Heading1"/>
        <w:spacing w:before="240" w:after="200" w:line="360" w:lineRule="auto"/>
      </w:pPr>
      <w:bookmarkStart w:id="0" w:name="_Toc237531506"/>
      <w:r>
        <w:lastRenderedPageBreak/>
        <w:t>Introductio</w:t>
      </w:r>
      <w:r w:rsidR="00EB0174">
        <w:t>n</w:t>
      </w:r>
      <w:bookmarkEnd w:id="0"/>
    </w:p>
    <w:p w14:paraId="676F729C" w14:textId="6153BA8D" w:rsidR="0097547A" w:rsidRDefault="00514781">
      <w:pPr>
        <w:spacing w:after="200" w:line="360" w:lineRule="auto"/>
        <w:jc w:val="both"/>
      </w:pPr>
      <w:r w:rsidRPr="00514781">
        <w:t>This report examines three interdependent elements of professional practice in health and social care, and explores them through the case of Mrs Thompson, an 84-year-old woman with mild dementia who has recently been discharged from hospital following an episode of pneumonia. She lives on her own in sheltered housing and receives domiciliary care twice a day, which she missed 2 days, and upon which she became more confused, and she was then found outside in the cold without proper clothing. The incident has been documented, medication is being reviewed and the case is being reviewed by council. Section one assesses communication with Mrs Thompson and her family, utilising Berlo's SMCR model and the principles of the Equality Act 2010. Section two explores record keeping under the Data Protection Act 2018 and related policy. Section three assesses multiagency collaboration. The overall argument is that these domains act as a single safety system, meaning failure in one of these domains is a direct transmission to the other</w:t>
      </w:r>
      <w:r w:rsidR="00E33719">
        <w:t>.</w:t>
      </w:r>
    </w:p>
    <w:p w14:paraId="398CBFEF" w14:textId="77777777" w:rsidR="0097547A" w:rsidRDefault="00E33719">
      <w:pPr>
        <w:pStyle w:val="Heading1"/>
        <w:spacing w:before="240" w:after="200" w:line="360" w:lineRule="auto"/>
      </w:pPr>
      <w:bookmarkStart w:id="1" w:name="_Toc237531507"/>
      <w:r>
        <w:t>1. Effective Communication in Mrs Thompson's Care</w:t>
      </w:r>
      <w:bookmarkEnd w:id="1"/>
    </w:p>
    <w:p w14:paraId="67AC17ED" w14:textId="103E327D" w:rsidR="0097547A" w:rsidRDefault="00FF2C2C">
      <w:pPr>
        <w:spacing w:after="200" w:line="360" w:lineRule="auto"/>
        <w:jc w:val="both"/>
      </w:pPr>
      <w:r w:rsidRPr="00FF2C2C">
        <w:t>The communication in this context is not simply a courtesy to one another, but a safety precaution to ensure that the medicine is taken, that deterioration is recognised and that Mrs Thompson is cared for in her preferences</w:t>
      </w:r>
      <w:r w:rsidR="00E33719">
        <w:t xml:space="preserve">. </w:t>
      </w:r>
      <w:r w:rsidR="00CC0735" w:rsidRPr="00CC0735">
        <w:t>Berlo (1960) provides a systematic way of finding out where that exchange went wrong. His SMCR model consists of four parts and suggests that source and receiver are each influenced by five factors</w:t>
      </w:r>
      <w:r w:rsidR="00525861">
        <w:t xml:space="preserve"> such as</w:t>
      </w:r>
      <w:r w:rsidR="00CC0735" w:rsidRPr="00CC0735">
        <w:t xml:space="preserve"> communication skills, attitudes, knowledge, social system, and culture. The message is analysed through content, code, elements, structure and treatment, and the channel through the senses by which it is received.</w:t>
      </w:r>
    </w:p>
    <w:p w14:paraId="501ED2B6" w14:textId="22067458" w:rsidR="0097547A" w:rsidRDefault="00CC0735">
      <w:pPr>
        <w:spacing w:after="200" w:line="360" w:lineRule="auto"/>
        <w:jc w:val="both"/>
      </w:pPr>
      <w:r w:rsidRPr="00CC0735">
        <w:t>The source is typically the domiciliary care worker, who must have knowledge of dementia and of Mrs Thompson personally, and attitudes free from ageist assumption, when applied to the missed doses. The message should convey one idea at a time and use common language, as clinical jargon like "concordance" is unlikely to be understood</w:t>
      </w:r>
      <w:r w:rsidR="00E33719">
        <w:t xml:space="preserve">. </w:t>
      </w:r>
      <w:r w:rsidR="00525861" w:rsidRPr="00525861">
        <w:t>The channel needs to be multisensory and incorporate unhurried speech, eye contact, appropriate touching, a quiet room and visual reinforcement</w:t>
      </w:r>
      <w:r w:rsidR="00E33719">
        <w:t xml:space="preserve">. </w:t>
      </w:r>
      <w:r w:rsidR="007A0A72" w:rsidRPr="007A0A72">
        <w:t>The receiver, however, is a woman with dementia, who has impaired working memory and processing speed. Berlo's key point that communication is effective only when the sender and receiver have similar skill and knowledge levels is right on the money, as a prompt can be well formulated and poorly understood.</w:t>
      </w:r>
      <w:r w:rsidR="00E33719">
        <w:t xml:space="preserve"> </w:t>
      </w:r>
      <w:r w:rsidR="00FF2C2C" w:rsidRPr="00FF2C2C">
        <w:t>This distinction offers a more fruitful explanation for the missed doses than does forgetfulness, for it indicates a change of practice rather than a deficiency in the individual</w:t>
      </w:r>
      <w:r w:rsidR="00E33719">
        <w:t>.</w:t>
      </w:r>
    </w:p>
    <w:p w14:paraId="2848E37E" w14:textId="77777777" w:rsidR="007A0A72" w:rsidRDefault="007A0A72">
      <w:pPr>
        <w:spacing w:after="200" w:line="360" w:lineRule="auto"/>
        <w:jc w:val="both"/>
      </w:pPr>
      <w:r w:rsidRPr="007A0A72">
        <w:lastRenderedPageBreak/>
        <w:t>However, the model is linear and therefore has some limitations. Berlo's model is one of transmission without a direct feedback loop, and unlike Shannon and Weaver (1949), he does not assign much importance to noise, whether it is environmental (a television left on) or physiological (fatigue after pneumonia). Practitioners need to make up for this by ensuring that verification is incorporated into every interaction, asking Mrs Thompson to repeat the plan and noticing nonverbal cues, as is recommended in the national guidance (National Institute for Health and Care Excellence, 2018) and supported by review evidence on individualised dementia communication (</w:t>
      </w:r>
      <w:proofErr w:type="spellStart"/>
      <w:r w:rsidRPr="007A0A72">
        <w:t>Sunjaya</w:t>
      </w:r>
      <w:proofErr w:type="spellEnd"/>
      <w:r w:rsidRPr="007A0A72">
        <w:t xml:space="preserve"> et al., 2025).</w:t>
      </w:r>
    </w:p>
    <w:p w14:paraId="462B3BB3" w14:textId="682FE567" w:rsidR="0097547A" w:rsidRDefault="00E33719">
      <w:pPr>
        <w:spacing w:after="200" w:line="360" w:lineRule="auto"/>
        <w:jc w:val="both"/>
      </w:pPr>
      <w:r>
        <w:t>The Equality Act 2010 converts these techniques into legal obligation.</w:t>
      </w:r>
      <w:r w:rsidR="007A0A72" w:rsidRPr="007A0A72">
        <w:t xml:space="preserve"> Age and disability are protected characteristics, and dementia will normally satisfy the definition of disability in section 6. Reasonable adjustments are needed in sections 20 and 21, in this case, extra time, consistency of worker and written/pictorial prompts. Section 15 forbids unfavourable treatment in consequence of disability and to remove choice because Mrs Thompson forgets would be poor practice as well as unlawful, as the Mental Capacity Act 2005 requires that all practicable steps to support decision making are taken first before any doubt about capacity. The section 149 public sector equality duty binds the reviewing council. Communication with family should be proportionate and, where possible, initiated by Mrs Thompson, as communication with family without her consent would be an infringement of the autonomy that the same legislation seeks to protect</w:t>
      </w:r>
      <w:r>
        <w:t>.</w:t>
      </w:r>
    </w:p>
    <w:p w14:paraId="039E1E0B" w14:textId="77777777" w:rsidR="0097547A" w:rsidRDefault="00E33719">
      <w:pPr>
        <w:pStyle w:val="Heading1"/>
        <w:spacing w:before="240" w:after="200" w:line="360" w:lineRule="auto"/>
      </w:pPr>
      <w:bookmarkStart w:id="2" w:name="_Toc237531508"/>
      <w:r>
        <w:t>2. Administrative Skills and Record Keeping</w:t>
      </w:r>
      <w:bookmarkEnd w:id="2"/>
    </w:p>
    <w:p w14:paraId="73A3F974" w14:textId="77777777" w:rsidR="00FF2C2C" w:rsidRDefault="00E33719" w:rsidP="00FF2C2C">
      <w:pPr>
        <w:spacing w:after="200" w:line="360" w:lineRule="auto"/>
        <w:jc w:val="both"/>
      </w:pPr>
      <w:r>
        <w:t xml:space="preserve">Administration is what converts an observation into an intervention, and its failure is rarely neutral. </w:t>
      </w:r>
      <w:r w:rsidR="004A0C13" w:rsidRPr="004A0C13">
        <w:t>The Health and Social Care Act 2008 (Regulated Activities) Regulations 2014 (Regulation 17) stipulate that an accurate, complete and contemporaneous record must be kept for each service user and be held securely (Care Quality Commission, 2025)</w:t>
      </w:r>
      <w:r>
        <w:t xml:space="preserve">. </w:t>
      </w:r>
      <w:r w:rsidR="00FF2C2C">
        <w:t>In this situation, the main safety document is the medication administration record. If the omissions had been recorded from the time that they were visited and priority given on the day, it should have been possible to avoid two days of deterioration. The fact the concern was captured through the incident process is a sign of effective governance in that regard as this process produced the medication review and provided the evidential basis for the council's review and for any safeguarding enquiry under section 42 of the Care Act 2014.</w:t>
      </w:r>
    </w:p>
    <w:p w14:paraId="06275303" w14:textId="5334CF22" w:rsidR="0097547A" w:rsidRDefault="00FF2C2C" w:rsidP="00FF2C2C">
      <w:pPr>
        <w:spacing w:after="200" w:line="360" w:lineRule="auto"/>
        <w:jc w:val="both"/>
      </w:pPr>
      <w:r>
        <w:t xml:space="preserve">Record keeping is also a data processing activity. The Data Protection Act 2018, which complements the UK General Data Protection Regulation (GDPR), states that personal data should be processed lawfully, fairly and transparently, collected for specified purposes, kept to the minimum, accurate, up to date, retained no longer than necessary, and securely and </w:t>
      </w:r>
      <w:r>
        <w:lastRenderedPageBreak/>
        <w:t>able to be demonstrated (Information Commissioner's Office, 2023).</w:t>
      </w:r>
      <w:r w:rsidR="00E33719">
        <w:t xml:space="preserve"> Information about Mrs Thompson's dementia and medication is health data and therefore special category data, which requires an additional condition for processing that the Act supplies for health and social care purposes. </w:t>
      </w:r>
      <w:r w:rsidR="00A46DEA" w:rsidRPr="00A46DEA">
        <w:t>The accuracy principle has direct clinical significance as an incorrect record of dose administered would compromise the whole medication review for which the record is intended</w:t>
      </w:r>
      <w:r w:rsidR="00E33719">
        <w:t>. Mrs Thompson retains rights of access and rectification, which should be supported in a format she can use, linking this section to the reasonable adjustments discussed above.</w:t>
      </w:r>
    </w:p>
    <w:p w14:paraId="2DA84CD1" w14:textId="5FC69061" w:rsidR="0097547A" w:rsidRDefault="00FF2C2C">
      <w:pPr>
        <w:spacing w:after="200" w:line="360" w:lineRule="auto"/>
        <w:jc w:val="both"/>
      </w:pPr>
      <w:r w:rsidRPr="00FF2C2C">
        <w:t>Sector frameworks elaborate this further. The Caldicott Principles involve justifying the need to use confidential information, using only what is necessary, limiting access to those who require it, balancing the need to share with the duty to protect confidentiality, and ensuring that services have no surprises in how they use informational data (National Data Guardian, 2020). The Records Management Code of Practice governs how records are created, maintained, retained and securely destroyed (NHS England, 2021). In practice this means that entries are factual, objective, timely, signed, dated and timed, avoiding unexplained abbreviations and clear in terms of separating out observation from professional judgement. However, a caution is necessary here as increased scrutiny can cause defensive/vague recording that protects the organisation at the detriment of the person. Induction training, refresher training and periodic audit of medication records is therefore required to ensure that documentation remains useful (Bunting and Klerk, 2022). Good administration has also an ethical aspect, because after all this is Mrs Thompson's own story of care for herself and should be expressed in language which she can read without upsetting her</w:t>
      </w:r>
      <w:r w:rsidR="00E33719">
        <w:t>.</w:t>
      </w:r>
    </w:p>
    <w:p w14:paraId="2C97C6A4" w14:textId="77777777" w:rsidR="0097547A" w:rsidRDefault="00E33719">
      <w:pPr>
        <w:pStyle w:val="Heading1"/>
        <w:spacing w:before="240" w:after="200" w:line="360" w:lineRule="auto"/>
      </w:pPr>
      <w:bookmarkStart w:id="3" w:name="_Toc237531509"/>
      <w:r>
        <w:t>3. Collaborative Working with Other Professionals</w:t>
      </w:r>
      <w:bookmarkEnd w:id="3"/>
    </w:p>
    <w:p w14:paraId="55AC5DD0" w14:textId="1D0DE583" w:rsidR="0097547A" w:rsidRDefault="004A0C13">
      <w:pPr>
        <w:spacing w:after="200" w:line="360" w:lineRule="auto"/>
        <w:jc w:val="both"/>
      </w:pPr>
      <w:r w:rsidRPr="004A0C13">
        <w:t xml:space="preserve">Mrs Thompson's needs cross organisational boundaries, involving the general practitioner, community nurse, domiciliary care workers, community pharmacist, social worker and sheltered housing manager. Collaboration is encouraged by a multidisciplinary meeting after discharge, a named coordinator as a single point of contact, a support plan developed in partnership with Mrs Thompson and a shared care record accessible across the integrated care system, which has statutory impetus in the Health and Care Act 2022 and through the duties to promote integration and to cooperate in sections 3 and 6 of the Care Act 2014. The medication review </w:t>
      </w:r>
      <w:r w:rsidR="003D7371" w:rsidRPr="004A0C13">
        <w:t>demonstrates</w:t>
      </w:r>
      <w:r w:rsidRPr="004A0C13">
        <w:t xml:space="preserve"> the principle, since it is only as good as the administration data the carers can supply to the prescriber</w:t>
      </w:r>
      <w:r w:rsidR="00E33719">
        <w:t>.</w:t>
      </w:r>
    </w:p>
    <w:p w14:paraId="5097E567" w14:textId="40D2D4AF" w:rsidR="0097547A" w:rsidRDefault="00E33719">
      <w:pPr>
        <w:spacing w:after="200" w:line="360" w:lineRule="auto"/>
        <w:jc w:val="both"/>
      </w:pPr>
      <w:r>
        <w:t xml:space="preserve">Recurrent </w:t>
      </w:r>
      <w:r w:rsidR="003D7371" w:rsidRPr="003D7371">
        <w:t xml:space="preserve">obstacles are occupational silos, different professional jargon, information systems that are not compatible, uncertainty about who is responsible for escalation, high staff turnover in domiciliary care and an overly conservative interpretation of confidentiality that stifles lawful </w:t>
      </w:r>
      <w:r w:rsidR="003D7371" w:rsidRPr="003D7371">
        <w:lastRenderedPageBreak/>
        <w:t>sharing</w:t>
      </w:r>
      <w:r w:rsidR="003D7371">
        <w:t>.</w:t>
      </w:r>
      <w:r>
        <w:t xml:space="preserve"> </w:t>
      </w:r>
      <w:r w:rsidR="003D7371" w:rsidRPr="003D7371">
        <w:t>A rapid evidence review of integrated care in the United Kingdom found that interprofessional working, coproduction with people using services, approaches that centre on the person, and interprofessional trust were the strongest enablers and barriers included inconsistent evaluation and system variation (Thomson and Chatterjee, 2024). Responses are thus not only relational but also structural. These include an agreed escalation threshold to ensure that if a dose is missed, then a defined action will be taken within a stated time; an agreed to written information sharing agreement; joint training and explicit recognition of the local authority's coordinating role in the current review to ensure that its input is complementary and not duplicative.</w:t>
      </w:r>
      <w:r w:rsidR="003D7371">
        <w:t xml:space="preserve"> </w:t>
      </w:r>
      <w:r w:rsidR="004A0C13" w:rsidRPr="004A0C13">
        <w:t>These measures must be applied with judgement, as the more professionals involved, the more responsibility can be diffused as well as consolidated. Effective collaboration is therefore not measured by the amount of contact between agencies but by whether one person can be held accountable and say what happened to Mrs Thompson, when, and what was done about it</w:t>
      </w:r>
      <w:r>
        <w:t>.</w:t>
      </w:r>
    </w:p>
    <w:p w14:paraId="6E488F62" w14:textId="77777777" w:rsidR="0097547A" w:rsidRDefault="00E33719">
      <w:pPr>
        <w:pStyle w:val="Heading1"/>
        <w:spacing w:before="240" w:after="200" w:line="360" w:lineRule="auto"/>
      </w:pPr>
      <w:bookmarkStart w:id="4" w:name="_Toc237531510"/>
      <w:r>
        <w:t>Conclusion</w:t>
      </w:r>
      <w:bookmarkEnd w:id="4"/>
    </w:p>
    <w:p w14:paraId="70B1A32D" w14:textId="1515EBEC" w:rsidR="0097547A" w:rsidRDefault="004A0C13">
      <w:pPr>
        <w:spacing w:after="200" w:line="360" w:lineRule="auto"/>
        <w:jc w:val="both"/>
      </w:pPr>
      <w:r w:rsidRPr="004A0C13">
        <w:t>This report has shown that communication, administration and collaboration are one system, not three competencies. Berlo's model indicates that a prompt means nothing until it is understood and in dementia care, the messages need to be adapted, the channels need to be multisensory and the verification deliberate, and the Equality Act 2010 makes adaptations legal obligations, not acts of kindness. The mechanism for such observations to reach professionals able to act on them is through accurate contemporaneous records made in line with the Data Protection Act 2018, the Caldicott Principles and Regulation 17</w:t>
      </w:r>
      <w:r w:rsidR="00E33719">
        <w:t xml:space="preserve">. </w:t>
      </w:r>
      <w:r w:rsidR="00525861" w:rsidRPr="00525861">
        <w:t>Sharing of records and clear roles and escalation pathways will turn that information into a prompt response through collaboration. Three priorities follow for Mrs Thompson. The first is the consistency of the worker, the second a defined escalation threshold of any omitted dose and the third a review meeting at which her account is heard before any other workers.</w:t>
      </w:r>
    </w:p>
    <w:p w14:paraId="6DDFD975" w14:textId="77777777" w:rsidR="00B30BA0" w:rsidRDefault="00B30BA0">
      <w:pPr>
        <w:rPr>
          <w:b/>
          <w:bCs/>
          <w:color w:val="000000"/>
          <w:sz w:val="24"/>
          <w:szCs w:val="24"/>
        </w:rPr>
      </w:pPr>
      <w:r>
        <w:br w:type="page"/>
      </w:r>
    </w:p>
    <w:p w14:paraId="69CDE9DC" w14:textId="23CC40D4" w:rsidR="0097547A" w:rsidRDefault="00E33719" w:rsidP="00B30BA0">
      <w:pPr>
        <w:pStyle w:val="Heading1"/>
        <w:spacing w:before="240" w:after="200" w:line="360" w:lineRule="auto"/>
        <w:jc w:val="both"/>
      </w:pPr>
      <w:bookmarkStart w:id="5" w:name="_Toc237531511"/>
      <w:r>
        <w:lastRenderedPageBreak/>
        <w:t>Reference</w:t>
      </w:r>
      <w:bookmarkEnd w:id="5"/>
      <w:r>
        <w:t xml:space="preserve"> </w:t>
      </w:r>
    </w:p>
    <w:p w14:paraId="074C0EAF" w14:textId="77777777" w:rsidR="0030744B" w:rsidRDefault="00E33719" w:rsidP="0030744B">
      <w:pPr>
        <w:spacing w:after="200" w:line="360" w:lineRule="auto"/>
        <w:jc w:val="both"/>
      </w:pPr>
      <w:r>
        <w:t xml:space="preserve">Berlo, D.K. (1960) </w:t>
      </w:r>
      <w:r>
        <w:rPr>
          <w:i/>
          <w:iCs/>
        </w:rPr>
        <w:t>The process of communication: an introduction to communication theory</w:t>
      </w:r>
      <w:r>
        <w:t>. New York: Holt, Rinehart and Winston.</w:t>
      </w:r>
    </w:p>
    <w:p w14:paraId="2C7B1521" w14:textId="55C1CFC1" w:rsidR="0030744B" w:rsidRPr="0015632C" w:rsidRDefault="0030744B" w:rsidP="0030744B">
      <w:pPr>
        <w:spacing w:after="200" w:line="360" w:lineRule="auto"/>
        <w:jc w:val="both"/>
      </w:pPr>
      <w:r w:rsidRPr="0015632C">
        <w:t xml:space="preserve">Bunting, J. and Klerk, M. (2022). Strategies to improve compliance with clinical nursing documentation guidelines in the acute hospital setting: A systematic review and analysis. </w:t>
      </w:r>
      <w:r w:rsidRPr="0015632C">
        <w:rPr>
          <w:i/>
          <w:iCs/>
        </w:rPr>
        <w:t>SAGE Open Nursing</w:t>
      </w:r>
      <w:r w:rsidRPr="0015632C">
        <w:t>, 8(1), pp.1–34. doi:10.1177/23779608221075165.</w:t>
      </w:r>
    </w:p>
    <w:p w14:paraId="3920CA82" w14:textId="77777777" w:rsidR="0097547A" w:rsidRDefault="00E33719" w:rsidP="00B30BA0">
      <w:pPr>
        <w:spacing w:after="200" w:line="360" w:lineRule="auto"/>
        <w:ind w:left="720" w:hanging="720"/>
        <w:jc w:val="both"/>
      </w:pPr>
      <w:r>
        <w:t>Care Act 2014, c. 23. London: The Stationery Office.</w:t>
      </w:r>
    </w:p>
    <w:p w14:paraId="3A05B99D" w14:textId="340EBAC8" w:rsidR="0097547A" w:rsidRDefault="00E33719" w:rsidP="0030744B">
      <w:pPr>
        <w:spacing w:after="200" w:line="360" w:lineRule="auto"/>
        <w:jc w:val="both"/>
      </w:pPr>
      <w:r>
        <w:t>Care Quality Commission (202</w:t>
      </w:r>
      <w:r w:rsidR="0030744B">
        <w:t>5</w:t>
      </w:r>
      <w:r>
        <w:t xml:space="preserve">) </w:t>
      </w:r>
      <w:r>
        <w:rPr>
          <w:i/>
          <w:iCs/>
        </w:rPr>
        <w:t>Regulation 17: good governance</w:t>
      </w:r>
      <w:r>
        <w:t xml:space="preserve">. Available at: </w:t>
      </w:r>
      <w:hyperlink r:id="rId8" w:history="1">
        <w:r w:rsidRPr="0030744B">
          <w:rPr>
            <w:rStyle w:val="Hyperlink"/>
          </w:rPr>
          <w:t>https://www.cqc.org.uk/guidance-regulation/providers/regulations/regulation-17-good-governance</w:t>
        </w:r>
      </w:hyperlink>
      <w:r>
        <w:t xml:space="preserve"> (Accessed: 13 August 2026).</w:t>
      </w:r>
    </w:p>
    <w:p w14:paraId="08AE9474" w14:textId="77777777" w:rsidR="0097547A" w:rsidRDefault="00E33719" w:rsidP="0030744B">
      <w:pPr>
        <w:spacing w:after="200" w:line="360" w:lineRule="auto"/>
        <w:jc w:val="both"/>
      </w:pPr>
      <w:r>
        <w:t>Data Protection Act 2018, c. 12. London: The Stationery Office.</w:t>
      </w:r>
    </w:p>
    <w:p w14:paraId="2C81E681" w14:textId="77777777" w:rsidR="0097547A" w:rsidRDefault="00E33719" w:rsidP="00B30BA0">
      <w:pPr>
        <w:spacing w:after="200" w:line="360" w:lineRule="auto"/>
        <w:ind w:left="720" w:hanging="720"/>
        <w:jc w:val="both"/>
      </w:pPr>
      <w:r>
        <w:t>Equality Act 2010, c. 15. London: The Stationery Office.</w:t>
      </w:r>
    </w:p>
    <w:p w14:paraId="0E74BDD4" w14:textId="77777777" w:rsidR="0097547A" w:rsidRDefault="00E33719" w:rsidP="00B30BA0">
      <w:pPr>
        <w:spacing w:after="200" w:line="360" w:lineRule="auto"/>
        <w:ind w:left="720" w:hanging="720"/>
        <w:jc w:val="both"/>
      </w:pPr>
      <w:r>
        <w:t>Health and Care Act 2022, c. 31. London: The Stationery Office.</w:t>
      </w:r>
    </w:p>
    <w:p w14:paraId="2FA33520" w14:textId="77777777" w:rsidR="0097547A" w:rsidRDefault="00E33719" w:rsidP="0030744B">
      <w:pPr>
        <w:spacing w:after="200" w:line="360" w:lineRule="auto"/>
        <w:jc w:val="both"/>
      </w:pPr>
      <w:r>
        <w:t xml:space="preserve">Information Commissioner's Office (2023) </w:t>
      </w:r>
      <w:r>
        <w:rPr>
          <w:i/>
          <w:iCs/>
        </w:rPr>
        <w:t>Guide to the UK General Data Protection Regulation (UK GDPR)</w:t>
      </w:r>
      <w:r>
        <w:t>. Wilmslow: Information Commissioner's Office. Available at: https://ico.org.uk/for-organisations/uk-gdpr-guidance-and-resources/ (Accessed: 13 August 2026).</w:t>
      </w:r>
    </w:p>
    <w:p w14:paraId="2339CE90" w14:textId="77777777" w:rsidR="0097547A" w:rsidRDefault="00E33719" w:rsidP="0030744B">
      <w:pPr>
        <w:spacing w:after="200" w:line="360" w:lineRule="auto"/>
        <w:jc w:val="both"/>
      </w:pPr>
      <w:r>
        <w:t>Mental Capacity Act 2005, c. 9. London: The Stationery Office.</w:t>
      </w:r>
    </w:p>
    <w:p w14:paraId="7BB63E27" w14:textId="77777777" w:rsidR="0097547A" w:rsidRDefault="00E33719" w:rsidP="0030744B">
      <w:pPr>
        <w:spacing w:after="200" w:line="360" w:lineRule="auto"/>
        <w:jc w:val="both"/>
      </w:pPr>
      <w:r>
        <w:t xml:space="preserve">National Data Guardian (2020) </w:t>
      </w:r>
      <w:r>
        <w:rPr>
          <w:i/>
          <w:iCs/>
        </w:rPr>
        <w:t>The Caldicott Principles</w:t>
      </w:r>
      <w:r>
        <w:t>. London: National Data Guardian. Available at: https://www.gov.uk/government/publications/the-caldicott-principles (Accessed: 13 August 2026).</w:t>
      </w:r>
    </w:p>
    <w:p w14:paraId="197B6830" w14:textId="77777777" w:rsidR="0097547A" w:rsidRDefault="00E33719" w:rsidP="0030744B">
      <w:pPr>
        <w:spacing w:after="200" w:line="360" w:lineRule="auto"/>
        <w:jc w:val="both"/>
      </w:pPr>
      <w:r>
        <w:t xml:space="preserve">National Institute for Health and Care Excellence (2018) </w:t>
      </w:r>
      <w:r>
        <w:rPr>
          <w:i/>
          <w:iCs/>
        </w:rPr>
        <w:t>Dementia: assessment, management and support for people living with dementia and their carers</w:t>
      </w:r>
      <w:r>
        <w:t>. NICE guideline NG97. London: NICE. Available at: https://www.nice.org.uk/guidance/ng97 (Accessed: 13 August 2026).</w:t>
      </w:r>
    </w:p>
    <w:p w14:paraId="2E58C365" w14:textId="77777777" w:rsidR="0097547A" w:rsidRDefault="00E33719" w:rsidP="0030744B">
      <w:pPr>
        <w:spacing w:after="200" w:line="360" w:lineRule="auto"/>
        <w:jc w:val="both"/>
      </w:pPr>
      <w:r>
        <w:t xml:space="preserve">NHS England (2021) </w:t>
      </w:r>
      <w:r>
        <w:rPr>
          <w:i/>
          <w:iCs/>
        </w:rPr>
        <w:t>Records management code of practice 2021</w:t>
      </w:r>
      <w:r>
        <w:t>. Leeds: NHS England. Available at: https://transform.england.nhs.uk/information-governance/guidance/records-management-code/ (Accessed: 13 August 2026).</w:t>
      </w:r>
    </w:p>
    <w:p w14:paraId="1E4CB7E2" w14:textId="49F5F7CB" w:rsidR="0097547A" w:rsidRDefault="00E33719" w:rsidP="0030744B">
      <w:pPr>
        <w:spacing w:after="200" w:line="360" w:lineRule="auto"/>
        <w:jc w:val="both"/>
      </w:pPr>
      <w:r>
        <w:t xml:space="preserve">Shannon, C.E. and Weaver, W. (1949) </w:t>
      </w:r>
      <w:r>
        <w:rPr>
          <w:i/>
          <w:iCs/>
        </w:rPr>
        <w:t>The mathematical theory of communication</w:t>
      </w:r>
      <w:r>
        <w:t>. Urbana: University of Illinois Press.</w:t>
      </w:r>
    </w:p>
    <w:p w14:paraId="003729CE" w14:textId="77777777" w:rsidR="0097547A" w:rsidRDefault="00E33719" w:rsidP="0030744B">
      <w:pPr>
        <w:spacing w:after="200" w:line="360" w:lineRule="auto"/>
        <w:jc w:val="both"/>
      </w:pPr>
      <w:proofErr w:type="spellStart"/>
      <w:r>
        <w:lastRenderedPageBreak/>
        <w:t>Sunjaya</w:t>
      </w:r>
      <w:proofErr w:type="spellEnd"/>
      <w:r>
        <w:t xml:space="preserve">, A.M., Schreiber, T., Kantilal, K., Davies, N. and Griffiths, S. (2025) 'Communication strategies for delivering personalised dementia care and support: a mixed methods systematic review and narrative synthesis', </w:t>
      </w:r>
      <w:r>
        <w:rPr>
          <w:i/>
          <w:iCs/>
        </w:rPr>
        <w:t>Age and Ageing</w:t>
      </w:r>
      <w:r>
        <w:t xml:space="preserve">, 54(5), afaf120. </w:t>
      </w:r>
      <w:proofErr w:type="spellStart"/>
      <w:r>
        <w:t>doi</w:t>
      </w:r>
      <w:proofErr w:type="spellEnd"/>
      <w:r>
        <w:t>: 10.1093/ageing/afaf120.</w:t>
      </w:r>
    </w:p>
    <w:p w14:paraId="5F4B6900" w14:textId="77777777" w:rsidR="0097547A" w:rsidRDefault="00E33719" w:rsidP="0030744B">
      <w:pPr>
        <w:spacing w:after="200" w:line="360" w:lineRule="auto"/>
        <w:jc w:val="both"/>
      </w:pPr>
      <w:r>
        <w:t xml:space="preserve">Thomson, L.J.M. and Chatterjee, H.J. (2024) 'Barriers and enablers of integrated care in the UK: a rapid evidence review of review articles and grey literature 2018 to 2022', </w:t>
      </w:r>
      <w:r>
        <w:rPr>
          <w:i/>
          <w:iCs/>
        </w:rPr>
        <w:t>Frontiers in Public Health</w:t>
      </w:r>
      <w:r>
        <w:t xml:space="preserve">, 11, 1286479. </w:t>
      </w:r>
      <w:proofErr w:type="spellStart"/>
      <w:r>
        <w:t>doi</w:t>
      </w:r>
      <w:proofErr w:type="spellEnd"/>
      <w:r>
        <w:t>: 10.3389/fpubh.2023.1286479.</w:t>
      </w:r>
    </w:p>
    <w:sectPr w:rsidR="0097547A">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3777A" w14:textId="77777777" w:rsidR="00E33719" w:rsidRDefault="00E33719">
      <w:r>
        <w:separator/>
      </w:r>
    </w:p>
  </w:endnote>
  <w:endnote w:type="continuationSeparator" w:id="0">
    <w:p w14:paraId="0E3BD452" w14:textId="77777777" w:rsidR="00E33719" w:rsidRDefault="00E337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D47582" w14:textId="77777777" w:rsidR="0097547A" w:rsidRDefault="00E33719">
    <w:pPr>
      <w:jc w:val="center"/>
    </w:pPr>
    <w:r>
      <w:rPr>
        <w:sz w:val="20"/>
        <w:szCs w:val="20"/>
      </w:rPr>
      <w:fldChar w:fldCharType="begin"/>
    </w:r>
    <w:r>
      <w:rPr>
        <w:sz w:val="20"/>
        <w:szCs w:val="20"/>
      </w:rPr>
      <w:instrText>PAGE</w:instrText>
    </w:r>
    <w:r>
      <w:rPr>
        <w:sz w:val="20"/>
        <w:szCs w:val="20"/>
      </w:rPr>
      <w:fldChar w:fldCharType="separate"/>
    </w:r>
    <w:r w:rsidR="00B30BA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29749" w14:textId="77777777" w:rsidR="00E33719" w:rsidRDefault="00E33719">
      <w:r>
        <w:separator/>
      </w:r>
    </w:p>
  </w:footnote>
  <w:footnote w:type="continuationSeparator" w:id="0">
    <w:p w14:paraId="5272948F" w14:textId="77777777" w:rsidR="00E33719" w:rsidRDefault="00E337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B2BE6"/>
    <w:multiLevelType w:val="hybridMultilevel"/>
    <w:tmpl w:val="BCB03C38"/>
    <w:lvl w:ilvl="0" w:tplc="9724DE00">
      <w:start w:val="1"/>
      <w:numFmt w:val="bullet"/>
      <w:lvlText w:val="●"/>
      <w:lvlJc w:val="left"/>
      <w:pPr>
        <w:ind w:left="720" w:hanging="360"/>
      </w:pPr>
    </w:lvl>
    <w:lvl w:ilvl="1" w:tplc="6428B2DC">
      <w:start w:val="1"/>
      <w:numFmt w:val="bullet"/>
      <w:lvlText w:val="○"/>
      <w:lvlJc w:val="left"/>
      <w:pPr>
        <w:ind w:left="1440" w:hanging="360"/>
      </w:pPr>
    </w:lvl>
    <w:lvl w:ilvl="2" w:tplc="17A8F20A">
      <w:start w:val="1"/>
      <w:numFmt w:val="bullet"/>
      <w:lvlText w:val="■"/>
      <w:lvlJc w:val="left"/>
      <w:pPr>
        <w:ind w:left="2160" w:hanging="360"/>
      </w:pPr>
    </w:lvl>
    <w:lvl w:ilvl="3" w:tplc="0668FCF8">
      <w:start w:val="1"/>
      <w:numFmt w:val="bullet"/>
      <w:lvlText w:val="●"/>
      <w:lvlJc w:val="left"/>
      <w:pPr>
        <w:ind w:left="2880" w:hanging="360"/>
      </w:pPr>
    </w:lvl>
    <w:lvl w:ilvl="4" w:tplc="56AC5D10">
      <w:start w:val="1"/>
      <w:numFmt w:val="bullet"/>
      <w:lvlText w:val="○"/>
      <w:lvlJc w:val="left"/>
      <w:pPr>
        <w:ind w:left="3600" w:hanging="360"/>
      </w:pPr>
    </w:lvl>
    <w:lvl w:ilvl="5" w:tplc="AEBAB5EC">
      <w:start w:val="1"/>
      <w:numFmt w:val="bullet"/>
      <w:lvlText w:val="■"/>
      <w:lvlJc w:val="left"/>
      <w:pPr>
        <w:ind w:left="4320" w:hanging="360"/>
      </w:pPr>
    </w:lvl>
    <w:lvl w:ilvl="6" w:tplc="9968D68E">
      <w:start w:val="1"/>
      <w:numFmt w:val="bullet"/>
      <w:lvlText w:val="●"/>
      <w:lvlJc w:val="left"/>
      <w:pPr>
        <w:ind w:left="5040" w:hanging="360"/>
      </w:pPr>
    </w:lvl>
    <w:lvl w:ilvl="7" w:tplc="B10C8B66">
      <w:start w:val="1"/>
      <w:numFmt w:val="bullet"/>
      <w:lvlText w:val="●"/>
      <w:lvlJc w:val="left"/>
      <w:pPr>
        <w:ind w:left="5760" w:hanging="360"/>
      </w:pPr>
    </w:lvl>
    <w:lvl w:ilvl="8" w:tplc="36C2338E">
      <w:start w:val="1"/>
      <w:numFmt w:val="bullet"/>
      <w:lvlText w:val="●"/>
      <w:lvlJc w:val="left"/>
      <w:pPr>
        <w:ind w:left="6480" w:hanging="360"/>
      </w:pPr>
    </w:lvl>
  </w:abstractNum>
  <w:num w:numId="1" w16cid:durableId="177500785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547A"/>
    <w:rsid w:val="00077A8F"/>
    <w:rsid w:val="001072ED"/>
    <w:rsid w:val="00141DDC"/>
    <w:rsid w:val="00177CC6"/>
    <w:rsid w:val="00216290"/>
    <w:rsid w:val="0030744B"/>
    <w:rsid w:val="003D7371"/>
    <w:rsid w:val="00484DFF"/>
    <w:rsid w:val="004A0C13"/>
    <w:rsid w:val="00514781"/>
    <w:rsid w:val="00525861"/>
    <w:rsid w:val="006A5889"/>
    <w:rsid w:val="00767394"/>
    <w:rsid w:val="007A0A72"/>
    <w:rsid w:val="00897870"/>
    <w:rsid w:val="008A06A3"/>
    <w:rsid w:val="008F486D"/>
    <w:rsid w:val="00970830"/>
    <w:rsid w:val="0097547A"/>
    <w:rsid w:val="009853F3"/>
    <w:rsid w:val="00A46DEA"/>
    <w:rsid w:val="00AB19D9"/>
    <w:rsid w:val="00B00F80"/>
    <w:rsid w:val="00B30BA0"/>
    <w:rsid w:val="00CC0735"/>
    <w:rsid w:val="00DA1143"/>
    <w:rsid w:val="00DD37AE"/>
    <w:rsid w:val="00E13A28"/>
    <w:rsid w:val="00E33719"/>
    <w:rsid w:val="00EB0174"/>
    <w:rsid w:val="00F70B63"/>
    <w:rsid w:val="00FF2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D5AE9E"/>
  <w15:docId w15:val="{3DF92CFC-C07D-43A6-A458-C33525465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000000"/>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30744B"/>
    <w:rPr>
      <w:color w:val="605E5C"/>
      <w:shd w:val="clear" w:color="auto" w:fill="E1DFDD"/>
    </w:rPr>
  </w:style>
  <w:style w:type="paragraph" w:styleId="Header">
    <w:name w:val="header"/>
    <w:basedOn w:val="Normal"/>
    <w:link w:val="HeaderChar"/>
    <w:uiPriority w:val="99"/>
    <w:unhideWhenUsed/>
    <w:rsid w:val="00EB0174"/>
    <w:pPr>
      <w:tabs>
        <w:tab w:val="center" w:pos="4513"/>
        <w:tab w:val="right" w:pos="9026"/>
      </w:tabs>
    </w:pPr>
  </w:style>
  <w:style w:type="character" w:customStyle="1" w:styleId="HeaderChar">
    <w:name w:val="Header Char"/>
    <w:basedOn w:val="DefaultParagraphFont"/>
    <w:link w:val="Header"/>
    <w:uiPriority w:val="99"/>
    <w:rsid w:val="00EB0174"/>
  </w:style>
  <w:style w:type="paragraph" w:styleId="Footer">
    <w:name w:val="footer"/>
    <w:basedOn w:val="Normal"/>
    <w:link w:val="FooterChar"/>
    <w:uiPriority w:val="99"/>
    <w:unhideWhenUsed/>
    <w:rsid w:val="00EB0174"/>
    <w:pPr>
      <w:tabs>
        <w:tab w:val="center" w:pos="4513"/>
        <w:tab w:val="right" w:pos="9026"/>
      </w:tabs>
    </w:pPr>
  </w:style>
  <w:style w:type="character" w:customStyle="1" w:styleId="FooterChar">
    <w:name w:val="Footer Char"/>
    <w:basedOn w:val="DefaultParagraphFont"/>
    <w:link w:val="Footer"/>
    <w:uiPriority w:val="99"/>
    <w:rsid w:val="00EB0174"/>
  </w:style>
  <w:style w:type="paragraph" w:styleId="TOCHeading">
    <w:name w:val="TOC Heading"/>
    <w:basedOn w:val="Heading1"/>
    <w:next w:val="Normal"/>
    <w:uiPriority w:val="39"/>
    <w:unhideWhenUsed/>
    <w:qFormat/>
    <w:rsid w:val="006A5889"/>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6A588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providers/regulations-service-providers-and-managers/health-social-care-act/regulation-17"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66E8E-C97A-438A-A744-4240BA0E6E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2129</Words>
  <Characters>12138</Characters>
  <Application>Microsoft Office Word</Application>
  <DocSecurity>0</DocSecurity>
  <Lines>101</Lines>
  <Paragraphs>28</Paragraphs>
  <ScaleCrop>false</ScaleCrop>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Mojisola Abatti (2515877)</cp:lastModifiedBy>
  <cp:revision>2</cp:revision>
  <dcterms:created xsi:type="dcterms:W3CDTF">2026-08-19T10:01:00Z</dcterms:created>
  <dcterms:modified xsi:type="dcterms:W3CDTF">2026-08-19T10:01:00Z</dcterms:modified>
</cp:coreProperties>
</file>