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B80E17" w14:textId="77777777" w:rsidR="0024515D" w:rsidRDefault="0024515D" w:rsidP="0024515D">
      <w:pPr>
        <w:spacing w:line="360" w:lineRule="auto"/>
        <w:jc w:val="center"/>
        <w:rPr>
          <w:rFonts w:ascii="Times New Roman" w:hAnsi="Times New Roman" w:cs="Times New Roman"/>
          <w:b/>
          <w:bCs/>
          <w:color w:val="156082" w:themeColor="accent1"/>
          <w:sz w:val="40"/>
          <w:szCs w:val="40"/>
        </w:rPr>
      </w:pPr>
    </w:p>
    <w:p w14:paraId="6C136408" w14:textId="77777777" w:rsidR="0024515D" w:rsidRDefault="0024515D" w:rsidP="0024515D">
      <w:pPr>
        <w:spacing w:line="360" w:lineRule="auto"/>
        <w:jc w:val="center"/>
        <w:rPr>
          <w:rFonts w:ascii="Times New Roman" w:hAnsi="Times New Roman" w:cs="Times New Roman"/>
          <w:b/>
          <w:bCs/>
          <w:color w:val="156082" w:themeColor="accent1"/>
          <w:sz w:val="40"/>
          <w:szCs w:val="40"/>
        </w:rPr>
      </w:pPr>
    </w:p>
    <w:p w14:paraId="4EFC3B68" w14:textId="77777777" w:rsidR="0024515D" w:rsidRDefault="0024515D" w:rsidP="0024515D">
      <w:pPr>
        <w:spacing w:line="360" w:lineRule="auto"/>
        <w:jc w:val="center"/>
        <w:rPr>
          <w:rFonts w:ascii="Times New Roman" w:hAnsi="Times New Roman" w:cs="Times New Roman"/>
          <w:b/>
          <w:bCs/>
          <w:color w:val="156082" w:themeColor="accent1"/>
          <w:sz w:val="40"/>
          <w:szCs w:val="40"/>
        </w:rPr>
      </w:pPr>
    </w:p>
    <w:p w14:paraId="096FF08A" w14:textId="3EF16D55" w:rsidR="00FE5A08" w:rsidRDefault="0024515D" w:rsidP="0024515D">
      <w:pPr>
        <w:spacing w:line="360" w:lineRule="auto"/>
        <w:jc w:val="center"/>
        <w:rPr>
          <w:rFonts w:ascii="Times New Roman" w:hAnsi="Times New Roman" w:cs="Times New Roman"/>
          <w:b/>
          <w:bCs/>
          <w:color w:val="156082" w:themeColor="accent1"/>
          <w:sz w:val="40"/>
          <w:szCs w:val="40"/>
        </w:rPr>
      </w:pPr>
      <w:r w:rsidRPr="0024515D">
        <w:rPr>
          <w:rFonts w:ascii="Times New Roman" w:hAnsi="Times New Roman" w:cs="Times New Roman"/>
          <w:b/>
          <w:bCs/>
          <w:color w:val="156082" w:themeColor="accent1"/>
          <w:sz w:val="40"/>
          <w:szCs w:val="40"/>
        </w:rPr>
        <w:t>STAKEHOLDER MANAGEMENT PLAN FOR THE LADYWOOD ESTATE REGENERATION SCHEME, BIRMINGHAM</w:t>
      </w:r>
    </w:p>
    <w:p w14:paraId="794F00A2" w14:textId="77777777" w:rsidR="007F5B23" w:rsidRDefault="007F5B23" w:rsidP="0024515D">
      <w:pPr>
        <w:spacing w:line="360" w:lineRule="auto"/>
        <w:jc w:val="center"/>
        <w:rPr>
          <w:rFonts w:ascii="Times New Roman" w:hAnsi="Times New Roman" w:cs="Times New Roman"/>
          <w:b/>
          <w:bCs/>
          <w:color w:val="156082" w:themeColor="accent1"/>
          <w:sz w:val="40"/>
          <w:szCs w:val="40"/>
        </w:rPr>
      </w:pPr>
    </w:p>
    <w:p w14:paraId="124D3449" w14:textId="7B3B192C" w:rsidR="007F5B23" w:rsidRPr="007F5B23" w:rsidRDefault="007F5B23" w:rsidP="0024515D">
      <w:pPr>
        <w:spacing w:line="360" w:lineRule="auto"/>
        <w:jc w:val="center"/>
        <w:rPr>
          <w:rFonts w:ascii="Times New Roman" w:hAnsi="Times New Roman" w:cs="Times New Roman"/>
          <w:b/>
          <w:bCs/>
          <w:color w:val="000000" w:themeColor="text1"/>
          <w:sz w:val="40"/>
          <w:szCs w:val="40"/>
        </w:rPr>
      </w:pPr>
      <w:r w:rsidRPr="007F5B23">
        <w:rPr>
          <w:rFonts w:ascii="Times New Roman" w:hAnsi="Times New Roman" w:cs="Times New Roman"/>
          <w:b/>
          <w:bCs/>
          <w:color w:val="000000" w:themeColor="text1"/>
          <w:sz w:val="40"/>
          <w:szCs w:val="40"/>
        </w:rPr>
        <w:t>NAME: Claudiu Sebastian A</w:t>
      </w:r>
      <w:r w:rsidR="006B3F4D">
        <w:rPr>
          <w:rFonts w:ascii="Times New Roman" w:hAnsi="Times New Roman" w:cs="Times New Roman"/>
          <w:b/>
          <w:bCs/>
          <w:color w:val="000000" w:themeColor="text1"/>
          <w:sz w:val="40"/>
          <w:szCs w:val="40"/>
        </w:rPr>
        <w:t>na</w:t>
      </w:r>
    </w:p>
    <w:p w14:paraId="3BA83429" w14:textId="77777777" w:rsidR="0024515D" w:rsidRDefault="0024515D" w:rsidP="00FE5A08">
      <w:pPr>
        <w:spacing w:line="360" w:lineRule="auto"/>
        <w:jc w:val="both"/>
        <w:rPr>
          <w:rFonts w:ascii="Times New Roman" w:hAnsi="Times New Roman" w:cs="Times New Roman"/>
          <w:b/>
          <w:bCs/>
        </w:rPr>
      </w:pPr>
    </w:p>
    <w:p w14:paraId="129A2A98" w14:textId="77777777" w:rsidR="0024515D" w:rsidRDefault="0024515D">
      <w:pPr>
        <w:rPr>
          <w:rFonts w:ascii="Times New Roman" w:hAnsi="Times New Roman" w:cs="Times New Roman"/>
          <w:b/>
          <w:bCs/>
        </w:rPr>
      </w:pPr>
      <w:r>
        <w:rPr>
          <w:rFonts w:ascii="Times New Roman" w:hAnsi="Times New Roman" w:cs="Times New Roman"/>
          <w:b/>
          <w:bCs/>
        </w:rPr>
        <w:br w:type="page"/>
      </w:r>
    </w:p>
    <w:sdt>
      <w:sdtPr>
        <w:rPr>
          <w:rFonts w:asciiTheme="minorHAnsi" w:eastAsiaTheme="minorEastAsia" w:hAnsiTheme="minorHAnsi" w:cstheme="minorBidi"/>
          <w:b/>
          <w:bCs/>
          <w:color w:val="auto"/>
          <w:kern w:val="2"/>
          <w:sz w:val="24"/>
          <w:szCs w:val="24"/>
          <w:lang w:eastAsia="zh-CN"/>
          <w14:ligatures w14:val="standardContextual"/>
        </w:rPr>
        <w:id w:val="-2071645718"/>
        <w:docPartObj>
          <w:docPartGallery w:val="Table of Contents"/>
          <w:docPartUnique/>
        </w:docPartObj>
      </w:sdtPr>
      <w:sdtEndPr>
        <w:rPr>
          <w:noProof/>
        </w:rPr>
      </w:sdtEndPr>
      <w:sdtContent>
        <w:p w14:paraId="659C7C7F" w14:textId="0E648B5B" w:rsidR="00A5745F" w:rsidRPr="00A5745F" w:rsidRDefault="00A5745F" w:rsidP="00A5745F">
          <w:pPr>
            <w:pStyle w:val="TOCHeading"/>
            <w:spacing w:line="360" w:lineRule="auto"/>
            <w:rPr>
              <w:rFonts w:ascii="Times New Roman" w:hAnsi="Times New Roman" w:cs="Times New Roman"/>
              <w:b/>
              <w:bCs/>
            </w:rPr>
          </w:pPr>
          <w:r w:rsidRPr="00A5745F">
            <w:rPr>
              <w:rFonts w:ascii="Times New Roman" w:hAnsi="Times New Roman" w:cs="Times New Roman"/>
              <w:b/>
              <w:bCs/>
            </w:rPr>
            <w:t>Table of Contents</w:t>
          </w:r>
        </w:p>
        <w:p w14:paraId="0BF0005E" w14:textId="29197F3C" w:rsidR="00A5745F" w:rsidRPr="00A5745F" w:rsidRDefault="00A5745F" w:rsidP="00A5745F">
          <w:pPr>
            <w:pStyle w:val="TOC1"/>
            <w:tabs>
              <w:tab w:val="right" w:leader="dot" w:pos="9350"/>
            </w:tabs>
            <w:spacing w:line="360" w:lineRule="auto"/>
            <w:rPr>
              <w:rFonts w:ascii="Times New Roman" w:hAnsi="Times New Roman" w:cs="Times New Roman"/>
              <w:noProof/>
            </w:rPr>
          </w:pPr>
          <w:r w:rsidRPr="00A5745F">
            <w:rPr>
              <w:rFonts w:ascii="Times New Roman" w:hAnsi="Times New Roman" w:cs="Times New Roman"/>
            </w:rPr>
            <w:fldChar w:fldCharType="begin"/>
          </w:r>
          <w:r w:rsidRPr="00A5745F">
            <w:rPr>
              <w:rFonts w:ascii="Times New Roman" w:hAnsi="Times New Roman" w:cs="Times New Roman"/>
            </w:rPr>
            <w:instrText xml:space="preserve"> TOC \o "1-3" \h \z \u </w:instrText>
          </w:r>
          <w:r w:rsidRPr="00A5745F">
            <w:rPr>
              <w:rFonts w:ascii="Times New Roman" w:hAnsi="Times New Roman" w:cs="Times New Roman"/>
            </w:rPr>
            <w:fldChar w:fldCharType="separate"/>
          </w:r>
          <w:hyperlink w:anchor="_Toc238038588" w:history="1">
            <w:r w:rsidRPr="00A5745F">
              <w:rPr>
                <w:rStyle w:val="Hyperlink"/>
                <w:rFonts w:ascii="Times New Roman" w:hAnsi="Times New Roman" w:cs="Times New Roman"/>
                <w:noProof/>
              </w:rPr>
              <w:t>Element 1: Introduction</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_Toc238038588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1</w:t>
            </w:r>
            <w:r w:rsidRPr="00A5745F">
              <w:rPr>
                <w:rFonts w:ascii="Times New Roman" w:hAnsi="Times New Roman" w:cs="Times New Roman"/>
                <w:noProof/>
                <w:webHidden/>
              </w:rPr>
              <w:fldChar w:fldCharType="end"/>
            </w:r>
          </w:hyperlink>
        </w:p>
        <w:p w14:paraId="114AD757" w14:textId="08953317" w:rsidR="00A5745F" w:rsidRPr="00A5745F" w:rsidRDefault="00A5745F" w:rsidP="00A5745F">
          <w:pPr>
            <w:pStyle w:val="TOC1"/>
            <w:tabs>
              <w:tab w:val="right" w:leader="dot" w:pos="9350"/>
            </w:tabs>
            <w:spacing w:line="360" w:lineRule="auto"/>
            <w:rPr>
              <w:rFonts w:ascii="Times New Roman" w:hAnsi="Times New Roman" w:cs="Times New Roman"/>
              <w:noProof/>
            </w:rPr>
          </w:pPr>
          <w:hyperlink w:anchor="_Toc238038589" w:history="1">
            <w:r w:rsidRPr="00A5745F">
              <w:rPr>
                <w:rStyle w:val="Hyperlink"/>
                <w:rFonts w:ascii="Times New Roman" w:hAnsi="Times New Roman" w:cs="Times New Roman"/>
                <w:noProof/>
              </w:rPr>
              <w:t>Element 2: Stakeholder Engagement Strategies</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_Toc238038589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2</w:t>
            </w:r>
            <w:r w:rsidRPr="00A5745F">
              <w:rPr>
                <w:rFonts w:ascii="Times New Roman" w:hAnsi="Times New Roman" w:cs="Times New Roman"/>
                <w:noProof/>
                <w:webHidden/>
              </w:rPr>
              <w:fldChar w:fldCharType="end"/>
            </w:r>
          </w:hyperlink>
        </w:p>
        <w:p w14:paraId="7F33D920" w14:textId="45432556" w:rsidR="00A5745F" w:rsidRPr="00A5745F" w:rsidRDefault="00A5745F" w:rsidP="00A5745F">
          <w:pPr>
            <w:pStyle w:val="TOC2"/>
            <w:tabs>
              <w:tab w:val="right" w:leader="dot" w:pos="9350"/>
            </w:tabs>
            <w:spacing w:line="360" w:lineRule="auto"/>
            <w:rPr>
              <w:rFonts w:ascii="Times New Roman" w:hAnsi="Times New Roman" w:cs="Times New Roman"/>
              <w:noProof/>
            </w:rPr>
          </w:pPr>
          <w:hyperlink w:anchor="_Toc238038590" w:history="1">
            <w:r w:rsidRPr="00A5745F">
              <w:rPr>
                <w:rStyle w:val="Hyperlink"/>
                <w:rFonts w:ascii="Times New Roman" w:hAnsi="Times New Roman" w:cs="Times New Roman"/>
                <w:noProof/>
              </w:rPr>
              <w:t>2.1 Stakeholder Prioritisation: Power, Influence and Interest</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_Toc238038590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2</w:t>
            </w:r>
            <w:r w:rsidRPr="00A5745F">
              <w:rPr>
                <w:rFonts w:ascii="Times New Roman" w:hAnsi="Times New Roman" w:cs="Times New Roman"/>
                <w:noProof/>
                <w:webHidden/>
              </w:rPr>
              <w:fldChar w:fldCharType="end"/>
            </w:r>
          </w:hyperlink>
        </w:p>
        <w:p w14:paraId="031DAD7F" w14:textId="559D407F" w:rsidR="00A5745F" w:rsidRPr="00A5745F" w:rsidRDefault="00A5745F" w:rsidP="00A5745F">
          <w:pPr>
            <w:pStyle w:val="TOC2"/>
            <w:tabs>
              <w:tab w:val="right" w:leader="dot" w:pos="9350"/>
            </w:tabs>
            <w:spacing w:line="360" w:lineRule="auto"/>
            <w:rPr>
              <w:rFonts w:ascii="Times New Roman" w:hAnsi="Times New Roman" w:cs="Times New Roman"/>
              <w:noProof/>
            </w:rPr>
          </w:pPr>
          <w:hyperlink w:anchor="_Toc238038591" w:history="1">
            <w:r w:rsidRPr="00A5745F">
              <w:rPr>
                <w:rStyle w:val="Hyperlink"/>
                <w:rFonts w:ascii="Times New Roman" w:hAnsi="Times New Roman" w:cs="Times New Roman"/>
                <w:noProof/>
              </w:rPr>
              <w:t>2.2 Stakeholder Mapping</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_Toc238038591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4</w:t>
            </w:r>
            <w:r w:rsidRPr="00A5745F">
              <w:rPr>
                <w:rFonts w:ascii="Times New Roman" w:hAnsi="Times New Roman" w:cs="Times New Roman"/>
                <w:noProof/>
                <w:webHidden/>
              </w:rPr>
              <w:fldChar w:fldCharType="end"/>
            </w:r>
          </w:hyperlink>
        </w:p>
        <w:p w14:paraId="249580D5" w14:textId="43EC8E16" w:rsidR="00A5745F" w:rsidRPr="00A5745F" w:rsidRDefault="00A5745F" w:rsidP="00A5745F">
          <w:pPr>
            <w:pStyle w:val="TOC2"/>
            <w:tabs>
              <w:tab w:val="right" w:leader="dot" w:pos="9350"/>
            </w:tabs>
            <w:spacing w:line="360" w:lineRule="auto"/>
            <w:rPr>
              <w:rFonts w:ascii="Times New Roman" w:hAnsi="Times New Roman" w:cs="Times New Roman"/>
              <w:noProof/>
            </w:rPr>
          </w:pPr>
          <w:hyperlink w:anchor="_Toc238038592" w:history="1">
            <w:r w:rsidRPr="00A5745F">
              <w:rPr>
                <w:rStyle w:val="Hyperlink"/>
                <w:rFonts w:ascii="Times New Roman" w:hAnsi="Times New Roman" w:cs="Times New Roman"/>
                <w:noProof/>
              </w:rPr>
              <w:t>2.3 Communication and Consultation Plan</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_Toc238038592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5</w:t>
            </w:r>
            <w:r w:rsidRPr="00A5745F">
              <w:rPr>
                <w:rFonts w:ascii="Times New Roman" w:hAnsi="Times New Roman" w:cs="Times New Roman"/>
                <w:noProof/>
                <w:webHidden/>
              </w:rPr>
              <w:fldChar w:fldCharType="end"/>
            </w:r>
          </w:hyperlink>
        </w:p>
        <w:p w14:paraId="167C3EDB" w14:textId="3E7BEA2F" w:rsidR="00A5745F" w:rsidRPr="00A5745F" w:rsidRDefault="00A5745F" w:rsidP="00A5745F">
          <w:pPr>
            <w:pStyle w:val="TOC1"/>
            <w:tabs>
              <w:tab w:val="right" w:leader="dot" w:pos="9350"/>
            </w:tabs>
            <w:spacing w:line="360" w:lineRule="auto"/>
            <w:rPr>
              <w:rFonts w:ascii="Times New Roman" w:hAnsi="Times New Roman" w:cs="Times New Roman"/>
              <w:noProof/>
            </w:rPr>
          </w:pPr>
          <w:hyperlink w:anchor="_Toc238038593" w:history="1">
            <w:r w:rsidRPr="00A5745F">
              <w:rPr>
                <w:rStyle w:val="Hyperlink"/>
                <w:rFonts w:ascii="Times New Roman" w:hAnsi="Times New Roman" w:cs="Times New Roman"/>
                <w:noProof/>
              </w:rPr>
              <w:t>Element 3: Ethical Considerations in Stakeholder Consultation, Participation and Feedback</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_Toc238038593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8</w:t>
            </w:r>
            <w:r w:rsidRPr="00A5745F">
              <w:rPr>
                <w:rFonts w:ascii="Times New Roman" w:hAnsi="Times New Roman" w:cs="Times New Roman"/>
                <w:noProof/>
                <w:webHidden/>
              </w:rPr>
              <w:fldChar w:fldCharType="end"/>
            </w:r>
          </w:hyperlink>
        </w:p>
        <w:p w14:paraId="37840903" w14:textId="06684F85" w:rsidR="00A5745F" w:rsidRPr="00A5745F" w:rsidRDefault="00A5745F" w:rsidP="00A5745F">
          <w:pPr>
            <w:pStyle w:val="TOC2"/>
            <w:tabs>
              <w:tab w:val="right" w:leader="dot" w:pos="9350"/>
            </w:tabs>
            <w:spacing w:line="360" w:lineRule="auto"/>
            <w:rPr>
              <w:rFonts w:ascii="Times New Roman" w:hAnsi="Times New Roman" w:cs="Times New Roman"/>
              <w:noProof/>
            </w:rPr>
          </w:pPr>
          <w:hyperlink w:anchor="_Toc238038594" w:history="1">
            <w:r w:rsidRPr="00A5745F">
              <w:rPr>
                <w:rStyle w:val="Hyperlink"/>
                <w:rFonts w:ascii="Times New Roman" w:hAnsi="Times New Roman" w:cs="Times New Roman"/>
                <w:noProof/>
              </w:rPr>
              <w:t>3.1 Consultation Methods and Ethical Data Collection</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_Toc238038594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8</w:t>
            </w:r>
            <w:r w:rsidRPr="00A5745F">
              <w:rPr>
                <w:rFonts w:ascii="Times New Roman" w:hAnsi="Times New Roman" w:cs="Times New Roman"/>
                <w:noProof/>
                <w:webHidden/>
              </w:rPr>
              <w:fldChar w:fldCharType="end"/>
            </w:r>
          </w:hyperlink>
        </w:p>
        <w:p w14:paraId="5F5A8D6E" w14:textId="49445FFF" w:rsidR="00A5745F" w:rsidRPr="00A5745F" w:rsidRDefault="00A5745F" w:rsidP="00A5745F">
          <w:pPr>
            <w:pStyle w:val="TOC2"/>
            <w:tabs>
              <w:tab w:val="right" w:leader="dot" w:pos="9350"/>
            </w:tabs>
            <w:spacing w:line="360" w:lineRule="auto"/>
            <w:rPr>
              <w:rFonts w:ascii="Times New Roman" w:hAnsi="Times New Roman" w:cs="Times New Roman"/>
              <w:noProof/>
            </w:rPr>
          </w:pPr>
          <w:hyperlink w:anchor="_Toc238038595" w:history="1">
            <w:r w:rsidRPr="00A5745F">
              <w:rPr>
                <w:rStyle w:val="Hyperlink"/>
                <w:rFonts w:ascii="Times New Roman" w:hAnsi="Times New Roman" w:cs="Times New Roman"/>
                <w:noProof/>
              </w:rPr>
              <w:t>3.2 Bias, Diversity, Equity and Inclusion</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_Toc238038595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8</w:t>
            </w:r>
            <w:r w:rsidRPr="00A5745F">
              <w:rPr>
                <w:rFonts w:ascii="Times New Roman" w:hAnsi="Times New Roman" w:cs="Times New Roman"/>
                <w:noProof/>
                <w:webHidden/>
              </w:rPr>
              <w:fldChar w:fldCharType="end"/>
            </w:r>
          </w:hyperlink>
        </w:p>
        <w:p w14:paraId="2FF0B0E5" w14:textId="71C0EDCB" w:rsidR="00A5745F" w:rsidRPr="00A5745F" w:rsidRDefault="00A5745F" w:rsidP="00A5745F">
          <w:pPr>
            <w:pStyle w:val="TOC2"/>
            <w:tabs>
              <w:tab w:val="right" w:leader="dot" w:pos="9350"/>
            </w:tabs>
            <w:spacing w:line="360" w:lineRule="auto"/>
            <w:rPr>
              <w:rFonts w:ascii="Times New Roman" w:hAnsi="Times New Roman" w:cs="Times New Roman"/>
              <w:noProof/>
            </w:rPr>
          </w:pPr>
          <w:hyperlink w:anchor="_Toc238038596" w:history="1">
            <w:r w:rsidRPr="00A5745F">
              <w:rPr>
                <w:rStyle w:val="Hyperlink"/>
                <w:rFonts w:ascii="Times New Roman" w:hAnsi="Times New Roman" w:cs="Times New Roman"/>
                <w:noProof/>
              </w:rPr>
              <w:t>3.3 Feedback Collection, Review and Accountability</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_Toc238038596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9</w:t>
            </w:r>
            <w:r w:rsidRPr="00A5745F">
              <w:rPr>
                <w:rFonts w:ascii="Times New Roman" w:hAnsi="Times New Roman" w:cs="Times New Roman"/>
                <w:noProof/>
                <w:webHidden/>
              </w:rPr>
              <w:fldChar w:fldCharType="end"/>
            </w:r>
          </w:hyperlink>
        </w:p>
        <w:p w14:paraId="3FBF054D" w14:textId="7C21690E" w:rsidR="00A5745F" w:rsidRPr="00A5745F" w:rsidRDefault="00A5745F" w:rsidP="00A5745F">
          <w:pPr>
            <w:pStyle w:val="TOC1"/>
            <w:tabs>
              <w:tab w:val="right" w:leader="dot" w:pos="9350"/>
            </w:tabs>
            <w:spacing w:line="360" w:lineRule="auto"/>
            <w:rPr>
              <w:rFonts w:ascii="Times New Roman" w:hAnsi="Times New Roman" w:cs="Times New Roman"/>
              <w:noProof/>
            </w:rPr>
          </w:pPr>
          <w:hyperlink w:anchor="_Toc238038597" w:history="1">
            <w:r w:rsidRPr="00A5745F">
              <w:rPr>
                <w:rStyle w:val="Hyperlink"/>
                <w:rFonts w:ascii="Times New Roman" w:hAnsi="Times New Roman" w:cs="Times New Roman"/>
                <w:noProof/>
              </w:rPr>
              <w:t>Element 4: Conclusion and Reflection</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_Toc238038597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11</w:t>
            </w:r>
            <w:r w:rsidRPr="00A5745F">
              <w:rPr>
                <w:rFonts w:ascii="Times New Roman" w:hAnsi="Times New Roman" w:cs="Times New Roman"/>
                <w:noProof/>
                <w:webHidden/>
              </w:rPr>
              <w:fldChar w:fldCharType="end"/>
            </w:r>
          </w:hyperlink>
        </w:p>
        <w:p w14:paraId="1E3B3916" w14:textId="25860925" w:rsidR="00A5745F" w:rsidRPr="00A5745F" w:rsidRDefault="00A5745F" w:rsidP="00A5745F">
          <w:pPr>
            <w:pStyle w:val="TOC2"/>
            <w:tabs>
              <w:tab w:val="right" w:leader="dot" w:pos="9350"/>
            </w:tabs>
            <w:spacing w:line="360" w:lineRule="auto"/>
            <w:rPr>
              <w:rFonts w:ascii="Times New Roman" w:hAnsi="Times New Roman" w:cs="Times New Roman"/>
              <w:noProof/>
            </w:rPr>
          </w:pPr>
          <w:hyperlink w:anchor="_Toc238038598" w:history="1">
            <w:r w:rsidRPr="00A5745F">
              <w:rPr>
                <w:rStyle w:val="Hyperlink"/>
                <w:rFonts w:ascii="Times New Roman" w:hAnsi="Times New Roman" w:cs="Times New Roman"/>
                <w:noProof/>
              </w:rPr>
              <w:t>4.1 Conclusion</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_Toc238038598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11</w:t>
            </w:r>
            <w:r w:rsidRPr="00A5745F">
              <w:rPr>
                <w:rFonts w:ascii="Times New Roman" w:hAnsi="Times New Roman" w:cs="Times New Roman"/>
                <w:noProof/>
                <w:webHidden/>
              </w:rPr>
              <w:fldChar w:fldCharType="end"/>
            </w:r>
          </w:hyperlink>
        </w:p>
        <w:p w14:paraId="6109B9DC" w14:textId="4C1C8F8C" w:rsidR="00A5745F" w:rsidRPr="00A5745F" w:rsidRDefault="00A5745F" w:rsidP="00A5745F">
          <w:pPr>
            <w:pStyle w:val="TOC2"/>
            <w:tabs>
              <w:tab w:val="right" w:leader="dot" w:pos="9350"/>
            </w:tabs>
            <w:spacing w:line="360" w:lineRule="auto"/>
            <w:rPr>
              <w:rFonts w:ascii="Times New Roman" w:hAnsi="Times New Roman" w:cs="Times New Roman"/>
              <w:noProof/>
            </w:rPr>
          </w:pPr>
          <w:hyperlink w:anchor="_Toc238038599" w:history="1">
            <w:r w:rsidRPr="00A5745F">
              <w:rPr>
                <w:rStyle w:val="Hyperlink"/>
                <w:rFonts w:ascii="Times New Roman" w:hAnsi="Times New Roman" w:cs="Times New Roman"/>
                <w:noProof/>
              </w:rPr>
              <w:t>4.2 Reflective Account</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_Toc238038599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11</w:t>
            </w:r>
            <w:r w:rsidRPr="00A5745F">
              <w:rPr>
                <w:rFonts w:ascii="Times New Roman" w:hAnsi="Times New Roman" w:cs="Times New Roman"/>
                <w:noProof/>
                <w:webHidden/>
              </w:rPr>
              <w:fldChar w:fldCharType="end"/>
            </w:r>
          </w:hyperlink>
        </w:p>
        <w:p w14:paraId="4D2C27F4" w14:textId="0336E33B" w:rsidR="00A5745F" w:rsidRPr="00A5745F" w:rsidRDefault="00A5745F" w:rsidP="00A5745F">
          <w:pPr>
            <w:pStyle w:val="TOC1"/>
            <w:tabs>
              <w:tab w:val="right" w:leader="dot" w:pos="9350"/>
            </w:tabs>
            <w:spacing w:line="360" w:lineRule="auto"/>
            <w:rPr>
              <w:rFonts w:ascii="Times New Roman" w:hAnsi="Times New Roman" w:cs="Times New Roman"/>
              <w:noProof/>
            </w:rPr>
          </w:pPr>
          <w:hyperlink w:anchor="_Toc238038600" w:history="1">
            <w:r w:rsidRPr="00A5745F">
              <w:rPr>
                <w:rStyle w:val="Hyperlink"/>
                <w:rFonts w:ascii="Times New Roman" w:hAnsi="Times New Roman" w:cs="Times New Roman"/>
                <w:noProof/>
              </w:rPr>
              <w:t>References</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_Toc238038600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13</w:t>
            </w:r>
            <w:r w:rsidRPr="00A5745F">
              <w:rPr>
                <w:rFonts w:ascii="Times New Roman" w:hAnsi="Times New Roman" w:cs="Times New Roman"/>
                <w:noProof/>
                <w:webHidden/>
              </w:rPr>
              <w:fldChar w:fldCharType="end"/>
            </w:r>
          </w:hyperlink>
        </w:p>
        <w:p w14:paraId="3F6103C8" w14:textId="6BB80A00" w:rsidR="00A5745F" w:rsidRDefault="00A5745F" w:rsidP="00A5745F">
          <w:pPr>
            <w:spacing w:line="360" w:lineRule="auto"/>
          </w:pPr>
          <w:r w:rsidRPr="00A5745F">
            <w:rPr>
              <w:rFonts w:ascii="Times New Roman" w:hAnsi="Times New Roman" w:cs="Times New Roman"/>
              <w:noProof/>
            </w:rPr>
            <w:fldChar w:fldCharType="end"/>
          </w:r>
        </w:p>
      </w:sdtContent>
    </w:sdt>
    <w:p w14:paraId="7FD46C12" w14:textId="77777777" w:rsidR="0024515D" w:rsidRDefault="0024515D" w:rsidP="00FE5A08">
      <w:pPr>
        <w:spacing w:line="360" w:lineRule="auto"/>
        <w:jc w:val="both"/>
        <w:rPr>
          <w:rFonts w:ascii="Times New Roman" w:hAnsi="Times New Roman" w:cs="Times New Roman"/>
          <w:b/>
          <w:bCs/>
        </w:rPr>
      </w:pPr>
    </w:p>
    <w:p w14:paraId="65125D40" w14:textId="77777777" w:rsidR="0024515D" w:rsidRDefault="0024515D" w:rsidP="0024515D">
      <w:pPr>
        <w:rPr>
          <w:rFonts w:ascii="Times New Roman" w:hAnsi="Times New Roman" w:cs="Times New Roman"/>
          <w:b/>
          <w:bCs/>
        </w:rPr>
      </w:pPr>
    </w:p>
    <w:p w14:paraId="18D41F32" w14:textId="77777777" w:rsidR="0024515D" w:rsidRDefault="0024515D" w:rsidP="0024515D">
      <w:pPr>
        <w:rPr>
          <w:rFonts w:ascii="Times New Roman" w:hAnsi="Times New Roman" w:cs="Times New Roman"/>
          <w:b/>
          <w:bCs/>
        </w:rPr>
      </w:pPr>
    </w:p>
    <w:p w14:paraId="2DBA2C06" w14:textId="77777777" w:rsidR="0024515D" w:rsidRDefault="0024515D" w:rsidP="0024515D">
      <w:pPr>
        <w:rPr>
          <w:rFonts w:ascii="Times New Roman" w:hAnsi="Times New Roman" w:cs="Times New Roman"/>
          <w:b/>
          <w:bCs/>
        </w:rPr>
      </w:pPr>
    </w:p>
    <w:p w14:paraId="258B70A1" w14:textId="77777777" w:rsidR="0024515D" w:rsidRDefault="0024515D" w:rsidP="0024515D">
      <w:pPr>
        <w:rPr>
          <w:rFonts w:ascii="Times New Roman" w:hAnsi="Times New Roman" w:cs="Times New Roman"/>
          <w:b/>
          <w:bCs/>
        </w:rPr>
      </w:pPr>
    </w:p>
    <w:p w14:paraId="702871B0" w14:textId="77777777" w:rsidR="0024515D" w:rsidRDefault="0024515D" w:rsidP="0024515D">
      <w:pPr>
        <w:rPr>
          <w:rFonts w:ascii="Times New Roman" w:hAnsi="Times New Roman" w:cs="Times New Roman"/>
          <w:b/>
          <w:bCs/>
        </w:rPr>
      </w:pPr>
    </w:p>
    <w:p w14:paraId="0650038F" w14:textId="77777777" w:rsidR="0024515D" w:rsidRDefault="0024515D" w:rsidP="0024515D">
      <w:pPr>
        <w:rPr>
          <w:rFonts w:ascii="Times New Roman" w:hAnsi="Times New Roman" w:cs="Times New Roman"/>
          <w:b/>
          <w:bCs/>
        </w:rPr>
      </w:pPr>
    </w:p>
    <w:p w14:paraId="4C3E9616" w14:textId="77777777" w:rsidR="0024515D" w:rsidRDefault="0024515D" w:rsidP="0024515D">
      <w:pPr>
        <w:rPr>
          <w:rFonts w:ascii="Times New Roman" w:hAnsi="Times New Roman" w:cs="Times New Roman"/>
          <w:b/>
          <w:bCs/>
        </w:rPr>
      </w:pPr>
    </w:p>
    <w:p w14:paraId="537DBC20" w14:textId="77777777" w:rsidR="0024515D" w:rsidRDefault="0024515D" w:rsidP="0024515D">
      <w:pPr>
        <w:rPr>
          <w:rFonts w:ascii="Times New Roman" w:hAnsi="Times New Roman" w:cs="Times New Roman"/>
          <w:b/>
          <w:bCs/>
        </w:rPr>
      </w:pPr>
    </w:p>
    <w:p w14:paraId="3533CC46" w14:textId="77777777" w:rsidR="0024515D" w:rsidRDefault="0024515D" w:rsidP="0024515D">
      <w:pPr>
        <w:rPr>
          <w:rFonts w:ascii="Times New Roman" w:hAnsi="Times New Roman" w:cs="Times New Roman"/>
          <w:b/>
          <w:bCs/>
        </w:rPr>
      </w:pPr>
    </w:p>
    <w:p w14:paraId="5214A111" w14:textId="17884A81" w:rsidR="00A5745F" w:rsidRDefault="00A5745F" w:rsidP="00A5745F">
      <w:pPr>
        <w:pStyle w:val="TOCHeading"/>
        <w:spacing w:line="360" w:lineRule="auto"/>
        <w:rPr>
          <w:rFonts w:ascii="Times New Roman" w:hAnsi="Times New Roman" w:cs="Times New Roman"/>
          <w:b/>
          <w:bCs/>
        </w:rPr>
      </w:pPr>
      <w:r>
        <w:rPr>
          <w:rFonts w:ascii="Times New Roman" w:hAnsi="Times New Roman" w:cs="Times New Roman"/>
          <w:b/>
          <w:bCs/>
        </w:rPr>
        <w:lastRenderedPageBreak/>
        <w:t>List of Figures and Tables</w:t>
      </w:r>
    </w:p>
    <w:p w14:paraId="72452FFE" w14:textId="2603A1F9" w:rsidR="00A5745F" w:rsidRPr="00A5745F" w:rsidRDefault="00A5745F" w:rsidP="00A5745F">
      <w:pPr>
        <w:pStyle w:val="TableofFigures"/>
        <w:tabs>
          <w:tab w:val="right" w:leader="dot" w:pos="9350"/>
        </w:tabs>
        <w:spacing w:line="480" w:lineRule="auto"/>
        <w:rPr>
          <w:rFonts w:ascii="Times New Roman" w:hAnsi="Times New Roman" w:cs="Times New Roman"/>
          <w:noProof/>
        </w:rPr>
      </w:pPr>
      <w:r w:rsidRPr="00A5745F">
        <w:rPr>
          <w:rFonts w:ascii="Times New Roman" w:hAnsi="Times New Roman" w:cs="Times New Roman"/>
          <w:lang w:eastAsia="en-US"/>
        </w:rPr>
        <w:fldChar w:fldCharType="begin"/>
      </w:r>
      <w:r w:rsidRPr="00A5745F">
        <w:rPr>
          <w:rFonts w:ascii="Times New Roman" w:hAnsi="Times New Roman" w:cs="Times New Roman"/>
          <w:lang w:eastAsia="en-US"/>
        </w:rPr>
        <w:instrText xml:space="preserve"> TOC \h \z \c "Figure" </w:instrText>
      </w:r>
      <w:r w:rsidRPr="00A5745F">
        <w:rPr>
          <w:rFonts w:ascii="Times New Roman" w:hAnsi="Times New Roman" w:cs="Times New Roman"/>
          <w:lang w:eastAsia="en-US"/>
        </w:rPr>
        <w:fldChar w:fldCharType="separate"/>
      </w:r>
      <w:hyperlink w:anchor="_Toc238038613" w:history="1">
        <w:r w:rsidRPr="00A5745F">
          <w:rPr>
            <w:rStyle w:val="Hyperlink"/>
            <w:rFonts w:ascii="Times New Roman" w:hAnsi="Times New Roman" w:cs="Times New Roman"/>
            <w:noProof/>
          </w:rPr>
          <w:t>Figure 1 Stakeholder power-interest map for Ladywood regeneration</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_Toc238038613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4</w:t>
        </w:r>
        <w:r w:rsidRPr="00A5745F">
          <w:rPr>
            <w:rFonts w:ascii="Times New Roman" w:hAnsi="Times New Roman" w:cs="Times New Roman"/>
            <w:noProof/>
            <w:webHidden/>
          </w:rPr>
          <w:fldChar w:fldCharType="end"/>
        </w:r>
      </w:hyperlink>
    </w:p>
    <w:p w14:paraId="634F15D6" w14:textId="1086AB5A" w:rsidR="00A5745F" w:rsidRPr="00A5745F" w:rsidRDefault="00A5745F" w:rsidP="00A5745F">
      <w:pPr>
        <w:pStyle w:val="TableofFigures"/>
        <w:tabs>
          <w:tab w:val="right" w:leader="dot" w:pos="9350"/>
        </w:tabs>
        <w:spacing w:line="480" w:lineRule="auto"/>
        <w:rPr>
          <w:rFonts w:ascii="Times New Roman" w:hAnsi="Times New Roman" w:cs="Times New Roman"/>
          <w:noProof/>
        </w:rPr>
      </w:pPr>
      <w:hyperlink w:anchor="_Toc238038614" w:history="1">
        <w:r w:rsidRPr="00A5745F">
          <w:rPr>
            <w:rStyle w:val="Hyperlink"/>
            <w:rFonts w:ascii="Times New Roman" w:hAnsi="Times New Roman" w:cs="Times New Roman"/>
            <w:noProof/>
          </w:rPr>
          <w:t>Figure 2 Continuous stakeholder consultation and feedback cycle.</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_Toc238038614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10</w:t>
        </w:r>
        <w:r w:rsidRPr="00A5745F">
          <w:rPr>
            <w:rFonts w:ascii="Times New Roman" w:hAnsi="Times New Roman" w:cs="Times New Roman"/>
            <w:noProof/>
            <w:webHidden/>
          </w:rPr>
          <w:fldChar w:fldCharType="end"/>
        </w:r>
      </w:hyperlink>
    </w:p>
    <w:p w14:paraId="5613537A" w14:textId="77777777" w:rsidR="00A5745F" w:rsidRPr="00A5745F" w:rsidRDefault="00A5745F" w:rsidP="00A5745F">
      <w:pPr>
        <w:spacing w:line="480" w:lineRule="auto"/>
        <w:rPr>
          <w:rFonts w:ascii="Times New Roman" w:hAnsi="Times New Roman" w:cs="Times New Roman"/>
          <w:noProof/>
        </w:rPr>
      </w:pPr>
      <w:r w:rsidRPr="00A5745F">
        <w:rPr>
          <w:rFonts w:ascii="Times New Roman" w:hAnsi="Times New Roman" w:cs="Times New Roman"/>
          <w:lang w:eastAsia="en-US"/>
        </w:rPr>
        <w:fldChar w:fldCharType="end"/>
      </w:r>
      <w:r w:rsidRPr="00A5745F">
        <w:rPr>
          <w:rFonts w:ascii="Times New Roman" w:hAnsi="Times New Roman" w:cs="Times New Roman"/>
          <w:lang w:eastAsia="en-US"/>
        </w:rPr>
        <w:fldChar w:fldCharType="begin"/>
      </w:r>
      <w:r w:rsidRPr="00A5745F">
        <w:rPr>
          <w:rFonts w:ascii="Times New Roman" w:hAnsi="Times New Roman" w:cs="Times New Roman"/>
          <w:lang w:eastAsia="en-US"/>
        </w:rPr>
        <w:instrText xml:space="preserve"> TOC \h \z \c "Table" </w:instrText>
      </w:r>
      <w:r w:rsidRPr="00A5745F">
        <w:rPr>
          <w:rFonts w:ascii="Times New Roman" w:hAnsi="Times New Roman" w:cs="Times New Roman"/>
          <w:lang w:eastAsia="en-US"/>
        </w:rPr>
        <w:fldChar w:fldCharType="separate"/>
      </w:r>
    </w:p>
    <w:p w14:paraId="3E764D95" w14:textId="73062D5D" w:rsidR="00A5745F" w:rsidRPr="00A5745F" w:rsidRDefault="00A5745F" w:rsidP="00A5745F">
      <w:pPr>
        <w:pStyle w:val="TableofFigures"/>
        <w:tabs>
          <w:tab w:val="right" w:leader="dot" w:pos="9350"/>
        </w:tabs>
        <w:spacing w:line="480" w:lineRule="auto"/>
        <w:rPr>
          <w:rFonts w:ascii="Times New Roman" w:hAnsi="Times New Roman" w:cs="Times New Roman"/>
          <w:noProof/>
        </w:rPr>
      </w:pPr>
      <w:hyperlink w:anchor="_Toc238038617" w:history="1">
        <w:r w:rsidRPr="00A5745F">
          <w:rPr>
            <w:rStyle w:val="Hyperlink"/>
            <w:rFonts w:ascii="Times New Roman" w:hAnsi="Times New Roman" w:cs="Times New Roman"/>
            <w:noProof/>
          </w:rPr>
          <w:t>Table 1 Power, Influence and Interest Assessment</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_Toc238038617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2</w:t>
        </w:r>
        <w:r w:rsidRPr="00A5745F">
          <w:rPr>
            <w:rFonts w:ascii="Times New Roman" w:hAnsi="Times New Roman" w:cs="Times New Roman"/>
            <w:noProof/>
            <w:webHidden/>
          </w:rPr>
          <w:fldChar w:fldCharType="end"/>
        </w:r>
      </w:hyperlink>
    </w:p>
    <w:p w14:paraId="5B8B13EF" w14:textId="610742FB" w:rsidR="00A5745F" w:rsidRPr="00A5745F" w:rsidRDefault="00A5745F" w:rsidP="00A5745F">
      <w:pPr>
        <w:pStyle w:val="TableofFigures"/>
        <w:tabs>
          <w:tab w:val="right" w:leader="dot" w:pos="9350"/>
        </w:tabs>
        <w:spacing w:line="480" w:lineRule="auto"/>
        <w:rPr>
          <w:rFonts w:ascii="Times New Roman" w:hAnsi="Times New Roman" w:cs="Times New Roman"/>
          <w:noProof/>
        </w:rPr>
      </w:pPr>
      <w:hyperlink w:anchor="_Toc238038618" w:history="1">
        <w:r w:rsidRPr="00A5745F">
          <w:rPr>
            <w:rStyle w:val="Hyperlink"/>
            <w:rFonts w:ascii="Times New Roman" w:hAnsi="Times New Roman" w:cs="Times New Roman"/>
            <w:noProof/>
          </w:rPr>
          <w:t>Table 2 Communication and Consultation Plan</w:t>
        </w:r>
        <w:r w:rsidRPr="00A5745F">
          <w:rPr>
            <w:rFonts w:ascii="Times New Roman" w:hAnsi="Times New Roman" w:cs="Times New Roman"/>
            <w:noProof/>
            <w:webHidden/>
          </w:rPr>
          <w:tab/>
        </w:r>
        <w:r w:rsidRPr="00A5745F">
          <w:rPr>
            <w:rFonts w:ascii="Times New Roman" w:hAnsi="Times New Roman" w:cs="Times New Roman"/>
            <w:noProof/>
            <w:webHidden/>
          </w:rPr>
          <w:fldChar w:fldCharType="begin"/>
        </w:r>
        <w:r w:rsidRPr="00A5745F">
          <w:rPr>
            <w:rFonts w:ascii="Times New Roman" w:hAnsi="Times New Roman" w:cs="Times New Roman"/>
            <w:noProof/>
            <w:webHidden/>
          </w:rPr>
          <w:instrText xml:space="preserve"> PAGEREF _Toc238038618 \h </w:instrText>
        </w:r>
        <w:r w:rsidRPr="00A5745F">
          <w:rPr>
            <w:rFonts w:ascii="Times New Roman" w:hAnsi="Times New Roman" w:cs="Times New Roman"/>
            <w:noProof/>
            <w:webHidden/>
          </w:rPr>
        </w:r>
        <w:r w:rsidRPr="00A5745F">
          <w:rPr>
            <w:rFonts w:ascii="Times New Roman" w:hAnsi="Times New Roman" w:cs="Times New Roman"/>
            <w:noProof/>
            <w:webHidden/>
          </w:rPr>
          <w:fldChar w:fldCharType="separate"/>
        </w:r>
        <w:r w:rsidRPr="00A5745F">
          <w:rPr>
            <w:rFonts w:ascii="Times New Roman" w:hAnsi="Times New Roman" w:cs="Times New Roman"/>
            <w:noProof/>
            <w:webHidden/>
          </w:rPr>
          <w:t>5</w:t>
        </w:r>
        <w:r w:rsidRPr="00A5745F">
          <w:rPr>
            <w:rFonts w:ascii="Times New Roman" w:hAnsi="Times New Roman" w:cs="Times New Roman"/>
            <w:noProof/>
            <w:webHidden/>
          </w:rPr>
          <w:fldChar w:fldCharType="end"/>
        </w:r>
      </w:hyperlink>
    </w:p>
    <w:p w14:paraId="06D2CECC" w14:textId="3DB14E3D" w:rsidR="00A5745F" w:rsidRPr="00A5745F" w:rsidRDefault="00A5745F" w:rsidP="00A5745F">
      <w:pPr>
        <w:spacing w:line="480" w:lineRule="auto"/>
        <w:rPr>
          <w:rFonts w:ascii="Times New Roman" w:hAnsi="Times New Roman" w:cs="Times New Roman"/>
          <w:lang w:eastAsia="en-US"/>
        </w:rPr>
      </w:pPr>
      <w:r w:rsidRPr="00A5745F">
        <w:rPr>
          <w:rFonts w:ascii="Times New Roman" w:hAnsi="Times New Roman" w:cs="Times New Roman"/>
          <w:lang w:eastAsia="en-US"/>
        </w:rPr>
        <w:fldChar w:fldCharType="end"/>
      </w:r>
    </w:p>
    <w:p w14:paraId="1EC066E4" w14:textId="77777777" w:rsidR="0024515D" w:rsidRDefault="0024515D" w:rsidP="0024515D">
      <w:pPr>
        <w:rPr>
          <w:rFonts w:ascii="Times New Roman" w:hAnsi="Times New Roman" w:cs="Times New Roman"/>
          <w:b/>
          <w:bCs/>
        </w:rPr>
      </w:pPr>
    </w:p>
    <w:p w14:paraId="3BB04FA7" w14:textId="77777777" w:rsidR="0024515D" w:rsidRDefault="0024515D" w:rsidP="0024515D">
      <w:pPr>
        <w:rPr>
          <w:rFonts w:ascii="Times New Roman" w:hAnsi="Times New Roman" w:cs="Times New Roman"/>
          <w:b/>
          <w:bCs/>
        </w:rPr>
      </w:pPr>
    </w:p>
    <w:p w14:paraId="10428FA2" w14:textId="77777777" w:rsidR="0024515D" w:rsidRDefault="0024515D" w:rsidP="0024515D">
      <w:pPr>
        <w:rPr>
          <w:rFonts w:ascii="Times New Roman" w:hAnsi="Times New Roman" w:cs="Times New Roman"/>
          <w:b/>
          <w:bCs/>
        </w:rPr>
      </w:pPr>
    </w:p>
    <w:p w14:paraId="1008E3B4" w14:textId="77777777" w:rsidR="0024515D" w:rsidRDefault="0024515D" w:rsidP="0024515D">
      <w:pPr>
        <w:rPr>
          <w:rFonts w:ascii="Times New Roman" w:hAnsi="Times New Roman" w:cs="Times New Roman"/>
          <w:b/>
          <w:bCs/>
        </w:rPr>
      </w:pPr>
    </w:p>
    <w:p w14:paraId="628AEC78" w14:textId="77777777" w:rsidR="0024515D" w:rsidRDefault="0024515D" w:rsidP="0024515D">
      <w:pPr>
        <w:rPr>
          <w:rFonts w:ascii="Times New Roman" w:hAnsi="Times New Roman" w:cs="Times New Roman"/>
          <w:b/>
          <w:bCs/>
        </w:rPr>
      </w:pPr>
    </w:p>
    <w:p w14:paraId="1048F271" w14:textId="77777777" w:rsidR="0024515D" w:rsidRDefault="0024515D" w:rsidP="0024515D">
      <w:pPr>
        <w:rPr>
          <w:rFonts w:ascii="Times New Roman" w:hAnsi="Times New Roman" w:cs="Times New Roman"/>
          <w:b/>
          <w:bCs/>
        </w:rPr>
      </w:pPr>
    </w:p>
    <w:p w14:paraId="0EB293C4" w14:textId="77777777" w:rsidR="0024515D" w:rsidRDefault="0024515D" w:rsidP="0024515D">
      <w:pPr>
        <w:rPr>
          <w:rFonts w:ascii="Times New Roman" w:hAnsi="Times New Roman" w:cs="Times New Roman"/>
          <w:b/>
          <w:bCs/>
        </w:rPr>
      </w:pPr>
    </w:p>
    <w:p w14:paraId="49363316" w14:textId="77777777" w:rsidR="0024515D" w:rsidRDefault="0024515D" w:rsidP="0024515D">
      <w:pPr>
        <w:rPr>
          <w:rFonts w:ascii="Times New Roman" w:hAnsi="Times New Roman" w:cs="Times New Roman"/>
          <w:b/>
          <w:bCs/>
        </w:rPr>
      </w:pPr>
    </w:p>
    <w:p w14:paraId="60644891" w14:textId="77777777" w:rsidR="0024515D" w:rsidRDefault="0024515D" w:rsidP="0024515D">
      <w:pPr>
        <w:rPr>
          <w:rFonts w:ascii="Times New Roman" w:hAnsi="Times New Roman" w:cs="Times New Roman"/>
          <w:b/>
          <w:bCs/>
        </w:rPr>
      </w:pPr>
    </w:p>
    <w:p w14:paraId="0D9A6B6F" w14:textId="77777777" w:rsidR="0024515D" w:rsidRDefault="0024515D" w:rsidP="0024515D">
      <w:pPr>
        <w:rPr>
          <w:rFonts w:ascii="Times New Roman" w:hAnsi="Times New Roman" w:cs="Times New Roman"/>
          <w:b/>
          <w:bCs/>
        </w:rPr>
      </w:pPr>
    </w:p>
    <w:p w14:paraId="51A91C6D" w14:textId="77777777" w:rsidR="0024515D" w:rsidRDefault="0024515D" w:rsidP="0024515D">
      <w:pPr>
        <w:rPr>
          <w:rFonts w:ascii="Times New Roman" w:hAnsi="Times New Roman" w:cs="Times New Roman"/>
          <w:b/>
          <w:bCs/>
        </w:rPr>
      </w:pPr>
    </w:p>
    <w:p w14:paraId="25A8E36A" w14:textId="77777777" w:rsidR="0024515D" w:rsidRDefault="0024515D" w:rsidP="0024515D">
      <w:pPr>
        <w:rPr>
          <w:rFonts w:ascii="Times New Roman" w:hAnsi="Times New Roman" w:cs="Times New Roman"/>
          <w:b/>
          <w:bCs/>
        </w:rPr>
      </w:pPr>
    </w:p>
    <w:p w14:paraId="5128EE1D" w14:textId="77777777" w:rsidR="0024515D" w:rsidRDefault="0024515D">
      <w:pPr>
        <w:rPr>
          <w:rFonts w:ascii="Times New Roman" w:hAnsi="Times New Roman" w:cs="Times New Roman"/>
          <w:b/>
          <w:bCs/>
        </w:rPr>
      </w:pPr>
      <w:r>
        <w:rPr>
          <w:rFonts w:ascii="Times New Roman" w:hAnsi="Times New Roman" w:cs="Times New Roman"/>
          <w:b/>
          <w:bCs/>
        </w:rPr>
        <w:br w:type="page"/>
      </w:r>
    </w:p>
    <w:p w14:paraId="3D7FE357" w14:textId="77777777" w:rsidR="0024515D" w:rsidRDefault="0024515D" w:rsidP="0024515D">
      <w:pPr>
        <w:pStyle w:val="Heading1"/>
        <w:spacing w:line="360" w:lineRule="auto"/>
        <w:rPr>
          <w:rFonts w:ascii="Times New Roman" w:hAnsi="Times New Roman" w:cs="Times New Roman"/>
          <w:b/>
          <w:bCs/>
          <w:sz w:val="32"/>
          <w:szCs w:val="32"/>
        </w:rPr>
        <w:sectPr w:rsidR="0024515D">
          <w:pgSz w:w="12240" w:h="15840"/>
          <w:pgMar w:top="1440" w:right="1440" w:bottom="1440" w:left="1440" w:header="720" w:footer="720" w:gutter="0"/>
          <w:cols w:space="720"/>
          <w:docGrid w:linePitch="360"/>
        </w:sectPr>
      </w:pPr>
    </w:p>
    <w:p w14:paraId="266B85FF" w14:textId="5B290EC8" w:rsidR="00FE5A08" w:rsidRPr="0024515D" w:rsidRDefault="00FE5A08" w:rsidP="0024515D">
      <w:pPr>
        <w:pStyle w:val="Heading1"/>
        <w:spacing w:line="360" w:lineRule="auto"/>
        <w:rPr>
          <w:rFonts w:ascii="Times New Roman" w:hAnsi="Times New Roman" w:cs="Times New Roman"/>
          <w:b/>
          <w:bCs/>
          <w:sz w:val="32"/>
          <w:szCs w:val="32"/>
        </w:rPr>
      </w:pPr>
      <w:bookmarkStart w:id="0" w:name="_Toc238038588"/>
      <w:r w:rsidRPr="0024515D">
        <w:rPr>
          <w:rFonts w:ascii="Times New Roman" w:hAnsi="Times New Roman" w:cs="Times New Roman"/>
          <w:b/>
          <w:bCs/>
          <w:sz w:val="32"/>
          <w:szCs w:val="32"/>
        </w:rPr>
        <w:lastRenderedPageBreak/>
        <w:t>Element 1: Introduction</w:t>
      </w:r>
      <w:bookmarkEnd w:id="0"/>
    </w:p>
    <w:p w14:paraId="524D44FA"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This Stakeholder Management Plan concentrates on housing redevelopment and applies to a real estate development project in the local infrastructure, the Ladywood Estate Regeneration Scheme in Birmingham. Housing redevelopment is not a construction project, but a process that involves housing needs, community identity, commercial interests, public resources and long-term social value. The stakeholder theory thus states that projects should generate and maintain value for the various parties impacted by the actions of the </w:t>
      </w:r>
      <w:proofErr w:type="spellStart"/>
      <w:r w:rsidRPr="0024515D">
        <w:rPr>
          <w:rFonts w:ascii="Times New Roman" w:hAnsi="Times New Roman" w:cs="Times New Roman"/>
        </w:rPr>
        <w:t>organisation</w:t>
      </w:r>
      <w:proofErr w:type="spellEnd"/>
      <w:r w:rsidRPr="0024515D">
        <w:rPr>
          <w:rFonts w:ascii="Times New Roman" w:hAnsi="Times New Roman" w:cs="Times New Roman"/>
        </w:rPr>
        <w:t>, not just a single dominant stakeholder (Freeman, 1984). In today's time and place, this proposition has been elaborated by highlighting the importance of dialogue, participation and relationship quality, instead of unidirectional information delivery (Kujala et al., 2022; Sachs and Kujala, 2021).</w:t>
      </w:r>
    </w:p>
    <w:p w14:paraId="795C1E22"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This Stakeholder Management Plan is based on the Ladywood Estate Regeneration Scheme in Birmingham, Birmingham Council is the lead council for the scheme, but the Junior Stakeholder Manager is acting as a representative of a consultancy for the engagement process. Birmingham City Council has signed a developer agreement with St Joseph (part of Berkeley Group) to undertake </w:t>
      </w:r>
      <w:proofErr w:type="spellStart"/>
      <w:r w:rsidRPr="0024515D">
        <w:rPr>
          <w:rFonts w:ascii="Times New Roman" w:hAnsi="Times New Roman" w:cs="Times New Roman"/>
        </w:rPr>
        <w:t>masterplanning</w:t>
      </w:r>
      <w:proofErr w:type="spellEnd"/>
      <w:r w:rsidRPr="0024515D">
        <w:rPr>
          <w:rFonts w:ascii="Times New Roman" w:hAnsi="Times New Roman" w:cs="Times New Roman"/>
        </w:rPr>
        <w:t xml:space="preserve"> prior to a hybrid planning application. The wider regeneration will be expected to run over a period of some 20 years, with the actual work of the regeneration not expected to commence before 2028. Birmingham City Council reports the </w:t>
      </w:r>
      <w:proofErr w:type="spellStart"/>
      <w:r w:rsidRPr="0024515D">
        <w:rPr>
          <w:rFonts w:ascii="Times New Roman" w:hAnsi="Times New Roman" w:cs="Times New Roman"/>
        </w:rPr>
        <w:t>programme</w:t>
      </w:r>
      <w:proofErr w:type="spellEnd"/>
      <w:r w:rsidRPr="0024515D">
        <w:rPr>
          <w:rFonts w:ascii="Times New Roman" w:hAnsi="Times New Roman" w:cs="Times New Roman"/>
        </w:rPr>
        <w:t xml:space="preserve"> will deliver a further 1,000 apprenticeships and 10,000 full-time-equivalent jobs (FTE) (Birmingham City Council, 2025a; 2025b), in addition to the delivery of a further 1,000 homes in various tenures, improved energy efficiency, green space, community facilities and better transport connections.</w:t>
      </w:r>
    </w:p>
    <w:p w14:paraId="5DFCED18"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The local context enhances this argument for regeneration. In 2024, Birmingham had an estimated population of 1.18 million and evidence from Census indicates that between 2011 and 2021, Birmingham's population increased by 71,900 (ONS, 2023). The supply of housing, accessibility and </w:t>
      </w:r>
      <w:proofErr w:type="spellStart"/>
      <w:r w:rsidRPr="0024515D">
        <w:rPr>
          <w:rFonts w:ascii="Times New Roman" w:hAnsi="Times New Roman" w:cs="Times New Roman"/>
        </w:rPr>
        <w:t>neighbourhood</w:t>
      </w:r>
      <w:proofErr w:type="spellEnd"/>
      <w:r w:rsidRPr="0024515D">
        <w:rPr>
          <w:rFonts w:ascii="Times New Roman" w:hAnsi="Times New Roman" w:cs="Times New Roman"/>
        </w:rPr>
        <w:t xml:space="preserve"> quality are therefore highly relevant in the long term.</w:t>
      </w:r>
    </w:p>
    <w:p w14:paraId="2BFDCFEE" w14:textId="261EF8EA" w:rsidR="00FE5A08" w:rsidRPr="00FE5A08"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The main stakeholders are Birmingham City Council, St Joseph, current tenants and leaseholders, other residents of Ladywood and community-based groups, local businesses and employers, and transport, education and public service </w:t>
      </w:r>
      <w:proofErr w:type="spellStart"/>
      <w:r w:rsidRPr="0024515D">
        <w:rPr>
          <w:rFonts w:ascii="Times New Roman" w:hAnsi="Times New Roman" w:cs="Times New Roman"/>
        </w:rPr>
        <w:t>organisations</w:t>
      </w:r>
      <w:proofErr w:type="spellEnd"/>
      <w:r w:rsidRPr="0024515D">
        <w:rPr>
          <w:rFonts w:ascii="Times New Roman" w:hAnsi="Times New Roman" w:cs="Times New Roman"/>
        </w:rPr>
        <w:t xml:space="preserve">. Potential tenants are another key group of beneficiaries. Existing residents can benefit from better housing, environmental quality and facilities; the council can progress towards its housing and regeneration goals; St Joseph can have </w:t>
      </w:r>
      <w:r w:rsidRPr="0024515D">
        <w:rPr>
          <w:rFonts w:ascii="Times New Roman" w:hAnsi="Times New Roman" w:cs="Times New Roman"/>
        </w:rPr>
        <w:lastRenderedPageBreak/>
        <w:t>a development opportunity that is deliverable; businesses can benefit from greater footfall and employment; service providers can benefit from better infrastructure; and future households can benefit from additional housing options. But that doesn't mean benefits are always equal. Insufficient engagement of affected residents in decision-making can lead to urban regeneration-induced displacement and affordability and distributional tensions (Liao and Liu, 2023; Hu et al., 2024</w:t>
      </w:r>
      <w:r w:rsidR="00FE5A08" w:rsidRPr="00FE5A08">
        <w:rPr>
          <w:rFonts w:ascii="Times New Roman" w:hAnsi="Times New Roman" w:cs="Times New Roman"/>
        </w:rPr>
        <w:t>).</w:t>
      </w:r>
    </w:p>
    <w:p w14:paraId="431EA88A" w14:textId="77777777" w:rsidR="00FE5A08" w:rsidRPr="0024515D" w:rsidRDefault="00FE5A08" w:rsidP="0024515D">
      <w:pPr>
        <w:pStyle w:val="Heading1"/>
        <w:spacing w:line="360" w:lineRule="auto"/>
        <w:rPr>
          <w:rFonts w:ascii="Times New Roman" w:hAnsi="Times New Roman" w:cs="Times New Roman"/>
          <w:b/>
          <w:bCs/>
          <w:sz w:val="32"/>
          <w:szCs w:val="32"/>
        </w:rPr>
      </w:pPr>
      <w:bookmarkStart w:id="1" w:name="_Toc238038589"/>
      <w:r w:rsidRPr="0024515D">
        <w:rPr>
          <w:rFonts w:ascii="Times New Roman" w:hAnsi="Times New Roman" w:cs="Times New Roman"/>
          <w:b/>
          <w:bCs/>
          <w:sz w:val="32"/>
          <w:szCs w:val="32"/>
        </w:rPr>
        <w:t>Element 2: Stakeholder Engagement Strategies</w:t>
      </w:r>
      <w:bookmarkEnd w:id="1"/>
    </w:p>
    <w:p w14:paraId="0A349020" w14:textId="77777777" w:rsidR="00FE5A08" w:rsidRPr="0024515D" w:rsidRDefault="00FE5A08" w:rsidP="0024515D">
      <w:pPr>
        <w:pStyle w:val="Heading2"/>
        <w:spacing w:line="360" w:lineRule="auto"/>
        <w:rPr>
          <w:rFonts w:ascii="Times New Roman" w:hAnsi="Times New Roman" w:cs="Times New Roman"/>
          <w:b/>
          <w:bCs/>
          <w:color w:val="000000" w:themeColor="text1"/>
          <w:sz w:val="28"/>
          <w:szCs w:val="28"/>
        </w:rPr>
      </w:pPr>
      <w:bookmarkStart w:id="2" w:name="_Toc238038590"/>
      <w:r w:rsidRPr="0024515D">
        <w:rPr>
          <w:rFonts w:ascii="Times New Roman" w:hAnsi="Times New Roman" w:cs="Times New Roman"/>
          <w:b/>
          <w:bCs/>
          <w:color w:val="000000" w:themeColor="text1"/>
          <w:sz w:val="28"/>
          <w:szCs w:val="28"/>
        </w:rPr>
        <w:t xml:space="preserve">2.1 Stakeholder </w:t>
      </w:r>
      <w:proofErr w:type="spellStart"/>
      <w:r w:rsidRPr="0024515D">
        <w:rPr>
          <w:rFonts w:ascii="Times New Roman" w:hAnsi="Times New Roman" w:cs="Times New Roman"/>
          <w:b/>
          <w:bCs/>
          <w:color w:val="000000" w:themeColor="text1"/>
          <w:sz w:val="28"/>
          <w:szCs w:val="28"/>
        </w:rPr>
        <w:t>Prioritisation</w:t>
      </w:r>
      <w:proofErr w:type="spellEnd"/>
      <w:r w:rsidRPr="0024515D">
        <w:rPr>
          <w:rFonts w:ascii="Times New Roman" w:hAnsi="Times New Roman" w:cs="Times New Roman"/>
          <w:b/>
          <w:bCs/>
          <w:color w:val="000000" w:themeColor="text1"/>
          <w:sz w:val="28"/>
          <w:szCs w:val="28"/>
        </w:rPr>
        <w:t>: Power, Influence and Interest</w:t>
      </w:r>
      <w:bookmarkEnd w:id="2"/>
    </w:p>
    <w:p w14:paraId="4BB84029" w14:textId="56A95BF9" w:rsidR="00FE5A08" w:rsidRPr="00FE5A08" w:rsidRDefault="0024515D" w:rsidP="00FE5A08">
      <w:pPr>
        <w:spacing w:line="360" w:lineRule="auto"/>
        <w:jc w:val="both"/>
        <w:rPr>
          <w:rFonts w:ascii="Times New Roman" w:hAnsi="Times New Roman" w:cs="Times New Roman"/>
        </w:rPr>
      </w:pPr>
      <w:r w:rsidRPr="0024515D">
        <w:rPr>
          <w:rFonts w:ascii="Times New Roman" w:hAnsi="Times New Roman" w:cs="Times New Roman"/>
        </w:rPr>
        <w:t xml:space="preserve">Stakeholders should not be identified by just making a list. Power is the ability to change decisions or resources, influence is the ability to influence other actors, and interest </w:t>
      </w:r>
      <w:proofErr w:type="gramStart"/>
      <w:r w:rsidRPr="0024515D">
        <w:rPr>
          <w:rFonts w:ascii="Times New Roman" w:hAnsi="Times New Roman" w:cs="Times New Roman"/>
        </w:rPr>
        <w:t>is a reflection of</w:t>
      </w:r>
      <w:proofErr w:type="gramEnd"/>
      <w:r w:rsidRPr="0024515D">
        <w:rPr>
          <w:rFonts w:ascii="Times New Roman" w:hAnsi="Times New Roman" w:cs="Times New Roman"/>
        </w:rPr>
        <w:t xml:space="preserve"> how important project outcomes are to the stakeholder. While Mendelow's (1991) power-interest approach is still relevant, contemporary studies highlight the dynamic nature of stakeholder roles and the need to continually reevaluate their positions throughout the project lifecycle (</w:t>
      </w:r>
      <w:proofErr w:type="spellStart"/>
      <w:r w:rsidRPr="0024515D">
        <w:rPr>
          <w:rFonts w:ascii="Times New Roman" w:hAnsi="Times New Roman" w:cs="Times New Roman"/>
        </w:rPr>
        <w:t>Prebanić</w:t>
      </w:r>
      <w:proofErr w:type="spellEnd"/>
      <w:r w:rsidRPr="0024515D">
        <w:rPr>
          <w:rFonts w:ascii="Times New Roman" w:hAnsi="Times New Roman" w:cs="Times New Roman"/>
        </w:rPr>
        <w:t xml:space="preserve"> and Vukomanović, 2023; Pereira et al., 2025</w:t>
      </w:r>
      <w:r w:rsidR="00FE5A08" w:rsidRPr="00FE5A08">
        <w:rPr>
          <w:rFonts w:ascii="Times New Roman" w:hAnsi="Times New Roman" w:cs="Times New Roman"/>
        </w:rPr>
        <w:t>)</w:t>
      </w:r>
      <w:r w:rsidR="005F736E">
        <w:rPr>
          <w:rFonts w:ascii="Times New Roman" w:hAnsi="Times New Roman" w:cs="Times New Roman"/>
        </w:rPr>
        <w:t>.</w:t>
      </w:r>
    </w:p>
    <w:p w14:paraId="02E49F47" w14:textId="3FF82F20" w:rsidR="005F736E" w:rsidRDefault="005F736E" w:rsidP="005F736E">
      <w:pPr>
        <w:pStyle w:val="Caption"/>
        <w:keepNext/>
      </w:pPr>
      <w:bookmarkStart w:id="3" w:name="_Toc238038617"/>
      <w:r>
        <w:t xml:space="preserve">Table </w:t>
      </w:r>
      <w:fldSimple w:instr=" SEQ Table \* ARABIC ">
        <w:r>
          <w:rPr>
            <w:noProof/>
          </w:rPr>
          <w:t>1</w:t>
        </w:r>
      </w:fldSimple>
      <w:r>
        <w:t xml:space="preserve"> </w:t>
      </w:r>
      <w:r w:rsidRPr="000E0CBD">
        <w:t>Power, Influence and Interest Assessment</w:t>
      </w:r>
      <w:bookmarkEnd w:id="3"/>
    </w:p>
    <w:tbl>
      <w:tblPr>
        <w:tblStyle w:val="GridTable4-Accent4"/>
        <w:tblW w:w="0" w:type="auto"/>
        <w:tblLook w:val="04A0" w:firstRow="1" w:lastRow="0" w:firstColumn="1" w:lastColumn="0" w:noHBand="0" w:noVBand="1"/>
      </w:tblPr>
      <w:tblGrid>
        <w:gridCol w:w="2311"/>
        <w:gridCol w:w="1030"/>
        <w:gridCol w:w="1182"/>
        <w:gridCol w:w="1030"/>
        <w:gridCol w:w="1737"/>
        <w:gridCol w:w="2060"/>
      </w:tblGrid>
      <w:tr w:rsidR="00FE5A08" w:rsidRPr="00FE5A08" w14:paraId="4C5C39C8" w14:textId="77777777" w:rsidTr="005F73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8233DE" w14:textId="77777777" w:rsidR="00FE5A08" w:rsidRPr="00FE5A08" w:rsidRDefault="00FE5A08" w:rsidP="005F736E">
            <w:pPr>
              <w:spacing w:before="240" w:after="160" w:line="276" w:lineRule="auto"/>
              <w:jc w:val="both"/>
              <w:rPr>
                <w:rFonts w:ascii="Times New Roman" w:hAnsi="Times New Roman" w:cs="Times New Roman"/>
              </w:rPr>
            </w:pPr>
            <w:r w:rsidRPr="00FE5A08">
              <w:rPr>
                <w:rFonts w:ascii="Times New Roman" w:hAnsi="Times New Roman" w:cs="Times New Roman"/>
              </w:rPr>
              <w:t>Stakeholder</w:t>
            </w:r>
          </w:p>
        </w:tc>
        <w:tc>
          <w:tcPr>
            <w:tcW w:w="0" w:type="auto"/>
            <w:hideMark/>
          </w:tcPr>
          <w:p w14:paraId="7C0CB6B8" w14:textId="77777777" w:rsidR="00FE5A08" w:rsidRPr="00FE5A08" w:rsidRDefault="00FE5A08" w:rsidP="005F736E">
            <w:pPr>
              <w:spacing w:before="240" w:after="16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Power</w:t>
            </w:r>
          </w:p>
        </w:tc>
        <w:tc>
          <w:tcPr>
            <w:tcW w:w="0" w:type="auto"/>
            <w:hideMark/>
          </w:tcPr>
          <w:p w14:paraId="0ECAA06A" w14:textId="77777777" w:rsidR="00FE5A08" w:rsidRPr="00FE5A08" w:rsidRDefault="00FE5A08" w:rsidP="005F736E">
            <w:pPr>
              <w:spacing w:before="240" w:after="16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Influence</w:t>
            </w:r>
          </w:p>
        </w:tc>
        <w:tc>
          <w:tcPr>
            <w:tcW w:w="0" w:type="auto"/>
            <w:hideMark/>
          </w:tcPr>
          <w:p w14:paraId="0E78C7D2" w14:textId="77777777" w:rsidR="00FE5A08" w:rsidRPr="00FE5A08" w:rsidRDefault="00FE5A08" w:rsidP="005F736E">
            <w:pPr>
              <w:spacing w:before="240" w:after="16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Interest</w:t>
            </w:r>
          </w:p>
        </w:tc>
        <w:tc>
          <w:tcPr>
            <w:tcW w:w="0" w:type="auto"/>
            <w:hideMark/>
          </w:tcPr>
          <w:p w14:paraId="4A967770" w14:textId="77777777" w:rsidR="00FE5A08" w:rsidRPr="00FE5A08" w:rsidRDefault="00FE5A08" w:rsidP="005F736E">
            <w:pPr>
              <w:spacing w:before="240" w:after="16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Principal interest/issue</w:t>
            </w:r>
          </w:p>
        </w:tc>
        <w:tc>
          <w:tcPr>
            <w:tcW w:w="0" w:type="auto"/>
            <w:hideMark/>
          </w:tcPr>
          <w:p w14:paraId="0970EDB7" w14:textId="77777777" w:rsidR="00FE5A08" w:rsidRPr="00FE5A08" w:rsidRDefault="00FE5A08" w:rsidP="005F736E">
            <w:pPr>
              <w:spacing w:before="240" w:after="16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Engagement priority</w:t>
            </w:r>
          </w:p>
        </w:tc>
      </w:tr>
      <w:tr w:rsidR="00FE5A08" w:rsidRPr="00FE5A08" w14:paraId="60D0964F" w14:textId="77777777" w:rsidTr="005F7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217F42" w14:textId="77777777" w:rsidR="00FE5A08" w:rsidRPr="005F736E" w:rsidRDefault="00FE5A08" w:rsidP="005F736E">
            <w:pPr>
              <w:spacing w:before="240" w:after="160" w:line="276" w:lineRule="auto"/>
              <w:jc w:val="both"/>
              <w:rPr>
                <w:rFonts w:ascii="Times New Roman" w:hAnsi="Times New Roman" w:cs="Times New Roman"/>
                <w:b w:val="0"/>
                <w:bCs w:val="0"/>
              </w:rPr>
            </w:pPr>
            <w:r w:rsidRPr="005F736E">
              <w:rPr>
                <w:rFonts w:ascii="Times New Roman" w:hAnsi="Times New Roman" w:cs="Times New Roman"/>
                <w:b w:val="0"/>
                <w:bCs w:val="0"/>
              </w:rPr>
              <w:t>Birmingham City Council</w:t>
            </w:r>
          </w:p>
        </w:tc>
        <w:tc>
          <w:tcPr>
            <w:tcW w:w="0" w:type="auto"/>
            <w:hideMark/>
          </w:tcPr>
          <w:p w14:paraId="651BB308"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High</w:t>
            </w:r>
          </w:p>
        </w:tc>
        <w:tc>
          <w:tcPr>
            <w:tcW w:w="0" w:type="auto"/>
            <w:hideMark/>
          </w:tcPr>
          <w:p w14:paraId="72B0329D"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High</w:t>
            </w:r>
          </w:p>
        </w:tc>
        <w:tc>
          <w:tcPr>
            <w:tcW w:w="0" w:type="auto"/>
            <w:hideMark/>
          </w:tcPr>
          <w:p w14:paraId="6C92A2C6"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High</w:t>
            </w:r>
          </w:p>
        </w:tc>
        <w:tc>
          <w:tcPr>
            <w:tcW w:w="0" w:type="auto"/>
            <w:hideMark/>
          </w:tcPr>
          <w:p w14:paraId="507B7BF1"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Planning, housing delivery, public value, statutory responsibilities</w:t>
            </w:r>
          </w:p>
        </w:tc>
        <w:tc>
          <w:tcPr>
            <w:tcW w:w="0" w:type="auto"/>
            <w:hideMark/>
          </w:tcPr>
          <w:p w14:paraId="2C4EA9B0"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Manage closely</w:t>
            </w:r>
          </w:p>
        </w:tc>
      </w:tr>
      <w:tr w:rsidR="00FE5A08" w:rsidRPr="00FE5A08" w14:paraId="292E1C34" w14:textId="77777777" w:rsidTr="005F736E">
        <w:tc>
          <w:tcPr>
            <w:cnfStyle w:val="001000000000" w:firstRow="0" w:lastRow="0" w:firstColumn="1" w:lastColumn="0" w:oddVBand="0" w:evenVBand="0" w:oddHBand="0" w:evenHBand="0" w:firstRowFirstColumn="0" w:firstRowLastColumn="0" w:lastRowFirstColumn="0" w:lastRowLastColumn="0"/>
            <w:tcW w:w="0" w:type="auto"/>
            <w:hideMark/>
          </w:tcPr>
          <w:p w14:paraId="3D233894" w14:textId="77777777" w:rsidR="00FE5A08" w:rsidRPr="005F736E" w:rsidRDefault="00FE5A08" w:rsidP="005F736E">
            <w:pPr>
              <w:spacing w:before="240" w:after="160" w:line="276" w:lineRule="auto"/>
              <w:jc w:val="both"/>
              <w:rPr>
                <w:rFonts w:ascii="Times New Roman" w:hAnsi="Times New Roman" w:cs="Times New Roman"/>
                <w:b w:val="0"/>
                <w:bCs w:val="0"/>
              </w:rPr>
            </w:pPr>
            <w:r w:rsidRPr="005F736E">
              <w:rPr>
                <w:rFonts w:ascii="Times New Roman" w:hAnsi="Times New Roman" w:cs="Times New Roman"/>
                <w:b w:val="0"/>
                <w:bCs w:val="0"/>
              </w:rPr>
              <w:t>St Joseph/development team</w:t>
            </w:r>
          </w:p>
        </w:tc>
        <w:tc>
          <w:tcPr>
            <w:tcW w:w="0" w:type="auto"/>
            <w:hideMark/>
          </w:tcPr>
          <w:p w14:paraId="0B3E647B"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High</w:t>
            </w:r>
          </w:p>
        </w:tc>
        <w:tc>
          <w:tcPr>
            <w:tcW w:w="0" w:type="auto"/>
            <w:hideMark/>
          </w:tcPr>
          <w:p w14:paraId="73A16692"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High</w:t>
            </w:r>
          </w:p>
        </w:tc>
        <w:tc>
          <w:tcPr>
            <w:tcW w:w="0" w:type="auto"/>
            <w:hideMark/>
          </w:tcPr>
          <w:p w14:paraId="11E8EF78"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High</w:t>
            </w:r>
          </w:p>
        </w:tc>
        <w:tc>
          <w:tcPr>
            <w:tcW w:w="0" w:type="auto"/>
            <w:hideMark/>
          </w:tcPr>
          <w:p w14:paraId="30378EF5"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 xml:space="preserve">Commercial viability, design, delivery and </w:t>
            </w:r>
            <w:proofErr w:type="spellStart"/>
            <w:r w:rsidRPr="005F736E">
              <w:rPr>
                <w:rFonts w:ascii="Times New Roman" w:hAnsi="Times New Roman" w:cs="Times New Roman"/>
              </w:rPr>
              <w:t>programme</w:t>
            </w:r>
            <w:proofErr w:type="spellEnd"/>
            <w:r w:rsidRPr="005F736E">
              <w:rPr>
                <w:rFonts w:ascii="Times New Roman" w:hAnsi="Times New Roman" w:cs="Times New Roman"/>
              </w:rPr>
              <w:t xml:space="preserve"> certainty</w:t>
            </w:r>
          </w:p>
        </w:tc>
        <w:tc>
          <w:tcPr>
            <w:tcW w:w="0" w:type="auto"/>
            <w:hideMark/>
          </w:tcPr>
          <w:p w14:paraId="5E7427F7"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Manage closely</w:t>
            </w:r>
          </w:p>
        </w:tc>
      </w:tr>
      <w:tr w:rsidR="00FE5A08" w:rsidRPr="00FE5A08" w14:paraId="6C66E93C" w14:textId="77777777" w:rsidTr="005F7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FCB8D3" w14:textId="77777777" w:rsidR="00FE5A08" w:rsidRPr="005F736E" w:rsidRDefault="00FE5A08" w:rsidP="005F736E">
            <w:pPr>
              <w:spacing w:before="240" w:after="160" w:line="276" w:lineRule="auto"/>
              <w:jc w:val="both"/>
              <w:rPr>
                <w:rFonts w:ascii="Times New Roman" w:hAnsi="Times New Roman" w:cs="Times New Roman"/>
                <w:b w:val="0"/>
                <w:bCs w:val="0"/>
              </w:rPr>
            </w:pPr>
            <w:r w:rsidRPr="005F736E">
              <w:rPr>
                <w:rFonts w:ascii="Times New Roman" w:hAnsi="Times New Roman" w:cs="Times New Roman"/>
                <w:b w:val="0"/>
                <w:bCs w:val="0"/>
              </w:rPr>
              <w:lastRenderedPageBreak/>
              <w:t>Existing tenants and leaseholders</w:t>
            </w:r>
          </w:p>
        </w:tc>
        <w:tc>
          <w:tcPr>
            <w:tcW w:w="0" w:type="auto"/>
            <w:hideMark/>
          </w:tcPr>
          <w:p w14:paraId="424B70DC"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Medium</w:t>
            </w:r>
          </w:p>
        </w:tc>
        <w:tc>
          <w:tcPr>
            <w:tcW w:w="0" w:type="auto"/>
            <w:hideMark/>
          </w:tcPr>
          <w:p w14:paraId="63358B93"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High</w:t>
            </w:r>
          </w:p>
        </w:tc>
        <w:tc>
          <w:tcPr>
            <w:tcW w:w="0" w:type="auto"/>
            <w:hideMark/>
          </w:tcPr>
          <w:p w14:paraId="18387693"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High</w:t>
            </w:r>
          </w:p>
        </w:tc>
        <w:tc>
          <w:tcPr>
            <w:tcW w:w="0" w:type="auto"/>
            <w:hideMark/>
          </w:tcPr>
          <w:p w14:paraId="492995A8"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Housing security, rehousing, affordability, design, disruption</w:t>
            </w:r>
          </w:p>
        </w:tc>
        <w:tc>
          <w:tcPr>
            <w:tcW w:w="0" w:type="auto"/>
            <w:hideMark/>
          </w:tcPr>
          <w:p w14:paraId="5B5F26F8"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Manage closely</w:t>
            </w:r>
          </w:p>
        </w:tc>
      </w:tr>
      <w:tr w:rsidR="00FE5A08" w:rsidRPr="00FE5A08" w14:paraId="30197D01" w14:textId="77777777" w:rsidTr="005F736E">
        <w:tc>
          <w:tcPr>
            <w:cnfStyle w:val="001000000000" w:firstRow="0" w:lastRow="0" w:firstColumn="1" w:lastColumn="0" w:oddVBand="0" w:evenVBand="0" w:oddHBand="0" w:evenHBand="0" w:firstRowFirstColumn="0" w:firstRowLastColumn="0" w:lastRowFirstColumn="0" w:lastRowLastColumn="0"/>
            <w:tcW w:w="0" w:type="auto"/>
            <w:hideMark/>
          </w:tcPr>
          <w:p w14:paraId="430E8747" w14:textId="77777777" w:rsidR="00FE5A08" w:rsidRPr="005F736E" w:rsidRDefault="00FE5A08" w:rsidP="005F736E">
            <w:pPr>
              <w:spacing w:before="240" w:after="160" w:line="276" w:lineRule="auto"/>
              <w:jc w:val="both"/>
              <w:rPr>
                <w:rFonts w:ascii="Times New Roman" w:hAnsi="Times New Roman" w:cs="Times New Roman"/>
                <w:b w:val="0"/>
                <w:bCs w:val="0"/>
              </w:rPr>
            </w:pPr>
            <w:r w:rsidRPr="005F736E">
              <w:rPr>
                <w:rFonts w:ascii="Times New Roman" w:hAnsi="Times New Roman" w:cs="Times New Roman"/>
                <w:b w:val="0"/>
                <w:bCs w:val="0"/>
              </w:rPr>
              <w:t>Community groups/wider residents</w:t>
            </w:r>
          </w:p>
        </w:tc>
        <w:tc>
          <w:tcPr>
            <w:tcW w:w="0" w:type="auto"/>
            <w:hideMark/>
          </w:tcPr>
          <w:p w14:paraId="1F68789A"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Medium</w:t>
            </w:r>
          </w:p>
        </w:tc>
        <w:tc>
          <w:tcPr>
            <w:tcW w:w="0" w:type="auto"/>
            <w:hideMark/>
          </w:tcPr>
          <w:p w14:paraId="05E75C34"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Medium–High</w:t>
            </w:r>
          </w:p>
        </w:tc>
        <w:tc>
          <w:tcPr>
            <w:tcW w:w="0" w:type="auto"/>
            <w:hideMark/>
          </w:tcPr>
          <w:p w14:paraId="17C8E978"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High</w:t>
            </w:r>
          </w:p>
        </w:tc>
        <w:tc>
          <w:tcPr>
            <w:tcW w:w="0" w:type="auto"/>
            <w:hideMark/>
          </w:tcPr>
          <w:p w14:paraId="11B16B60"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Facilities, identity, green space, accessibility, social cohesion</w:t>
            </w:r>
          </w:p>
        </w:tc>
        <w:tc>
          <w:tcPr>
            <w:tcW w:w="0" w:type="auto"/>
            <w:hideMark/>
          </w:tcPr>
          <w:p w14:paraId="5E70FFFD"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Involve actively</w:t>
            </w:r>
          </w:p>
        </w:tc>
      </w:tr>
      <w:tr w:rsidR="00FE5A08" w:rsidRPr="00FE5A08" w14:paraId="57EA7951" w14:textId="77777777" w:rsidTr="005F7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DD5F03" w14:textId="77777777" w:rsidR="00FE5A08" w:rsidRPr="005F736E" w:rsidRDefault="00FE5A08" w:rsidP="005F736E">
            <w:pPr>
              <w:spacing w:before="240" w:after="160" w:line="276" w:lineRule="auto"/>
              <w:jc w:val="both"/>
              <w:rPr>
                <w:rFonts w:ascii="Times New Roman" w:hAnsi="Times New Roman" w:cs="Times New Roman"/>
                <w:b w:val="0"/>
                <w:bCs w:val="0"/>
              </w:rPr>
            </w:pPr>
            <w:r w:rsidRPr="005F736E">
              <w:rPr>
                <w:rFonts w:ascii="Times New Roman" w:hAnsi="Times New Roman" w:cs="Times New Roman"/>
                <w:b w:val="0"/>
                <w:bCs w:val="0"/>
              </w:rPr>
              <w:t>Local businesses/employers</w:t>
            </w:r>
          </w:p>
        </w:tc>
        <w:tc>
          <w:tcPr>
            <w:tcW w:w="0" w:type="auto"/>
            <w:hideMark/>
          </w:tcPr>
          <w:p w14:paraId="3392D327"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Medium</w:t>
            </w:r>
          </w:p>
        </w:tc>
        <w:tc>
          <w:tcPr>
            <w:tcW w:w="0" w:type="auto"/>
            <w:hideMark/>
          </w:tcPr>
          <w:p w14:paraId="22BB4993"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Medium</w:t>
            </w:r>
          </w:p>
        </w:tc>
        <w:tc>
          <w:tcPr>
            <w:tcW w:w="0" w:type="auto"/>
            <w:hideMark/>
          </w:tcPr>
          <w:p w14:paraId="06024E0B"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High</w:t>
            </w:r>
          </w:p>
        </w:tc>
        <w:tc>
          <w:tcPr>
            <w:tcW w:w="0" w:type="auto"/>
            <w:hideMark/>
          </w:tcPr>
          <w:p w14:paraId="2178B3F8"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Access, construction disruption, footfall, procurement and employment</w:t>
            </w:r>
          </w:p>
        </w:tc>
        <w:tc>
          <w:tcPr>
            <w:tcW w:w="0" w:type="auto"/>
            <w:hideMark/>
          </w:tcPr>
          <w:p w14:paraId="2E9CFEDF"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Keep involved</w:t>
            </w:r>
          </w:p>
        </w:tc>
      </w:tr>
      <w:tr w:rsidR="00FE5A08" w:rsidRPr="00FE5A08" w14:paraId="19FC110C" w14:textId="77777777" w:rsidTr="005F736E">
        <w:tc>
          <w:tcPr>
            <w:cnfStyle w:val="001000000000" w:firstRow="0" w:lastRow="0" w:firstColumn="1" w:lastColumn="0" w:oddVBand="0" w:evenVBand="0" w:oddHBand="0" w:evenHBand="0" w:firstRowFirstColumn="0" w:firstRowLastColumn="0" w:lastRowFirstColumn="0" w:lastRowLastColumn="0"/>
            <w:tcW w:w="0" w:type="auto"/>
            <w:hideMark/>
          </w:tcPr>
          <w:p w14:paraId="593CFD21" w14:textId="77777777" w:rsidR="00FE5A08" w:rsidRPr="005F736E" w:rsidRDefault="00FE5A08" w:rsidP="005F736E">
            <w:pPr>
              <w:spacing w:before="240" w:after="160" w:line="276" w:lineRule="auto"/>
              <w:jc w:val="both"/>
              <w:rPr>
                <w:rFonts w:ascii="Times New Roman" w:hAnsi="Times New Roman" w:cs="Times New Roman"/>
                <w:b w:val="0"/>
                <w:bCs w:val="0"/>
              </w:rPr>
            </w:pPr>
            <w:r w:rsidRPr="005F736E">
              <w:rPr>
                <w:rFonts w:ascii="Times New Roman" w:hAnsi="Times New Roman" w:cs="Times New Roman"/>
                <w:b w:val="0"/>
                <w:bCs w:val="0"/>
              </w:rPr>
              <w:t>Transport/public-service bodies</w:t>
            </w:r>
          </w:p>
        </w:tc>
        <w:tc>
          <w:tcPr>
            <w:tcW w:w="0" w:type="auto"/>
            <w:hideMark/>
          </w:tcPr>
          <w:p w14:paraId="13C7B9A0"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High</w:t>
            </w:r>
          </w:p>
        </w:tc>
        <w:tc>
          <w:tcPr>
            <w:tcW w:w="0" w:type="auto"/>
            <w:hideMark/>
          </w:tcPr>
          <w:p w14:paraId="7028F268"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Medium–High</w:t>
            </w:r>
          </w:p>
        </w:tc>
        <w:tc>
          <w:tcPr>
            <w:tcW w:w="0" w:type="auto"/>
            <w:hideMark/>
          </w:tcPr>
          <w:p w14:paraId="6DE88454"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Medium</w:t>
            </w:r>
          </w:p>
        </w:tc>
        <w:tc>
          <w:tcPr>
            <w:tcW w:w="0" w:type="auto"/>
            <w:hideMark/>
          </w:tcPr>
          <w:p w14:paraId="0C2970CC"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Capacity, connectivity, schools, health and service infrastructure</w:t>
            </w:r>
          </w:p>
        </w:tc>
        <w:tc>
          <w:tcPr>
            <w:tcW w:w="0" w:type="auto"/>
            <w:hideMark/>
          </w:tcPr>
          <w:p w14:paraId="2CD8F357"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Keep satisfied/involve</w:t>
            </w:r>
          </w:p>
        </w:tc>
      </w:tr>
      <w:tr w:rsidR="00FE5A08" w:rsidRPr="00FE5A08" w14:paraId="6F388890" w14:textId="77777777" w:rsidTr="005F7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26B4ED" w14:textId="77777777" w:rsidR="00FE5A08" w:rsidRPr="005F736E" w:rsidRDefault="00FE5A08" w:rsidP="005F736E">
            <w:pPr>
              <w:spacing w:before="240" w:after="160" w:line="276" w:lineRule="auto"/>
              <w:jc w:val="both"/>
              <w:rPr>
                <w:rFonts w:ascii="Times New Roman" w:hAnsi="Times New Roman" w:cs="Times New Roman"/>
                <w:b w:val="0"/>
                <w:bCs w:val="0"/>
              </w:rPr>
            </w:pPr>
            <w:r w:rsidRPr="005F736E">
              <w:rPr>
                <w:rFonts w:ascii="Times New Roman" w:hAnsi="Times New Roman" w:cs="Times New Roman"/>
                <w:b w:val="0"/>
                <w:bCs w:val="0"/>
              </w:rPr>
              <w:t>Future residents</w:t>
            </w:r>
          </w:p>
        </w:tc>
        <w:tc>
          <w:tcPr>
            <w:tcW w:w="0" w:type="auto"/>
            <w:hideMark/>
          </w:tcPr>
          <w:p w14:paraId="45F7D172"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Low</w:t>
            </w:r>
          </w:p>
        </w:tc>
        <w:tc>
          <w:tcPr>
            <w:tcW w:w="0" w:type="auto"/>
            <w:hideMark/>
          </w:tcPr>
          <w:p w14:paraId="4F2AEB3D"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Low–Medium</w:t>
            </w:r>
          </w:p>
        </w:tc>
        <w:tc>
          <w:tcPr>
            <w:tcW w:w="0" w:type="auto"/>
            <w:hideMark/>
          </w:tcPr>
          <w:p w14:paraId="3C8F616C"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High</w:t>
            </w:r>
          </w:p>
        </w:tc>
        <w:tc>
          <w:tcPr>
            <w:tcW w:w="0" w:type="auto"/>
            <w:hideMark/>
          </w:tcPr>
          <w:p w14:paraId="6399330A"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 xml:space="preserve">Housing quality, affordability and </w:t>
            </w:r>
            <w:proofErr w:type="spellStart"/>
            <w:r w:rsidRPr="005F736E">
              <w:rPr>
                <w:rFonts w:ascii="Times New Roman" w:hAnsi="Times New Roman" w:cs="Times New Roman"/>
              </w:rPr>
              <w:t>neighbourhood</w:t>
            </w:r>
            <w:proofErr w:type="spellEnd"/>
            <w:r w:rsidRPr="005F736E">
              <w:rPr>
                <w:rFonts w:ascii="Times New Roman" w:hAnsi="Times New Roman" w:cs="Times New Roman"/>
              </w:rPr>
              <w:t xml:space="preserve"> quality</w:t>
            </w:r>
          </w:p>
        </w:tc>
        <w:tc>
          <w:tcPr>
            <w:tcW w:w="0" w:type="auto"/>
            <w:hideMark/>
          </w:tcPr>
          <w:p w14:paraId="0747F96D"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Keep informed/represent interests</w:t>
            </w:r>
          </w:p>
        </w:tc>
      </w:tr>
    </w:tbl>
    <w:p w14:paraId="66DBDE77" w14:textId="77777777" w:rsidR="00FE5A08" w:rsidRPr="00FE5A08" w:rsidRDefault="00FE5A08" w:rsidP="00FE5A08">
      <w:pPr>
        <w:spacing w:line="360" w:lineRule="auto"/>
        <w:jc w:val="both"/>
        <w:rPr>
          <w:rFonts w:ascii="Times New Roman" w:hAnsi="Times New Roman" w:cs="Times New Roman"/>
        </w:rPr>
      </w:pPr>
      <w:r w:rsidRPr="00FE5A08">
        <w:rPr>
          <w:rFonts w:ascii="Times New Roman" w:hAnsi="Times New Roman" w:cs="Times New Roman"/>
          <w:i/>
          <w:iCs/>
        </w:rPr>
        <w:t xml:space="preserve">Source: Author's analysis based on Mendelow (1991), Birmingham City Council (2025a), </w:t>
      </w:r>
      <w:proofErr w:type="spellStart"/>
      <w:r w:rsidRPr="00FE5A08">
        <w:rPr>
          <w:rFonts w:ascii="Times New Roman" w:hAnsi="Times New Roman" w:cs="Times New Roman"/>
          <w:i/>
          <w:iCs/>
        </w:rPr>
        <w:t>Prebanić</w:t>
      </w:r>
      <w:proofErr w:type="spellEnd"/>
      <w:r w:rsidRPr="00FE5A08">
        <w:rPr>
          <w:rFonts w:ascii="Times New Roman" w:hAnsi="Times New Roman" w:cs="Times New Roman"/>
          <w:i/>
          <w:iCs/>
        </w:rPr>
        <w:t xml:space="preserve"> and </w:t>
      </w:r>
      <w:proofErr w:type="spellStart"/>
      <w:r w:rsidRPr="00FE5A08">
        <w:rPr>
          <w:rFonts w:ascii="Times New Roman" w:hAnsi="Times New Roman" w:cs="Times New Roman"/>
          <w:i/>
          <w:iCs/>
        </w:rPr>
        <w:t>Vukomanović</w:t>
      </w:r>
      <w:proofErr w:type="spellEnd"/>
      <w:r w:rsidRPr="00FE5A08">
        <w:rPr>
          <w:rFonts w:ascii="Times New Roman" w:hAnsi="Times New Roman" w:cs="Times New Roman"/>
          <w:i/>
          <w:iCs/>
        </w:rPr>
        <w:t xml:space="preserve"> (2023) and Pereira et al. (2025).</w:t>
      </w:r>
    </w:p>
    <w:p w14:paraId="1BA01853"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The </w:t>
      </w:r>
      <w:proofErr w:type="spellStart"/>
      <w:r w:rsidRPr="0024515D">
        <w:rPr>
          <w:rFonts w:ascii="Times New Roman" w:hAnsi="Times New Roman" w:cs="Times New Roman"/>
        </w:rPr>
        <w:t>categorisation</w:t>
      </w:r>
      <w:proofErr w:type="spellEnd"/>
      <w:r w:rsidRPr="0024515D">
        <w:rPr>
          <w:rFonts w:ascii="Times New Roman" w:hAnsi="Times New Roman" w:cs="Times New Roman"/>
        </w:rPr>
        <w:t xml:space="preserve"> identifies an important distinction between formal power and lived impact. Birmingham City Council and St Joseph have a high formal power, they make decisions about the </w:t>
      </w:r>
      <w:r w:rsidRPr="0024515D">
        <w:rPr>
          <w:rFonts w:ascii="Times New Roman" w:hAnsi="Times New Roman" w:cs="Times New Roman"/>
        </w:rPr>
        <w:lastRenderedPageBreak/>
        <w:t xml:space="preserve">planning, land, funding, design and implementation. Existing residents have less formal authority in decision making but very strong interest since home, daily life and social structure could be impacted. It is possible, therefore, to engage with them without being deceptive about their power, and to </w:t>
      </w:r>
      <w:proofErr w:type="spellStart"/>
      <w:r w:rsidRPr="0024515D">
        <w:rPr>
          <w:rFonts w:ascii="Times New Roman" w:hAnsi="Times New Roman" w:cs="Times New Roman"/>
        </w:rPr>
        <w:t>categorise</w:t>
      </w:r>
      <w:proofErr w:type="spellEnd"/>
      <w:r w:rsidRPr="0024515D">
        <w:rPr>
          <w:rFonts w:ascii="Times New Roman" w:hAnsi="Times New Roman" w:cs="Times New Roman"/>
        </w:rPr>
        <w:t xml:space="preserve"> them simply as medium-power stakeholders, which would result in poor engagement ethically. The analysis of the modern infrastructure shows that the success of the project is related not just to institutional authority, but also to recognizing the role of stakeholders in relation to their participation (</w:t>
      </w:r>
      <w:proofErr w:type="spellStart"/>
      <w:r w:rsidRPr="0024515D">
        <w:rPr>
          <w:rFonts w:ascii="Times New Roman" w:hAnsi="Times New Roman" w:cs="Times New Roman"/>
        </w:rPr>
        <w:t>Prebanić</w:t>
      </w:r>
      <w:proofErr w:type="spellEnd"/>
      <w:r w:rsidRPr="0024515D">
        <w:rPr>
          <w:rFonts w:ascii="Times New Roman" w:hAnsi="Times New Roman" w:cs="Times New Roman"/>
        </w:rPr>
        <w:t xml:space="preserve"> and Vukomanović, 2023; Alhassan, 2025).</w:t>
      </w:r>
    </w:p>
    <w:p w14:paraId="4031261A" w14:textId="7AD7AAA7" w:rsidR="00FE5A08" w:rsidRPr="00FE5A08"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Businesses are classified as medium power where they may not be able to singlehandedly determine the </w:t>
      </w:r>
      <w:proofErr w:type="gramStart"/>
      <w:r w:rsidRPr="0024515D">
        <w:rPr>
          <w:rFonts w:ascii="Times New Roman" w:hAnsi="Times New Roman" w:cs="Times New Roman"/>
        </w:rPr>
        <w:t>scheme, but</w:t>
      </w:r>
      <w:proofErr w:type="gramEnd"/>
      <w:r w:rsidRPr="0024515D">
        <w:rPr>
          <w:rFonts w:ascii="Times New Roman" w:hAnsi="Times New Roman" w:cs="Times New Roman"/>
        </w:rPr>
        <w:t xml:space="preserve"> collectively can affect the economic viability and/or local opinion. Structural power is higher for transport and service </w:t>
      </w:r>
      <w:proofErr w:type="spellStart"/>
      <w:r w:rsidRPr="0024515D">
        <w:rPr>
          <w:rFonts w:ascii="Times New Roman" w:hAnsi="Times New Roman" w:cs="Times New Roman"/>
        </w:rPr>
        <w:t>organisations</w:t>
      </w:r>
      <w:proofErr w:type="spellEnd"/>
      <w:r w:rsidRPr="0024515D">
        <w:rPr>
          <w:rFonts w:ascii="Times New Roman" w:hAnsi="Times New Roman" w:cs="Times New Roman"/>
        </w:rPr>
        <w:t xml:space="preserve">, since the capacity of infrastructure can limit the masterplan. There is minimal direct influence currently on the future inhabitants, but there must be representation of their </w:t>
      </w:r>
      <w:proofErr w:type="gramStart"/>
      <w:r w:rsidRPr="0024515D">
        <w:rPr>
          <w:rFonts w:ascii="Times New Roman" w:hAnsi="Times New Roman" w:cs="Times New Roman"/>
        </w:rPr>
        <w:t>longer term</w:t>
      </w:r>
      <w:proofErr w:type="gramEnd"/>
      <w:r w:rsidRPr="0024515D">
        <w:rPr>
          <w:rFonts w:ascii="Times New Roman" w:hAnsi="Times New Roman" w:cs="Times New Roman"/>
        </w:rPr>
        <w:t xml:space="preserve"> housing needs, accessibility and environmental needs, </w:t>
      </w:r>
      <w:proofErr w:type="gramStart"/>
      <w:r w:rsidRPr="0024515D">
        <w:rPr>
          <w:rFonts w:ascii="Times New Roman" w:hAnsi="Times New Roman" w:cs="Times New Roman"/>
        </w:rPr>
        <w:t>in order to</w:t>
      </w:r>
      <w:proofErr w:type="gramEnd"/>
      <w:r w:rsidRPr="0024515D">
        <w:rPr>
          <w:rFonts w:ascii="Times New Roman" w:hAnsi="Times New Roman" w:cs="Times New Roman"/>
        </w:rPr>
        <w:t xml:space="preserve"> be sustainable</w:t>
      </w:r>
      <w:r w:rsidR="00FE5A08" w:rsidRPr="00FE5A08">
        <w:rPr>
          <w:rFonts w:ascii="Times New Roman" w:hAnsi="Times New Roman" w:cs="Times New Roman"/>
        </w:rPr>
        <w:t>.</w:t>
      </w:r>
    </w:p>
    <w:p w14:paraId="388F7CA7" w14:textId="77777777" w:rsidR="00FE5A08" w:rsidRPr="0024515D" w:rsidRDefault="00FE5A08" w:rsidP="0024515D">
      <w:pPr>
        <w:pStyle w:val="Heading2"/>
        <w:spacing w:line="360" w:lineRule="auto"/>
        <w:rPr>
          <w:rFonts w:ascii="Times New Roman" w:hAnsi="Times New Roman" w:cs="Times New Roman"/>
          <w:b/>
          <w:bCs/>
          <w:color w:val="000000" w:themeColor="text1"/>
          <w:sz w:val="28"/>
          <w:szCs w:val="28"/>
        </w:rPr>
      </w:pPr>
      <w:bookmarkStart w:id="4" w:name="_Toc238038591"/>
      <w:r w:rsidRPr="0024515D">
        <w:rPr>
          <w:rFonts w:ascii="Times New Roman" w:hAnsi="Times New Roman" w:cs="Times New Roman"/>
          <w:b/>
          <w:bCs/>
          <w:color w:val="000000" w:themeColor="text1"/>
          <w:sz w:val="28"/>
          <w:szCs w:val="28"/>
        </w:rPr>
        <w:t>2.2 Stakeholder Mapping</w:t>
      </w:r>
      <w:bookmarkEnd w:id="4"/>
    </w:p>
    <w:p w14:paraId="1DBBB5AB" w14:textId="77777777" w:rsidR="006832C3" w:rsidRDefault="00FE5A08" w:rsidP="0024515D">
      <w:pPr>
        <w:keepNext/>
        <w:spacing w:line="360" w:lineRule="auto"/>
        <w:jc w:val="center"/>
      </w:pPr>
      <w:r w:rsidRPr="00FE5A08">
        <w:rPr>
          <w:rFonts w:ascii="Times New Roman" w:hAnsi="Times New Roman" w:cs="Times New Roman"/>
          <w:noProof/>
        </w:rPr>
        <w:drawing>
          <wp:inline distT="0" distB="0" distL="0" distR="0" wp14:anchorId="09845549" wp14:editId="2E7A785E">
            <wp:extent cx="5715000" cy="3810000"/>
            <wp:effectExtent l="0" t="0" r="0" b="0"/>
            <wp:docPr id="1339953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953532" name=""/>
                    <pic:cNvPicPr/>
                  </pic:nvPicPr>
                  <pic:blipFill>
                    <a:blip r:embed="rId7"/>
                    <a:stretch>
                      <a:fillRect/>
                    </a:stretch>
                  </pic:blipFill>
                  <pic:spPr>
                    <a:xfrm>
                      <a:off x="0" y="0"/>
                      <a:ext cx="5724813" cy="3816542"/>
                    </a:xfrm>
                    <a:prstGeom prst="rect">
                      <a:avLst/>
                    </a:prstGeom>
                  </pic:spPr>
                </pic:pic>
              </a:graphicData>
            </a:graphic>
          </wp:inline>
        </w:drawing>
      </w:r>
    </w:p>
    <w:p w14:paraId="6F8EBEA1" w14:textId="2B686A3E" w:rsidR="00FE5A08" w:rsidRPr="00FE5A08" w:rsidRDefault="006832C3" w:rsidP="0024515D">
      <w:pPr>
        <w:pStyle w:val="Caption"/>
        <w:jc w:val="both"/>
        <w:rPr>
          <w:rFonts w:ascii="Times New Roman" w:hAnsi="Times New Roman" w:cs="Times New Roman"/>
        </w:rPr>
      </w:pPr>
      <w:bookmarkStart w:id="5" w:name="_Toc238038613"/>
      <w:r>
        <w:t xml:space="preserve">Figure </w:t>
      </w:r>
      <w:fldSimple w:instr=" SEQ Figure \* ARABIC ">
        <w:r>
          <w:rPr>
            <w:noProof/>
          </w:rPr>
          <w:t>1</w:t>
        </w:r>
      </w:fldSimple>
      <w:r>
        <w:t xml:space="preserve"> </w:t>
      </w:r>
      <w:r w:rsidRPr="0081100B">
        <w:t>Stakeholder power-interest map for Ladywood regeneration</w:t>
      </w:r>
      <w:bookmarkEnd w:id="5"/>
    </w:p>
    <w:p w14:paraId="523416BB" w14:textId="6FCC8E5E" w:rsidR="00FE5A08" w:rsidRPr="00FE5A08" w:rsidRDefault="00FE5A08" w:rsidP="00FE5A08">
      <w:pPr>
        <w:spacing w:line="360" w:lineRule="auto"/>
        <w:jc w:val="both"/>
        <w:rPr>
          <w:rFonts w:ascii="Times New Roman" w:hAnsi="Times New Roman" w:cs="Times New Roman"/>
        </w:rPr>
      </w:pPr>
      <w:r w:rsidRPr="00FE5A08">
        <w:rPr>
          <w:rFonts w:ascii="Times New Roman" w:hAnsi="Times New Roman" w:cs="Times New Roman"/>
          <w:i/>
          <w:iCs/>
        </w:rPr>
        <w:lastRenderedPageBreak/>
        <w:t>Source: Author's construction adapted from Mendelow (1991), Freeman (1984) and Birmingham City Council (2025a).</w:t>
      </w:r>
    </w:p>
    <w:p w14:paraId="4EADFC93"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The map must be seen as a tool to engage people, not to </w:t>
      </w:r>
      <w:proofErr w:type="spellStart"/>
      <w:r w:rsidRPr="0024515D">
        <w:rPr>
          <w:rFonts w:ascii="Times New Roman" w:hAnsi="Times New Roman" w:cs="Times New Roman"/>
        </w:rPr>
        <w:t>marginalise</w:t>
      </w:r>
      <w:proofErr w:type="spellEnd"/>
      <w:r w:rsidRPr="0024515D">
        <w:rPr>
          <w:rFonts w:ascii="Times New Roman" w:hAnsi="Times New Roman" w:cs="Times New Roman"/>
        </w:rPr>
        <w:t xml:space="preserve"> lower voices. The power-interest model of the past can inadvertently reinforce inequality in that those with the least institutional power may end up having the biggest consequences. Alhassan (2025) argues that relationship-based analysis can uncover hidden power </w:t>
      </w:r>
      <w:proofErr w:type="gramStart"/>
      <w:r w:rsidRPr="0024515D">
        <w:rPr>
          <w:rFonts w:ascii="Times New Roman" w:hAnsi="Times New Roman" w:cs="Times New Roman"/>
        </w:rPr>
        <w:t>inequalities, and</w:t>
      </w:r>
      <w:proofErr w:type="gramEnd"/>
      <w:r w:rsidRPr="0024515D">
        <w:rPr>
          <w:rFonts w:ascii="Times New Roman" w:hAnsi="Times New Roman" w:cs="Times New Roman"/>
        </w:rPr>
        <w:t xml:space="preserve"> enhance representation of </w:t>
      </w:r>
      <w:proofErr w:type="spellStart"/>
      <w:r w:rsidRPr="0024515D">
        <w:rPr>
          <w:rFonts w:ascii="Times New Roman" w:hAnsi="Times New Roman" w:cs="Times New Roman"/>
        </w:rPr>
        <w:t>marginalised</w:t>
      </w:r>
      <w:proofErr w:type="spellEnd"/>
      <w:r w:rsidRPr="0024515D">
        <w:rPr>
          <w:rFonts w:ascii="Times New Roman" w:hAnsi="Times New Roman" w:cs="Times New Roman"/>
        </w:rPr>
        <w:t xml:space="preserve"> communities. Likewise, Xie, Liu and Zhuang (2021) suggest that governance arrangements for urban regeneration must be able to deal with the relationships among the government, market and community actors.</w:t>
      </w:r>
    </w:p>
    <w:p w14:paraId="73D63FE0" w14:textId="2A8AE9FF" w:rsidR="00FE5A08" w:rsidRPr="00FE5A08"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The existing tenants are thus handled carefully, although with only medium formalization of the power. They are </w:t>
      </w:r>
      <w:proofErr w:type="gramStart"/>
      <w:r w:rsidRPr="0024515D">
        <w:rPr>
          <w:rFonts w:ascii="Times New Roman" w:hAnsi="Times New Roman" w:cs="Times New Roman"/>
        </w:rPr>
        <w:t>fairly secure</w:t>
      </w:r>
      <w:proofErr w:type="gramEnd"/>
      <w:r w:rsidRPr="0024515D">
        <w:rPr>
          <w:rFonts w:ascii="Times New Roman" w:hAnsi="Times New Roman" w:cs="Times New Roman"/>
        </w:rPr>
        <w:t xml:space="preserve"> in their homes, which allows them to have legitimacy and very high project exposure. This is especially crucial as the demolition, compensation, unequal benefit distribution and low level of participation are recurring root causes of conflict identified in the regeneration research (Liao and Liu 2023</w:t>
      </w:r>
      <w:r w:rsidR="00FE5A08" w:rsidRPr="00FE5A08">
        <w:rPr>
          <w:rFonts w:ascii="Times New Roman" w:hAnsi="Times New Roman" w:cs="Times New Roman"/>
        </w:rPr>
        <w:t>).</w:t>
      </w:r>
    </w:p>
    <w:p w14:paraId="7D5D5DA5" w14:textId="77777777" w:rsidR="00FE5A08" w:rsidRPr="0024515D" w:rsidRDefault="00FE5A08" w:rsidP="0024515D">
      <w:pPr>
        <w:pStyle w:val="Heading2"/>
        <w:spacing w:line="360" w:lineRule="auto"/>
        <w:rPr>
          <w:rFonts w:ascii="Times New Roman" w:hAnsi="Times New Roman" w:cs="Times New Roman"/>
          <w:b/>
          <w:bCs/>
          <w:color w:val="000000" w:themeColor="text1"/>
          <w:sz w:val="28"/>
          <w:szCs w:val="28"/>
        </w:rPr>
      </w:pPr>
      <w:bookmarkStart w:id="6" w:name="_Toc238038592"/>
      <w:r w:rsidRPr="0024515D">
        <w:rPr>
          <w:rFonts w:ascii="Times New Roman" w:hAnsi="Times New Roman" w:cs="Times New Roman"/>
          <w:b/>
          <w:bCs/>
          <w:color w:val="000000" w:themeColor="text1"/>
          <w:sz w:val="28"/>
          <w:szCs w:val="28"/>
        </w:rPr>
        <w:t>2.3 Communication and Consultation Plan</w:t>
      </w:r>
      <w:bookmarkEnd w:id="6"/>
    </w:p>
    <w:p w14:paraId="518AA67B" w14:textId="32EB5E96" w:rsidR="00FE5A08" w:rsidRPr="00FE5A08" w:rsidRDefault="0024515D" w:rsidP="00FE5A08">
      <w:pPr>
        <w:spacing w:line="360" w:lineRule="auto"/>
        <w:jc w:val="both"/>
        <w:rPr>
          <w:rFonts w:ascii="Times New Roman" w:hAnsi="Times New Roman" w:cs="Times New Roman"/>
        </w:rPr>
      </w:pPr>
      <w:r w:rsidRPr="0024515D">
        <w:rPr>
          <w:rFonts w:ascii="Times New Roman" w:hAnsi="Times New Roman" w:cs="Times New Roman"/>
        </w:rPr>
        <w:t>Communication needs to be bi-directional, appropriate and targeted. While this is cheap, it could also exclude older residents and those with disabilities, as well as families with limited internet access or needing translated information to access a digital consultation. Homes England (2025) therefore recommends engagement based on the nature of the affected communities, rather than a 'one size fits all' approach</w:t>
      </w:r>
      <w:r w:rsidR="00FE5A08" w:rsidRPr="00FE5A08">
        <w:rPr>
          <w:rFonts w:ascii="Times New Roman" w:hAnsi="Times New Roman" w:cs="Times New Roman"/>
        </w:rPr>
        <w:t>.</w:t>
      </w:r>
    </w:p>
    <w:p w14:paraId="465C7CCA" w14:textId="7EA8CD17" w:rsidR="005F736E" w:rsidRDefault="005F736E" w:rsidP="005F736E">
      <w:pPr>
        <w:pStyle w:val="Caption"/>
        <w:keepNext/>
      </w:pPr>
      <w:bookmarkStart w:id="7" w:name="_Toc238038618"/>
      <w:r>
        <w:t xml:space="preserve">Table </w:t>
      </w:r>
      <w:fldSimple w:instr=" SEQ Table \* ARABIC ">
        <w:r>
          <w:rPr>
            <w:noProof/>
          </w:rPr>
          <w:t>2</w:t>
        </w:r>
      </w:fldSimple>
      <w:r>
        <w:t xml:space="preserve"> </w:t>
      </w:r>
      <w:r w:rsidRPr="008E2659">
        <w:t>Communication and Consultation Plan</w:t>
      </w:r>
      <w:bookmarkEnd w:id="7"/>
    </w:p>
    <w:tbl>
      <w:tblPr>
        <w:tblStyle w:val="GridTable4-Accent4"/>
        <w:tblW w:w="0" w:type="auto"/>
        <w:tblLook w:val="04A0" w:firstRow="1" w:lastRow="0" w:firstColumn="1" w:lastColumn="0" w:noHBand="0" w:noVBand="1"/>
      </w:tblPr>
      <w:tblGrid>
        <w:gridCol w:w="1907"/>
        <w:gridCol w:w="2468"/>
        <w:gridCol w:w="1919"/>
        <w:gridCol w:w="1534"/>
        <w:gridCol w:w="1522"/>
      </w:tblGrid>
      <w:tr w:rsidR="00FE5A08" w:rsidRPr="00FE5A08" w14:paraId="2D9DFABA" w14:textId="77777777" w:rsidTr="005F73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218E35" w14:textId="77777777" w:rsidR="00FE5A08" w:rsidRPr="00FE5A08" w:rsidRDefault="00FE5A08" w:rsidP="005F736E">
            <w:pPr>
              <w:spacing w:before="240" w:after="160" w:line="276" w:lineRule="auto"/>
              <w:jc w:val="both"/>
              <w:rPr>
                <w:rFonts w:ascii="Times New Roman" w:hAnsi="Times New Roman" w:cs="Times New Roman"/>
              </w:rPr>
            </w:pPr>
            <w:r w:rsidRPr="00FE5A08">
              <w:rPr>
                <w:rFonts w:ascii="Times New Roman" w:hAnsi="Times New Roman" w:cs="Times New Roman"/>
              </w:rPr>
              <w:t>Stakeholder</w:t>
            </w:r>
          </w:p>
        </w:tc>
        <w:tc>
          <w:tcPr>
            <w:tcW w:w="0" w:type="auto"/>
            <w:hideMark/>
          </w:tcPr>
          <w:p w14:paraId="555969B5" w14:textId="77777777" w:rsidR="00FE5A08" w:rsidRPr="00FE5A08" w:rsidRDefault="00FE5A08" w:rsidP="005F736E">
            <w:pPr>
              <w:spacing w:before="240" w:after="16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Information/consultation required</w:t>
            </w:r>
          </w:p>
        </w:tc>
        <w:tc>
          <w:tcPr>
            <w:tcW w:w="0" w:type="auto"/>
            <w:hideMark/>
          </w:tcPr>
          <w:p w14:paraId="62393884" w14:textId="77777777" w:rsidR="00FE5A08" w:rsidRPr="00FE5A08" w:rsidRDefault="00FE5A08" w:rsidP="005F736E">
            <w:pPr>
              <w:spacing w:before="240" w:after="16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Timing</w:t>
            </w:r>
          </w:p>
        </w:tc>
        <w:tc>
          <w:tcPr>
            <w:tcW w:w="0" w:type="auto"/>
            <w:hideMark/>
          </w:tcPr>
          <w:p w14:paraId="483A1225" w14:textId="77777777" w:rsidR="00FE5A08" w:rsidRPr="00FE5A08" w:rsidRDefault="00FE5A08" w:rsidP="005F736E">
            <w:pPr>
              <w:spacing w:before="240" w:after="16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Method</w:t>
            </w:r>
          </w:p>
        </w:tc>
        <w:tc>
          <w:tcPr>
            <w:tcW w:w="0" w:type="auto"/>
            <w:hideMark/>
          </w:tcPr>
          <w:p w14:paraId="76D6E862" w14:textId="77777777" w:rsidR="00FE5A08" w:rsidRPr="00FE5A08" w:rsidRDefault="00FE5A08" w:rsidP="005F736E">
            <w:pPr>
              <w:spacing w:before="240" w:after="16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Justification</w:t>
            </w:r>
          </w:p>
        </w:tc>
      </w:tr>
      <w:tr w:rsidR="00FE5A08" w:rsidRPr="00FE5A08" w14:paraId="1ED9D118" w14:textId="77777777" w:rsidTr="005F7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A8869E" w14:textId="77777777" w:rsidR="00FE5A08" w:rsidRPr="005F736E" w:rsidRDefault="00FE5A08" w:rsidP="005F736E">
            <w:pPr>
              <w:spacing w:before="240" w:after="160" w:line="276" w:lineRule="auto"/>
              <w:jc w:val="both"/>
              <w:rPr>
                <w:rFonts w:ascii="Times New Roman" w:hAnsi="Times New Roman" w:cs="Times New Roman"/>
                <w:b w:val="0"/>
                <w:bCs w:val="0"/>
              </w:rPr>
            </w:pPr>
            <w:r w:rsidRPr="005F736E">
              <w:rPr>
                <w:rFonts w:ascii="Times New Roman" w:hAnsi="Times New Roman" w:cs="Times New Roman"/>
                <w:b w:val="0"/>
                <w:bCs w:val="0"/>
              </w:rPr>
              <w:t>Existing tenants/leaseholders</w:t>
            </w:r>
          </w:p>
        </w:tc>
        <w:tc>
          <w:tcPr>
            <w:tcW w:w="0" w:type="auto"/>
            <w:hideMark/>
          </w:tcPr>
          <w:p w14:paraId="7C411517"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Masterplan options, rehousing implications, phasing, compensation/support, construction impacts</w:t>
            </w:r>
          </w:p>
        </w:tc>
        <w:tc>
          <w:tcPr>
            <w:tcW w:w="0" w:type="auto"/>
            <w:hideMark/>
          </w:tcPr>
          <w:p w14:paraId="67D30E50" w14:textId="77777777" w:rsidR="00FE5A08" w:rsidRPr="00FE5A08"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 xml:space="preserve">Monthly during </w:t>
            </w:r>
            <w:proofErr w:type="spellStart"/>
            <w:r w:rsidRPr="00FE5A08">
              <w:rPr>
                <w:rFonts w:ascii="Times New Roman" w:hAnsi="Times New Roman" w:cs="Times New Roman"/>
              </w:rPr>
              <w:t>masterplanning</w:t>
            </w:r>
            <w:proofErr w:type="spellEnd"/>
            <w:r w:rsidRPr="00FE5A08">
              <w:rPr>
                <w:rFonts w:ascii="Times New Roman" w:hAnsi="Times New Roman" w:cs="Times New Roman"/>
              </w:rPr>
              <w:t xml:space="preserve">; </w:t>
            </w:r>
            <w:proofErr w:type="gramStart"/>
            <w:r w:rsidRPr="00FE5A08">
              <w:rPr>
                <w:rFonts w:ascii="Times New Roman" w:hAnsi="Times New Roman" w:cs="Times New Roman"/>
              </w:rPr>
              <w:t>additionally</w:t>
            </w:r>
            <w:proofErr w:type="gramEnd"/>
            <w:r w:rsidRPr="00FE5A08">
              <w:rPr>
                <w:rFonts w:ascii="Times New Roman" w:hAnsi="Times New Roman" w:cs="Times New Roman"/>
              </w:rPr>
              <w:t xml:space="preserve"> before major decisions</w:t>
            </w:r>
          </w:p>
        </w:tc>
        <w:tc>
          <w:tcPr>
            <w:tcW w:w="0" w:type="auto"/>
            <w:hideMark/>
          </w:tcPr>
          <w:p w14:paraId="26D8EFC0" w14:textId="77777777" w:rsidR="00FE5A08" w:rsidRPr="00FE5A08"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Face-to-face drop-ins, letters, telephone, workshops, email</w:t>
            </w:r>
          </w:p>
        </w:tc>
        <w:tc>
          <w:tcPr>
            <w:tcW w:w="0" w:type="auto"/>
            <w:hideMark/>
          </w:tcPr>
          <w:p w14:paraId="6B7266AC" w14:textId="77777777" w:rsidR="00FE5A08" w:rsidRPr="00FE5A08"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 xml:space="preserve">High impact requires frequent </w:t>
            </w:r>
            <w:proofErr w:type="spellStart"/>
            <w:r w:rsidRPr="00FE5A08">
              <w:rPr>
                <w:rFonts w:ascii="Times New Roman" w:hAnsi="Times New Roman" w:cs="Times New Roman"/>
              </w:rPr>
              <w:t>personalised</w:t>
            </w:r>
            <w:proofErr w:type="spellEnd"/>
            <w:r w:rsidRPr="00FE5A08">
              <w:rPr>
                <w:rFonts w:ascii="Times New Roman" w:hAnsi="Times New Roman" w:cs="Times New Roman"/>
              </w:rPr>
              <w:t xml:space="preserve"> communication and </w:t>
            </w:r>
            <w:r w:rsidRPr="00FE5A08">
              <w:rPr>
                <w:rFonts w:ascii="Times New Roman" w:hAnsi="Times New Roman" w:cs="Times New Roman"/>
              </w:rPr>
              <w:lastRenderedPageBreak/>
              <w:t>auditable information</w:t>
            </w:r>
          </w:p>
        </w:tc>
      </w:tr>
      <w:tr w:rsidR="00FE5A08" w:rsidRPr="00FE5A08" w14:paraId="1FDA08EE" w14:textId="77777777" w:rsidTr="005F736E">
        <w:tc>
          <w:tcPr>
            <w:cnfStyle w:val="001000000000" w:firstRow="0" w:lastRow="0" w:firstColumn="1" w:lastColumn="0" w:oddVBand="0" w:evenVBand="0" w:oddHBand="0" w:evenHBand="0" w:firstRowFirstColumn="0" w:firstRowLastColumn="0" w:lastRowFirstColumn="0" w:lastRowLastColumn="0"/>
            <w:tcW w:w="0" w:type="auto"/>
            <w:hideMark/>
          </w:tcPr>
          <w:p w14:paraId="25373BE5" w14:textId="77777777" w:rsidR="00FE5A08" w:rsidRPr="005F736E" w:rsidRDefault="00FE5A08" w:rsidP="005F736E">
            <w:pPr>
              <w:spacing w:before="240" w:after="160" w:line="276" w:lineRule="auto"/>
              <w:jc w:val="both"/>
              <w:rPr>
                <w:rFonts w:ascii="Times New Roman" w:hAnsi="Times New Roman" w:cs="Times New Roman"/>
                <w:b w:val="0"/>
                <w:bCs w:val="0"/>
              </w:rPr>
            </w:pPr>
            <w:r w:rsidRPr="005F736E">
              <w:rPr>
                <w:rFonts w:ascii="Times New Roman" w:hAnsi="Times New Roman" w:cs="Times New Roman"/>
                <w:b w:val="0"/>
                <w:bCs w:val="0"/>
              </w:rPr>
              <w:lastRenderedPageBreak/>
              <w:t>Community groups/residents</w:t>
            </w:r>
          </w:p>
        </w:tc>
        <w:tc>
          <w:tcPr>
            <w:tcW w:w="0" w:type="auto"/>
            <w:hideMark/>
          </w:tcPr>
          <w:p w14:paraId="5301802E"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Design, green space, facilities, access, community priorities</w:t>
            </w:r>
          </w:p>
        </w:tc>
        <w:tc>
          <w:tcPr>
            <w:tcW w:w="0" w:type="auto"/>
            <w:hideMark/>
          </w:tcPr>
          <w:p w14:paraId="7B9F4331" w14:textId="77777777" w:rsidR="00FE5A08" w:rsidRPr="00FE5A08"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Every 6–8 weeks during design and at milestone consultations</w:t>
            </w:r>
          </w:p>
        </w:tc>
        <w:tc>
          <w:tcPr>
            <w:tcW w:w="0" w:type="auto"/>
            <w:hideMark/>
          </w:tcPr>
          <w:p w14:paraId="27E1B0E1" w14:textId="77777777" w:rsidR="00FE5A08" w:rsidRPr="00FE5A08"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Workshops, community meetings, surveys, newsletters, website</w:t>
            </w:r>
          </w:p>
        </w:tc>
        <w:tc>
          <w:tcPr>
            <w:tcW w:w="0" w:type="auto"/>
            <w:hideMark/>
          </w:tcPr>
          <w:p w14:paraId="184B67CE" w14:textId="77777777" w:rsidR="00FE5A08" w:rsidRPr="00FE5A08"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Co-design improves legitimacy and local knowledge</w:t>
            </w:r>
          </w:p>
        </w:tc>
      </w:tr>
      <w:tr w:rsidR="00FE5A08" w:rsidRPr="00FE5A08" w14:paraId="460E1D00" w14:textId="77777777" w:rsidTr="005F7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9543B1" w14:textId="77777777" w:rsidR="00FE5A08" w:rsidRPr="005F736E" w:rsidRDefault="00FE5A08" w:rsidP="005F736E">
            <w:pPr>
              <w:spacing w:before="240" w:after="160" w:line="276" w:lineRule="auto"/>
              <w:jc w:val="both"/>
              <w:rPr>
                <w:rFonts w:ascii="Times New Roman" w:hAnsi="Times New Roman" w:cs="Times New Roman"/>
                <w:b w:val="0"/>
                <w:bCs w:val="0"/>
              </w:rPr>
            </w:pPr>
            <w:r w:rsidRPr="005F736E">
              <w:rPr>
                <w:rFonts w:ascii="Times New Roman" w:hAnsi="Times New Roman" w:cs="Times New Roman"/>
                <w:b w:val="0"/>
                <w:bCs w:val="0"/>
              </w:rPr>
              <w:t>Birmingham City Council</w:t>
            </w:r>
          </w:p>
        </w:tc>
        <w:tc>
          <w:tcPr>
            <w:tcW w:w="0" w:type="auto"/>
            <w:hideMark/>
          </w:tcPr>
          <w:p w14:paraId="1B529DBE"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Risks, consultation evidence, planning, equality, progress and complaints</w:t>
            </w:r>
          </w:p>
        </w:tc>
        <w:tc>
          <w:tcPr>
            <w:tcW w:w="0" w:type="auto"/>
            <w:hideMark/>
          </w:tcPr>
          <w:p w14:paraId="4B7A3D97" w14:textId="77777777" w:rsidR="00FE5A08" w:rsidRPr="00FE5A08"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Monthly plus formal governance gates</w:t>
            </w:r>
          </w:p>
        </w:tc>
        <w:tc>
          <w:tcPr>
            <w:tcW w:w="0" w:type="auto"/>
            <w:hideMark/>
          </w:tcPr>
          <w:p w14:paraId="2B99B335" w14:textId="77777777" w:rsidR="00FE5A08" w:rsidRPr="00FE5A08"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Reports, meetings, dashboards, email</w:t>
            </w:r>
          </w:p>
        </w:tc>
        <w:tc>
          <w:tcPr>
            <w:tcW w:w="0" w:type="auto"/>
            <w:hideMark/>
          </w:tcPr>
          <w:p w14:paraId="427CBA91" w14:textId="77777777" w:rsidR="00FE5A08" w:rsidRPr="00FE5A08"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High-power decision-maker requires current evidence</w:t>
            </w:r>
          </w:p>
        </w:tc>
      </w:tr>
      <w:tr w:rsidR="00FE5A08" w:rsidRPr="00FE5A08" w14:paraId="25C8B786" w14:textId="77777777" w:rsidTr="005F736E">
        <w:tc>
          <w:tcPr>
            <w:cnfStyle w:val="001000000000" w:firstRow="0" w:lastRow="0" w:firstColumn="1" w:lastColumn="0" w:oddVBand="0" w:evenVBand="0" w:oddHBand="0" w:evenHBand="0" w:firstRowFirstColumn="0" w:firstRowLastColumn="0" w:lastRowFirstColumn="0" w:lastRowLastColumn="0"/>
            <w:tcW w:w="0" w:type="auto"/>
            <w:hideMark/>
          </w:tcPr>
          <w:p w14:paraId="267B580D" w14:textId="77777777" w:rsidR="00FE5A08" w:rsidRPr="005F736E" w:rsidRDefault="00FE5A08" w:rsidP="005F736E">
            <w:pPr>
              <w:spacing w:before="240" w:after="160" w:line="276" w:lineRule="auto"/>
              <w:jc w:val="both"/>
              <w:rPr>
                <w:rFonts w:ascii="Times New Roman" w:hAnsi="Times New Roman" w:cs="Times New Roman"/>
                <w:b w:val="0"/>
                <w:bCs w:val="0"/>
              </w:rPr>
            </w:pPr>
            <w:r w:rsidRPr="005F736E">
              <w:rPr>
                <w:rFonts w:ascii="Times New Roman" w:hAnsi="Times New Roman" w:cs="Times New Roman"/>
                <w:b w:val="0"/>
                <w:bCs w:val="0"/>
              </w:rPr>
              <w:t>St Joseph</w:t>
            </w:r>
          </w:p>
        </w:tc>
        <w:tc>
          <w:tcPr>
            <w:tcW w:w="0" w:type="auto"/>
            <w:hideMark/>
          </w:tcPr>
          <w:p w14:paraId="64EDB666"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 xml:space="preserve">Resident concerns, design feedback, </w:t>
            </w:r>
            <w:proofErr w:type="spellStart"/>
            <w:r w:rsidRPr="005F736E">
              <w:rPr>
                <w:rFonts w:ascii="Times New Roman" w:hAnsi="Times New Roman" w:cs="Times New Roman"/>
              </w:rPr>
              <w:t>programme</w:t>
            </w:r>
            <w:proofErr w:type="spellEnd"/>
            <w:r w:rsidRPr="005F736E">
              <w:rPr>
                <w:rFonts w:ascii="Times New Roman" w:hAnsi="Times New Roman" w:cs="Times New Roman"/>
              </w:rPr>
              <w:t xml:space="preserve"> risks, planning requirements</w:t>
            </w:r>
          </w:p>
        </w:tc>
        <w:tc>
          <w:tcPr>
            <w:tcW w:w="0" w:type="auto"/>
            <w:hideMark/>
          </w:tcPr>
          <w:p w14:paraId="0E7B526E" w14:textId="77777777" w:rsidR="00FE5A08" w:rsidRPr="00FE5A08"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Fortnightly/monthly</w:t>
            </w:r>
          </w:p>
        </w:tc>
        <w:tc>
          <w:tcPr>
            <w:tcW w:w="0" w:type="auto"/>
            <w:hideMark/>
          </w:tcPr>
          <w:p w14:paraId="2C16049A" w14:textId="77777777" w:rsidR="00FE5A08" w:rsidRPr="00FE5A08"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Project meetings, dashboards, written action log</w:t>
            </w:r>
          </w:p>
        </w:tc>
        <w:tc>
          <w:tcPr>
            <w:tcW w:w="0" w:type="auto"/>
            <w:hideMark/>
          </w:tcPr>
          <w:p w14:paraId="63BB5C17" w14:textId="77777777" w:rsidR="00FE5A08" w:rsidRPr="00FE5A08"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Enables rapid adjustment before designs become costly to change</w:t>
            </w:r>
          </w:p>
        </w:tc>
      </w:tr>
      <w:tr w:rsidR="00FE5A08" w:rsidRPr="00FE5A08" w14:paraId="285AA37B" w14:textId="77777777" w:rsidTr="005F7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354901" w14:textId="77777777" w:rsidR="00FE5A08" w:rsidRPr="005F736E" w:rsidRDefault="00FE5A08" w:rsidP="005F736E">
            <w:pPr>
              <w:spacing w:before="240" w:after="160" w:line="276" w:lineRule="auto"/>
              <w:jc w:val="both"/>
              <w:rPr>
                <w:rFonts w:ascii="Times New Roman" w:hAnsi="Times New Roman" w:cs="Times New Roman"/>
                <w:b w:val="0"/>
                <w:bCs w:val="0"/>
              </w:rPr>
            </w:pPr>
            <w:r w:rsidRPr="005F736E">
              <w:rPr>
                <w:rFonts w:ascii="Times New Roman" w:hAnsi="Times New Roman" w:cs="Times New Roman"/>
                <w:b w:val="0"/>
                <w:bCs w:val="0"/>
              </w:rPr>
              <w:t>Businesses</w:t>
            </w:r>
          </w:p>
        </w:tc>
        <w:tc>
          <w:tcPr>
            <w:tcW w:w="0" w:type="auto"/>
            <w:hideMark/>
          </w:tcPr>
          <w:p w14:paraId="373E5D1E" w14:textId="77777777" w:rsidR="00FE5A08" w:rsidRPr="005F736E"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Access, construction schedule, procurement, employment opportunities</w:t>
            </w:r>
          </w:p>
        </w:tc>
        <w:tc>
          <w:tcPr>
            <w:tcW w:w="0" w:type="auto"/>
            <w:hideMark/>
          </w:tcPr>
          <w:p w14:paraId="6E8712C0" w14:textId="77777777" w:rsidR="00FE5A08" w:rsidRPr="00FE5A08"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 xml:space="preserve">Quarterly; monthly before </w:t>
            </w:r>
            <w:proofErr w:type="gramStart"/>
            <w:r w:rsidRPr="00FE5A08">
              <w:rPr>
                <w:rFonts w:ascii="Times New Roman" w:hAnsi="Times New Roman" w:cs="Times New Roman"/>
              </w:rPr>
              <w:t>works</w:t>
            </w:r>
            <w:proofErr w:type="gramEnd"/>
            <w:r w:rsidRPr="00FE5A08">
              <w:rPr>
                <w:rFonts w:ascii="Times New Roman" w:hAnsi="Times New Roman" w:cs="Times New Roman"/>
              </w:rPr>
              <w:t xml:space="preserve"> affecting trading</w:t>
            </w:r>
          </w:p>
        </w:tc>
        <w:tc>
          <w:tcPr>
            <w:tcW w:w="0" w:type="auto"/>
            <w:hideMark/>
          </w:tcPr>
          <w:p w14:paraId="4EE73B32" w14:textId="77777777" w:rsidR="00FE5A08" w:rsidRPr="00FE5A08"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Business forums, email, telephone, letters</w:t>
            </w:r>
          </w:p>
        </w:tc>
        <w:tc>
          <w:tcPr>
            <w:tcW w:w="0" w:type="auto"/>
            <w:hideMark/>
          </w:tcPr>
          <w:p w14:paraId="17D6D94A" w14:textId="77777777" w:rsidR="00FE5A08" w:rsidRPr="00FE5A08"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Reduces disruption and creates local economic benefit</w:t>
            </w:r>
          </w:p>
        </w:tc>
      </w:tr>
      <w:tr w:rsidR="00FE5A08" w:rsidRPr="00FE5A08" w14:paraId="4A68A0BA" w14:textId="77777777" w:rsidTr="005F736E">
        <w:tc>
          <w:tcPr>
            <w:cnfStyle w:val="001000000000" w:firstRow="0" w:lastRow="0" w:firstColumn="1" w:lastColumn="0" w:oddVBand="0" w:evenVBand="0" w:oddHBand="0" w:evenHBand="0" w:firstRowFirstColumn="0" w:firstRowLastColumn="0" w:lastRowFirstColumn="0" w:lastRowLastColumn="0"/>
            <w:tcW w:w="0" w:type="auto"/>
            <w:hideMark/>
          </w:tcPr>
          <w:p w14:paraId="383E76FB" w14:textId="77777777" w:rsidR="00FE5A08" w:rsidRPr="005F736E" w:rsidRDefault="00FE5A08" w:rsidP="005F736E">
            <w:pPr>
              <w:spacing w:before="240" w:after="160" w:line="276" w:lineRule="auto"/>
              <w:jc w:val="both"/>
              <w:rPr>
                <w:rFonts w:ascii="Times New Roman" w:hAnsi="Times New Roman" w:cs="Times New Roman"/>
                <w:b w:val="0"/>
                <w:bCs w:val="0"/>
              </w:rPr>
            </w:pPr>
            <w:r w:rsidRPr="005F736E">
              <w:rPr>
                <w:rFonts w:ascii="Times New Roman" w:hAnsi="Times New Roman" w:cs="Times New Roman"/>
                <w:b w:val="0"/>
                <w:bCs w:val="0"/>
              </w:rPr>
              <w:t>Service/transport bodies</w:t>
            </w:r>
          </w:p>
        </w:tc>
        <w:tc>
          <w:tcPr>
            <w:tcW w:w="0" w:type="auto"/>
            <w:hideMark/>
          </w:tcPr>
          <w:p w14:paraId="4F675818" w14:textId="77777777" w:rsidR="00FE5A08" w:rsidRPr="005F736E"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F736E">
              <w:rPr>
                <w:rFonts w:ascii="Times New Roman" w:hAnsi="Times New Roman" w:cs="Times New Roman"/>
              </w:rPr>
              <w:t>Population assumptions, infrastructure demand, access and phasing</w:t>
            </w:r>
          </w:p>
        </w:tc>
        <w:tc>
          <w:tcPr>
            <w:tcW w:w="0" w:type="auto"/>
            <w:hideMark/>
          </w:tcPr>
          <w:p w14:paraId="4AAB738D" w14:textId="77777777" w:rsidR="00FE5A08" w:rsidRPr="00FE5A08"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At concept, pre-planning and detailed-design stages</w:t>
            </w:r>
          </w:p>
        </w:tc>
        <w:tc>
          <w:tcPr>
            <w:tcW w:w="0" w:type="auto"/>
            <w:hideMark/>
          </w:tcPr>
          <w:p w14:paraId="2E7CB21A" w14:textId="77777777" w:rsidR="00FE5A08" w:rsidRPr="00FE5A08"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Technical workshops and formal correspondence</w:t>
            </w:r>
          </w:p>
        </w:tc>
        <w:tc>
          <w:tcPr>
            <w:tcW w:w="0" w:type="auto"/>
            <w:hideMark/>
          </w:tcPr>
          <w:p w14:paraId="00C96D09" w14:textId="77777777" w:rsidR="00FE5A08" w:rsidRPr="00FE5A08" w:rsidRDefault="00FE5A08" w:rsidP="005F736E">
            <w:pPr>
              <w:spacing w:before="240" w:after="16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Infrastructure constraints must inform design early</w:t>
            </w:r>
          </w:p>
        </w:tc>
      </w:tr>
      <w:tr w:rsidR="00FE5A08" w:rsidRPr="00FE5A08" w14:paraId="06A3D502" w14:textId="77777777" w:rsidTr="005F7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EACABA" w14:textId="77777777" w:rsidR="00FE5A08" w:rsidRPr="005F736E" w:rsidRDefault="00FE5A08" w:rsidP="005F736E">
            <w:pPr>
              <w:spacing w:before="240" w:after="160" w:line="276" w:lineRule="auto"/>
              <w:jc w:val="both"/>
              <w:rPr>
                <w:rFonts w:ascii="Times New Roman" w:hAnsi="Times New Roman" w:cs="Times New Roman"/>
                <w:b w:val="0"/>
                <w:bCs w:val="0"/>
              </w:rPr>
            </w:pPr>
            <w:r w:rsidRPr="005F736E">
              <w:rPr>
                <w:rFonts w:ascii="Times New Roman" w:hAnsi="Times New Roman" w:cs="Times New Roman"/>
                <w:b w:val="0"/>
                <w:bCs w:val="0"/>
              </w:rPr>
              <w:lastRenderedPageBreak/>
              <w:t>Future residents</w:t>
            </w:r>
          </w:p>
        </w:tc>
        <w:tc>
          <w:tcPr>
            <w:tcW w:w="0" w:type="auto"/>
            <w:hideMark/>
          </w:tcPr>
          <w:p w14:paraId="0C7007A2" w14:textId="77777777" w:rsidR="00FE5A08" w:rsidRPr="00FE5A08"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Housing standards, affordability, sustainability and accessibility interests</w:t>
            </w:r>
          </w:p>
        </w:tc>
        <w:tc>
          <w:tcPr>
            <w:tcW w:w="0" w:type="auto"/>
            <w:hideMark/>
          </w:tcPr>
          <w:p w14:paraId="40E17EF5" w14:textId="77777777" w:rsidR="00FE5A08" w:rsidRPr="00FE5A08"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Design reviews</w:t>
            </w:r>
          </w:p>
        </w:tc>
        <w:tc>
          <w:tcPr>
            <w:tcW w:w="0" w:type="auto"/>
            <w:hideMark/>
          </w:tcPr>
          <w:p w14:paraId="25D0642F" w14:textId="77777777" w:rsidR="00FE5A08" w:rsidRPr="00FE5A08"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Housing-needs evidence and representative panels</w:t>
            </w:r>
          </w:p>
        </w:tc>
        <w:tc>
          <w:tcPr>
            <w:tcW w:w="0" w:type="auto"/>
            <w:hideMark/>
          </w:tcPr>
          <w:p w14:paraId="46A0171F" w14:textId="77777777" w:rsidR="00FE5A08" w:rsidRPr="00FE5A08" w:rsidRDefault="00FE5A08" w:rsidP="005F736E">
            <w:pPr>
              <w:spacing w:before="240" w:after="16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E5A08">
              <w:rPr>
                <w:rFonts w:ascii="Times New Roman" w:hAnsi="Times New Roman" w:cs="Times New Roman"/>
              </w:rPr>
              <w:t>Prevents present actors from overlooking future users</w:t>
            </w:r>
          </w:p>
        </w:tc>
      </w:tr>
    </w:tbl>
    <w:p w14:paraId="562F71E9" w14:textId="77777777" w:rsidR="00FE5A08" w:rsidRPr="00FE5A08" w:rsidRDefault="00FE5A08" w:rsidP="00FE5A08">
      <w:pPr>
        <w:spacing w:line="360" w:lineRule="auto"/>
        <w:jc w:val="both"/>
        <w:rPr>
          <w:rFonts w:ascii="Times New Roman" w:hAnsi="Times New Roman" w:cs="Times New Roman"/>
        </w:rPr>
      </w:pPr>
      <w:r w:rsidRPr="00FE5A08">
        <w:rPr>
          <w:rFonts w:ascii="Times New Roman" w:hAnsi="Times New Roman" w:cs="Times New Roman"/>
          <w:i/>
          <w:iCs/>
        </w:rPr>
        <w:t xml:space="preserve">Source: Author's analysis informed by Homes England (2025), Birmingham City Council (2025a), Jiménez-Caldera et al. (2024) and </w:t>
      </w:r>
      <w:proofErr w:type="spellStart"/>
      <w:r w:rsidRPr="00FE5A08">
        <w:rPr>
          <w:rFonts w:ascii="Times New Roman" w:hAnsi="Times New Roman" w:cs="Times New Roman"/>
          <w:i/>
          <w:iCs/>
        </w:rPr>
        <w:t>Prebanić</w:t>
      </w:r>
      <w:proofErr w:type="spellEnd"/>
      <w:r w:rsidRPr="00FE5A08">
        <w:rPr>
          <w:rFonts w:ascii="Times New Roman" w:hAnsi="Times New Roman" w:cs="Times New Roman"/>
          <w:i/>
          <w:iCs/>
        </w:rPr>
        <w:t xml:space="preserve"> and </w:t>
      </w:r>
      <w:proofErr w:type="spellStart"/>
      <w:r w:rsidRPr="00FE5A08">
        <w:rPr>
          <w:rFonts w:ascii="Times New Roman" w:hAnsi="Times New Roman" w:cs="Times New Roman"/>
          <w:i/>
          <w:iCs/>
        </w:rPr>
        <w:t>Vukomanović</w:t>
      </w:r>
      <w:proofErr w:type="spellEnd"/>
      <w:r w:rsidRPr="00FE5A08">
        <w:rPr>
          <w:rFonts w:ascii="Times New Roman" w:hAnsi="Times New Roman" w:cs="Times New Roman"/>
          <w:i/>
          <w:iCs/>
        </w:rPr>
        <w:t xml:space="preserve"> (2023).</w:t>
      </w:r>
    </w:p>
    <w:p w14:paraId="66444EDB"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The process of consultation should be guided by the level of exposure of the stakeholder and should move from inform, through consult, to involve, to co-design. The collected evidence reveals that, while surveys collect opinions, they do not facilitate discussion; by contrast, participative planning and workshops allow participants to articulate conflicting values and alternatives (Sun et al., 2022; Jiménez-Caldera et al., 2024). </w:t>
      </w:r>
      <w:proofErr w:type="gramStart"/>
      <w:r w:rsidRPr="0024515D">
        <w:rPr>
          <w:rFonts w:ascii="Times New Roman" w:hAnsi="Times New Roman" w:cs="Times New Roman"/>
        </w:rPr>
        <w:t>In particular, face-to-face</w:t>
      </w:r>
      <w:proofErr w:type="gramEnd"/>
      <w:r w:rsidRPr="0024515D">
        <w:rPr>
          <w:rFonts w:ascii="Times New Roman" w:hAnsi="Times New Roman" w:cs="Times New Roman"/>
        </w:rPr>
        <w:t xml:space="preserve"> sessions for addressing housing design, green space, movement routes and community facilities are especially critical.</w:t>
      </w:r>
    </w:p>
    <w:p w14:paraId="65920212"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Communication frequency should also be equal to decision reversibility. Early consultation is more valuable since it is easier to change things before planning and detailed design are cemented. Adhi et al. (2023) pinpoint engagement gaps as a hurdle in the path of sustainable construction, and Malik et al. (2023) link improved communication to better stakeholder engagement and project performance. The project should therefore keep a readily available “You Said – We Considered – We Did – Why” register. This is to prevent the usual pitfall of seeking input and not showing how it was incorporated into the decision-making process.</w:t>
      </w:r>
    </w:p>
    <w:p w14:paraId="76609ED4" w14:textId="4A13ACFA" w:rsidR="00FE5A08" w:rsidRPr="00FE5A08"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The overall communication approach also is in favor of sustainability! Kato et al. (2023) find a connection between stakeholder engagement and knowledge exchange and the subsequent sustainability management for the regeneration of the city. Hu et al. (2024) </w:t>
      </w:r>
      <w:proofErr w:type="gramStart"/>
      <w:r w:rsidRPr="0024515D">
        <w:rPr>
          <w:rFonts w:ascii="Times New Roman" w:hAnsi="Times New Roman" w:cs="Times New Roman"/>
        </w:rPr>
        <w:t>state</w:t>
      </w:r>
      <w:proofErr w:type="gramEnd"/>
      <w:r w:rsidRPr="0024515D">
        <w:rPr>
          <w:rFonts w:ascii="Times New Roman" w:hAnsi="Times New Roman" w:cs="Times New Roman"/>
        </w:rPr>
        <w:t xml:space="preserve"> that community participation is vital to the social sustainability of regeneration projects. Finally, engagement can be seen as a project-control activity for enhancing the quality of design, gaining awareness of risk and ensuring the project's legitimacy, not as a public-relations one</w:t>
      </w:r>
      <w:r w:rsidR="00FE5A08" w:rsidRPr="00FE5A08">
        <w:rPr>
          <w:rFonts w:ascii="Times New Roman" w:hAnsi="Times New Roman" w:cs="Times New Roman"/>
        </w:rPr>
        <w:t>.</w:t>
      </w:r>
    </w:p>
    <w:p w14:paraId="73BA316F" w14:textId="7B90CBFC" w:rsidR="00FE5A08" w:rsidRPr="00FE5A08" w:rsidRDefault="00FE5A08" w:rsidP="00FE5A08">
      <w:pPr>
        <w:spacing w:line="360" w:lineRule="auto"/>
        <w:jc w:val="both"/>
        <w:rPr>
          <w:rFonts w:ascii="Times New Roman" w:hAnsi="Times New Roman" w:cs="Times New Roman"/>
        </w:rPr>
      </w:pPr>
    </w:p>
    <w:p w14:paraId="675C6DF0" w14:textId="77777777" w:rsidR="005F736E" w:rsidRDefault="005F736E">
      <w:pPr>
        <w:rPr>
          <w:rFonts w:ascii="Times New Roman" w:hAnsi="Times New Roman" w:cs="Times New Roman"/>
          <w:b/>
          <w:bCs/>
        </w:rPr>
      </w:pPr>
      <w:r>
        <w:rPr>
          <w:rFonts w:ascii="Times New Roman" w:hAnsi="Times New Roman" w:cs="Times New Roman"/>
          <w:b/>
          <w:bCs/>
        </w:rPr>
        <w:br w:type="page"/>
      </w:r>
    </w:p>
    <w:p w14:paraId="49076A6E" w14:textId="2CD0F53A" w:rsidR="00FE5A08" w:rsidRPr="0024515D" w:rsidRDefault="00FE5A08" w:rsidP="0024515D">
      <w:pPr>
        <w:pStyle w:val="Heading1"/>
        <w:spacing w:line="360" w:lineRule="auto"/>
        <w:rPr>
          <w:rFonts w:ascii="Times New Roman" w:hAnsi="Times New Roman" w:cs="Times New Roman"/>
          <w:b/>
          <w:bCs/>
          <w:sz w:val="32"/>
          <w:szCs w:val="32"/>
        </w:rPr>
      </w:pPr>
      <w:bookmarkStart w:id="8" w:name="_Toc238038593"/>
      <w:r w:rsidRPr="0024515D">
        <w:rPr>
          <w:rFonts w:ascii="Times New Roman" w:hAnsi="Times New Roman" w:cs="Times New Roman"/>
          <w:b/>
          <w:bCs/>
          <w:sz w:val="32"/>
          <w:szCs w:val="32"/>
        </w:rPr>
        <w:lastRenderedPageBreak/>
        <w:t>Element 3: Ethical Considerations in Stakeholder Consultation, Participation and Feedback</w:t>
      </w:r>
      <w:bookmarkEnd w:id="8"/>
    </w:p>
    <w:p w14:paraId="3C8AE896" w14:textId="77777777" w:rsidR="00FE5A08" w:rsidRPr="0024515D" w:rsidRDefault="00FE5A08" w:rsidP="0024515D">
      <w:pPr>
        <w:pStyle w:val="Heading2"/>
        <w:spacing w:line="360" w:lineRule="auto"/>
        <w:rPr>
          <w:rFonts w:ascii="Times New Roman" w:hAnsi="Times New Roman" w:cs="Times New Roman"/>
          <w:b/>
          <w:bCs/>
          <w:color w:val="000000" w:themeColor="text1"/>
          <w:sz w:val="28"/>
          <w:szCs w:val="28"/>
        </w:rPr>
      </w:pPr>
      <w:bookmarkStart w:id="9" w:name="_Toc238038594"/>
      <w:r w:rsidRPr="0024515D">
        <w:rPr>
          <w:rFonts w:ascii="Times New Roman" w:hAnsi="Times New Roman" w:cs="Times New Roman"/>
          <w:b/>
          <w:bCs/>
          <w:color w:val="000000" w:themeColor="text1"/>
          <w:sz w:val="28"/>
          <w:szCs w:val="28"/>
        </w:rPr>
        <w:t>3.1 Consultation Methods and Ethical Data Collection</w:t>
      </w:r>
      <w:bookmarkEnd w:id="9"/>
    </w:p>
    <w:p w14:paraId="0ABCC707"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The consultation </w:t>
      </w:r>
      <w:proofErr w:type="spellStart"/>
      <w:r w:rsidRPr="0024515D">
        <w:rPr>
          <w:rFonts w:ascii="Times New Roman" w:hAnsi="Times New Roman" w:cs="Times New Roman"/>
        </w:rPr>
        <w:t>programme</w:t>
      </w:r>
      <w:proofErr w:type="spellEnd"/>
      <w:r w:rsidRPr="0024515D">
        <w:rPr>
          <w:rFonts w:ascii="Times New Roman" w:hAnsi="Times New Roman" w:cs="Times New Roman"/>
        </w:rPr>
        <w:t xml:space="preserve"> should include access to workshops for residents, individual consultations, home visits, home questionnaires, business forums, and drop-in events, both physical and digital, to provide feedback. Mixed methods effectively mitigate the reliance on a single method of participation and enable the quantification-based priorities to be understood along with the qualitative ones. Studies on participatory urban planning have shown that citizens have experiential knowledge of urban public spaces, which cannot be explained through the technical analysis alone (Jiménez-Caldera et al., 2024).</w:t>
      </w:r>
    </w:p>
    <w:p w14:paraId="072C15BD"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Ethically, consultation needs to be open about the purpose of the information being gathered and the identity of those to whom it will be reported and whether their responses will affect decision making. Participants should not be misled into believing that they have decision authority when this is not possible by statutory, technical or financial constraints. Kujala et al. (2022) differentiate between meaningful engagement and instrumental treatment of </w:t>
      </w:r>
      <w:proofErr w:type="gramStart"/>
      <w:r w:rsidRPr="0024515D">
        <w:rPr>
          <w:rFonts w:ascii="Times New Roman" w:hAnsi="Times New Roman" w:cs="Times New Roman"/>
        </w:rPr>
        <w:t>stakeholders, and</w:t>
      </w:r>
      <w:proofErr w:type="gramEnd"/>
      <w:r w:rsidRPr="0024515D">
        <w:rPr>
          <w:rFonts w:ascii="Times New Roman" w:hAnsi="Times New Roman" w:cs="Times New Roman"/>
        </w:rPr>
        <w:t xml:space="preserve"> emphasize the importance of transparency for establishing trust.</w:t>
      </w:r>
    </w:p>
    <w:p w14:paraId="0B6527B2" w14:textId="77777777" w:rsid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Personal data should be gathered in line with UK data-protection principles. Lawfulness, fairness and transparency, purpose limitation, data </w:t>
      </w:r>
      <w:proofErr w:type="spellStart"/>
      <w:r w:rsidRPr="0024515D">
        <w:rPr>
          <w:rFonts w:ascii="Times New Roman" w:hAnsi="Times New Roman" w:cs="Times New Roman"/>
        </w:rPr>
        <w:t>minimisation</w:t>
      </w:r>
      <w:proofErr w:type="spellEnd"/>
      <w:r w:rsidRPr="0024515D">
        <w:rPr>
          <w:rFonts w:ascii="Times New Roman" w:hAnsi="Times New Roman" w:cs="Times New Roman"/>
        </w:rPr>
        <w:t xml:space="preserve">, accuracy, storage limitation, security, and accountability are vital requirements that the Information Commissioner's Office (ICO) states are central to (ICO, 2026). The project should therefore only request data that is truly required in the context of data consultation analysis, limit access, and report data </w:t>
      </w:r>
      <w:proofErr w:type="spellStart"/>
      <w:r w:rsidRPr="0024515D">
        <w:rPr>
          <w:rFonts w:ascii="Times New Roman" w:hAnsi="Times New Roman" w:cs="Times New Roman"/>
        </w:rPr>
        <w:t>anonymised</w:t>
      </w:r>
      <w:proofErr w:type="spellEnd"/>
      <w:r w:rsidRPr="0024515D">
        <w:rPr>
          <w:rFonts w:ascii="Times New Roman" w:hAnsi="Times New Roman" w:cs="Times New Roman"/>
        </w:rPr>
        <w:t xml:space="preserve"> or in aggregated format. When asking about ethnicity, religion, health/disability or other characteristics, supporting measures must be put in place as these are special category personal data (ICO, 2024).</w:t>
      </w:r>
    </w:p>
    <w:p w14:paraId="4F5E6AB7" w14:textId="669C0B2A" w:rsidR="00FE5A08" w:rsidRPr="0024515D" w:rsidRDefault="00FE5A08" w:rsidP="0024515D">
      <w:pPr>
        <w:pStyle w:val="Heading2"/>
        <w:spacing w:line="360" w:lineRule="auto"/>
        <w:rPr>
          <w:rFonts w:ascii="Times New Roman" w:hAnsi="Times New Roman" w:cs="Times New Roman"/>
          <w:b/>
          <w:bCs/>
          <w:color w:val="000000" w:themeColor="text1"/>
          <w:sz w:val="28"/>
          <w:szCs w:val="28"/>
        </w:rPr>
      </w:pPr>
      <w:bookmarkStart w:id="10" w:name="_Toc238038595"/>
      <w:r w:rsidRPr="0024515D">
        <w:rPr>
          <w:rFonts w:ascii="Times New Roman" w:hAnsi="Times New Roman" w:cs="Times New Roman"/>
          <w:b/>
          <w:bCs/>
          <w:color w:val="000000" w:themeColor="text1"/>
          <w:sz w:val="28"/>
          <w:szCs w:val="28"/>
        </w:rPr>
        <w:t>3.2 Bias, Diversity, Equity and Inclusion</w:t>
      </w:r>
      <w:bookmarkEnd w:id="10"/>
    </w:p>
    <w:p w14:paraId="3CF72AD3"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Participation bias is a significant ethical threat. Open meetings are typically well attended by those with time available and confidence or </w:t>
      </w:r>
      <w:proofErr w:type="gramStart"/>
      <w:r w:rsidRPr="0024515D">
        <w:rPr>
          <w:rFonts w:ascii="Times New Roman" w:hAnsi="Times New Roman" w:cs="Times New Roman"/>
        </w:rPr>
        <w:t>opinions, but</w:t>
      </w:r>
      <w:proofErr w:type="gramEnd"/>
      <w:r w:rsidRPr="0024515D">
        <w:rPr>
          <w:rFonts w:ascii="Times New Roman" w:hAnsi="Times New Roman" w:cs="Times New Roman"/>
        </w:rPr>
        <w:t xml:space="preserve"> are often under-represented by other groups such as working households, young people, minority-language communities and those with </w:t>
      </w:r>
      <w:r w:rsidRPr="0024515D">
        <w:rPr>
          <w:rFonts w:ascii="Times New Roman" w:hAnsi="Times New Roman" w:cs="Times New Roman"/>
        </w:rPr>
        <w:lastRenderedPageBreak/>
        <w:t>disabilities, as well as individuals who are socially isolated. Therefore, the number of responses should NOT automatically be interpreted as community representation.</w:t>
      </w:r>
    </w:p>
    <w:p w14:paraId="7132AC07"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This is especially relevant, as urban-regeneration studies have found that the outcome of limited participation may lead to the exclusion of affected residents from substantive decision making (Liao and Liu, 2023). The advocacy of voices in the design and policy process of cities is also discussed by Espinoza Suarez et al. (2024).</w:t>
      </w:r>
    </w:p>
    <w:p w14:paraId="3FFE7E68"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DEI, then, must be more than symbolic; it must be in practice. Consultation materials should be written in plain English and translated or interpreted as needed by the local community. There should be physical access to venues, sessions should be held at a variety of times, including evenings/weekends, there should be a telephone alternative to online surveys, and community </w:t>
      </w:r>
      <w:proofErr w:type="spellStart"/>
      <w:r w:rsidRPr="0024515D">
        <w:rPr>
          <w:rFonts w:ascii="Times New Roman" w:hAnsi="Times New Roman" w:cs="Times New Roman"/>
        </w:rPr>
        <w:t>organisations</w:t>
      </w:r>
      <w:proofErr w:type="spellEnd"/>
      <w:r w:rsidRPr="0024515D">
        <w:rPr>
          <w:rFonts w:ascii="Times New Roman" w:hAnsi="Times New Roman" w:cs="Times New Roman"/>
        </w:rPr>
        <w:t xml:space="preserve"> should be </w:t>
      </w:r>
      <w:proofErr w:type="spellStart"/>
      <w:r w:rsidRPr="0024515D">
        <w:rPr>
          <w:rFonts w:ascii="Times New Roman" w:hAnsi="Times New Roman" w:cs="Times New Roman"/>
        </w:rPr>
        <w:t>utilised</w:t>
      </w:r>
      <w:proofErr w:type="spellEnd"/>
      <w:r w:rsidRPr="0024515D">
        <w:rPr>
          <w:rFonts w:ascii="Times New Roman" w:hAnsi="Times New Roman" w:cs="Times New Roman"/>
        </w:rPr>
        <w:t xml:space="preserve"> to access underrepresented groups. Where appropriate and ethically acceptable, incentives or practical assistance e.g. reasonable travel arrangements may be </w:t>
      </w:r>
      <w:proofErr w:type="gramStart"/>
      <w:r w:rsidRPr="0024515D">
        <w:rPr>
          <w:rFonts w:ascii="Times New Roman" w:hAnsi="Times New Roman" w:cs="Times New Roman"/>
        </w:rPr>
        <w:t>taken into account</w:t>
      </w:r>
      <w:proofErr w:type="gramEnd"/>
      <w:r w:rsidRPr="0024515D">
        <w:rPr>
          <w:rFonts w:ascii="Times New Roman" w:hAnsi="Times New Roman" w:cs="Times New Roman"/>
        </w:rPr>
        <w:t>.</w:t>
      </w:r>
    </w:p>
    <w:p w14:paraId="21442AFC"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This is also a </w:t>
      </w:r>
      <w:proofErr w:type="gramStart"/>
      <w:r w:rsidRPr="0024515D">
        <w:rPr>
          <w:rFonts w:ascii="Times New Roman" w:hAnsi="Times New Roman" w:cs="Times New Roman"/>
        </w:rPr>
        <w:t>governance question</w:t>
      </w:r>
      <w:proofErr w:type="gramEnd"/>
      <w:r w:rsidRPr="0024515D">
        <w:rPr>
          <w:rFonts w:ascii="Times New Roman" w:hAnsi="Times New Roman" w:cs="Times New Roman"/>
        </w:rPr>
        <w:t xml:space="preserve"> under the law. The Public Sector Equality Duty requires public bodies to consider equality when they plan and carry out their public activities (UK Government, 2023). Community engagement through planning and </w:t>
      </w:r>
      <w:proofErr w:type="spellStart"/>
      <w:r w:rsidRPr="0024515D">
        <w:rPr>
          <w:rFonts w:ascii="Times New Roman" w:hAnsi="Times New Roman" w:cs="Times New Roman"/>
        </w:rPr>
        <w:t>neighbourhood</w:t>
      </w:r>
      <w:proofErr w:type="spellEnd"/>
      <w:r w:rsidRPr="0024515D">
        <w:rPr>
          <w:rFonts w:ascii="Times New Roman" w:hAnsi="Times New Roman" w:cs="Times New Roman"/>
        </w:rPr>
        <w:t xml:space="preserve"> development is also a key element of the 2024 National Planning Policy Framework (NHCLG, 2024). Equity </w:t>
      </w:r>
      <w:proofErr w:type="gramStart"/>
      <w:r w:rsidRPr="0024515D">
        <w:rPr>
          <w:rFonts w:ascii="Times New Roman" w:hAnsi="Times New Roman" w:cs="Times New Roman"/>
        </w:rPr>
        <w:t>is</w:t>
      </w:r>
      <w:proofErr w:type="gramEnd"/>
      <w:r w:rsidRPr="0024515D">
        <w:rPr>
          <w:rFonts w:ascii="Times New Roman" w:hAnsi="Times New Roman" w:cs="Times New Roman"/>
        </w:rPr>
        <w:t xml:space="preserve"> not simply providing everyone with the same chance to </w:t>
      </w:r>
      <w:proofErr w:type="gramStart"/>
      <w:r w:rsidRPr="0024515D">
        <w:rPr>
          <w:rFonts w:ascii="Times New Roman" w:hAnsi="Times New Roman" w:cs="Times New Roman"/>
        </w:rPr>
        <w:t>respond,</w:t>
      </w:r>
      <w:proofErr w:type="gramEnd"/>
      <w:r w:rsidRPr="0024515D">
        <w:rPr>
          <w:rFonts w:ascii="Times New Roman" w:hAnsi="Times New Roman" w:cs="Times New Roman"/>
        </w:rPr>
        <w:t xml:space="preserve"> it is also eliminating obstacles to effective participation for certain groups.</w:t>
      </w:r>
    </w:p>
    <w:p w14:paraId="4133C028" w14:textId="77777777" w:rsidR="00FE5A08" w:rsidRPr="0024515D" w:rsidRDefault="00FE5A08" w:rsidP="0024515D">
      <w:pPr>
        <w:pStyle w:val="Heading2"/>
        <w:spacing w:line="360" w:lineRule="auto"/>
        <w:rPr>
          <w:rFonts w:ascii="Times New Roman" w:hAnsi="Times New Roman" w:cs="Times New Roman"/>
          <w:b/>
          <w:bCs/>
          <w:color w:val="000000" w:themeColor="text1"/>
          <w:sz w:val="28"/>
          <w:szCs w:val="28"/>
        </w:rPr>
      </w:pPr>
      <w:bookmarkStart w:id="11" w:name="_Toc238038596"/>
      <w:r w:rsidRPr="0024515D">
        <w:rPr>
          <w:rFonts w:ascii="Times New Roman" w:hAnsi="Times New Roman" w:cs="Times New Roman"/>
          <w:b/>
          <w:bCs/>
          <w:color w:val="000000" w:themeColor="text1"/>
          <w:sz w:val="28"/>
          <w:szCs w:val="28"/>
        </w:rPr>
        <w:t>3.3 Feedback Collection, Review and Accountability</w:t>
      </w:r>
      <w:bookmarkEnd w:id="11"/>
    </w:p>
    <w:p w14:paraId="631D696A" w14:textId="13A046C1" w:rsidR="00FE5A08" w:rsidRPr="00FE5A08" w:rsidRDefault="00FE5A08" w:rsidP="00FE5A08">
      <w:pPr>
        <w:spacing w:line="360" w:lineRule="auto"/>
        <w:jc w:val="both"/>
        <w:rPr>
          <w:rFonts w:ascii="Times New Roman" w:hAnsi="Times New Roman" w:cs="Times New Roman"/>
        </w:rPr>
      </w:pPr>
      <w:r w:rsidRPr="00FE5A08">
        <w:rPr>
          <w:rFonts w:ascii="Times New Roman" w:hAnsi="Times New Roman" w:cs="Times New Roman"/>
        </w:rPr>
        <w:t>Feedback should follow a traceable cycle.</w:t>
      </w:r>
      <w:r w:rsidRPr="00FE5A08">
        <w:rPr>
          <w:rFonts w:ascii="Times New Roman" w:hAnsi="Times New Roman" w:cs="Times New Roman"/>
          <w:b/>
          <w:bCs/>
        </w:rPr>
        <w:t xml:space="preserve"> </w:t>
      </w:r>
    </w:p>
    <w:p w14:paraId="21FF8EDC" w14:textId="77777777" w:rsidR="006832C3" w:rsidRDefault="006832C3" w:rsidP="006832C3">
      <w:pPr>
        <w:keepNext/>
        <w:spacing w:line="360" w:lineRule="auto"/>
        <w:jc w:val="both"/>
      </w:pPr>
      <w:r w:rsidRPr="006832C3">
        <w:rPr>
          <w:rFonts w:ascii="Times New Roman" w:hAnsi="Times New Roman" w:cs="Times New Roman"/>
          <w:noProof/>
        </w:rPr>
        <w:lastRenderedPageBreak/>
        <w:drawing>
          <wp:inline distT="0" distB="0" distL="0" distR="0" wp14:anchorId="241E2E1F" wp14:editId="3F527FF5">
            <wp:extent cx="5943600" cy="3962400"/>
            <wp:effectExtent l="0" t="0" r="0" b="0"/>
            <wp:docPr id="1083780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780213" name=""/>
                    <pic:cNvPicPr/>
                  </pic:nvPicPr>
                  <pic:blipFill>
                    <a:blip r:embed="rId8"/>
                    <a:stretch>
                      <a:fillRect/>
                    </a:stretch>
                  </pic:blipFill>
                  <pic:spPr>
                    <a:xfrm>
                      <a:off x="0" y="0"/>
                      <a:ext cx="5943600" cy="3962400"/>
                    </a:xfrm>
                    <a:prstGeom prst="rect">
                      <a:avLst/>
                    </a:prstGeom>
                  </pic:spPr>
                </pic:pic>
              </a:graphicData>
            </a:graphic>
          </wp:inline>
        </w:drawing>
      </w:r>
    </w:p>
    <w:p w14:paraId="3CA4AB8B" w14:textId="23017A64" w:rsidR="005F736E" w:rsidRPr="006832C3" w:rsidRDefault="006832C3" w:rsidP="006832C3">
      <w:pPr>
        <w:pStyle w:val="Caption"/>
        <w:jc w:val="both"/>
        <w:rPr>
          <w:rFonts w:ascii="Times New Roman" w:hAnsi="Times New Roman" w:cs="Times New Roman"/>
        </w:rPr>
      </w:pPr>
      <w:bookmarkStart w:id="12" w:name="_Toc238038614"/>
      <w:r>
        <w:t xml:space="preserve">Figure </w:t>
      </w:r>
      <w:fldSimple w:instr=" SEQ Figure \* ARABIC ">
        <w:r>
          <w:rPr>
            <w:noProof/>
          </w:rPr>
          <w:t>2</w:t>
        </w:r>
      </w:fldSimple>
      <w:r>
        <w:t xml:space="preserve"> </w:t>
      </w:r>
      <w:r w:rsidRPr="00D879A0">
        <w:t>Continuous stakeholder consultation and feedback cycle.</w:t>
      </w:r>
      <w:bookmarkEnd w:id="12"/>
    </w:p>
    <w:p w14:paraId="2F5AA9AA" w14:textId="15675FF9" w:rsidR="00FE5A08" w:rsidRPr="00FE5A08" w:rsidRDefault="00FE5A08" w:rsidP="00FE5A08">
      <w:pPr>
        <w:spacing w:line="360" w:lineRule="auto"/>
        <w:jc w:val="both"/>
        <w:rPr>
          <w:rFonts w:ascii="Times New Roman" w:hAnsi="Times New Roman" w:cs="Times New Roman"/>
        </w:rPr>
      </w:pPr>
      <w:r w:rsidRPr="00FE5A08">
        <w:rPr>
          <w:rFonts w:ascii="Times New Roman" w:hAnsi="Times New Roman" w:cs="Times New Roman"/>
          <w:i/>
          <w:iCs/>
        </w:rPr>
        <w:t>Source: Author's construction informed by Kujala et al. (2022), Sun et al. (2022), Homes England (2025) and Alhassan (2025).</w:t>
      </w:r>
    </w:p>
    <w:p w14:paraId="708C60B3"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Feedback should be themed e.g. housing, relocation, public realm, transport, safety and community facilities, and then </w:t>
      </w:r>
      <w:proofErr w:type="spellStart"/>
      <w:r w:rsidRPr="0024515D">
        <w:rPr>
          <w:rFonts w:ascii="Times New Roman" w:hAnsi="Times New Roman" w:cs="Times New Roman"/>
        </w:rPr>
        <w:t>analysed</w:t>
      </w:r>
      <w:proofErr w:type="spellEnd"/>
      <w:r w:rsidRPr="0024515D">
        <w:rPr>
          <w:rFonts w:ascii="Times New Roman" w:hAnsi="Times New Roman" w:cs="Times New Roman"/>
        </w:rPr>
        <w:t xml:space="preserve"> by stakeholder group. The team members engaged in the engagement should look at the answers of the potentially underrepresented groups in </w:t>
      </w:r>
      <w:proofErr w:type="gramStart"/>
      <w:r w:rsidRPr="0024515D">
        <w:rPr>
          <w:rFonts w:ascii="Times New Roman" w:hAnsi="Times New Roman" w:cs="Times New Roman"/>
        </w:rPr>
        <w:t>particular, and</w:t>
      </w:r>
      <w:proofErr w:type="gramEnd"/>
      <w:r w:rsidRPr="0024515D">
        <w:rPr>
          <w:rFonts w:ascii="Times New Roman" w:hAnsi="Times New Roman" w:cs="Times New Roman"/>
        </w:rPr>
        <w:t xml:space="preserve"> not let the numerical majority overwhelm the picture. </w:t>
      </w:r>
      <w:proofErr w:type="gramStart"/>
      <w:r w:rsidRPr="0024515D">
        <w:rPr>
          <w:rFonts w:ascii="Times New Roman" w:hAnsi="Times New Roman" w:cs="Times New Roman"/>
        </w:rPr>
        <w:t>Social-network</w:t>
      </w:r>
      <w:proofErr w:type="gramEnd"/>
      <w:r w:rsidRPr="0024515D">
        <w:rPr>
          <w:rFonts w:ascii="Times New Roman" w:hAnsi="Times New Roman" w:cs="Times New Roman"/>
        </w:rPr>
        <w:t xml:space="preserve"> perspectives can also help to identify poorly connected groups (Alhassan, 2025).</w:t>
      </w:r>
    </w:p>
    <w:p w14:paraId="42EBF57D" w14:textId="21A64E7B" w:rsidR="00FE5A08" w:rsidRPr="00FE5A08" w:rsidRDefault="0024515D" w:rsidP="00FE5A08">
      <w:pPr>
        <w:spacing w:line="360" w:lineRule="auto"/>
        <w:jc w:val="both"/>
        <w:rPr>
          <w:rFonts w:ascii="Times New Roman" w:hAnsi="Times New Roman" w:cs="Times New Roman"/>
        </w:rPr>
      </w:pPr>
      <w:r w:rsidRPr="0024515D">
        <w:rPr>
          <w:rFonts w:ascii="Times New Roman" w:hAnsi="Times New Roman" w:cs="Times New Roman"/>
        </w:rPr>
        <w:t xml:space="preserve">Lastly, the </w:t>
      </w:r>
      <w:proofErr w:type="gramStart"/>
      <w:r w:rsidRPr="0024515D">
        <w:rPr>
          <w:rFonts w:ascii="Times New Roman" w:hAnsi="Times New Roman" w:cs="Times New Roman"/>
        </w:rPr>
        <w:t>un-resolved</w:t>
      </w:r>
      <w:proofErr w:type="gramEnd"/>
      <w:r w:rsidRPr="0024515D">
        <w:rPr>
          <w:rFonts w:ascii="Times New Roman" w:hAnsi="Times New Roman" w:cs="Times New Roman"/>
        </w:rPr>
        <w:t xml:space="preserve"> disagreements should be recorded not hidden away. Urban redevelopment is a process that involves multiple interests and there is no possibility of reaching consensus (Wang et al., 2024; Liao and Liu, 2023). There is a need, then, for decision makers to be transparent about how evidence was used in making decisions and why certain requests may or may not have been accepted</w:t>
      </w:r>
      <w:r w:rsidR="00FE5A08" w:rsidRPr="00FE5A08">
        <w:rPr>
          <w:rFonts w:ascii="Times New Roman" w:hAnsi="Times New Roman" w:cs="Times New Roman"/>
        </w:rPr>
        <w:t>.</w:t>
      </w:r>
    </w:p>
    <w:p w14:paraId="2CC1E73B" w14:textId="77777777" w:rsidR="006832C3" w:rsidRDefault="006832C3" w:rsidP="00FE5A08">
      <w:pPr>
        <w:spacing w:line="360" w:lineRule="auto"/>
        <w:jc w:val="both"/>
        <w:rPr>
          <w:rFonts w:ascii="Times New Roman" w:hAnsi="Times New Roman" w:cs="Times New Roman"/>
          <w:b/>
          <w:bCs/>
        </w:rPr>
      </w:pPr>
    </w:p>
    <w:p w14:paraId="71359340" w14:textId="0AC117FC" w:rsidR="00FE5A08" w:rsidRPr="0024515D" w:rsidRDefault="00FE5A08" w:rsidP="0024515D">
      <w:pPr>
        <w:pStyle w:val="Heading1"/>
        <w:spacing w:line="360" w:lineRule="auto"/>
        <w:rPr>
          <w:rFonts w:ascii="Times New Roman" w:hAnsi="Times New Roman" w:cs="Times New Roman"/>
          <w:b/>
          <w:bCs/>
          <w:sz w:val="32"/>
          <w:szCs w:val="32"/>
        </w:rPr>
      </w:pPr>
      <w:bookmarkStart w:id="13" w:name="_Toc238038597"/>
      <w:r w:rsidRPr="0024515D">
        <w:rPr>
          <w:rFonts w:ascii="Times New Roman" w:hAnsi="Times New Roman" w:cs="Times New Roman"/>
          <w:b/>
          <w:bCs/>
          <w:sz w:val="32"/>
          <w:szCs w:val="32"/>
        </w:rPr>
        <w:lastRenderedPageBreak/>
        <w:t>Element 4: Conclusion and Reflection</w:t>
      </w:r>
      <w:bookmarkEnd w:id="13"/>
    </w:p>
    <w:p w14:paraId="2F5EEC19" w14:textId="77777777" w:rsidR="00FE5A08" w:rsidRPr="0024515D" w:rsidRDefault="00FE5A08" w:rsidP="0024515D">
      <w:pPr>
        <w:pStyle w:val="Heading2"/>
        <w:spacing w:line="360" w:lineRule="auto"/>
        <w:rPr>
          <w:rFonts w:ascii="Times New Roman" w:hAnsi="Times New Roman" w:cs="Times New Roman"/>
          <w:b/>
          <w:bCs/>
          <w:color w:val="000000" w:themeColor="text1"/>
          <w:sz w:val="28"/>
          <w:szCs w:val="28"/>
        </w:rPr>
      </w:pPr>
      <w:bookmarkStart w:id="14" w:name="_Toc238038598"/>
      <w:r w:rsidRPr="0024515D">
        <w:rPr>
          <w:rFonts w:ascii="Times New Roman" w:hAnsi="Times New Roman" w:cs="Times New Roman"/>
          <w:b/>
          <w:bCs/>
          <w:color w:val="000000" w:themeColor="text1"/>
          <w:sz w:val="28"/>
          <w:szCs w:val="28"/>
        </w:rPr>
        <w:t>4.1 Conclusion</w:t>
      </w:r>
      <w:bookmarkEnd w:id="14"/>
    </w:p>
    <w:p w14:paraId="22BB3572"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This Stakeholder Management Plan illustrates how stakeholder involvement is not a one-off consultation during the planning process, but it is ongoing as governance for Ladywood regeneration. Relationship management is key to delivery given the timeframe, the implications for housing, the jobs that can be created, and the community impacts and public/private interactions.</w:t>
      </w:r>
    </w:p>
    <w:p w14:paraId="02FE2DDC"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In the power-interest matrix Birmingham City Council and St Joseph emerged as high power-high interest. But formal power is not enough. The existing tenants and leaseholders are exposed, legitimate and have very high housing interests and require </w:t>
      </w:r>
      <w:proofErr w:type="gramStart"/>
      <w:r w:rsidRPr="0024515D">
        <w:rPr>
          <w:rFonts w:ascii="Times New Roman" w:hAnsi="Times New Roman" w:cs="Times New Roman"/>
        </w:rPr>
        <w:t>manage closely</w:t>
      </w:r>
      <w:proofErr w:type="gramEnd"/>
      <w:r w:rsidRPr="0024515D">
        <w:rPr>
          <w:rFonts w:ascii="Times New Roman" w:hAnsi="Times New Roman" w:cs="Times New Roman"/>
        </w:rPr>
        <w:t xml:space="preserve"> treatment. There are needs for different levels of engagement from community </w:t>
      </w:r>
      <w:proofErr w:type="spellStart"/>
      <w:r w:rsidRPr="0024515D">
        <w:rPr>
          <w:rFonts w:ascii="Times New Roman" w:hAnsi="Times New Roman" w:cs="Times New Roman"/>
        </w:rPr>
        <w:t>organisations</w:t>
      </w:r>
      <w:proofErr w:type="spellEnd"/>
      <w:r w:rsidRPr="0024515D">
        <w:rPr>
          <w:rFonts w:ascii="Times New Roman" w:hAnsi="Times New Roman" w:cs="Times New Roman"/>
        </w:rPr>
        <w:t xml:space="preserve">, businesses and public-service bodies; and despite having less influence, the interests of future </w:t>
      </w:r>
      <w:proofErr w:type="gramStart"/>
      <w:r w:rsidRPr="0024515D">
        <w:rPr>
          <w:rFonts w:ascii="Times New Roman" w:hAnsi="Times New Roman" w:cs="Times New Roman"/>
        </w:rPr>
        <w:t>residents,</w:t>
      </w:r>
      <w:proofErr w:type="gramEnd"/>
      <w:r w:rsidRPr="0024515D">
        <w:rPr>
          <w:rFonts w:ascii="Times New Roman" w:hAnsi="Times New Roman" w:cs="Times New Roman"/>
        </w:rPr>
        <w:t xml:space="preserve"> must also be represented.</w:t>
      </w:r>
    </w:p>
    <w:p w14:paraId="6C32036C"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The communication strategy is a mix of reporting, workshops, letters, surveys, drop-ins, telephone and digital communications. The feature which is most useful is the feedback loop that documents stakeholder requests and how changes are made a result of these requests. This is in line with research finding that continuous participation of stakeholders promotes sustainable regeneration, whereas shallow participation undermines trust and can cause conflicts (Xie et al., 2021; Liao and Liu, 2023).</w:t>
      </w:r>
    </w:p>
    <w:p w14:paraId="55BA3069"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Ethically, all consultations must ensure that there is no disclosure of personal information, participation bias, </w:t>
      </w:r>
      <w:proofErr w:type="gramStart"/>
      <w:r w:rsidRPr="0024515D">
        <w:rPr>
          <w:rFonts w:ascii="Times New Roman" w:hAnsi="Times New Roman" w:cs="Times New Roman"/>
        </w:rPr>
        <w:t>and</w:t>
      </w:r>
      <w:proofErr w:type="gramEnd"/>
      <w:r w:rsidRPr="0024515D">
        <w:rPr>
          <w:rFonts w:ascii="Times New Roman" w:hAnsi="Times New Roman" w:cs="Times New Roman"/>
        </w:rPr>
        <w:t xml:space="preserve"> DEI. But online questionnaires are not enough for equal access. Mapping for co-creation is </w:t>
      </w:r>
      <w:proofErr w:type="spellStart"/>
      <w:r w:rsidRPr="0024515D">
        <w:rPr>
          <w:rFonts w:ascii="Times New Roman" w:hAnsi="Times New Roman" w:cs="Times New Roman"/>
        </w:rPr>
        <w:t>emphasised</w:t>
      </w:r>
      <w:proofErr w:type="spellEnd"/>
      <w:r w:rsidRPr="0024515D">
        <w:rPr>
          <w:rFonts w:ascii="Times New Roman" w:hAnsi="Times New Roman" w:cs="Times New Roman"/>
        </w:rPr>
        <w:t xml:space="preserve"> by Pereira et al. (2025) and power relationships by Alhassan (2025) can reveal excluded voices. Finally, the delivery of homes, the fairness of the treatment and the social value of Ladywood regeneration should be measured in terms of a lasting social and positive impact.</w:t>
      </w:r>
    </w:p>
    <w:p w14:paraId="62E00562" w14:textId="77777777" w:rsidR="0024515D" w:rsidRPr="0024515D" w:rsidRDefault="0024515D" w:rsidP="0024515D">
      <w:pPr>
        <w:pStyle w:val="Heading2"/>
        <w:spacing w:line="360" w:lineRule="auto"/>
        <w:rPr>
          <w:rFonts w:ascii="Times New Roman" w:hAnsi="Times New Roman" w:cs="Times New Roman"/>
          <w:b/>
          <w:bCs/>
          <w:color w:val="000000" w:themeColor="text1"/>
          <w:sz w:val="28"/>
          <w:szCs w:val="28"/>
        </w:rPr>
      </w:pPr>
      <w:bookmarkStart w:id="15" w:name="_Toc238038599"/>
      <w:r w:rsidRPr="0024515D">
        <w:rPr>
          <w:rFonts w:ascii="Times New Roman" w:hAnsi="Times New Roman" w:cs="Times New Roman"/>
          <w:b/>
          <w:bCs/>
          <w:color w:val="000000" w:themeColor="text1"/>
          <w:sz w:val="28"/>
          <w:szCs w:val="28"/>
        </w:rPr>
        <w:t>4.2 Reflective Account</w:t>
      </w:r>
      <w:bookmarkEnd w:id="15"/>
    </w:p>
    <w:p w14:paraId="473B6741"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This Stakeholder Management Plan shifted my perspective from communicating with stakeholders to managing and being responsible for stakeholders' ethical issues. At </w:t>
      </w:r>
      <w:proofErr w:type="gramStart"/>
      <w:r w:rsidRPr="0024515D">
        <w:rPr>
          <w:rFonts w:ascii="Times New Roman" w:hAnsi="Times New Roman" w:cs="Times New Roman"/>
        </w:rPr>
        <w:t>first</w:t>
      </w:r>
      <w:proofErr w:type="gramEnd"/>
      <w:r w:rsidRPr="0024515D">
        <w:rPr>
          <w:rFonts w:ascii="Times New Roman" w:hAnsi="Times New Roman" w:cs="Times New Roman"/>
        </w:rPr>
        <w:t xml:space="preserve"> I thought that </w:t>
      </w:r>
      <w:r w:rsidRPr="0024515D">
        <w:rPr>
          <w:rFonts w:ascii="Times New Roman" w:hAnsi="Times New Roman" w:cs="Times New Roman"/>
        </w:rPr>
        <w:lastRenderedPageBreak/>
        <w:t xml:space="preserve">stakeholders were people with the highest formal authority. Applying the power-interest framework demonstrated the need for this. A resident may have little influence relative to a </w:t>
      </w:r>
      <w:proofErr w:type="gramStart"/>
      <w:r w:rsidRPr="0024515D">
        <w:rPr>
          <w:rFonts w:ascii="Times New Roman" w:hAnsi="Times New Roman" w:cs="Times New Roman"/>
        </w:rPr>
        <w:t>developer</w:t>
      </w:r>
      <w:proofErr w:type="gramEnd"/>
      <w:r w:rsidRPr="0024515D">
        <w:rPr>
          <w:rFonts w:ascii="Times New Roman" w:hAnsi="Times New Roman" w:cs="Times New Roman"/>
        </w:rPr>
        <w:t xml:space="preserve"> but the impact of the project can be more significant to them. The Freeman's (1984) stakeholder approach helped me to understand that there are other interests at stake as well as managerial control.</w:t>
      </w:r>
    </w:p>
    <w:p w14:paraId="4CF4FC9C"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I also learnt that stakeholder mapping isn't about mechanically putting </w:t>
      </w:r>
      <w:proofErr w:type="spellStart"/>
      <w:r w:rsidRPr="0024515D">
        <w:rPr>
          <w:rFonts w:ascii="Times New Roman" w:hAnsi="Times New Roman" w:cs="Times New Roman"/>
        </w:rPr>
        <w:t>organisations</w:t>
      </w:r>
      <w:proofErr w:type="spellEnd"/>
      <w:r w:rsidRPr="0024515D">
        <w:rPr>
          <w:rFonts w:ascii="Times New Roman" w:hAnsi="Times New Roman" w:cs="Times New Roman"/>
        </w:rPr>
        <w:t xml:space="preserve"> in four boxes - it's a judgement call. The Mendelow's (1991) model is a good starting </w:t>
      </w:r>
      <w:proofErr w:type="gramStart"/>
      <w:r w:rsidRPr="0024515D">
        <w:rPr>
          <w:rFonts w:ascii="Times New Roman" w:hAnsi="Times New Roman" w:cs="Times New Roman"/>
        </w:rPr>
        <w:t>point</w:t>
      </w:r>
      <w:proofErr w:type="gramEnd"/>
      <w:r w:rsidRPr="0024515D">
        <w:rPr>
          <w:rFonts w:ascii="Times New Roman" w:hAnsi="Times New Roman" w:cs="Times New Roman"/>
        </w:rPr>
        <w:t xml:space="preserve"> but the stakeholder positions can shift. Community </w:t>
      </w:r>
      <w:proofErr w:type="spellStart"/>
      <w:r w:rsidRPr="0024515D">
        <w:rPr>
          <w:rFonts w:ascii="Times New Roman" w:hAnsi="Times New Roman" w:cs="Times New Roman"/>
        </w:rPr>
        <w:t>organisations</w:t>
      </w:r>
      <w:proofErr w:type="spellEnd"/>
      <w:r w:rsidRPr="0024515D">
        <w:rPr>
          <w:rFonts w:ascii="Times New Roman" w:hAnsi="Times New Roman" w:cs="Times New Roman"/>
        </w:rPr>
        <w:t xml:space="preserve"> can gain influence by </w:t>
      </w:r>
      <w:proofErr w:type="spellStart"/>
      <w:r w:rsidRPr="0024515D">
        <w:rPr>
          <w:rFonts w:ascii="Times New Roman" w:hAnsi="Times New Roman" w:cs="Times New Roman"/>
        </w:rPr>
        <w:t>mobilising</w:t>
      </w:r>
      <w:proofErr w:type="spellEnd"/>
      <w:r w:rsidRPr="0024515D">
        <w:rPr>
          <w:rFonts w:ascii="Times New Roman" w:hAnsi="Times New Roman" w:cs="Times New Roman"/>
        </w:rPr>
        <w:t xml:space="preserve"> the community, and technical providers gain influence when there are infrastructure constraints. </w:t>
      </w:r>
      <w:proofErr w:type="spellStart"/>
      <w:r w:rsidRPr="0024515D">
        <w:rPr>
          <w:rFonts w:ascii="Times New Roman" w:hAnsi="Times New Roman" w:cs="Times New Roman"/>
        </w:rPr>
        <w:t>Prebanić</w:t>
      </w:r>
      <w:proofErr w:type="spellEnd"/>
      <w:r w:rsidRPr="0024515D">
        <w:rPr>
          <w:rFonts w:ascii="Times New Roman" w:hAnsi="Times New Roman" w:cs="Times New Roman"/>
        </w:rPr>
        <w:t xml:space="preserve"> and </w:t>
      </w:r>
      <w:proofErr w:type="spellStart"/>
      <w:r w:rsidRPr="0024515D">
        <w:rPr>
          <w:rFonts w:ascii="Times New Roman" w:hAnsi="Times New Roman" w:cs="Times New Roman"/>
        </w:rPr>
        <w:t>Vukomanović</w:t>
      </w:r>
      <w:proofErr w:type="spellEnd"/>
      <w:r w:rsidRPr="0024515D">
        <w:rPr>
          <w:rFonts w:ascii="Times New Roman" w:hAnsi="Times New Roman" w:cs="Times New Roman"/>
        </w:rPr>
        <w:t xml:space="preserve"> (2023) confirm updating of stakeholder analysis.</w:t>
      </w:r>
    </w:p>
    <w:p w14:paraId="6D8BB7E6"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The second learning point has to do with communication vs engagement. Letters and emails can be used for communicating </w:t>
      </w:r>
      <w:proofErr w:type="gramStart"/>
      <w:r w:rsidRPr="0024515D">
        <w:rPr>
          <w:rFonts w:ascii="Times New Roman" w:hAnsi="Times New Roman" w:cs="Times New Roman"/>
        </w:rPr>
        <w:t>information, but</w:t>
      </w:r>
      <w:proofErr w:type="gramEnd"/>
      <w:r w:rsidRPr="0024515D">
        <w:rPr>
          <w:rFonts w:ascii="Times New Roman" w:hAnsi="Times New Roman" w:cs="Times New Roman"/>
        </w:rPr>
        <w:t xml:space="preserve"> are not always a means to participation. Engagement that works demands information and evidence of feedback's impact on decision making early in the process. Sun et al (2022) emphasized the need to consider participation processes and to call for "feedback" - which I added throughout.</w:t>
      </w:r>
    </w:p>
    <w:p w14:paraId="241ADA7B"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A smaller number of similar participants (500) might not be as representative as a larger number of participants (with diverse ages, disabilities, and cultural backgrounds). Espinoza Suarez et al. (2024) reiterated that the issue of equity is who is being heard.</w:t>
      </w:r>
    </w:p>
    <w:p w14:paraId="353C7820" w14:textId="77777777" w:rsidR="0024515D" w:rsidRPr="0024515D"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Another area of learning was data ethics. I learnt about the importance of balancing usefulness of </w:t>
      </w:r>
      <w:proofErr w:type="gramStart"/>
      <w:r w:rsidRPr="0024515D">
        <w:rPr>
          <w:rFonts w:ascii="Times New Roman" w:hAnsi="Times New Roman" w:cs="Times New Roman"/>
        </w:rPr>
        <w:t>the data</w:t>
      </w:r>
      <w:proofErr w:type="gramEnd"/>
      <w:r w:rsidRPr="0024515D">
        <w:rPr>
          <w:rFonts w:ascii="Times New Roman" w:hAnsi="Times New Roman" w:cs="Times New Roman"/>
        </w:rPr>
        <w:t xml:space="preserve"> with privacy in ICO (2026) guidance on data </w:t>
      </w:r>
      <w:proofErr w:type="spellStart"/>
      <w:r w:rsidRPr="0024515D">
        <w:rPr>
          <w:rFonts w:ascii="Times New Roman" w:hAnsi="Times New Roman" w:cs="Times New Roman"/>
        </w:rPr>
        <w:t>minimisation</w:t>
      </w:r>
      <w:proofErr w:type="spellEnd"/>
      <w:r w:rsidRPr="0024515D">
        <w:rPr>
          <w:rFonts w:ascii="Times New Roman" w:hAnsi="Times New Roman" w:cs="Times New Roman"/>
        </w:rPr>
        <w:t xml:space="preserve">. </w:t>
      </w:r>
      <w:proofErr w:type="gramStart"/>
      <w:r w:rsidRPr="0024515D">
        <w:rPr>
          <w:rFonts w:ascii="Times New Roman" w:hAnsi="Times New Roman" w:cs="Times New Roman"/>
        </w:rPr>
        <w:t>Last but not least</w:t>
      </w:r>
      <w:proofErr w:type="gramEnd"/>
      <w:r w:rsidRPr="0024515D">
        <w:rPr>
          <w:rFonts w:ascii="Times New Roman" w:hAnsi="Times New Roman" w:cs="Times New Roman"/>
        </w:rPr>
        <w:t>, Wang et al. (2024) have shown that urban regeneration necessitates the interaction between actors with varying priorities, and therefore, disagreements are not necessarily a failure.</w:t>
      </w:r>
    </w:p>
    <w:p w14:paraId="663EB70D" w14:textId="07F27196" w:rsidR="00FE5A08" w:rsidRDefault="0024515D" w:rsidP="0024515D">
      <w:pPr>
        <w:spacing w:line="360" w:lineRule="auto"/>
        <w:jc w:val="both"/>
        <w:rPr>
          <w:rFonts w:ascii="Times New Roman" w:hAnsi="Times New Roman" w:cs="Times New Roman"/>
        </w:rPr>
      </w:pPr>
      <w:r w:rsidRPr="0024515D">
        <w:rPr>
          <w:rFonts w:ascii="Times New Roman" w:hAnsi="Times New Roman" w:cs="Times New Roman"/>
        </w:rPr>
        <w:t xml:space="preserve">In summary, I gained an understanding of stakeholder management that incorporates analysis, communication, inclusion, ethical judgement and responsiveness. In subsequent projects I would track representation, re-map </w:t>
      </w:r>
      <w:proofErr w:type="gramStart"/>
      <w:r w:rsidRPr="0024515D">
        <w:rPr>
          <w:rFonts w:ascii="Times New Roman" w:hAnsi="Times New Roman" w:cs="Times New Roman"/>
        </w:rPr>
        <w:t>stakeholders</w:t>
      </w:r>
      <w:proofErr w:type="gramEnd"/>
      <w:r w:rsidRPr="0024515D">
        <w:rPr>
          <w:rFonts w:ascii="Times New Roman" w:hAnsi="Times New Roman" w:cs="Times New Roman"/>
        </w:rPr>
        <w:t xml:space="preserve"> power, set measurable indicators of engagement, and have engagement as a catalyst for improving decisions and long-term project value</w:t>
      </w:r>
      <w:r w:rsidR="00FE5A08" w:rsidRPr="00FE5A08">
        <w:rPr>
          <w:rFonts w:ascii="Times New Roman" w:hAnsi="Times New Roman" w:cs="Times New Roman"/>
        </w:rPr>
        <w:t>.</w:t>
      </w:r>
    </w:p>
    <w:p w14:paraId="594D2F35" w14:textId="0118F6C0" w:rsidR="0024515D" w:rsidRDefault="0024515D">
      <w:pPr>
        <w:rPr>
          <w:rFonts w:ascii="Times New Roman" w:hAnsi="Times New Roman" w:cs="Times New Roman"/>
        </w:rPr>
      </w:pPr>
      <w:r>
        <w:rPr>
          <w:rFonts w:ascii="Times New Roman" w:hAnsi="Times New Roman" w:cs="Times New Roman"/>
        </w:rPr>
        <w:br w:type="page"/>
      </w:r>
    </w:p>
    <w:p w14:paraId="72B8BBBF" w14:textId="54B95EDC" w:rsidR="0024515D" w:rsidRPr="0024515D" w:rsidRDefault="0024515D" w:rsidP="0024515D">
      <w:pPr>
        <w:pStyle w:val="Heading1"/>
        <w:spacing w:line="360" w:lineRule="auto"/>
        <w:rPr>
          <w:rFonts w:ascii="Times New Roman" w:hAnsi="Times New Roman" w:cs="Times New Roman"/>
          <w:b/>
          <w:bCs/>
          <w:sz w:val="32"/>
          <w:szCs w:val="32"/>
        </w:rPr>
      </w:pPr>
      <w:bookmarkStart w:id="16" w:name="_Toc238038600"/>
      <w:r>
        <w:rPr>
          <w:rFonts w:ascii="Times New Roman" w:hAnsi="Times New Roman" w:cs="Times New Roman"/>
          <w:b/>
          <w:bCs/>
          <w:sz w:val="32"/>
          <w:szCs w:val="32"/>
        </w:rPr>
        <w:lastRenderedPageBreak/>
        <w:t>References</w:t>
      </w:r>
      <w:bookmarkEnd w:id="16"/>
    </w:p>
    <w:p w14:paraId="2A7AA2C0"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Adhi, A.B. et al. (</w:t>
      </w:r>
      <w:proofErr w:type="gramStart"/>
      <w:r w:rsidRPr="00A5745F">
        <w:rPr>
          <w:rFonts w:ascii="Times New Roman" w:hAnsi="Times New Roman" w:cs="Times New Roman"/>
        </w:rPr>
        <w:t>2023) ‘</w:t>
      </w:r>
      <w:proofErr w:type="gramEnd"/>
      <w:r w:rsidRPr="00A5745F">
        <w:rPr>
          <w:rFonts w:ascii="Times New Roman" w:hAnsi="Times New Roman" w:cs="Times New Roman"/>
        </w:rPr>
        <w:t xml:space="preserve">Development of stakeholder engagement strategies to improve sustainable project delivery’, </w:t>
      </w:r>
      <w:r w:rsidRPr="00A5745F">
        <w:rPr>
          <w:rFonts w:ascii="Times New Roman" w:hAnsi="Times New Roman" w:cs="Times New Roman"/>
          <w:i/>
          <w:iCs/>
        </w:rPr>
        <w:t>Sustainability</w:t>
      </w:r>
      <w:r w:rsidRPr="00A5745F">
        <w:rPr>
          <w:rFonts w:ascii="Times New Roman" w:hAnsi="Times New Roman" w:cs="Times New Roman"/>
        </w:rPr>
        <w:t xml:space="preserve">, 15(7), 6053. Available at: </w:t>
      </w:r>
      <w:hyperlink r:id="rId9" w:history="1">
        <w:r w:rsidRPr="00A5745F">
          <w:rPr>
            <w:rStyle w:val="Hyperlink"/>
            <w:rFonts w:ascii="Times New Roman" w:hAnsi="Times New Roman" w:cs="Times New Roman"/>
          </w:rPr>
          <w:t>https://doi.org/10.3390/su15076053</w:t>
        </w:r>
      </w:hyperlink>
      <w:r w:rsidRPr="00A5745F">
        <w:rPr>
          <w:rFonts w:ascii="Times New Roman" w:hAnsi="Times New Roman" w:cs="Times New Roman"/>
        </w:rPr>
        <w:t>.</w:t>
      </w:r>
    </w:p>
    <w:p w14:paraId="3DC25E04"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Alhassan, A.Y. (</w:t>
      </w:r>
      <w:proofErr w:type="gramStart"/>
      <w:r w:rsidRPr="00A5745F">
        <w:rPr>
          <w:rFonts w:ascii="Times New Roman" w:hAnsi="Times New Roman" w:cs="Times New Roman"/>
        </w:rPr>
        <w:t>2025) ‘</w:t>
      </w:r>
      <w:proofErr w:type="gramEnd"/>
      <w:r w:rsidRPr="00A5745F">
        <w:rPr>
          <w:rFonts w:ascii="Times New Roman" w:hAnsi="Times New Roman" w:cs="Times New Roman"/>
        </w:rPr>
        <w:t xml:space="preserve">Rethinking participation in urban planning: analytical and practical contributions of social network analysis’, </w:t>
      </w:r>
      <w:r w:rsidRPr="00A5745F">
        <w:rPr>
          <w:rFonts w:ascii="Times New Roman" w:hAnsi="Times New Roman" w:cs="Times New Roman"/>
          <w:i/>
          <w:iCs/>
        </w:rPr>
        <w:t>Frontiers of Urban and Rural Planning</w:t>
      </w:r>
      <w:r w:rsidRPr="00A5745F">
        <w:rPr>
          <w:rFonts w:ascii="Times New Roman" w:hAnsi="Times New Roman" w:cs="Times New Roman"/>
        </w:rPr>
        <w:t xml:space="preserve">. Available at: </w:t>
      </w:r>
      <w:hyperlink r:id="rId10" w:history="1">
        <w:r w:rsidRPr="00A5745F">
          <w:rPr>
            <w:rStyle w:val="Hyperlink"/>
            <w:rFonts w:ascii="Times New Roman" w:hAnsi="Times New Roman" w:cs="Times New Roman"/>
          </w:rPr>
          <w:t>https://doi.org/10.1007/s44243-024-00052-z</w:t>
        </w:r>
      </w:hyperlink>
      <w:r w:rsidRPr="00A5745F">
        <w:rPr>
          <w:rFonts w:ascii="Times New Roman" w:hAnsi="Times New Roman" w:cs="Times New Roman"/>
        </w:rPr>
        <w:t>.</w:t>
      </w:r>
    </w:p>
    <w:p w14:paraId="649D971E"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Bernat, G.B. et al. (</w:t>
      </w:r>
      <w:proofErr w:type="gramStart"/>
      <w:r w:rsidRPr="00A5745F">
        <w:rPr>
          <w:rFonts w:ascii="Times New Roman" w:hAnsi="Times New Roman" w:cs="Times New Roman"/>
        </w:rPr>
        <w:t>2023) ‘</w:t>
      </w:r>
      <w:proofErr w:type="gramEnd"/>
      <w:r w:rsidRPr="00A5745F">
        <w:rPr>
          <w:rFonts w:ascii="Times New Roman" w:hAnsi="Times New Roman" w:cs="Times New Roman"/>
        </w:rPr>
        <w:t xml:space="preserve">Enhancing sustainability in project management: the role of stakeholder engagement and knowledge management’, </w:t>
      </w:r>
      <w:r w:rsidRPr="00A5745F">
        <w:rPr>
          <w:rFonts w:ascii="Times New Roman" w:hAnsi="Times New Roman" w:cs="Times New Roman"/>
          <w:i/>
          <w:iCs/>
        </w:rPr>
        <w:t>Sustainability</w:t>
      </w:r>
      <w:r w:rsidRPr="00A5745F">
        <w:rPr>
          <w:rFonts w:ascii="Times New Roman" w:hAnsi="Times New Roman" w:cs="Times New Roman"/>
        </w:rPr>
        <w:t xml:space="preserve">, 15(6), 4896. Available at: </w:t>
      </w:r>
      <w:hyperlink r:id="rId11" w:history="1">
        <w:r w:rsidRPr="00A5745F">
          <w:rPr>
            <w:rStyle w:val="Hyperlink"/>
            <w:rFonts w:ascii="Times New Roman" w:hAnsi="Times New Roman" w:cs="Times New Roman"/>
          </w:rPr>
          <w:t>https://doi.org/10.3390/su15064896</w:t>
        </w:r>
      </w:hyperlink>
      <w:r w:rsidRPr="00A5745F">
        <w:rPr>
          <w:rFonts w:ascii="Times New Roman" w:hAnsi="Times New Roman" w:cs="Times New Roman"/>
        </w:rPr>
        <w:t>.</w:t>
      </w:r>
    </w:p>
    <w:p w14:paraId="0CBB47AC"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 xml:space="preserve">Birmingham City Council (2025a) </w:t>
      </w:r>
      <w:r w:rsidRPr="00A5745F">
        <w:rPr>
          <w:rFonts w:ascii="Times New Roman" w:hAnsi="Times New Roman" w:cs="Times New Roman"/>
          <w:i/>
          <w:iCs/>
        </w:rPr>
        <w:t>Ladywood Estate Regeneration Scheme</w:t>
      </w:r>
      <w:r w:rsidRPr="00A5745F">
        <w:rPr>
          <w:rFonts w:ascii="Times New Roman" w:hAnsi="Times New Roman" w:cs="Times New Roman"/>
        </w:rPr>
        <w:t xml:space="preserve">. Available at: </w:t>
      </w:r>
      <w:hyperlink r:id="rId12" w:history="1">
        <w:r w:rsidRPr="00A5745F">
          <w:rPr>
            <w:rStyle w:val="Hyperlink"/>
            <w:rFonts w:ascii="Times New Roman" w:hAnsi="Times New Roman" w:cs="Times New Roman"/>
          </w:rPr>
          <w:t>https://www.birmingham.gov.uk/info/50273/our_future_city_plan_ofcp/2756/ladywood_estate_regeneration_scheme</w:t>
        </w:r>
      </w:hyperlink>
      <w:r w:rsidRPr="00A5745F">
        <w:rPr>
          <w:rFonts w:ascii="Times New Roman" w:hAnsi="Times New Roman" w:cs="Times New Roman"/>
        </w:rPr>
        <w:t>.</w:t>
      </w:r>
    </w:p>
    <w:p w14:paraId="07B948EF"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 xml:space="preserve">Birmingham City Council (2025b) </w:t>
      </w:r>
      <w:r w:rsidRPr="00A5745F">
        <w:rPr>
          <w:rFonts w:ascii="Times New Roman" w:hAnsi="Times New Roman" w:cs="Times New Roman"/>
          <w:i/>
          <w:iCs/>
        </w:rPr>
        <w:t>Regeneration of the Ladywood Estate moves into next phase</w:t>
      </w:r>
      <w:r w:rsidRPr="00A5745F">
        <w:rPr>
          <w:rFonts w:ascii="Times New Roman" w:hAnsi="Times New Roman" w:cs="Times New Roman"/>
        </w:rPr>
        <w:t xml:space="preserve">. Available at: </w:t>
      </w:r>
      <w:hyperlink r:id="rId13" w:history="1">
        <w:r w:rsidRPr="00A5745F">
          <w:rPr>
            <w:rStyle w:val="Hyperlink"/>
            <w:rFonts w:ascii="Times New Roman" w:hAnsi="Times New Roman" w:cs="Times New Roman"/>
          </w:rPr>
          <w:t>https://www.birmingham.gov.uk/news/article/1556/regeneration_of_the_ladywood_estate_moves_into_next_phase</w:t>
        </w:r>
      </w:hyperlink>
      <w:r w:rsidRPr="00A5745F">
        <w:rPr>
          <w:rFonts w:ascii="Times New Roman" w:hAnsi="Times New Roman" w:cs="Times New Roman"/>
        </w:rPr>
        <w:t>.</w:t>
      </w:r>
    </w:p>
    <w:p w14:paraId="6A2FBC2F"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 xml:space="preserve">Espinoza Suarez, N.R., Desrosiers, F., Prokop, L.J., </w:t>
      </w:r>
      <w:proofErr w:type="spellStart"/>
      <w:r w:rsidRPr="00A5745F">
        <w:rPr>
          <w:rFonts w:ascii="Times New Roman" w:hAnsi="Times New Roman" w:cs="Times New Roman"/>
        </w:rPr>
        <w:t>Dupéré</w:t>
      </w:r>
      <w:proofErr w:type="spellEnd"/>
      <w:r w:rsidRPr="00A5745F">
        <w:rPr>
          <w:rFonts w:ascii="Times New Roman" w:hAnsi="Times New Roman" w:cs="Times New Roman"/>
        </w:rPr>
        <w:t>, S. and Diallo, T. (</w:t>
      </w:r>
      <w:proofErr w:type="gramStart"/>
      <w:r w:rsidRPr="00A5745F">
        <w:rPr>
          <w:rFonts w:ascii="Times New Roman" w:hAnsi="Times New Roman" w:cs="Times New Roman"/>
        </w:rPr>
        <w:t>2024) ‘</w:t>
      </w:r>
      <w:proofErr w:type="gramEnd"/>
      <w:r w:rsidRPr="00A5745F">
        <w:rPr>
          <w:rFonts w:ascii="Times New Roman" w:hAnsi="Times New Roman" w:cs="Times New Roman"/>
        </w:rPr>
        <w:t xml:space="preserve">Exploring the equitable inclusion of diverse voices in urban green design, planning and policy development: a scoping review protocol’, </w:t>
      </w:r>
      <w:r w:rsidRPr="00A5745F">
        <w:rPr>
          <w:rFonts w:ascii="Times New Roman" w:hAnsi="Times New Roman" w:cs="Times New Roman"/>
          <w:i/>
          <w:iCs/>
        </w:rPr>
        <w:t>BMJ Open</w:t>
      </w:r>
      <w:r w:rsidRPr="00A5745F">
        <w:rPr>
          <w:rFonts w:ascii="Times New Roman" w:hAnsi="Times New Roman" w:cs="Times New Roman"/>
        </w:rPr>
        <w:t xml:space="preserve">, 14, e078396. Available at: </w:t>
      </w:r>
      <w:hyperlink r:id="rId14" w:history="1">
        <w:r w:rsidRPr="00A5745F">
          <w:rPr>
            <w:rStyle w:val="Hyperlink"/>
            <w:rFonts w:ascii="Times New Roman" w:hAnsi="Times New Roman" w:cs="Times New Roman"/>
          </w:rPr>
          <w:t>https://doi.org/10.1136/bmjopen-2023-078396</w:t>
        </w:r>
      </w:hyperlink>
      <w:r w:rsidRPr="00A5745F">
        <w:rPr>
          <w:rFonts w:ascii="Times New Roman" w:hAnsi="Times New Roman" w:cs="Times New Roman"/>
        </w:rPr>
        <w:t>.</w:t>
      </w:r>
    </w:p>
    <w:p w14:paraId="44533C3A"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 xml:space="preserve">Freeman, R.E. (1984) </w:t>
      </w:r>
      <w:r w:rsidRPr="00A5745F">
        <w:rPr>
          <w:rFonts w:ascii="Times New Roman" w:hAnsi="Times New Roman" w:cs="Times New Roman"/>
          <w:i/>
          <w:iCs/>
        </w:rPr>
        <w:t>Strategic Management: A Stakeholder Approach</w:t>
      </w:r>
      <w:r w:rsidRPr="00A5745F">
        <w:rPr>
          <w:rFonts w:ascii="Times New Roman" w:hAnsi="Times New Roman" w:cs="Times New Roman"/>
        </w:rPr>
        <w:t>. Boston: Pitman.</w:t>
      </w:r>
    </w:p>
    <w:p w14:paraId="483A5F27"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 xml:space="preserve">Homes England (2025) </w:t>
      </w:r>
      <w:r w:rsidRPr="00A5745F">
        <w:rPr>
          <w:rFonts w:ascii="Times New Roman" w:hAnsi="Times New Roman" w:cs="Times New Roman"/>
          <w:i/>
          <w:iCs/>
        </w:rPr>
        <w:t>Advice Note 1: Establishing a clear starting point for community engagement</w:t>
      </w:r>
      <w:r w:rsidRPr="00A5745F">
        <w:rPr>
          <w:rFonts w:ascii="Times New Roman" w:hAnsi="Times New Roman" w:cs="Times New Roman"/>
        </w:rPr>
        <w:t xml:space="preserve">. Available at: </w:t>
      </w:r>
      <w:hyperlink r:id="rId15" w:history="1">
        <w:r w:rsidRPr="00A5745F">
          <w:rPr>
            <w:rStyle w:val="Hyperlink"/>
            <w:rFonts w:ascii="Times New Roman" w:hAnsi="Times New Roman" w:cs="Times New Roman"/>
          </w:rPr>
          <w:t>https://www.gov.uk/government/publications/homes-england-advice-notes-advice-note-1/advice-note-1-establishing-a-clear-starting-point-for-community-engagement-html</w:t>
        </w:r>
      </w:hyperlink>
      <w:r w:rsidRPr="00A5745F">
        <w:rPr>
          <w:rFonts w:ascii="Times New Roman" w:hAnsi="Times New Roman" w:cs="Times New Roman"/>
        </w:rPr>
        <w:t>.</w:t>
      </w:r>
    </w:p>
    <w:p w14:paraId="02612C18"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lastRenderedPageBreak/>
        <w:t>Hu, J. et al. (</w:t>
      </w:r>
      <w:proofErr w:type="gramStart"/>
      <w:r w:rsidRPr="00A5745F">
        <w:rPr>
          <w:rFonts w:ascii="Times New Roman" w:hAnsi="Times New Roman" w:cs="Times New Roman"/>
        </w:rPr>
        <w:t>2024) ‘</w:t>
      </w:r>
      <w:proofErr w:type="gramEnd"/>
      <w:r w:rsidRPr="00A5745F">
        <w:rPr>
          <w:rFonts w:ascii="Times New Roman" w:hAnsi="Times New Roman" w:cs="Times New Roman"/>
        </w:rPr>
        <w:t xml:space="preserve">Systematic review of socially sustainable and community regeneration: research traits, focal points, and future trajectories’, </w:t>
      </w:r>
      <w:r w:rsidRPr="00A5745F">
        <w:rPr>
          <w:rFonts w:ascii="Times New Roman" w:hAnsi="Times New Roman" w:cs="Times New Roman"/>
          <w:i/>
          <w:iCs/>
        </w:rPr>
        <w:t>Buildings</w:t>
      </w:r>
      <w:r w:rsidRPr="00A5745F">
        <w:rPr>
          <w:rFonts w:ascii="Times New Roman" w:hAnsi="Times New Roman" w:cs="Times New Roman"/>
        </w:rPr>
        <w:t xml:space="preserve">, 14(4), 881. Available at: </w:t>
      </w:r>
      <w:hyperlink r:id="rId16" w:history="1">
        <w:r w:rsidRPr="00A5745F">
          <w:rPr>
            <w:rStyle w:val="Hyperlink"/>
            <w:rFonts w:ascii="Times New Roman" w:hAnsi="Times New Roman" w:cs="Times New Roman"/>
          </w:rPr>
          <w:t>https://doi.org/10.3390/buildings14040881</w:t>
        </w:r>
      </w:hyperlink>
      <w:r w:rsidRPr="00A5745F">
        <w:rPr>
          <w:rFonts w:ascii="Times New Roman" w:hAnsi="Times New Roman" w:cs="Times New Roman"/>
        </w:rPr>
        <w:t>.</w:t>
      </w:r>
    </w:p>
    <w:p w14:paraId="64E54EC9"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 xml:space="preserve">ICO (2024) </w:t>
      </w:r>
      <w:r w:rsidRPr="00A5745F">
        <w:rPr>
          <w:rFonts w:ascii="Times New Roman" w:hAnsi="Times New Roman" w:cs="Times New Roman"/>
          <w:i/>
          <w:iCs/>
        </w:rPr>
        <w:t>Special category data</w:t>
      </w:r>
      <w:r w:rsidRPr="00A5745F">
        <w:rPr>
          <w:rFonts w:ascii="Times New Roman" w:hAnsi="Times New Roman" w:cs="Times New Roman"/>
        </w:rPr>
        <w:t xml:space="preserve">. Information Commissioner’s Office. Available at: </w:t>
      </w:r>
      <w:hyperlink r:id="rId17" w:history="1">
        <w:r w:rsidRPr="00A5745F">
          <w:rPr>
            <w:rStyle w:val="Hyperlink"/>
            <w:rFonts w:ascii="Times New Roman" w:hAnsi="Times New Roman" w:cs="Times New Roman"/>
          </w:rPr>
          <w:t>https://ico.org.uk/for-organisations/uk-gdpr-guidance-and-resources/lawful-basis/special-category-data/</w:t>
        </w:r>
      </w:hyperlink>
      <w:r w:rsidRPr="00A5745F">
        <w:rPr>
          <w:rFonts w:ascii="Times New Roman" w:hAnsi="Times New Roman" w:cs="Times New Roman"/>
        </w:rPr>
        <w:t>.</w:t>
      </w:r>
    </w:p>
    <w:p w14:paraId="4C0C6C75"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 xml:space="preserve">ICO (2026) </w:t>
      </w:r>
      <w:r w:rsidRPr="00A5745F">
        <w:rPr>
          <w:rFonts w:ascii="Times New Roman" w:hAnsi="Times New Roman" w:cs="Times New Roman"/>
          <w:i/>
          <w:iCs/>
        </w:rPr>
        <w:t>A guide to the data protection principles</w:t>
      </w:r>
      <w:r w:rsidRPr="00A5745F">
        <w:rPr>
          <w:rFonts w:ascii="Times New Roman" w:hAnsi="Times New Roman" w:cs="Times New Roman"/>
        </w:rPr>
        <w:t xml:space="preserve">. Information Commissioner’s Office. Available at: </w:t>
      </w:r>
      <w:hyperlink r:id="rId18" w:history="1">
        <w:r w:rsidRPr="00A5745F">
          <w:rPr>
            <w:rStyle w:val="Hyperlink"/>
            <w:rFonts w:ascii="Times New Roman" w:hAnsi="Times New Roman" w:cs="Times New Roman"/>
          </w:rPr>
          <w:t>https://ico.org.uk/for-organisations/uk-gdpr-guidance-and-resources/data-protection-principles/a-guide-to-the-data-protection-principles/</w:t>
        </w:r>
      </w:hyperlink>
      <w:r w:rsidRPr="00A5745F">
        <w:rPr>
          <w:rFonts w:ascii="Times New Roman" w:hAnsi="Times New Roman" w:cs="Times New Roman"/>
        </w:rPr>
        <w:t>.</w:t>
      </w:r>
    </w:p>
    <w:p w14:paraId="13A9A384"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Jiménez-Caldera, J., Durango-Severiche, G.Y., Pérez-Arévalo, R., Serrano-Montes, J.L., Rodrigo-Comino, J. and Caballero-Calvo, A. (</w:t>
      </w:r>
      <w:proofErr w:type="gramStart"/>
      <w:r w:rsidRPr="00A5745F">
        <w:rPr>
          <w:rFonts w:ascii="Times New Roman" w:hAnsi="Times New Roman" w:cs="Times New Roman"/>
        </w:rPr>
        <w:t>2024) ‘</w:t>
      </w:r>
      <w:proofErr w:type="gramEnd"/>
      <w:r w:rsidRPr="00A5745F">
        <w:rPr>
          <w:rFonts w:ascii="Times New Roman" w:hAnsi="Times New Roman" w:cs="Times New Roman"/>
        </w:rPr>
        <w:t xml:space="preserve">Methodological proposal for the inclusion of citizen participation in the management and planning of urban public spaces’, </w:t>
      </w:r>
      <w:r w:rsidRPr="00A5745F">
        <w:rPr>
          <w:rFonts w:ascii="Times New Roman" w:hAnsi="Times New Roman" w:cs="Times New Roman"/>
          <w:i/>
          <w:iCs/>
        </w:rPr>
        <w:t>Cities</w:t>
      </w:r>
      <w:r w:rsidRPr="00A5745F">
        <w:rPr>
          <w:rFonts w:ascii="Times New Roman" w:hAnsi="Times New Roman" w:cs="Times New Roman"/>
        </w:rPr>
        <w:t xml:space="preserve">, 150, 105008. Available at: </w:t>
      </w:r>
      <w:hyperlink r:id="rId19" w:history="1">
        <w:r w:rsidRPr="00A5745F">
          <w:rPr>
            <w:rStyle w:val="Hyperlink"/>
            <w:rFonts w:ascii="Times New Roman" w:hAnsi="Times New Roman" w:cs="Times New Roman"/>
          </w:rPr>
          <w:t>https://doi.org/10.1016/j.cities.2024.105008</w:t>
        </w:r>
      </w:hyperlink>
      <w:r w:rsidRPr="00A5745F">
        <w:rPr>
          <w:rFonts w:ascii="Times New Roman" w:hAnsi="Times New Roman" w:cs="Times New Roman"/>
        </w:rPr>
        <w:t>.</w:t>
      </w:r>
    </w:p>
    <w:p w14:paraId="6DF2BEB7"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 xml:space="preserve">Kujala, J., Sachs, S., Leinonen, H., Heikkinen, A. and Laude, D. (2022) ‘Stakeholder engagement: past, present, and future’, </w:t>
      </w:r>
      <w:r w:rsidRPr="00A5745F">
        <w:rPr>
          <w:rFonts w:ascii="Times New Roman" w:hAnsi="Times New Roman" w:cs="Times New Roman"/>
          <w:i/>
          <w:iCs/>
        </w:rPr>
        <w:t>Business &amp; Society</w:t>
      </w:r>
      <w:r w:rsidRPr="00A5745F">
        <w:rPr>
          <w:rFonts w:ascii="Times New Roman" w:hAnsi="Times New Roman" w:cs="Times New Roman"/>
        </w:rPr>
        <w:t xml:space="preserve">, 61(5), pp. 1136–1196. Available at: </w:t>
      </w:r>
      <w:hyperlink r:id="rId20" w:history="1">
        <w:r w:rsidRPr="00A5745F">
          <w:rPr>
            <w:rStyle w:val="Hyperlink"/>
            <w:rFonts w:ascii="Times New Roman" w:hAnsi="Times New Roman" w:cs="Times New Roman"/>
          </w:rPr>
          <w:t>https://doi.org/10.1177/00076503211066595</w:t>
        </w:r>
      </w:hyperlink>
      <w:r w:rsidRPr="00A5745F">
        <w:rPr>
          <w:rFonts w:ascii="Times New Roman" w:hAnsi="Times New Roman" w:cs="Times New Roman"/>
        </w:rPr>
        <w:t>.</w:t>
      </w:r>
    </w:p>
    <w:p w14:paraId="148B626D"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Liao, Z. and Liu, M. (</w:t>
      </w:r>
      <w:proofErr w:type="gramStart"/>
      <w:r w:rsidRPr="00A5745F">
        <w:rPr>
          <w:rFonts w:ascii="Times New Roman" w:hAnsi="Times New Roman" w:cs="Times New Roman"/>
        </w:rPr>
        <w:t>2023) ‘</w:t>
      </w:r>
      <w:proofErr w:type="gramEnd"/>
      <w:r w:rsidRPr="00A5745F">
        <w:rPr>
          <w:rFonts w:ascii="Times New Roman" w:hAnsi="Times New Roman" w:cs="Times New Roman"/>
        </w:rPr>
        <w:t xml:space="preserve">Critical barriers and countermeasures to urban regeneration from the stakeholder perspective: a literature review’, </w:t>
      </w:r>
      <w:r w:rsidRPr="00A5745F">
        <w:rPr>
          <w:rFonts w:ascii="Times New Roman" w:hAnsi="Times New Roman" w:cs="Times New Roman"/>
          <w:i/>
          <w:iCs/>
        </w:rPr>
        <w:t>Frontiers in Sustainable Cities</w:t>
      </w:r>
      <w:r w:rsidRPr="00A5745F">
        <w:rPr>
          <w:rFonts w:ascii="Times New Roman" w:hAnsi="Times New Roman" w:cs="Times New Roman"/>
        </w:rPr>
        <w:t xml:space="preserve">, 5, 1115648. Available at: </w:t>
      </w:r>
      <w:hyperlink r:id="rId21" w:history="1">
        <w:r w:rsidRPr="00A5745F">
          <w:rPr>
            <w:rStyle w:val="Hyperlink"/>
            <w:rFonts w:ascii="Times New Roman" w:hAnsi="Times New Roman" w:cs="Times New Roman"/>
          </w:rPr>
          <w:t>https://doi.org/10.3389/frsc.2023.1115648</w:t>
        </w:r>
      </w:hyperlink>
      <w:r w:rsidRPr="00A5745F">
        <w:rPr>
          <w:rFonts w:ascii="Times New Roman" w:hAnsi="Times New Roman" w:cs="Times New Roman"/>
        </w:rPr>
        <w:t>.</w:t>
      </w:r>
    </w:p>
    <w:p w14:paraId="424BB176" w14:textId="422941D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 xml:space="preserve">Malik, S.H. et al. (2023) ‘Investigating the Impact of Communication Factors and Stakeholders Engagement on Renewable Energy Projects in Pakistan’, </w:t>
      </w:r>
      <w:r w:rsidRPr="00A5745F">
        <w:rPr>
          <w:rFonts w:ascii="Times New Roman" w:hAnsi="Times New Roman" w:cs="Times New Roman"/>
          <w:i/>
          <w:iCs/>
        </w:rPr>
        <w:t>Sustainability</w:t>
      </w:r>
      <w:r w:rsidRPr="00A5745F">
        <w:rPr>
          <w:rFonts w:ascii="Times New Roman" w:hAnsi="Times New Roman" w:cs="Times New Roman"/>
        </w:rPr>
        <w:t xml:space="preserve">, 15(14), 11289. Available at: </w:t>
      </w:r>
      <w:hyperlink r:id="rId22" w:history="1">
        <w:r w:rsidRPr="00A5745F">
          <w:rPr>
            <w:rStyle w:val="Hyperlink"/>
            <w:rFonts w:ascii="Times New Roman" w:hAnsi="Times New Roman" w:cs="Times New Roman"/>
          </w:rPr>
          <w:t>https://doi.org/10.3390/su151411289</w:t>
        </w:r>
      </w:hyperlink>
      <w:r w:rsidRPr="00A5745F">
        <w:rPr>
          <w:rFonts w:ascii="Times New Roman" w:hAnsi="Times New Roman" w:cs="Times New Roman"/>
        </w:rPr>
        <w:t>.</w:t>
      </w:r>
    </w:p>
    <w:p w14:paraId="6CE3C8BE"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Mendelow, A.L. (</w:t>
      </w:r>
      <w:proofErr w:type="gramStart"/>
      <w:r w:rsidRPr="00A5745F">
        <w:rPr>
          <w:rFonts w:ascii="Times New Roman" w:hAnsi="Times New Roman" w:cs="Times New Roman"/>
        </w:rPr>
        <w:t>1991) ‘</w:t>
      </w:r>
      <w:proofErr w:type="gramEnd"/>
      <w:r w:rsidRPr="00A5745F">
        <w:rPr>
          <w:rFonts w:ascii="Times New Roman" w:hAnsi="Times New Roman" w:cs="Times New Roman"/>
        </w:rPr>
        <w:t xml:space="preserve">Environmental scanning: the impact of the stakeholder concept’, in </w:t>
      </w:r>
      <w:r w:rsidRPr="00A5745F">
        <w:rPr>
          <w:rFonts w:ascii="Times New Roman" w:hAnsi="Times New Roman" w:cs="Times New Roman"/>
          <w:i/>
          <w:iCs/>
        </w:rPr>
        <w:t>Proceedings of the Second International Conference on Information Systems</w:t>
      </w:r>
      <w:r w:rsidRPr="00A5745F">
        <w:rPr>
          <w:rFonts w:ascii="Times New Roman" w:hAnsi="Times New Roman" w:cs="Times New Roman"/>
        </w:rPr>
        <w:t>. Cambridge, MA.</w:t>
      </w:r>
    </w:p>
    <w:p w14:paraId="799908CC"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 xml:space="preserve">MHCLG (2024) </w:t>
      </w:r>
      <w:r w:rsidRPr="00A5745F">
        <w:rPr>
          <w:rFonts w:ascii="Times New Roman" w:hAnsi="Times New Roman" w:cs="Times New Roman"/>
          <w:i/>
          <w:iCs/>
        </w:rPr>
        <w:t>National Planning Policy Framework</w:t>
      </w:r>
      <w:r w:rsidRPr="00A5745F">
        <w:rPr>
          <w:rFonts w:ascii="Times New Roman" w:hAnsi="Times New Roman" w:cs="Times New Roman"/>
        </w:rPr>
        <w:t xml:space="preserve">. London: Ministry of Housing, Communities and Local Government. Available at: </w:t>
      </w:r>
      <w:hyperlink r:id="rId23" w:history="1">
        <w:r w:rsidRPr="00A5745F">
          <w:rPr>
            <w:rStyle w:val="Hyperlink"/>
            <w:rFonts w:ascii="Times New Roman" w:hAnsi="Times New Roman" w:cs="Times New Roman"/>
          </w:rPr>
          <w:t>https://www.gov.uk/government/publications/national-planning-policy-framework--2</w:t>
        </w:r>
      </w:hyperlink>
      <w:r w:rsidRPr="00A5745F">
        <w:rPr>
          <w:rFonts w:ascii="Times New Roman" w:hAnsi="Times New Roman" w:cs="Times New Roman"/>
        </w:rPr>
        <w:t>.</w:t>
      </w:r>
    </w:p>
    <w:p w14:paraId="7EF369F9"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lastRenderedPageBreak/>
        <w:t xml:space="preserve">ONS (2023) </w:t>
      </w:r>
      <w:r w:rsidRPr="00A5745F">
        <w:rPr>
          <w:rFonts w:ascii="Times New Roman" w:hAnsi="Times New Roman" w:cs="Times New Roman"/>
          <w:i/>
          <w:iCs/>
        </w:rPr>
        <w:t>How life has changed in Birmingham: Census 2021</w:t>
      </w:r>
      <w:r w:rsidRPr="00A5745F">
        <w:rPr>
          <w:rFonts w:ascii="Times New Roman" w:hAnsi="Times New Roman" w:cs="Times New Roman"/>
        </w:rPr>
        <w:t xml:space="preserve">. Office for National Statistics. Available at: </w:t>
      </w:r>
      <w:hyperlink r:id="rId24" w:history="1">
        <w:r w:rsidRPr="00A5745F">
          <w:rPr>
            <w:rStyle w:val="Hyperlink"/>
            <w:rFonts w:ascii="Times New Roman" w:hAnsi="Times New Roman" w:cs="Times New Roman"/>
          </w:rPr>
          <w:t>https://www.ons.gov.uk/visualisations/censusareachanges/E08000025</w:t>
        </w:r>
      </w:hyperlink>
      <w:r w:rsidRPr="00A5745F">
        <w:rPr>
          <w:rFonts w:ascii="Times New Roman" w:hAnsi="Times New Roman" w:cs="Times New Roman"/>
        </w:rPr>
        <w:t>.</w:t>
      </w:r>
    </w:p>
    <w:p w14:paraId="5B357D00"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 xml:space="preserve">Pereira, C., Zarghami, A., Teixeira, E. and Araújo, E. (2025) ‘Stakeholder mapping for a nature-based solutions project: a comprehensive approach for enhanced participation and co-creation’, </w:t>
      </w:r>
      <w:r w:rsidRPr="00A5745F">
        <w:rPr>
          <w:rFonts w:ascii="Times New Roman" w:hAnsi="Times New Roman" w:cs="Times New Roman"/>
          <w:i/>
          <w:iCs/>
        </w:rPr>
        <w:t>Sustainability</w:t>
      </w:r>
      <w:r w:rsidRPr="00A5745F">
        <w:rPr>
          <w:rFonts w:ascii="Times New Roman" w:hAnsi="Times New Roman" w:cs="Times New Roman"/>
        </w:rPr>
        <w:t xml:space="preserve">, 17(18), 8416. Available at: </w:t>
      </w:r>
      <w:hyperlink r:id="rId25" w:history="1">
        <w:r w:rsidRPr="00A5745F">
          <w:rPr>
            <w:rStyle w:val="Hyperlink"/>
            <w:rFonts w:ascii="Times New Roman" w:hAnsi="Times New Roman" w:cs="Times New Roman"/>
          </w:rPr>
          <w:t>https://doi.org/10.3390/su17188416</w:t>
        </w:r>
      </w:hyperlink>
      <w:r w:rsidRPr="00A5745F">
        <w:rPr>
          <w:rFonts w:ascii="Times New Roman" w:hAnsi="Times New Roman" w:cs="Times New Roman"/>
        </w:rPr>
        <w:t>.</w:t>
      </w:r>
    </w:p>
    <w:p w14:paraId="2E095978" w14:textId="77777777" w:rsidR="00A5745F" w:rsidRPr="00A5745F" w:rsidRDefault="00A5745F" w:rsidP="00A5745F">
      <w:pPr>
        <w:spacing w:line="360" w:lineRule="auto"/>
        <w:jc w:val="both"/>
        <w:rPr>
          <w:rFonts w:ascii="Times New Roman" w:hAnsi="Times New Roman" w:cs="Times New Roman"/>
        </w:rPr>
      </w:pPr>
      <w:proofErr w:type="spellStart"/>
      <w:r w:rsidRPr="00A5745F">
        <w:rPr>
          <w:rFonts w:ascii="Times New Roman" w:hAnsi="Times New Roman" w:cs="Times New Roman"/>
        </w:rPr>
        <w:t>Prebanić</w:t>
      </w:r>
      <w:proofErr w:type="spellEnd"/>
      <w:r w:rsidRPr="00A5745F">
        <w:rPr>
          <w:rFonts w:ascii="Times New Roman" w:hAnsi="Times New Roman" w:cs="Times New Roman"/>
        </w:rPr>
        <w:t xml:space="preserve">, K.R. and </w:t>
      </w:r>
      <w:proofErr w:type="spellStart"/>
      <w:r w:rsidRPr="00A5745F">
        <w:rPr>
          <w:rFonts w:ascii="Times New Roman" w:hAnsi="Times New Roman" w:cs="Times New Roman"/>
        </w:rPr>
        <w:t>Vukomanović</w:t>
      </w:r>
      <w:proofErr w:type="spellEnd"/>
      <w:r w:rsidRPr="00A5745F">
        <w:rPr>
          <w:rFonts w:ascii="Times New Roman" w:hAnsi="Times New Roman" w:cs="Times New Roman"/>
        </w:rPr>
        <w:t xml:space="preserve">, M. (2023) ‘Exploring stakeholder engagement process as the success factor for infrastructure projects’, </w:t>
      </w:r>
      <w:r w:rsidRPr="00A5745F">
        <w:rPr>
          <w:rFonts w:ascii="Times New Roman" w:hAnsi="Times New Roman" w:cs="Times New Roman"/>
          <w:i/>
          <w:iCs/>
        </w:rPr>
        <w:t>Buildings</w:t>
      </w:r>
      <w:r w:rsidRPr="00A5745F">
        <w:rPr>
          <w:rFonts w:ascii="Times New Roman" w:hAnsi="Times New Roman" w:cs="Times New Roman"/>
        </w:rPr>
        <w:t xml:space="preserve">, 13(7), 1785. Available at: </w:t>
      </w:r>
      <w:hyperlink r:id="rId26" w:history="1">
        <w:r w:rsidRPr="00A5745F">
          <w:rPr>
            <w:rStyle w:val="Hyperlink"/>
            <w:rFonts w:ascii="Times New Roman" w:hAnsi="Times New Roman" w:cs="Times New Roman"/>
          </w:rPr>
          <w:t>https://doi.org/10.3390/buildings13071785</w:t>
        </w:r>
      </w:hyperlink>
      <w:r w:rsidRPr="00A5745F">
        <w:rPr>
          <w:rFonts w:ascii="Times New Roman" w:hAnsi="Times New Roman" w:cs="Times New Roman"/>
        </w:rPr>
        <w:t>.</w:t>
      </w:r>
    </w:p>
    <w:p w14:paraId="37BA1CB9"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Sachs, S. and Kujala, J. (</w:t>
      </w:r>
      <w:proofErr w:type="gramStart"/>
      <w:r w:rsidRPr="00A5745F">
        <w:rPr>
          <w:rFonts w:ascii="Times New Roman" w:hAnsi="Times New Roman" w:cs="Times New Roman"/>
        </w:rPr>
        <w:t>2021) ‘</w:t>
      </w:r>
      <w:proofErr w:type="gramEnd"/>
      <w:r w:rsidRPr="00A5745F">
        <w:rPr>
          <w:rFonts w:ascii="Times New Roman" w:hAnsi="Times New Roman" w:cs="Times New Roman"/>
        </w:rPr>
        <w:t xml:space="preserve">Stakeholder engagement in management studies: current and future debates’, </w:t>
      </w:r>
      <w:r w:rsidRPr="00A5745F">
        <w:rPr>
          <w:rFonts w:ascii="Times New Roman" w:hAnsi="Times New Roman" w:cs="Times New Roman"/>
          <w:i/>
          <w:iCs/>
        </w:rPr>
        <w:t>Oxford Research Encyclopedia of Business and Management</w:t>
      </w:r>
      <w:r w:rsidRPr="00A5745F">
        <w:rPr>
          <w:rFonts w:ascii="Times New Roman" w:hAnsi="Times New Roman" w:cs="Times New Roman"/>
        </w:rPr>
        <w:t xml:space="preserve">. Available at: </w:t>
      </w:r>
      <w:hyperlink r:id="rId27" w:history="1">
        <w:r w:rsidRPr="00A5745F">
          <w:rPr>
            <w:rStyle w:val="Hyperlink"/>
            <w:rFonts w:ascii="Times New Roman" w:hAnsi="Times New Roman" w:cs="Times New Roman"/>
          </w:rPr>
          <w:t>https://doi.org/10.1093/acrefore/9780190224851.013.321</w:t>
        </w:r>
      </w:hyperlink>
      <w:r w:rsidRPr="00A5745F">
        <w:rPr>
          <w:rFonts w:ascii="Times New Roman" w:hAnsi="Times New Roman" w:cs="Times New Roman"/>
        </w:rPr>
        <w:t>.</w:t>
      </w:r>
    </w:p>
    <w:p w14:paraId="79ECADA9"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Sun, S. et al. (</w:t>
      </w:r>
      <w:proofErr w:type="gramStart"/>
      <w:r w:rsidRPr="00A5745F">
        <w:rPr>
          <w:rFonts w:ascii="Times New Roman" w:hAnsi="Times New Roman" w:cs="Times New Roman"/>
        </w:rPr>
        <w:t>2022) ‘</w:t>
      </w:r>
      <w:proofErr w:type="gramEnd"/>
      <w:r w:rsidRPr="00A5745F">
        <w:rPr>
          <w:rFonts w:ascii="Times New Roman" w:hAnsi="Times New Roman" w:cs="Times New Roman"/>
        </w:rPr>
        <w:t xml:space="preserve">Evaluating the public participation processes in community regeneration using the EPST model’, </w:t>
      </w:r>
      <w:r w:rsidRPr="00A5745F">
        <w:rPr>
          <w:rFonts w:ascii="Times New Roman" w:hAnsi="Times New Roman" w:cs="Times New Roman"/>
          <w:i/>
          <w:iCs/>
        </w:rPr>
        <w:t>Land</w:t>
      </w:r>
      <w:r w:rsidRPr="00A5745F">
        <w:rPr>
          <w:rFonts w:ascii="Times New Roman" w:hAnsi="Times New Roman" w:cs="Times New Roman"/>
        </w:rPr>
        <w:t xml:space="preserve">, 11(9), 1405. Available at: </w:t>
      </w:r>
      <w:hyperlink r:id="rId28" w:history="1">
        <w:r w:rsidRPr="00A5745F">
          <w:rPr>
            <w:rStyle w:val="Hyperlink"/>
            <w:rFonts w:ascii="Times New Roman" w:hAnsi="Times New Roman" w:cs="Times New Roman"/>
          </w:rPr>
          <w:t>https://doi.org/10.3390/land11091405</w:t>
        </w:r>
      </w:hyperlink>
      <w:r w:rsidRPr="00A5745F">
        <w:rPr>
          <w:rFonts w:ascii="Times New Roman" w:hAnsi="Times New Roman" w:cs="Times New Roman"/>
        </w:rPr>
        <w:t>.</w:t>
      </w:r>
    </w:p>
    <w:p w14:paraId="07CF1F0A"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 xml:space="preserve">UK Government (2023) </w:t>
      </w:r>
      <w:r w:rsidRPr="00A5745F">
        <w:rPr>
          <w:rFonts w:ascii="Times New Roman" w:hAnsi="Times New Roman" w:cs="Times New Roman"/>
          <w:i/>
          <w:iCs/>
        </w:rPr>
        <w:t>Public Sector Equality Duty: guidance for public authorities</w:t>
      </w:r>
      <w:r w:rsidRPr="00A5745F">
        <w:rPr>
          <w:rFonts w:ascii="Times New Roman" w:hAnsi="Times New Roman" w:cs="Times New Roman"/>
        </w:rPr>
        <w:t xml:space="preserve">. Available at: </w:t>
      </w:r>
      <w:hyperlink r:id="rId29" w:history="1">
        <w:r w:rsidRPr="00A5745F">
          <w:rPr>
            <w:rStyle w:val="Hyperlink"/>
            <w:rFonts w:ascii="Times New Roman" w:hAnsi="Times New Roman" w:cs="Times New Roman"/>
          </w:rPr>
          <w:t>https://www.gov.uk/government/publications/public-sector-equality-duty-guidance-for-public-authorities/public-sector-equality-duty-guidance-for-public-authorities</w:t>
        </w:r>
      </w:hyperlink>
      <w:r w:rsidRPr="00A5745F">
        <w:rPr>
          <w:rFonts w:ascii="Times New Roman" w:hAnsi="Times New Roman" w:cs="Times New Roman"/>
        </w:rPr>
        <w:t>.</w:t>
      </w:r>
    </w:p>
    <w:p w14:paraId="2FE672D0"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 xml:space="preserve">Wang, H. et al. (2024) ‘Street-level collaborative governance for urban regeneration’, </w:t>
      </w:r>
      <w:r w:rsidRPr="00A5745F">
        <w:rPr>
          <w:rFonts w:ascii="Times New Roman" w:hAnsi="Times New Roman" w:cs="Times New Roman"/>
          <w:i/>
          <w:iCs/>
        </w:rPr>
        <w:t>Journal of Urban Affairs</w:t>
      </w:r>
      <w:r w:rsidRPr="00A5745F">
        <w:rPr>
          <w:rFonts w:ascii="Times New Roman" w:hAnsi="Times New Roman" w:cs="Times New Roman"/>
        </w:rPr>
        <w:t xml:space="preserve">. Available at: </w:t>
      </w:r>
      <w:hyperlink r:id="rId30" w:history="1">
        <w:r w:rsidRPr="00A5745F">
          <w:rPr>
            <w:rStyle w:val="Hyperlink"/>
            <w:rFonts w:ascii="Times New Roman" w:hAnsi="Times New Roman" w:cs="Times New Roman"/>
          </w:rPr>
          <w:t>https://doi.org/10.1080/07352166.2022.2133725</w:t>
        </w:r>
      </w:hyperlink>
      <w:r w:rsidRPr="00A5745F">
        <w:rPr>
          <w:rFonts w:ascii="Times New Roman" w:hAnsi="Times New Roman" w:cs="Times New Roman"/>
        </w:rPr>
        <w:t>.</w:t>
      </w:r>
    </w:p>
    <w:p w14:paraId="36CF6789" w14:textId="77777777" w:rsidR="00A5745F" w:rsidRPr="00A5745F" w:rsidRDefault="00A5745F" w:rsidP="00A5745F">
      <w:pPr>
        <w:spacing w:line="360" w:lineRule="auto"/>
        <w:jc w:val="both"/>
        <w:rPr>
          <w:rFonts w:ascii="Times New Roman" w:hAnsi="Times New Roman" w:cs="Times New Roman"/>
        </w:rPr>
      </w:pPr>
      <w:r w:rsidRPr="00A5745F">
        <w:rPr>
          <w:rFonts w:ascii="Times New Roman" w:hAnsi="Times New Roman" w:cs="Times New Roman"/>
        </w:rPr>
        <w:t>Xie, F., Liu, G. and Zhuang, T. (</w:t>
      </w:r>
      <w:proofErr w:type="gramStart"/>
      <w:r w:rsidRPr="00A5745F">
        <w:rPr>
          <w:rFonts w:ascii="Times New Roman" w:hAnsi="Times New Roman" w:cs="Times New Roman"/>
        </w:rPr>
        <w:t>2021) ‘</w:t>
      </w:r>
      <w:proofErr w:type="gramEnd"/>
      <w:r w:rsidRPr="00A5745F">
        <w:rPr>
          <w:rFonts w:ascii="Times New Roman" w:hAnsi="Times New Roman" w:cs="Times New Roman"/>
        </w:rPr>
        <w:t xml:space="preserve">A comprehensive review of urban regeneration governance for developing appropriate governance arrangements’, </w:t>
      </w:r>
      <w:r w:rsidRPr="00A5745F">
        <w:rPr>
          <w:rFonts w:ascii="Times New Roman" w:hAnsi="Times New Roman" w:cs="Times New Roman"/>
          <w:i/>
          <w:iCs/>
        </w:rPr>
        <w:t>Land</w:t>
      </w:r>
      <w:r w:rsidRPr="00A5745F">
        <w:rPr>
          <w:rFonts w:ascii="Times New Roman" w:hAnsi="Times New Roman" w:cs="Times New Roman"/>
        </w:rPr>
        <w:t xml:space="preserve">, 10(5), 545. Available at: </w:t>
      </w:r>
      <w:hyperlink r:id="rId31" w:history="1">
        <w:r w:rsidRPr="00A5745F">
          <w:rPr>
            <w:rStyle w:val="Hyperlink"/>
            <w:rFonts w:ascii="Times New Roman" w:hAnsi="Times New Roman" w:cs="Times New Roman"/>
          </w:rPr>
          <w:t>https://doi.org/10.3390/land10050545</w:t>
        </w:r>
      </w:hyperlink>
      <w:r w:rsidRPr="00A5745F">
        <w:rPr>
          <w:rFonts w:ascii="Times New Roman" w:hAnsi="Times New Roman" w:cs="Times New Roman"/>
        </w:rPr>
        <w:t>.</w:t>
      </w:r>
    </w:p>
    <w:p w14:paraId="35BEC5D8" w14:textId="77777777" w:rsidR="0024515D" w:rsidRPr="00FE5A08" w:rsidRDefault="0024515D" w:rsidP="0024515D">
      <w:pPr>
        <w:spacing w:line="360" w:lineRule="auto"/>
        <w:jc w:val="both"/>
        <w:rPr>
          <w:rFonts w:ascii="Times New Roman" w:hAnsi="Times New Roman" w:cs="Times New Roman"/>
        </w:rPr>
      </w:pPr>
    </w:p>
    <w:p w14:paraId="1AFB019D" w14:textId="77777777" w:rsidR="00953BF8" w:rsidRPr="00FE5A08" w:rsidRDefault="00953BF8" w:rsidP="00FE5A08">
      <w:pPr>
        <w:spacing w:line="360" w:lineRule="auto"/>
        <w:jc w:val="both"/>
        <w:rPr>
          <w:rFonts w:ascii="Times New Roman" w:hAnsi="Times New Roman" w:cs="Times New Roman"/>
        </w:rPr>
      </w:pPr>
    </w:p>
    <w:sectPr w:rsidR="00953BF8" w:rsidRPr="00FE5A08" w:rsidSect="0024515D">
      <w:footerReference w:type="default" r:id="rId32"/>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89A1BD" w14:textId="77777777" w:rsidR="004421F0" w:rsidRDefault="004421F0" w:rsidP="0024515D">
      <w:pPr>
        <w:spacing w:after="0" w:line="240" w:lineRule="auto"/>
      </w:pPr>
      <w:r>
        <w:separator/>
      </w:r>
    </w:p>
  </w:endnote>
  <w:endnote w:type="continuationSeparator" w:id="0">
    <w:p w14:paraId="103BF42D" w14:textId="77777777" w:rsidR="004421F0" w:rsidRDefault="004421F0" w:rsidP="00245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7492800"/>
      <w:docPartObj>
        <w:docPartGallery w:val="Page Numbers (Bottom of Page)"/>
        <w:docPartUnique/>
      </w:docPartObj>
    </w:sdtPr>
    <w:sdtEndPr>
      <w:rPr>
        <w:noProof/>
      </w:rPr>
    </w:sdtEndPr>
    <w:sdtContent>
      <w:p w14:paraId="72968D55" w14:textId="77777777" w:rsidR="0024515D" w:rsidRDefault="002451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B8D9B0" w14:textId="77777777" w:rsidR="0024515D" w:rsidRDefault="002451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C015B" w14:textId="77777777" w:rsidR="004421F0" w:rsidRDefault="004421F0" w:rsidP="0024515D">
      <w:pPr>
        <w:spacing w:after="0" w:line="240" w:lineRule="auto"/>
      </w:pPr>
      <w:r>
        <w:separator/>
      </w:r>
    </w:p>
  </w:footnote>
  <w:footnote w:type="continuationSeparator" w:id="0">
    <w:p w14:paraId="046F2579" w14:textId="77777777" w:rsidR="004421F0" w:rsidRDefault="004421F0" w:rsidP="002451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A08"/>
    <w:rsid w:val="001D4890"/>
    <w:rsid w:val="0024515D"/>
    <w:rsid w:val="00273C88"/>
    <w:rsid w:val="004421F0"/>
    <w:rsid w:val="00461044"/>
    <w:rsid w:val="004B6A6D"/>
    <w:rsid w:val="005D7F16"/>
    <w:rsid w:val="005F736E"/>
    <w:rsid w:val="0061063C"/>
    <w:rsid w:val="00636E27"/>
    <w:rsid w:val="006832C3"/>
    <w:rsid w:val="006B3F4D"/>
    <w:rsid w:val="007752C3"/>
    <w:rsid w:val="007F5B23"/>
    <w:rsid w:val="00953BF8"/>
    <w:rsid w:val="009D5484"/>
    <w:rsid w:val="00A5745F"/>
    <w:rsid w:val="00AA238D"/>
    <w:rsid w:val="00B11AAA"/>
    <w:rsid w:val="00CD395C"/>
    <w:rsid w:val="00DE687F"/>
    <w:rsid w:val="00DF13B4"/>
    <w:rsid w:val="00E25306"/>
    <w:rsid w:val="00F138A6"/>
    <w:rsid w:val="00FE5A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86CDC"/>
  <w15:chartTrackingRefBased/>
  <w15:docId w15:val="{DC09BD1F-200B-4F2F-A93D-C1C73DAAC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A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5A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5A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5A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5A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5A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5A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5A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5A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A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5A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5A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5A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5A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5A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5A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5A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5A08"/>
    <w:rPr>
      <w:rFonts w:eastAsiaTheme="majorEastAsia" w:cstheme="majorBidi"/>
      <w:color w:val="272727" w:themeColor="text1" w:themeTint="D8"/>
    </w:rPr>
  </w:style>
  <w:style w:type="paragraph" w:styleId="Title">
    <w:name w:val="Title"/>
    <w:basedOn w:val="Normal"/>
    <w:next w:val="Normal"/>
    <w:link w:val="TitleChar"/>
    <w:uiPriority w:val="10"/>
    <w:qFormat/>
    <w:rsid w:val="00FE5A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A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5A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5A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5A08"/>
    <w:pPr>
      <w:spacing w:before="160"/>
      <w:jc w:val="center"/>
    </w:pPr>
    <w:rPr>
      <w:i/>
      <w:iCs/>
      <w:color w:val="404040" w:themeColor="text1" w:themeTint="BF"/>
    </w:rPr>
  </w:style>
  <w:style w:type="character" w:customStyle="1" w:styleId="QuoteChar">
    <w:name w:val="Quote Char"/>
    <w:basedOn w:val="DefaultParagraphFont"/>
    <w:link w:val="Quote"/>
    <w:uiPriority w:val="29"/>
    <w:rsid w:val="00FE5A08"/>
    <w:rPr>
      <w:i/>
      <w:iCs/>
      <w:color w:val="404040" w:themeColor="text1" w:themeTint="BF"/>
    </w:rPr>
  </w:style>
  <w:style w:type="paragraph" w:styleId="ListParagraph">
    <w:name w:val="List Paragraph"/>
    <w:basedOn w:val="Normal"/>
    <w:uiPriority w:val="34"/>
    <w:qFormat/>
    <w:rsid w:val="00FE5A08"/>
    <w:pPr>
      <w:ind w:left="720"/>
      <w:contextualSpacing/>
    </w:pPr>
  </w:style>
  <w:style w:type="character" w:styleId="IntenseEmphasis">
    <w:name w:val="Intense Emphasis"/>
    <w:basedOn w:val="DefaultParagraphFont"/>
    <w:uiPriority w:val="21"/>
    <w:qFormat/>
    <w:rsid w:val="00FE5A08"/>
    <w:rPr>
      <w:i/>
      <w:iCs/>
      <w:color w:val="0F4761" w:themeColor="accent1" w:themeShade="BF"/>
    </w:rPr>
  </w:style>
  <w:style w:type="paragraph" w:styleId="IntenseQuote">
    <w:name w:val="Intense Quote"/>
    <w:basedOn w:val="Normal"/>
    <w:next w:val="Normal"/>
    <w:link w:val="IntenseQuoteChar"/>
    <w:uiPriority w:val="30"/>
    <w:qFormat/>
    <w:rsid w:val="00FE5A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5A08"/>
    <w:rPr>
      <w:i/>
      <w:iCs/>
      <w:color w:val="0F4761" w:themeColor="accent1" w:themeShade="BF"/>
    </w:rPr>
  </w:style>
  <w:style w:type="character" w:styleId="IntenseReference">
    <w:name w:val="Intense Reference"/>
    <w:basedOn w:val="DefaultParagraphFont"/>
    <w:uiPriority w:val="32"/>
    <w:qFormat/>
    <w:rsid w:val="00FE5A08"/>
    <w:rPr>
      <w:b/>
      <w:bCs/>
      <w:smallCaps/>
      <w:color w:val="0F4761" w:themeColor="accent1" w:themeShade="BF"/>
      <w:spacing w:val="5"/>
    </w:rPr>
  </w:style>
  <w:style w:type="character" w:styleId="Hyperlink">
    <w:name w:val="Hyperlink"/>
    <w:basedOn w:val="DefaultParagraphFont"/>
    <w:uiPriority w:val="99"/>
    <w:unhideWhenUsed/>
    <w:rsid w:val="00FE5A08"/>
    <w:rPr>
      <w:color w:val="467886" w:themeColor="hyperlink"/>
      <w:u w:val="single"/>
    </w:rPr>
  </w:style>
  <w:style w:type="character" w:styleId="UnresolvedMention">
    <w:name w:val="Unresolved Mention"/>
    <w:basedOn w:val="DefaultParagraphFont"/>
    <w:uiPriority w:val="99"/>
    <w:semiHidden/>
    <w:unhideWhenUsed/>
    <w:rsid w:val="00FE5A08"/>
    <w:rPr>
      <w:color w:val="605E5C"/>
      <w:shd w:val="clear" w:color="auto" w:fill="E1DFDD"/>
    </w:rPr>
  </w:style>
  <w:style w:type="paragraph" w:styleId="Caption">
    <w:name w:val="caption"/>
    <w:basedOn w:val="Normal"/>
    <w:next w:val="Normal"/>
    <w:uiPriority w:val="35"/>
    <w:unhideWhenUsed/>
    <w:qFormat/>
    <w:rsid w:val="005F736E"/>
    <w:pPr>
      <w:spacing w:after="200" w:line="240" w:lineRule="auto"/>
    </w:pPr>
    <w:rPr>
      <w:i/>
      <w:iCs/>
      <w:color w:val="0E2841" w:themeColor="text2"/>
      <w:sz w:val="18"/>
      <w:szCs w:val="18"/>
    </w:rPr>
  </w:style>
  <w:style w:type="table" w:styleId="GridTable4-Accent4">
    <w:name w:val="Grid Table 4 Accent 4"/>
    <w:basedOn w:val="TableNormal"/>
    <w:uiPriority w:val="49"/>
    <w:rsid w:val="005F736E"/>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Header">
    <w:name w:val="header"/>
    <w:basedOn w:val="Normal"/>
    <w:link w:val="HeaderChar"/>
    <w:uiPriority w:val="99"/>
    <w:unhideWhenUsed/>
    <w:rsid w:val="002451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515D"/>
  </w:style>
  <w:style w:type="paragraph" w:styleId="Footer">
    <w:name w:val="footer"/>
    <w:basedOn w:val="Normal"/>
    <w:link w:val="FooterChar"/>
    <w:uiPriority w:val="99"/>
    <w:unhideWhenUsed/>
    <w:rsid w:val="002451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515D"/>
  </w:style>
  <w:style w:type="character" w:styleId="FollowedHyperlink">
    <w:name w:val="FollowedHyperlink"/>
    <w:basedOn w:val="DefaultParagraphFont"/>
    <w:uiPriority w:val="99"/>
    <w:semiHidden/>
    <w:unhideWhenUsed/>
    <w:rsid w:val="00A5745F"/>
    <w:rPr>
      <w:color w:val="96607D" w:themeColor="followedHyperlink"/>
      <w:u w:val="single"/>
    </w:rPr>
  </w:style>
  <w:style w:type="paragraph" w:styleId="TOCHeading">
    <w:name w:val="TOC Heading"/>
    <w:basedOn w:val="Heading1"/>
    <w:next w:val="Normal"/>
    <w:uiPriority w:val="39"/>
    <w:unhideWhenUsed/>
    <w:qFormat/>
    <w:rsid w:val="00A5745F"/>
    <w:pPr>
      <w:spacing w:before="240" w:after="0" w:line="259" w:lineRule="auto"/>
      <w:outlineLvl w:val="9"/>
    </w:pPr>
    <w:rPr>
      <w:kern w:val="0"/>
      <w:sz w:val="32"/>
      <w:szCs w:val="32"/>
      <w:lang w:eastAsia="en-US"/>
      <w14:ligatures w14:val="none"/>
    </w:rPr>
  </w:style>
  <w:style w:type="paragraph" w:styleId="TOC1">
    <w:name w:val="toc 1"/>
    <w:basedOn w:val="Normal"/>
    <w:next w:val="Normal"/>
    <w:autoRedefine/>
    <w:uiPriority w:val="39"/>
    <w:unhideWhenUsed/>
    <w:rsid w:val="00A5745F"/>
    <w:pPr>
      <w:spacing w:after="100"/>
    </w:pPr>
  </w:style>
  <w:style w:type="paragraph" w:styleId="TOC2">
    <w:name w:val="toc 2"/>
    <w:basedOn w:val="Normal"/>
    <w:next w:val="Normal"/>
    <w:autoRedefine/>
    <w:uiPriority w:val="39"/>
    <w:unhideWhenUsed/>
    <w:rsid w:val="00A5745F"/>
    <w:pPr>
      <w:spacing w:after="100"/>
      <w:ind w:left="240"/>
    </w:pPr>
  </w:style>
  <w:style w:type="paragraph" w:styleId="TableofFigures">
    <w:name w:val="table of figures"/>
    <w:basedOn w:val="Normal"/>
    <w:next w:val="Normal"/>
    <w:uiPriority w:val="99"/>
    <w:unhideWhenUsed/>
    <w:rsid w:val="00A5745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irmingham.gov.uk/news/article/1556/regeneration_of_the_ladywood_estate_moves_into_next_phase" TargetMode="External"/><Relationship Id="rId18" Type="http://schemas.openxmlformats.org/officeDocument/2006/relationships/hyperlink" Target="https://ico.org.uk/for-organisations/uk-gdpr-guidance-and-resources/data-protection-principles/a-guide-to-the-data-protection-principles/" TargetMode="External"/><Relationship Id="rId26" Type="http://schemas.openxmlformats.org/officeDocument/2006/relationships/hyperlink" Target="https://doi.org/10.3390/buildings13071785" TargetMode="External"/><Relationship Id="rId3" Type="http://schemas.openxmlformats.org/officeDocument/2006/relationships/settings" Target="settings.xml"/><Relationship Id="rId21" Type="http://schemas.openxmlformats.org/officeDocument/2006/relationships/hyperlink" Target="https://doi.org/10.3389/frsc.2023.1115648"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birmingham.gov.uk/info/50273/our_future_city_plan_ofcp/2756/ladywood_estate_regeneration_scheme" TargetMode="External"/><Relationship Id="rId17" Type="http://schemas.openxmlformats.org/officeDocument/2006/relationships/hyperlink" Target="https://ico.org.uk/for-organisations/uk-gdpr-guidance-and-resources/lawful-basis/special-category-data/" TargetMode="External"/><Relationship Id="rId25" Type="http://schemas.openxmlformats.org/officeDocument/2006/relationships/hyperlink" Target="https://doi.org/10.3390/su17188416"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3390/buildings14040881" TargetMode="External"/><Relationship Id="rId20" Type="http://schemas.openxmlformats.org/officeDocument/2006/relationships/hyperlink" Target="https://doi.org/10.1177/00076503211066595" TargetMode="External"/><Relationship Id="rId29" Type="http://schemas.openxmlformats.org/officeDocument/2006/relationships/hyperlink" Target="https://www.gov.uk/government/publications/public-sector-equality-duty-guidance-for-public-authorities/public-sector-equality-duty-guidance-for-public-authoriti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su15064896" TargetMode="External"/><Relationship Id="rId24" Type="http://schemas.openxmlformats.org/officeDocument/2006/relationships/hyperlink" Target="https://www.ons.gov.uk/visualisations/censusareachanges/E08000025"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publications/homes-england-advice-notes-advice-note-1/advice-note-1-establishing-a-clear-starting-point-for-community-engagement-html" TargetMode="External"/><Relationship Id="rId23" Type="http://schemas.openxmlformats.org/officeDocument/2006/relationships/hyperlink" Target="https://www.gov.uk/government/publications/national-planning-policy-framework--2" TargetMode="External"/><Relationship Id="rId28" Type="http://schemas.openxmlformats.org/officeDocument/2006/relationships/hyperlink" Target="https://doi.org/10.3390/land11091405" TargetMode="External"/><Relationship Id="rId10" Type="http://schemas.openxmlformats.org/officeDocument/2006/relationships/hyperlink" Target="https://doi.org/10.1007/s44243-024-00052-z" TargetMode="External"/><Relationship Id="rId19" Type="http://schemas.openxmlformats.org/officeDocument/2006/relationships/hyperlink" Target="https://doi.org/10.1016/j.cities.2024.105008" TargetMode="External"/><Relationship Id="rId31" Type="http://schemas.openxmlformats.org/officeDocument/2006/relationships/hyperlink" Target="https://doi.org/10.3390/land10050545" TargetMode="External"/><Relationship Id="rId4" Type="http://schemas.openxmlformats.org/officeDocument/2006/relationships/webSettings" Target="webSettings.xml"/><Relationship Id="rId9" Type="http://schemas.openxmlformats.org/officeDocument/2006/relationships/hyperlink" Target="https://doi.org/10.3390/su15076053" TargetMode="External"/><Relationship Id="rId14" Type="http://schemas.openxmlformats.org/officeDocument/2006/relationships/hyperlink" Target="https://doi.org/10.1136/bmjopen-2023-078396" TargetMode="External"/><Relationship Id="rId22" Type="http://schemas.openxmlformats.org/officeDocument/2006/relationships/hyperlink" Target="https://doi.org/10.3390/su151411289" TargetMode="External"/><Relationship Id="rId27" Type="http://schemas.openxmlformats.org/officeDocument/2006/relationships/hyperlink" Target="https://doi.org/10.1093/acrefore/9780190224851.013.321" TargetMode="External"/><Relationship Id="rId30" Type="http://schemas.openxmlformats.org/officeDocument/2006/relationships/hyperlink" Target="https://doi.org/10.1080/07352166.2022.21337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77C83A-5588-434D-BFF2-9BB15B117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4602</Words>
  <Characters>26237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Adam  Khan</cp:lastModifiedBy>
  <cp:revision>2</cp:revision>
  <dcterms:created xsi:type="dcterms:W3CDTF">2026-08-21T12:52:00Z</dcterms:created>
  <dcterms:modified xsi:type="dcterms:W3CDTF">2026-08-21T12:52:00Z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ee7f8e99-8856-4b0b-a136-eb9378d3040f</vt:lpwstr>
  </property>
</Properties>
</file>