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rPr>
          <w:b/>
          <w:bCs/>
          <w:sz w:val="52"/>
          <w:szCs w:val="48"/>
        </w:rPr>
      </w:pPr>
    </w:p>
    <w:p>
      <w:pPr>
        <w:spacing w:before="240"/>
        <w:jc w:val="center"/>
        <w:rPr>
          <w:sz w:val="48"/>
          <w:szCs w:val="48"/>
        </w:rPr>
      </w:pPr>
      <w:r>
        <w:drawing>
          <wp:inline distT="0" distB="0" distL="0" distR="0">
            <wp:extent cx="2638425" cy="1219200"/>
            <wp:effectExtent l="0" t="0" r="9525" b="0"/>
            <wp:docPr id="1906228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228188" name="Picture 1"/>
                    <pic:cNvPicPr>
                      <a:picLocks noChangeAspect="1"/>
                    </pic:cNvPicPr>
                  </pic:nvPicPr>
                  <pic:blipFill>
                    <a:blip r:embed="rId7"/>
                    <a:stretch>
                      <a:fillRect/>
                    </a:stretch>
                  </pic:blipFill>
                  <pic:spPr>
                    <a:xfrm>
                      <a:off x="0" y="0"/>
                      <a:ext cx="2638425" cy="1219200"/>
                    </a:xfrm>
                    <a:prstGeom prst="rect">
                      <a:avLst/>
                    </a:prstGeom>
                  </pic:spPr>
                </pic:pic>
              </a:graphicData>
            </a:graphic>
          </wp:inline>
        </w:drawing>
      </w:r>
    </w:p>
    <w:p>
      <w:pPr>
        <w:spacing w:before="240"/>
        <w:jc w:val="center"/>
        <w:rPr>
          <w:sz w:val="48"/>
          <w:szCs w:val="48"/>
        </w:rPr>
      </w:pPr>
    </w:p>
    <w:p>
      <w:pPr>
        <w:spacing w:before="240"/>
        <w:jc w:val="center"/>
        <w:rPr>
          <w:sz w:val="48"/>
          <w:szCs w:val="48"/>
        </w:rPr>
      </w:pPr>
      <w:r>
        <w:rPr>
          <w:sz w:val="48"/>
          <w:szCs w:val="48"/>
        </w:rPr>
        <w:t>BMIH5007 Financial Management for the Hotel Industry</w:t>
      </w:r>
    </w:p>
    <w:p>
      <w:pPr>
        <w:spacing w:before="240"/>
        <w:jc w:val="center"/>
        <w:rPr>
          <w:sz w:val="40"/>
          <w:szCs w:val="40"/>
        </w:rPr>
      </w:pPr>
      <w:r>
        <w:rPr>
          <w:sz w:val="40"/>
          <w:szCs w:val="40"/>
        </w:rPr>
        <w:t>Report Case Study: The</w:t>
      </w:r>
      <w:r>
        <w:rPr>
          <w:rFonts w:hint="default"/>
          <w:sz w:val="40"/>
          <w:szCs w:val="40"/>
          <w:lang w:val="en-GB"/>
        </w:rPr>
        <w:t xml:space="preserve"> </w:t>
      </w:r>
      <w:r>
        <w:rPr>
          <w:sz w:val="40"/>
          <w:szCs w:val="40"/>
        </w:rPr>
        <w:t>Seaview Resort</w:t>
      </w:r>
    </w:p>
    <w:p>
      <w:pPr>
        <w:spacing w:before="240"/>
        <w:jc w:val="center"/>
        <w:rPr>
          <w:rFonts w:hint="default"/>
          <w:sz w:val="40"/>
          <w:szCs w:val="40"/>
        </w:rPr>
      </w:pPr>
      <w:bookmarkStart w:id="9" w:name="_GoBack"/>
      <w:bookmarkEnd w:id="9"/>
    </w:p>
    <w:p>
      <w:pPr>
        <w:spacing w:before="240"/>
        <w:ind w:firstLine="2200" w:firstLineChars="500"/>
        <w:jc w:val="both"/>
        <w:rPr>
          <w:rFonts w:hint="default" w:ascii="Tahoma" w:hAnsi="Tahoma" w:cs="Tahoma"/>
          <w:sz w:val="32"/>
          <w:szCs w:val="32"/>
          <w:lang w:val="en-GB"/>
        </w:rPr>
      </w:pPr>
      <w:r>
        <w:rPr>
          <w:rFonts w:hint="default" w:ascii="Tahoma" w:hAnsi="Tahoma" w:cs="Tahoma"/>
          <w:sz w:val="44"/>
          <w:szCs w:val="44"/>
          <w:lang w:val="en-GB"/>
        </w:rPr>
        <w:t xml:space="preserve"> </w:t>
      </w:r>
      <w:r>
        <w:rPr>
          <w:rFonts w:hint="default" w:ascii="Tahoma" w:hAnsi="Tahoma" w:cs="Tahoma"/>
          <w:sz w:val="32"/>
          <w:szCs w:val="32"/>
          <w:lang w:val="en-GB"/>
        </w:rPr>
        <w:t xml:space="preserve">Name: Md Muhibur Rahman  </w:t>
      </w:r>
    </w:p>
    <w:p>
      <w:pPr>
        <w:keepNext w:val="0"/>
        <w:keepLines w:val="0"/>
        <w:widowControl/>
        <w:suppressLineNumbers w:val="0"/>
        <w:suppressAutoHyphens/>
        <w:autoSpaceDE/>
        <w:autoSpaceDN w:val="0"/>
        <w:spacing w:before="240" w:beforeAutospacing="0" w:after="160" w:afterAutospacing="0" w:line="360" w:lineRule="auto"/>
        <w:ind w:left="0" w:right="0" w:firstLine="2400" w:firstLineChars="750"/>
        <w:jc w:val="both"/>
        <w:rPr>
          <w:rFonts w:hint="default" w:ascii="Tahoma" w:hAnsi="Tahoma" w:cs="Tahoma"/>
          <w:kern w:val="0"/>
          <w:sz w:val="32"/>
          <w:szCs w:val="32"/>
          <w:lang w:val="en-US" w:eastAsia="en-US"/>
        </w:rPr>
      </w:pPr>
      <w:r>
        <w:rPr>
          <w:rFonts w:hint="default" w:ascii="Tahoma" w:hAnsi="Tahoma" w:eastAsia="Calibri" w:cs="Tahoma"/>
          <w:kern w:val="0"/>
          <w:sz w:val="32"/>
          <w:szCs w:val="32"/>
          <w:lang w:val="en-US" w:eastAsia="en-US" w:bidi="ar"/>
          <w14:ligatures w14:val="standardContextual"/>
        </w:rPr>
        <w:t>Student Number: 2127738</w:t>
      </w:r>
    </w:p>
    <w:p>
      <w:pPr>
        <w:keepNext w:val="0"/>
        <w:keepLines w:val="0"/>
        <w:widowControl/>
        <w:suppressLineNumbers w:val="0"/>
        <w:suppressAutoHyphens/>
        <w:autoSpaceDE/>
        <w:autoSpaceDN w:val="0"/>
        <w:spacing w:before="240" w:beforeAutospacing="0" w:after="160" w:afterAutospacing="0" w:line="360" w:lineRule="auto"/>
        <w:ind w:right="0" w:firstLine="2400" w:firstLineChars="750"/>
        <w:jc w:val="both"/>
        <w:rPr>
          <w:rFonts w:hint="default" w:ascii="Tahoma" w:hAnsi="Tahoma" w:cs="Tahoma"/>
          <w:kern w:val="0"/>
          <w:sz w:val="32"/>
          <w:szCs w:val="32"/>
          <w:lang w:val="en-US" w:eastAsia="en-US"/>
        </w:rPr>
      </w:pPr>
      <w:r>
        <w:rPr>
          <w:rFonts w:hint="default" w:ascii="Tahoma" w:hAnsi="Tahoma" w:eastAsia="Calibri" w:cs="Tahoma"/>
          <w:kern w:val="0"/>
          <w:sz w:val="32"/>
          <w:szCs w:val="32"/>
          <w:lang w:val="en-US" w:eastAsia="en-US" w:bidi="ar"/>
          <w14:ligatures w14:val="standardContextual"/>
        </w:rPr>
        <w:t>Moodle: BMIH5007</w:t>
      </w:r>
    </w:p>
    <w:p>
      <w:pPr>
        <w:spacing w:before="240"/>
        <w:jc w:val="center"/>
        <w:rPr>
          <w:b/>
          <w:bCs/>
          <w:sz w:val="52"/>
          <w:szCs w:val="48"/>
        </w:rPr>
      </w:pPr>
      <w:r>
        <w:rPr>
          <w:rFonts w:hint="default" w:ascii="Tahoma" w:hAnsi="Tahoma" w:eastAsia="Calibri" w:cs="Tahoma"/>
          <w:kern w:val="0"/>
          <w:sz w:val="32"/>
          <w:szCs w:val="32"/>
          <w:lang w:val="en-GB" w:eastAsia="en-US" w:bidi="ar"/>
          <w14:ligatures w14:val="standardContextual"/>
        </w:rPr>
        <w:t xml:space="preserve">    </w:t>
      </w:r>
      <w:r>
        <w:rPr>
          <w:rFonts w:hint="default" w:ascii="Tahoma" w:hAnsi="Tahoma" w:eastAsia="Calibri" w:cs="Tahoma"/>
          <w:kern w:val="0"/>
          <w:sz w:val="32"/>
          <w:szCs w:val="32"/>
          <w:lang w:val="en-US" w:eastAsia="en-US" w:bidi="ar"/>
          <w14:ligatures w14:val="standardContextual"/>
        </w:rPr>
        <w:t>Techer Name: Tristan Hawkins</w:t>
      </w:r>
      <w:r>
        <w:rPr>
          <w:b/>
          <w:bCs/>
          <w:sz w:val="52"/>
          <w:szCs w:val="48"/>
        </w:rPr>
        <w:br w:type="page"/>
      </w:r>
    </w:p>
    <w:sdt>
      <w:sdtPr>
        <w:rPr>
          <w:rFonts w:ascii="Times New Roman" w:hAnsi="Times New Roman" w:eastAsiaTheme="minorHAnsi" w:cstheme="minorBidi"/>
          <w:color w:val="auto"/>
          <w:sz w:val="24"/>
          <w:szCs w:val="22"/>
          <w:lang w:eastAsia="en-US"/>
          <w14:ligatures w14:val="standardContextual"/>
        </w:rPr>
        <w:id w:val="-702016010"/>
        <w:docPartObj>
          <w:docPartGallery w:val="Table of Contents"/>
          <w:docPartUnique/>
        </w:docPartObj>
      </w:sdtPr>
      <w:sdtEndPr>
        <w:rPr>
          <w:rFonts w:ascii="Times New Roman" w:hAnsi="Times New Roman" w:eastAsiaTheme="minorHAnsi" w:cstheme="minorBidi"/>
          <w:b/>
          <w:bCs/>
          <w:color w:val="auto"/>
          <w:sz w:val="24"/>
          <w:szCs w:val="22"/>
          <w:lang w:eastAsia="en-US"/>
          <w14:ligatures w14:val="standardContextual"/>
        </w:rPr>
      </w:sdtEndPr>
      <w:sdtContent>
        <w:p>
          <w:pPr>
            <w:pStyle w:val="19"/>
            <w:spacing w:line="360" w:lineRule="auto"/>
            <w:rPr>
              <w:rStyle w:val="14"/>
            </w:rPr>
          </w:pPr>
          <w:r>
            <w:rPr>
              <w:rStyle w:val="14"/>
            </w:rPr>
            <w:t>Contents</w:t>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TOC \o "1-3" \h \z \u </w:instrText>
          </w:r>
          <w:r>
            <w:fldChar w:fldCharType="separate"/>
          </w:r>
          <w:r>
            <w:fldChar w:fldCharType="begin"/>
          </w:r>
          <w:r>
            <w:instrText xml:space="preserve"> HYPERLINK \l "_Toc147077595" </w:instrText>
          </w:r>
          <w:r>
            <w:fldChar w:fldCharType="separate"/>
          </w:r>
          <w:r>
            <w:rPr>
              <w:rStyle w:val="11"/>
            </w:rPr>
            <w:t>Introduction</w:t>
          </w:r>
          <w:r>
            <w:tab/>
          </w:r>
          <w:r>
            <w:fldChar w:fldCharType="begin"/>
          </w:r>
          <w:r>
            <w:instrText xml:space="preserve"> PAGEREF _Toc147077595 \h </w:instrText>
          </w:r>
          <w:r>
            <w:fldChar w:fldCharType="separate"/>
          </w:r>
          <w:r>
            <w:t>3</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"_Toc147077596" </w:instrText>
          </w:r>
          <w:r>
            <w:fldChar w:fldCharType="separate"/>
          </w:r>
          <w:r>
            <w:rPr>
              <w:rStyle w:val="11"/>
            </w:rPr>
            <w:t>Market Analysis</w:t>
          </w:r>
          <w:r>
            <w:tab/>
          </w:r>
          <w:r>
            <w:fldChar w:fldCharType="begin"/>
          </w:r>
          <w:r>
            <w:instrText xml:space="preserve"> PAGEREF _Toc147077596 \h </w:instrText>
          </w:r>
          <w:r>
            <w:fldChar w:fldCharType="separate"/>
          </w:r>
          <w:r>
            <w:t>4</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"_Toc147077597" </w:instrText>
          </w:r>
          <w:r>
            <w:fldChar w:fldCharType="separate"/>
          </w:r>
          <w:r>
            <w:rPr>
              <w:rStyle w:val="11"/>
            </w:rPr>
            <w:t>Scope and Objectives</w:t>
          </w:r>
          <w:r>
            <w:tab/>
          </w:r>
          <w:r>
            <w:fldChar w:fldCharType="begin"/>
          </w:r>
          <w:r>
            <w:instrText xml:space="preserve"> PAGEREF _Toc147077597 \h </w:instrText>
          </w:r>
          <w:r>
            <w:fldChar w:fldCharType="separate"/>
          </w:r>
          <w:r>
            <w:t>5</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"_Toc147077598" </w:instrText>
          </w:r>
          <w:r>
            <w:fldChar w:fldCharType="separate"/>
          </w:r>
          <w:r>
            <w:rPr>
              <w:rStyle w:val="11"/>
            </w:rPr>
            <w:t>Income Statement Analysis (2020-2022)</w:t>
          </w:r>
          <w:r>
            <w:tab/>
          </w:r>
          <w:r>
            <w:fldChar w:fldCharType="begin"/>
          </w:r>
          <w:r>
            <w:instrText xml:space="preserve"> PAGEREF _Toc147077598 \h </w:instrText>
          </w:r>
          <w:r>
            <w:fldChar w:fldCharType="separate"/>
          </w:r>
          <w:r>
            <w:t>9</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"_Toc147077599" </w:instrText>
          </w:r>
          <w:r>
            <w:fldChar w:fldCharType="separate"/>
          </w:r>
          <w:r>
            <w:rPr>
              <w:rStyle w:val="11"/>
            </w:rPr>
            <w:t>Balance Sheet Analysis (End of 2022)</w:t>
          </w:r>
          <w:r>
            <w:tab/>
          </w:r>
          <w:r>
            <w:fldChar w:fldCharType="begin"/>
          </w:r>
          <w:r>
            <w:instrText xml:space="preserve"> PAGEREF _Toc147077599 \h </w:instrText>
          </w:r>
          <w:r>
            <w:fldChar w:fldCharType="separate"/>
          </w:r>
          <w:r>
            <w:t>10</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"_Toc147077600" </w:instrText>
          </w:r>
          <w:r>
            <w:fldChar w:fldCharType="separate"/>
          </w:r>
          <w:r>
            <w:rPr>
              <w:rStyle w:val="11"/>
            </w:rPr>
            <w:t>Cash Flow Analysis (2021)</w:t>
          </w:r>
          <w:r>
            <w:tab/>
          </w:r>
          <w:r>
            <w:fldChar w:fldCharType="begin"/>
          </w:r>
          <w:r>
            <w:instrText xml:space="preserve"> PAGEREF _Toc147077600 \h </w:instrText>
          </w:r>
          <w:r>
            <w:fldChar w:fldCharType="separate"/>
          </w:r>
          <w:r>
            <w:t>11</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"_Toc147077601" </w:instrText>
          </w:r>
          <w:r>
            <w:fldChar w:fldCharType="separate"/>
          </w:r>
          <w:r>
            <w:rPr>
              <w:rStyle w:val="11"/>
            </w:rPr>
            <w:t>Recommendations:</w:t>
          </w:r>
          <w:r>
            <w:tab/>
          </w:r>
          <w:r>
            <w:fldChar w:fldCharType="begin"/>
          </w:r>
          <w:r>
            <w:instrText xml:space="preserve"> PAGEREF _Toc147077601 \h </w:instrText>
          </w:r>
          <w:r>
            <w:fldChar w:fldCharType="separate"/>
          </w:r>
          <w:r>
            <w:t>11</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"_Toc147077602" </w:instrText>
          </w:r>
          <w:r>
            <w:fldChar w:fldCharType="separate"/>
          </w:r>
          <w:r>
            <w:rPr>
              <w:rStyle w:val="11"/>
            </w:rPr>
            <w:t>Conclusion</w:t>
          </w:r>
          <w:r>
            <w:tab/>
          </w:r>
          <w:r>
            <w:fldChar w:fldCharType="begin"/>
          </w:r>
          <w:r>
            <w:instrText xml:space="preserve"> PAGEREF _Toc147077602 \h </w:instrText>
          </w:r>
          <w:r>
            <w:fldChar w:fldCharType="separate"/>
          </w:r>
          <w:r>
            <w:t>12</w:t>
          </w:r>
          <w:r>
            <w:fldChar w:fldCharType="end"/>
          </w:r>
          <w:r>
            <w:fldChar w:fldCharType="end"/>
          </w:r>
        </w:p>
        <w:p>
          <w:pPr>
            <w:pStyle w:val="13"/>
            <w:tabs>
              <w:tab w:val="right" w:leader="dot" w:pos="9019"/>
            </w:tabs>
            <w:spacing w:before="240"/>
            <w:rPr>
              <w:rFonts w:asciiTheme="minorHAnsi" w:hAnsiTheme="minorHAnsi" w:eastAsiaTheme="minorEastAsia"/>
              <w:kern w:val="2"/>
              <w:sz w:val="22"/>
              <w:lang w:eastAsia="en-GB"/>
            </w:rPr>
          </w:pPr>
          <w:r>
            <w:fldChar w:fldCharType="begin"/>
          </w:r>
          <w:r>
            <w:instrText xml:space="preserve"> HYPERLINK \l "_Toc147077603" </w:instrText>
          </w:r>
          <w:r>
            <w:fldChar w:fldCharType="separate"/>
          </w:r>
          <w:r>
            <w:rPr>
              <w:rStyle w:val="11"/>
            </w:rPr>
            <w:t>References</w:t>
          </w:r>
          <w:r>
            <w:tab/>
          </w:r>
          <w:r>
            <w:fldChar w:fldCharType="begin"/>
          </w:r>
          <w:r>
            <w:instrText xml:space="preserve"> PAGEREF _Toc147077603 \h </w:instrText>
          </w:r>
          <w:r>
            <w:fldChar w:fldCharType="separate"/>
          </w:r>
          <w:r>
            <w:t>13</w:t>
          </w:r>
          <w:r>
            <w:fldChar w:fldCharType="end"/>
          </w:r>
          <w:r>
            <w:fldChar w:fldCharType="end"/>
          </w:r>
        </w:p>
        <w:p>
          <w:pPr>
            <w:spacing w:before="240"/>
          </w:pPr>
          <w:r>
            <w:rPr>
              <w:b/>
              <w:bCs/>
            </w:rPr>
            <w:fldChar w:fldCharType="end"/>
          </w:r>
        </w:p>
      </w:sdtContent>
    </w:sdt>
    <w:p>
      <w:pPr>
        <w:spacing w:before="240"/>
        <w:jc w:val="left"/>
      </w:pPr>
      <w:r>
        <w:br w:type="page"/>
      </w:r>
    </w:p>
    <w:p>
      <w:pPr>
        <w:pStyle w:val="2"/>
      </w:pPr>
      <w:bookmarkStart w:id="0" w:name="_Toc147077595"/>
      <w:r>
        <w:t>Introduction</w:t>
      </w:r>
      <w:bookmarkEnd w:id="0"/>
    </w:p>
    <w:p>
      <w:pPr>
        <w:spacing w:before="240"/>
      </w:pPr>
      <w:r>
        <w:t>The decline in Seaview Resort's financial performance over the past few years is cause for concern. The company's revenue streams have dried up, occupancy rates have dropped, and measures measuring customer satisfaction have hit rock bottom. The resort's profitability and long-term viability are both in jeopardy because of this downturn. These monetary difficulties add to the worries of the company's owner, Mr. James Henderson. The resort's income statement, balance sheet, and cash flow statement will be the focus of our financial examination (Samman, 2020). Seaview Resort's goal is to improve Seaview Resort's financial health and ensure its long-term viability by identifying and fixing the causes of its financial problems.</w:t>
      </w:r>
    </w:p>
    <w:p>
      <w:pPr>
        <w:spacing w:before="240"/>
      </w:pPr>
      <w:r>
        <w:br w:type="page"/>
      </w:r>
    </w:p>
    <w:p>
      <w:pPr>
        <w:pStyle w:val="2"/>
      </w:pPr>
      <w:bookmarkStart w:id="1" w:name="_Toc147077596"/>
      <w:r>
        <w:t>Market Analysis</w:t>
      </w:r>
      <w:bookmarkEnd w:id="1"/>
    </w:p>
    <w:p>
      <w:pPr>
        <w:spacing w:before="240"/>
        <w:rPr>
          <w:b/>
          <w:bCs/>
        </w:rPr>
      </w:pPr>
      <w:r>
        <w:rPr>
          <w:b/>
          <w:bCs/>
        </w:rPr>
        <w:t>The coastal resort market is highly competitive, with several newer, more modern resorts in the vicinity-</w:t>
      </w:r>
    </w:p>
    <w:p>
      <w:pPr>
        <w:spacing w:before="240"/>
        <w:rPr>
          <w:b/>
          <w:bCs/>
        </w:rPr>
      </w:pPr>
      <w:r>
        <w:t>The Seaview Resort and Spa looks out onto a beach lined with other high-end hotels. The market is aimed at the affluent who have needs beyond just sleeping. Luxurious new resorts include cutting-edge amenities and service (Wild et al., 2020). The service provided by businesses should be more individualized, responsive, and technologically advanced. Today's time-pressed vacationers look for hotels that offer special activities, have strict environmental policies, and have courteous staff members. Seaview Resort, to be successful, must study the marketplace. Think about what the customers want, what their competitors are doing, and any new technologies. It is crucial to identify unmet needs in the market, consumer inclinations, and the advantages and disadvantages of rivals (Jang et al., 2020). The findings of the analysis will serve as a guide for the location selection of Seaview Resort. To compete successfully in the oversaturated market for seaside resorts, Seaview needs to distinguish itself from its competitors by providing exceptional guest experiences, green practices, or specialized services.</w:t>
      </w:r>
    </w:p>
    <w:p>
      <w:pPr>
        <w:spacing w:before="240"/>
        <w:rPr>
          <w:b/>
          <w:bCs/>
        </w:rPr>
      </w:pPr>
      <w:r>
        <w:rPr>
          <w:b/>
          <w:bCs/>
        </w:rPr>
        <w:t>Customer preferences have shifted towards eco-friendly and experiential tourism-</w:t>
      </w:r>
    </w:p>
    <w:p>
      <w:pPr>
        <w:spacing w:before="240"/>
      </w:pPr>
      <w:r>
        <w:t>Hoteliers report an increase in guests interested in eco- and experience-based travel. These days, eco-friendly hotels are a hot commodity among vacationers. More people are staying at resorts that prioritize renewable energy, water conservation, and waste reduction (Dey, 2022). Travelers who seek out "experiential tourism," or travel designed to teach them about local history, culture, and attractions, are also on the rise (Dodds and Jolliffe, 2023). This exemplifies the point that resorts should provide guests more than just a bed for the night. Sales at Seaview Resort may increase if their requirements were met. By utilizing green practices and locally derived activities, Seaview can adapt to the ever-evolving needs of its clientele (Dodds and Jolliffe, 2023). The resort's ability to maintain its competitive edge in the ever-evolving travel industry will depend on its adoption of environmentally responsible business practices, its engagement with the local community, and its marketing of Seaview's natural and cultural attractions.</w:t>
      </w:r>
    </w:p>
    <w:p>
      <w:pPr>
        <w:spacing w:before="240"/>
      </w:pPr>
    </w:p>
    <w:p>
      <w:pPr>
        <w:spacing w:before="240"/>
        <w:rPr>
          <w:b/>
          <w:bCs/>
        </w:rPr>
      </w:pPr>
      <w:r>
        <w:rPr>
          <w:b/>
          <w:bCs/>
        </w:rPr>
        <w:t>The Seaview Resort's customer reviews indicate declining service quality and outdated amenities-</w:t>
      </w:r>
    </w:p>
    <w:p>
      <w:pPr>
        <w:spacing w:before="240"/>
      </w:pPr>
      <w:r>
        <w:t>Respond immediately and thoughtfully to the concerns of guests at the Seaview Resort. Feedback suggests a deterioration in quality. Bad service includes unhelpful employees and unaddressed problems (Sangpikul, 2021). Resorts with subpar customer service are less likely to see repeat visitors. Travelers aren't fond of the resort because of its old facilities. Vacationers in the modern day expect the best and greatest, but the outdated facilities at Seaview Resort are a turnoff. There is an expectation of staying in hotels with up-to-date furnishings and conveniences like high-speed Internet and smart home technology. The resort's services could let them down, leading to a drop in business (Shin and Lee, 2020). An internet backlash against a resort could be detrimental to its bottom line. Customers that decide to stay at Seaview Resort will only do so if they see positive reviews and ratings online. Resorts need to work to restore their guests' faith. To achieve this goal, hotels actively seek out client feedback and use it to train staff, improve services, and introduce new features. The company's eco-friendly policies may entice vacationers. If Seaview Resort is successful in making its guests happy, it will witness a growth not only in its popularity but also in the market share that it holds..</w:t>
      </w:r>
    </w:p>
    <w:p>
      <w:pPr>
        <w:pStyle w:val="2"/>
      </w:pPr>
      <w:bookmarkStart w:id="2" w:name="_Toc147077597"/>
      <w:r>
        <w:t>Scope and Objectives</w:t>
      </w:r>
      <w:bookmarkEnd w:id="2"/>
    </w:p>
    <w:p>
      <w:pPr>
        <w:spacing w:before="240"/>
      </w:pPr>
      <w:r>
        <w:t>All aspects of Seaview Resort's operations, market standing, and guest reviews will be scrutinized as part of this initiative. To ensure the resort's long-term profitability and customer loyalty, it is necessary to pinpoint the root causes of dwindling customer satisfaction and revenue, develop a strategic turnaround plan, improve service quality, update amenities, and bring the resort in line with eco-friendly and experiential tourism trends (Kannan and Zentner, 2021).</w:t>
      </w:r>
    </w:p>
    <w:p>
      <w:pPr>
        <w:spacing w:before="240"/>
        <w:rPr>
          <w:b/>
          <w:bCs/>
        </w:rPr>
      </w:pPr>
      <w:r>
        <w:rPr>
          <w:b/>
          <w:bCs/>
        </w:rPr>
        <w:t>Analyse The Seaview Resort's financial performance over the past three years-</w:t>
      </w:r>
    </w:p>
    <w:p>
      <w:pPr>
        <w:spacing w:before="240"/>
      </w:pPr>
      <w:r>
        <w:t>Investors, stakeholders, and management all care about the company's bottom line. Every business owner who cares about their company's well-being, expansion, and profits needs it. Investors can make more informed decisions and minimize potential loss by analysing financial statements and ratios. Using data, management may make more informed strategic decisions and more efficient use of resources (Goel, 2017). The report is used by creditors and lenders to gauge a company's financial health. Using industry benchmarks, businesses can gauge how they stack up against the competition. Knowing the historical patterns of cash inflow and outflow allows for problem foresight and expansion. Growth and profitability over the long run require careful financial planning and research (Hartill, 2021).</w:t>
      </w:r>
    </w:p>
    <w:p>
      <w:pPr>
        <w:spacing w:before="240"/>
      </w:pPr>
      <w:r>
        <w:drawing>
          <wp:inline distT="0" distB="0" distL="0" distR="0">
            <wp:extent cx="5676900" cy="3200400"/>
            <wp:effectExtent l="0" t="0" r="0" b="0"/>
            <wp:docPr id="19803163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spacing w:before="240"/>
        <w:jc w:val="center"/>
      </w:pPr>
      <w:r>
        <w:t>Fig 1 - Total Revenue</w:t>
      </w:r>
    </w:p>
    <w:p>
      <w:pPr>
        <w:spacing w:before="240"/>
        <w:jc w:val="center"/>
      </w:pPr>
      <w:r>
        <w:t>Source: (Hartill, 2021).</w:t>
      </w:r>
    </w:p>
    <w:p>
      <w:pPr>
        <w:spacing w:before="240"/>
      </w:pPr>
      <w:r>
        <w:t>The firm predicts a precipitous decline in revenue for 2020, 2021, and 2022. There was a decline in earnings from 2020 to 2021 and 2022, from £520,000 to £480,000 and then to £430,000. This reduction could be an indication of problems within the company, such as intensifying competition, economic unpredictability, or shifting consumer preferences (Rodrigue, 2022). A drop in sales threatens the company's capacity to turn a profit, attract investors, and stay in business. The company needs to conduct a thorough market analysis to learn what's causing this reduction. Options exist for minimizing expenses, increasing product variety, maximizing advertising, and stimulating patron interest. Finding and fixing the root causes of this problem is crucial to the company's long-term viability in the face of intense market competition (Hayes, 2023).</w:t>
      </w:r>
    </w:p>
    <w:p>
      <w:pPr>
        <w:spacing w:before="240"/>
      </w:pPr>
      <w:r>
        <w:drawing>
          <wp:inline distT="0" distB="0" distL="0" distR="0">
            <wp:extent cx="5715000" cy="3200400"/>
            <wp:effectExtent l="0" t="0" r="0" b="0"/>
            <wp:docPr id="1988322581"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spacing w:before="240"/>
        <w:jc w:val="center"/>
      </w:pPr>
      <w:r>
        <w:t>Fig 2 - Net Profit Margin</w:t>
      </w:r>
    </w:p>
    <w:p>
      <w:pPr>
        <w:spacing w:before="240"/>
        <w:jc w:val="center"/>
      </w:pPr>
      <w:r>
        <w:t>Source: Self Developed</w:t>
      </w:r>
    </w:p>
    <w:p>
      <w:pPr>
        <w:spacing w:before="240"/>
      </w:pPr>
      <w:r>
        <w:t>Alarmingly, the net profit margin will fall from 2020's 15% to 2021's 8% and 2022's 4%. This precipitous fall is indicative of the company's dwindling profits. A shrinking net profit margin is an indication of either poor cost management or an inability to maintain revenue levels in the face of rising costs (Sugiartha and Nurasik, 2023). This pattern puts at risk not only the long-term viability of the organization but also its capacity to both reinvest and fulfill its commitments in the future. It necessitates an in-depth investigation into the financial dealings that take place within the company. To get the company's profit margin and financial stability back on track, it is essential to implement stringent spending control and investigate new revenue streams (Rich and Jones, 2018).</w:t>
      </w:r>
    </w:p>
    <w:p>
      <w:pPr>
        <w:spacing w:before="240"/>
        <w:rPr>
          <w:b/>
          <w:bCs/>
        </w:rPr>
      </w:pPr>
      <w:r>
        <w:rPr>
          <w:b/>
          <w:bCs/>
        </w:rPr>
        <w:t>The key reasons behind the decline in profitability-</w:t>
      </w:r>
    </w:p>
    <w:p>
      <w:pPr>
        <w:spacing w:before="240"/>
      </w:pPr>
      <w:r>
        <w:t>Multiple interrelated causes contribute to the Seaview Resort's fall in profitability between 2020 and 2022. The first thing to notice is a steady decline in annual revenue from £520,000 in 2020 to £430,000 in 2022. This decline is made worse by the fact that running expenses are also rising, from £390,000 in 2020 to £450,000 in 2022. Also, the average room charge has dropped from £250 in 2020 to £210 in 2022, suggesting that pricing practices have relaxed. The decline in occupancy from 70% in 2020 to 60% in 2022 also means fewer rooms were sold, which influences income. Negative net cash flow from operations in 2021 (-£80,000) is more evidence of financial stress at the resort, showing that core commercial activity did not pay operational expenses (Pettinger, 2017). Lastly, a £500,000 long-term debt increases financial stress, as it necessitates big amounts of earnings for debt service, leaving little room for expenditures and operational improvements. To stop this downward spiral, the resort needs to implement a thorough plan that prioritizes the improvement of guest experiences while also addressing pricing, cost control, operational efficiency, and debt management.</w:t>
      </w:r>
    </w:p>
    <w:p>
      <w:pPr>
        <w:spacing w:before="240"/>
        <w:rPr>
          <w:b/>
          <w:bCs/>
        </w:rPr>
      </w:pPr>
      <w:r>
        <w:rPr>
          <w:b/>
          <w:bCs/>
        </w:rPr>
        <w:t>Develop a comprehensive turnaround strategy to revitalize the resort's financial health and restore its reputation as a premier vacation destination or most viable financial outcomes-</w:t>
      </w:r>
    </w:p>
    <w:p>
      <w:pPr>
        <w:spacing w:before="240"/>
      </w:pPr>
      <w:r>
        <w:t>To repair their finances and their standing, Seaview Resort needs to undergo a major renovation. Savings can be found without reducing quality of service by conducting a comprehensive cost audit. The decline in both room rates and quality of service necessitates a revaluation of current rates. Emphasize the resort's special features to potential guests. Enhancing client satisfaction and loyalty through individualization of services and local attractions (Goldman and Kruger, 2021). Environmentally conscious consumers are attracted to green initiatives because they are efficient. Consolidating debt is an effective way to cut costs and free up cash for vitals. The resort will be more appealing if it offers deals or packages with nearby establishments. Finally, invest in employee service and customer relations training. This would help Seaview Resort get back on its feet financially and regain its status as a premier vacation spot, both of which are essential to its continued success.</w:t>
      </w:r>
      <w:r>
        <w:br w:type="page"/>
      </w:r>
    </w:p>
    <w:p>
      <w:pPr>
        <w:pStyle w:val="2"/>
      </w:pPr>
      <w:bookmarkStart w:id="3" w:name="_Toc147077598"/>
      <w:r>
        <w:t>Income Statement Analysis (2020-2022)</w:t>
      </w:r>
      <w:bookmarkEnd w:id="3"/>
    </w:p>
    <w:p>
      <w:pPr>
        <w:spacing w:before="240"/>
      </w:pPr>
      <w:r>
        <w:t>The numbers for 2020-2022 at Seaview Resort weren't looking good. Due to competition or a drop in demand, sales dropped from £520,000 in 2020 to £430,000 in 2022. The resort's annual operating budget went up from £300,000 to £450,000, a rise of £200,000. Costs for running the resort climbed from £390,000 in 2020 to £450,000 the following year as a direct result of the higher resort fees. The resort's income did, however, fall, from £80,000 in 2020 to £80,000 in 2021. The resort's profit dropped from £78,000 in 2020 to just £17,000 in 2022. A comprehensive analysis of the resort's operational procedures, cost-cutting approaches, and income-enhancing tactics is required to ensure its long-term profitability. The fact that the gross profit remained unchanged at £80,000 despite rising operating expenses illustrates how difficult it is to make a profit (Robinson et al., 2020). There are serious problems with either cost control or revenue generation if net profit falls from £78,000 in 2020 to £17,500 in 2022. The decline in the resort's net profit margin from 15% in 2020 to 4% in 2022 is indicative of financial trouble. The resort needs a thorough plan that targets cost-cutting, revenue expansion, and process optimization if it is to become profitable again.</w:t>
      </w:r>
      <w:r>
        <w:br w:type="page"/>
      </w:r>
    </w:p>
    <w:p>
      <w:pPr>
        <w:pStyle w:val="2"/>
      </w:pPr>
      <w:bookmarkStart w:id="4" w:name="_Toc147077599"/>
      <w:r>
        <w:t>Balance Sheet Analysis (End of 2022)</w:t>
      </w:r>
      <w:bookmarkEnd w:id="4"/>
    </w:p>
    <w:p>
      <w:pPr>
        <w:spacing w:before="240"/>
      </w:pPr>
      <w:r>
        <w:t>The financial projections for Seaview Resort show a bleak future by the year 2022's end. There is a total of £1,200,000 in assets, $250,000 of which are liquid assets like cash and short-term investments. There have been considerable improvements in the resort's physical plant, as evidenced by the £800,000 worth of property and equipment. However, the resort has significant financial commitments, with liabilities totalling £750,000. There are also huge long-term liabilities of £500,000, adding to the present liabilities of £180,000. The owner has a £450,000 stake in the company, which is represented by stock (Mettenheim, 2021). The resort's financial security and long-term viability depend on careful debt management and steady development in revenue, as implied by the resort's organizational structure.</w:t>
      </w:r>
    </w:p>
    <w:p>
      <w:pPr>
        <w:spacing w:before="240"/>
        <w:jc w:val="left"/>
      </w:pPr>
      <w:r>
        <w:br w:type="page"/>
      </w:r>
    </w:p>
    <w:p>
      <w:pPr>
        <w:pStyle w:val="2"/>
      </w:pPr>
      <w:bookmarkStart w:id="5" w:name="_Toc147077600"/>
      <w:r>
        <w:t>Cash Flow Analysis (2021)</w:t>
      </w:r>
      <w:bookmarkEnd w:id="5"/>
    </w:p>
    <w:p>
      <w:pPr>
        <w:spacing w:before="240"/>
      </w:pPr>
      <w:r>
        <w:t>Net cash flow from operations was negative for Seaview Resort in 2021, coming in at a whopping -£80,000. This means that the resort's regular business activities used up more money than they brought in. Despite incurring £30,000 in capital costs, the net cash flow led to a dramatic fall in cash of £110,000. This indicates financial stress, calling for vigilant spending management as well as exploration of opportunities to boost revenue and enhance productivity (Schwarz, 2022).</w:t>
      </w:r>
    </w:p>
    <w:p>
      <w:pPr>
        <w:pStyle w:val="2"/>
      </w:pPr>
      <w:bookmarkStart w:id="6" w:name="_Toc147077601"/>
      <w:r>
        <w:t>Recommendations</w:t>
      </w:r>
      <w:bookmarkEnd w:id="6"/>
    </w:p>
    <w:p>
      <w:pPr>
        <w:spacing w:before="240"/>
      </w:pPr>
      <w:r>
        <w:t>The financial difficulties at Seaview Resort demand prompt action and careful planning. At the outset, it is crucial to implement a stringent cost-cutting strategy that focuses on increasing productivity while decreasing waste. The resort, meantime, must work on diversifying its revenue base through means such as the introduction of new services and partnerships with other businesses to improve those already in place. consumer loyalty and repeat purchases can be increased by listening to and acting on consumer feedback. Additionally, renegotiating debt terms and researching refinancing options are both viable choices for easing financial strain. Targeted marketing to recruit a broader customer base and the incorporation of eco-friendly methods to appeal to modern guests are two measures crucial to the resort's long-term prosperity.</w:t>
      </w:r>
    </w:p>
    <w:p>
      <w:pPr>
        <w:spacing w:before="240"/>
        <w:jc w:val="left"/>
      </w:pPr>
      <w:r>
        <w:br w:type="page"/>
      </w:r>
    </w:p>
    <w:p>
      <w:pPr>
        <w:pStyle w:val="2"/>
      </w:pPr>
      <w:bookmarkStart w:id="7" w:name="_Toc147077602"/>
      <w:r>
        <w:t>Conclusion</w:t>
      </w:r>
      <w:bookmarkEnd w:id="7"/>
    </w:p>
    <w:p>
      <w:pPr>
        <w:spacing w:before="240"/>
      </w:pPr>
      <w:r>
        <w:t>The resort's continuous financial problems are a formidable obstacle that necessitates decisive and timely action. Internal adjustments are required because to falling revenues, rising costs, and shrinking profit margins. The survival of the resort depends on its capacity to reduce expenses, improve guests' stays, and increase revenue streams (Lee and Lee, 2017). Debt consolidation, greener business methods, and increased advertising are all vital steps. Given its status as a popular tourist destination, Seaview's capacity to bounce back financially and thrive in the hospitality industry depends on its willingness to change with the times, try new things, and put the needs of its customers first.</w:t>
      </w:r>
      <w:r>
        <w:br w:type="page"/>
      </w:r>
    </w:p>
    <w:p>
      <w:pPr>
        <w:pStyle w:val="2"/>
      </w:pPr>
      <w:bookmarkStart w:id="8" w:name="_Toc147077603"/>
      <w:r>
        <w:t>References</w:t>
      </w:r>
      <w:bookmarkEnd w:id="8"/>
    </w:p>
    <w:p>
      <w:pPr>
        <w:spacing w:before="240"/>
      </w:pPr>
      <w:r>
        <w:t xml:space="preserve">Dey, S. (2022) ‘Eco-friendly Academic Systems’, Green Academia, pp. 23–66. doi:10.4324/9781003301950-2. </w:t>
      </w:r>
    </w:p>
    <w:p>
      <w:pPr>
        <w:spacing w:before="240"/>
      </w:pPr>
      <w:r>
        <w:t xml:space="preserve">Dodds, R. and Jolliffe, L. (2023a) Experiential tourism: Creating and marketing tourism attraction experiences. [Preprint]. doi:10.32920/22186312.v1. </w:t>
      </w:r>
    </w:p>
    <w:p>
      <w:pPr>
        <w:spacing w:before="240"/>
      </w:pPr>
      <w:r>
        <w:t xml:space="preserve">Dodds, R. and Jolliffe, L. (2023b) Experiential tourism: Creating and marketing tourism attraction experiences. [Preprint]. doi:10.32920/22186312. </w:t>
      </w:r>
    </w:p>
    <w:p>
      <w:pPr>
        <w:spacing w:before="240"/>
      </w:pPr>
      <w:r>
        <w:t xml:space="preserve">Goel, P. (2017) ‘Antecedents of non-financial parameters of corporate performance on financial performance’, SSRN Electronic Journal [Preprint]. doi:10.2139/ssrn.2993002. </w:t>
      </w:r>
    </w:p>
    <w:p>
      <w:pPr>
        <w:spacing w:before="240"/>
      </w:pPr>
      <w:r>
        <w:t xml:space="preserve">Goldman, G.A. and Kruger, J. (2021) ‘Viewing “open strategy” as a viable approach to the management of Strategy’, Journal of Economic and Financial Sciences, 14(1). doi:10.4102/jef.v14i1.579. </w:t>
      </w:r>
    </w:p>
    <w:p>
      <w:pPr>
        <w:spacing w:before="240"/>
      </w:pPr>
      <w:r>
        <w:t xml:space="preserve">Hartill, R. (2021) What is financial performance? The Balance. Available at: https://www.thebalancemoney.com/financial-performance-5193413 (Accessed: 01 October 2023). </w:t>
      </w:r>
    </w:p>
    <w:p>
      <w:pPr>
        <w:spacing w:before="240"/>
      </w:pPr>
      <w:r>
        <w:t xml:space="preserve">Hayes, A. (2023) What is revenue? definition, formula, calculation, and example, Investopedia. Available at: https://www.investopedia.com/terms/r/revenue.asp (Accessed: 01 October 2023). </w:t>
      </w:r>
    </w:p>
    <w:p>
      <w:pPr>
        <w:spacing w:before="240"/>
      </w:pPr>
      <w:r>
        <w:t xml:space="preserve">Jang, J., Kim, M. (Sunny) and Oh, H. (2020) ‘Hotel market analysis’, The Routledge Companion to International Hospitality Management, pp. 392–400. doi:10.4324/9780429426834-37. </w:t>
      </w:r>
    </w:p>
    <w:p>
      <w:pPr>
        <w:spacing w:before="240"/>
      </w:pPr>
      <w:r>
        <w:t xml:space="preserve">Kannan, P. and Zentner, A. (2021) ‘Setting the scope and objectives for Your Data        Analytics Project’, Determining Business Objectives and Planning Data Analytics    Projects [Preprint]. doi:10.4135/9781071866566. </w:t>
      </w:r>
    </w:p>
    <w:p>
      <w:pPr>
        <w:spacing w:before="240"/>
      </w:pPr>
      <w:r>
        <w:t xml:space="preserve">Lee, S.H. and Lee, J. (2017) ‘Nickel and dime guests for amenities: Exploring guests’ perceptions of resort fees’, Journal of Revenue and Pricing Management, 17(1), pp. 20–31. doi:10.1057/s41272-017-0127-8. </w:t>
      </w:r>
    </w:p>
    <w:p>
      <w:pPr>
        <w:spacing w:before="240"/>
      </w:pPr>
      <w:r>
        <w:t xml:space="preserve">Mettenheim, K. (2021) ‘Compounding financialization, critical pluralist political economy, and historical-institutional balance sheet analysis’, Political Economy of Financialization in the United States, pp. 41–97. doi:10.4324/9781003110507-2. </w:t>
      </w:r>
    </w:p>
    <w:p>
      <w:pPr>
        <w:spacing w:before="240"/>
      </w:pPr>
      <w:r>
        <w:t xml:space="preserve">Pettinger, T. (2017) Factors that affect the profitability of firms, Economics Help. Available at: https://www.economicshelp.org/microessays/profit/ (Accessed: 01 October 2023). </w:t>
      </w:r>
    </w:p>
    <w:p>
      <w:pPr>
        <w:spacing w:before="240"/>
      </w:pPr>
      <w:r>
        <w:t xml:space="preserve">Rich, J.S. and Jones, J.P. (2018) Cornerstones of financial accounting. Boston, MA: Cengage Learning. </w:t>
      </w:r>
    </w:p>
    <w:p>
      <w:pPr>
        <w:spacing w:before="240"/>
      </w:pPr>
      <w:r>
        <w:t xml:space="preserve">Robinson, T.R., Henry, E. and Broihahn, M.A. (2020) International Financial Statement Analysis. Hoboken, NJ: John Wiley and Sons, Inc. </w:t>
      </w:r>
    </w:p>
    <w:p>
      <w:pPr>
        <w:spacing w:before="240"/>
      </w:pPr>
      <w:r>
        <w:t xml:space="preserve">Rodrigue, E. (2022) What is total revenue? HubSpot Blog. Available at: https://blog.hubspot.com/sales/total-revenue (Accessed: 01 October 2023). </w:t>
      </w:r>
    </w:p>
    <w:p>
      <w:pPr>
        <w:spacing w:before="240"/>
      </w:pPr>
      <w:r>
        <w:t xml:space="preserve">Samman, A. (2020) ‘Introduction. “We live in financial times”’, History in Financial Times, pp. 1–20. doi:10.1515/9781503609464-003. </w:t>
      </w:r>
    </w:p>
    <w:p>
      <w:pPr>
        <w:spacing w:before="240"/>
      </w:pPr>
      <w:r>
        <w:t xml:space="preserve">Sangpikul, A. (2021) ‘Understanding resort service quality through customer complaints’, Anatolia, 33(1), pp. 143–156. doi:10.1080/13032917.2021.1925937. </w:t>
      </w:r>
    </w:p>
    <w:p>
      <w:pPr>
        <w:spacing w:before="240"/>
      </w:pPr>
      <w:r>
        <w:t xml:space="preserve">Schwarz, L. (2022) Performing a cash flow check-up, Oracle NetSuite. Available at: https://www.netsuite.com/portal/resource/articles/financial-management/cash-flow-analysis.shtml (Accessed: 01 October 2023). </w:t>
      </w:r>
    </w:p>
    <w:p>
      <w:pPr>
        <w:spacing w:before="240"/>
      </w:pPr>
      <w:r>
        <w:t xml:space="preserve">Shin, J. and Lee, K. (2020) ‘The effects of service quality of integrated resort on the customer satisfaction and the customer delight’, Journal of Tourism Management Research, 24(4), pp. 227–250. doi:10.18604/tmro.2020.24.4.12. </w:t>
      </w:r>
    </w:p>
    <w:p>
      <w:pPr>
        <w:spacing w:before="240"/>
      </w:pPr>
      <w:r>
        <w:t xml:space="preserve">Sugiartha, W. and Nurasik, N. (2023) Effect of net profit margin, return on assets and current ratio on dividend policy [Preprint]. doi:10.21070/ups.508. </w:t>
      </w:r>
    </w:p>
    <w:p>
      <w:pPr>
        <w:spacing w:before="240"/>
      </w:pPr>
      <w:r>
        <w:t xml:space="preserve">Wild, J., Shaw, K. and Larson, K. (2020) Fundamental accounting principles, Fundamental Accounting Principles. Available at: https://www.mheducation.com/highered/product/fundamental-accounting-principles-wild-shaw/M9781260247985.html (Accessed: 01 October 2023). </w:t>
      </w:r>
    </w:p>
    <w:p>
      <w:pPr>
        <w:spacing w:before="240"/>
      </w:pPr>
    </w:p>
    <w:p>
      <w:pPr>
        <w:spacing w:before="240"/>
      </w:pPr>
    </w:p>
    <w:p>
      <w:pPr>
        <w:spacing w:before="240"/>
      </w:pPr>
    </w:p>
    <w:sectPr>
      <w:footerReference r:id="rId5" w:type="default"/>
      <w:pgSz w:w="11909" w:h="16834"/>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Yu Gothic Medium">
    <w:panose1 w:val="020B0500000000000000"/>
    <w:charset w:val="80"/>
    <w:family w:val="auto"/>
    <w:pitch w:val="default"/>
    <w:sig w:usb0="E00002FF" w:usb1="2AC7FDFF" w:usb2="00000016" w:usb3="00000000" w:csb0="2002009F" w:csb1="00000000"/>
  </w:font>
  <w:font w:name="Stencil">
    <w:panose1 w:val="040409050D0802020404"/>
    <w:charset w:val="00"/>
    <w:family w:val="auto"/>
    <w:pitch w:val="default"/>
    <w:sig w:usb0="00000003" w:usb1="00000000" w:usb2="00000000" w:usb3="00000000" w:csb0="20000001" w:csb1="00000000"/>
  </w:font>
  <w:font w:name="Tahoma">
    <w:panose1 w:val="020B0604030504040204"/>
    <w:charset w:val="00"/>
    <w:family w:val="auto"/>
    <w:pitch w:val="default"/>
    <w:sig w:usb0="E1002EFF" w:usb1="C000605B" w:usb2="00000029" w:usb3="00000000" w:csb0="200101FF" w:csb1="20280000"/>
  </w:font>
  <w:font w:name="Sylfaen">
    <w:panose1 w:val="010A0502050306030303"/>
    <w:charset w:val="00"/>
    <w:family w:val="auto"/>
    <w:pitch w:val="default"/>
    <w:sig w:usb0="04000687" w:usb1="00000000"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99034699"/>
      <w:docPartObj>
        <w:docPartGallery w:val="AutoText"/>
      </w:docPartObj>
    </w:sdtPr>
    <w:sdtContent>
      <w:p>
        <w:pPr>
          <w:pStyle w:val="9"/>
          <w:jc w:val="right"/>
        </w:pPr>
        <w:r>
          <w:fldChar w:fldCharType="begin"/>
        </w:r>
        <w:r>
          <w:instrText xml:space="preserve">PAGE   \* MERGEFORMAT</w:instrText>
        </w:r>
        <w:r>
          <w:fldChar w:fldCharType="separate"/>
        </w:r>
        <w:r>
          <w:t>2</w:t>
        </w:r>
        <w:r>
          <w:fldChar w:fldCharType="end"/>
        </w:r>
      </w:p>
    </w:sdtContent>
  </w:sdt>
  <w:p>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684"/>
    <w:rsid w:val="00031652"/>
    <w:rsid w:val="000344A5"/>
    <w:rsid w:val="000D06FD"/>
    <w:rsid w:val="000D0710"/>
    <w:rsid w:val="000E2451"/>
    <w:rsid w:val="00116701"/>
    <w:rsid w:val="00116CD7"/>
    <w:rsid w:val="00131E6F"/>
    <w:rsid w:val="0018131C"/>
    <w:rsid w:val="001A44AE"/>
    <w:rsid w:val="001A4DB6"/>
    <w:rsid w:val="001A7027"/>
    <w:rsid w:val="001F1A2E"/>
    <w:rsid w:val="002215F1"/>
    <w:rsid w:val="002406FF"/>
    <w:rsid w:val="00253818"/>
    <w:rsid w:val="00276D52"/>
    <w:rsid w:val="00281B77"/>
    <w:rsid w:val="00282565"/>
    <w:rsid w:val="0029608E"/>
    <w:rsid w:val="002C53DE"/>
    <w:rsid w:val="002D4D22"/>
    <w:rsid w:val="002D4EE0"/>
    <w:rsid w:val="002D527E"/>
    <w:rsid w:val="002E4D74"/>
    <w:rsid w:val="003058D7"/>
    <w:rsid w:val="00371617"/>
    <w:rsid w:val="00371CA9"/>
    <w:rsid w:val="003C1934"/>
    <w:rsid w:val="003E3637"/>
    <w:rsid w:val="004369A1"/>
    <w:rsid w:val="00456B4E"/>
    <w:rsid w:val="00471BBF"/>
    <w:rsid w:val="005201E6"/>
    <w:rsid w:val="0052676B"/>
    <w:rsid w:val="005735FD"/>
    <w:rsid w:val="005B4FD0"/>
    <w:rsid w:val="005B7381"/>
    <w:rsid w:val="005D7FD3"/>
    <w:rsid w:val="005E35A9"/>
    <w:rsid w:val="005F68B1"/>
    <w:rsid w:val="00632C8D"/>
    <w:rsid w:val="00676FB0"/>
    <w:rsid w:val="006B18DA"/>
    <w:rsid w:val="006D2B9C"/>
    <w:rsid w:val="006D5997"/>
    <w:rsid w:val="006F3714"/>
    <w:rsid w:val="00733A5B"/>
    <w:rsid w:val="0077674A"/>
    <w:rsid w:val="00777F55"/>
    <w:rsid w:val="007B35F8"/>
    <w:rsid w:val="007D046D"/>
    <w:rsid w:val="0081454D"/>
    <w:rsid w:val="00842A3D"/>
    <w:rsid w:val="00875330"/>
    <w:rsid w:val="008C4F96"/>
    <w:rsid w:val="008D51F2"/>
    <w:rsid w:val="008F25A1"/>
    <w:rsid w:val="009039F7"/>
    <w:rsid w:val="0090700C"/>
    <w:rsid w:val="00943751"/>
    <w:rsid w:val="00976D60"/>
    <w:rsid w:val="00980976"/>
    <w:rsid w:val="00985CE4"/>
    <w:rsid w:val="0099675A"/>
    <w:rsid w:val="009B6966"/>
    <w:rsid w:val="009C3872"/>
    <w:rsid w:val="009D7741"/>
    <w:rsid w:val="009F6943"/>
    <w:rsid w:val="00A13621"/>
    <w:rsid w:val="00A24C2F"/>
    <w:rsid w:val="00A36B86"/>
    <w:rsid w:val="00A606FB"/>
    <w:rsid w:val="00A95252"/>
    <w:rsid w:val="00AC27DE"/>
    <w:rsid w:val="00B057D1"/>
    <w:rsid w:val="00B13865"/>
    <w:rsid w:val="00B34181"/>
    <w:rsid w:val="00B378CE"/>
    <w:rsid w:val="00B92A78"/>
    <w:rsid w:val="00B943BA"/>
    <w:rsid w:val="00BE31B9"/>
    <w:rsid w:val="00C363BD"/>
    <w:rsid w:val="00C61608"/>
    <w:rsid w:val="00C657B8"/>
    <w:rsid w:val="00C81045"/>
    <w:rsid w:val="00CB1F9E"/>
    <w:rsid w:val="00CB4891"/>
    <w:rsid w:val="00CC3840"/>
    <w:rsid w:val="00CD5915"/>
    <w:rsid w:val="00CF02E5"/>
    <w:rsid w:val="00CF61EF"/>
    <w:rsid w:val="00D523E6"/>
    <w:rsid w:val="00D56E2D"/>
    <w:rsid w:val="00DA76DB"/>
    <w:rsid w:val="00DB13BD"/>
    <w:rsid w:val="00DD1B49"/>
    <w:rsid w:val="00E14DEF"/>
    <w:rsid w:val="00E217A9"/>
    <w:rsid w:val="00E35C2A"/>
    <w:rsid w:val="00EF2A28"/>
    <w:rsid w:val="00FD5C24"/>
    <w:rsid w:val="00FE1684"/>
    <w:rsid w:val="00FF1479"/>
    <w:rsid w:val="0F4027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14:ligatures w14:val="standardContextual"/>
    </w:rPr>
  </w:style>
  <w:style w:type="paragraph" w:styleId="2">
    <w:name w:val="heading 1"/>
    <w:basedOn w:val="1"/>
    <w:next w:val="1"/>
    <w:link w:val="14"/>
    <w:qFormat/>
    <w:uiPriority w:val="9"/>
    <w:pPr>
      <w:keepNext/>
      <w:keepLines/>
      <w:spacing w:before="240" w:after="0"/>
      <w:outlineLvl w:val="0"/>
    </w:pPr>
    <w:rPr>
      <w:rFonts w:eastAsiaTheme="majorEastAsia" w:cstheme="majorBidi"/>
      <w:color w:val="2F5597"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eastAsiaTheme="majorEastAsia" w:cstheme="majorBidi"/>
      <w:color w:val="2F5597" w:themeColor="accent1" w:themeShade="BF"/>
      <w:sz w:val="28"/>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annotation reference"/>
    <w:basedOn w:val="4"/>
    <w:semiHidden/>
    <w:unhideWhenUsed/>
    <w:qFormat/>
    <w:uiPriority w:val="99"/>
    <w:rPr>
      <w:sz w:val="16"/>
      <w:szCs w:val="16"/>
    </w:rPr>
  </w:style>
  <w:style w:type="paragraph" w:styleId="7">
    <w:name w:val="annotation text"/>
    <w:basedOn w:val="1"/>
    <w:link w:val="21"/>
    <w:semiHidden/>
    <w:unhideWhenUsed/>
    <w:qFormat/>
    <w:uiPriority w:val="99"/>
    <w:pPr>
      <w:spacing w:line="240" w:lineRule="auto"/>
    </w:pPr>
    <w:rPr>
      <w:sz w:val="20"/>
      <w:szCs w:val="20"/>
    </w:rPr>
  </w:style>
  <w:style w:type="paragraph" w:styleId="8">
    <w:name w:val="annotation subject"/>
    <w:basedOn w:val="7"/>
    <w:next w:val="7"/>
    <w:link w:val="22"/>
    <w:semiHidden/>
    <w:unhideWhenUsed/>
    <w:qFormat/>
    <w:uiPriority w:val="99"/>
    <w:rPr>
      <w:b/>
      <w:bCs/>
    </w:rPr>
  </w:style>
  <w:style w:type="paragraph" w:styleId="9">
    <w:name w:val="footer"/>
    <w:basedOn w:val="1"/>
    <w:link w:val="18"/>
    <w:unhideWhenUsed/>
    <w:qFormat/>
    <w:uiPriority w:val="99"/>
    <w:pPr>
      <w:tabs>
        <w:tab w:val="center" w:pos="4513"/>
        <w:tab w:val="right" w:pos="9026"/>
      </w:tabs>
      <w:spacing w:after="0" w:line="240" w:lineRule="auto"/>
    </w:pPr>
  </w:style>
  <w:style w:type="paragraph" w:styleId="10">
    <w:name w:val="header"/>
    <w:basedOn w:val="1"/>
    <w:link w:val="17"/>
    <w:unhideWhenUsed/>
    <w:qFormat/>
    <w:uiPriority w:val="99"/>
    <w:pPr>
      <w:tabs>
        <w:tab w:val="center" w:pos="4513"/>
        <w:tab w:val="right" w:pos="9026"/>
      </w:tabs>
      <w:spacing w:after="0" w:line="240" w:lineRule="auto"/>
    </w:pPr>
  </w:style>
  <w:style w:type="character" w:styleId="11">
    <w:name w:val="Hyperlink"/>
    <w:basedOn w:val="4"/>
    <w:unhideWhenUsed/>
    <w:qFormat/>
    <w:uiPriority w:val="99"/>
    <w:rPr>
      <w:color w:val="0563C1" w:themeColor="hyperlink"/>
      <w:u w:val="single"/>
      <w14:textFill>
        <w14:solidFill>
          <w14:schemeClr w14:val="hlink"/>
        </w14:solidFill>
      </w14:textFill>
    </w:rPr>
  </w:style>
  <w:style w:type="paragraph" w:styleId="12">
    <w:name w:val="Normal (Web)"/>
    <w:basedOn w:val="1"/>
    <w:semiHidden/>
    <w:unhideWhenUsed/>
    <w:qFormat/>
    <w:uiPriority w:val="99"/>
    <w:pPr>
      <w:spacing w:before="100" w:beforeAutospacing="1" w:after="100" w:afterAutospacing="1" w:line="240" w:lineRule="auto"/>
      <w:jc w:val="left"/>
    </w:pPr>
    <w:rPr>
      <w:rFonts w:eastAsia="Times New Roman" w:cs="Times New Roman"/>
      <w:szCs w:val="24"/>
      <w:lang w:eastAsia="en-GB"/>
      <w14:ligatures w14:val="none"/>
    </w:rPr>
  </w:style>
  <w:style w:type="paragraph" w:styleId="13">
    <w:name w:val="toc 1"/>
    <w:basedOn w:val="1"/>
    <w:next w:val="1"/>
    <w:unhideWhenUsed/>
    <w:qFormat/>
    <w:uiPriority w:val="39"/>
    <w:pPr>
      <w:spacing w:after="100"/>
    </w:pPr>
  </w:style>
  <w:style w:type="character" w:customStyle="1" w:styleId="14">
    <w:name w:val="Heading 1 Char"/>
    <w:basedOn w:val="4"/>
    <w:link w:val="2"/>
    <w:qFormat/>
    <w:uiPriority w:val="9"/>
    <w:rPr>
      <w:rFonts w:ascii="Times New Roman" w:hAnsi="Times New Roman" w:eastAsiaTheme="majorEastAsia" w:cstheme="majorBidi"/>
      <w:color w:val="2F5597" w:themeColor="accent1" w:themeShade="BF"/>
      <w:sz w:val="32"/>
      <w:szCs w:val="32"/>
    </w:rPr>
  </w:style>
  <w:style w:type="character" w:customStyle="1" w:styleId="15">
    <w:name w:val="Heading 2 Char"/>
    <w:basedOn w:val="4"/>
    <w:link w:val="3"/>
    <w:qFormat/>
    <w:uiPriority w:val="9"/>
    <w:rPr>
      <w:rFonts w:ascii="Times New Roman" w:hAnsi="Times New Roman" w:eastAsiaTheme="majorEastAsia" w:cstheme="majorBidi"/>
      <w:color w:val="2F5597" w:themeColor="accent1" w:themeShade="BF"/>
      <w:sz w:val="28"/>
      <w:szCs w:val="26"/>
    </w:rPr>
  </w:style>
  <w:style w:type="paragraph" w:styleId="16">
    <w:name w:val="No Spacing"/>
    <w:qFormat/>
    <w:uiPriority w:val="1"/>
    <w:pPr>
      <w:spacing w:after="0" w:line="240" w:lineRule="auto"/>
    </w:pPr>
    <w:rPr>
      <w:rFonts w:asciiTheme="minorHAnsi" w:hAnsiTheme="minorHAnsi" w:eastAsiaTheme="minorHAnsi" w:cstheme="minorBidi"/>
      <w:sz w:val="22"/>
      <w:szCs w:val="22"/>
      <w:lang w:val="en-IN" w:eastAsia="en-US" w:bidi="ar-SA"/>
      <w14:ligatures w14:val="none"/>
    </w:rPr>
  </w:style>
  <w:style w:type="character" w:customStyle="1" w:styleId="17">
    <w:name w:val="Header Char"/>
    <w:basedOn w:val="4"/>
    <w:link w:val="10"/>
    <w:qFormat/>
    <w:uiPriority w:val="99"/>
    <w:rPr>
      <w:rFonts w:ascii="Times New Roman" w:hAnsi="Times New Roman"/>
      <w:sz w:val="24"/>
    </w:rPr>
  </w:style>
  <w:style w:type="character" w:customStyle="1" w:styleId="18">
    <w:name w:val="Footer Char"/>
    <w:basedOn w:val="4"/>
    <w:link w:val="9"/>
    <w:qFormat/>
    <w:uiPriority w:val="99"/>
    <w:rPr>
      <w:rFonts w:ascii="Times New Roman" w:hAnsi="Times New Roman"/>
      <w:sz w:val="24"/>
    </w:r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lang w:eastAsia="en-GB"/>
      <w14:ligatures w14:val="none"/>
    </w:rPr>
  </w:style>
  <w:style w:type="paragraph" w:styleId="20">
    <w:name w:val="List Paragraph"/>
    <w:basedOn w:val="1"/>
    <w:qFormat/>
    <w:uiPriority w:val="34"/>
    <w:pPr>
      <w:ind w:left="720"/>
      <w:contextualSpacing/>
    </w:pPr>
  </w:style>
  <w:style w:type="character" w:customStyle="1" w:styleId="21">
    <w:name w:val="Comment Text Char"/>
    <w:basedOn w:val="4"/>
    <w:link w:val="7"/>
    <w:semiHidden/>
    <w:qFormat/>
    <w:uiPriority w:val="99"/>
    <w:rPr>
      <w:rFonts w:ascii="Times New Roman" w:hAnsi="Times New Roman"/>
      <w:sz w:val="20"/>
      <w:szCs w:val="20"/>
    </w:rPr>
  </w:style>
  <w:style w:type="character" w:customStyle="1" w:styleId="22">
    <w:name w:val="Comment Subject Char"/>
    <w:basedOn w:val="21"/>
    <w:link w:val="8"/>
    <w:semiHidden/>
    <w:qFormat/>
    <w:uiPriority w:val="99"/>
    <w:rPr>
      <w:rFonts w:ascii="Times New Roman" w:hAnsi="Times New Roman"/>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chart" Target="charts/chart2.xml"/><Relationship Id="rId8" Type="http://schemas.openxmlformats.org/officeDocument/2006/relationships/chart" Target="charts/chart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GB" sz="1600" b="1" i="0" u="none" strike="noStrike" kern="1200" cap="all" baseline="0">
              <a:solidFill>
                <a:schemeClr val="tx1">
                  <a:lumMod val="65000"/>
                  <a:lumOff val="35000"/>
                </a:schemeClr>
              </a:solidFill>
              <a:latin typeface="+mn-lt"/>
              <a:ea typeface="+mn-ea"/>
              <a:cs typeface="+mn-cs"/>
            </a:defRPr>
          </a:pPr>
        </a:p>
      </c:txPr>
    </c:title>
    <c:autoTitleDeleted val="0"/>
    <c:view3D>
      <c:rotX val="30"/>
      <c:rotY val="0"/>
      <c:depthPercent val="100"/>
      <c:rAngAx val="0"/>
    </c:view3D>
    <c:floor>
      <c:thickness val="0"/>
      <c:spPr>
        <a:noFill/>
        <a:ln>
          <a:noFill/>
        </a:ln>
        <a:effectLst/>
      </c:spPr>
    </c:floor>
    <c:sideWall>
      <c:thickness val="0"/>
      <c:spPr>
        <a:noFill/>
        <a:ln>
          <a:noFill/>
        </a:ln>
        <a:effectLst/>
      </c:spPr>
    </c:sideWall>
    <c:backWall>
      <c:thickness val="0"/>
      <c:spPr>
        <a:noFill/>
        <a:ln>
          <a:noFill/>
        </a:ln>
        <a:effectLst/>
      </c:spPr>
    </c:backWall>
    <c:plotArea>
      <c:layout/>
      <c:pie3DChart>
        <c:varyColors val="1"/>
        <c:ser>
          <c:idx val="0"/>
          <c:order val="0"/>
          <c:tx>
            <c:strRef>
              <c:f>Sheet1!$B$1</c:f>
              <c:strCache>
                <c:ptCount val="1"/>
                <c:pt idx="0">
                  <c:v>Total Revenue</c:v>
                </c:pt>
              </c:strCache>
            </c:strRef>
          </c:tx>
          <c:spPr/>
          <c:explosion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1"/>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Pt>
            <c:idx val="2"/>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Pt>
          <c:dLbls>
            <c:dLbl>
              <c:idx val="0"/>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1"/>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3"/>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2"/>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GB" sz="1000" b="1" i="0" u="none" strike="noStrike" kern="1200" spc="0" baseline="0">
                      <a:solidFill>
                        <a:schemeClr val="accent5"/>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spPr>
              <a:noFill/>
              <a:ln>
                <a:noFill/>
              </a:ln>
              <a:effectLst/>
            </c:spPr>
            <c:txPr>
              <a:bodyPr rot="0" spcFirstLastPara="0" vertOverflow="ellipsis" vert="horz" wrap="square" lIns="38100" tIns="19050" rIns="38100" bIns="19050" anchor="ctr" anchorCtr="1"/>
              <a:lstStyle/>
              <a:p>
                <a:pPr>
                  <a:defRPr lang="en-GB"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2020</c:v>
                </c:pt>
                <c:pt idx="1">
                  <c:v>2021</c:v>
                </c:pt>
                <c:pt idx="2">
                  <c:v>2022</c:v>
                </c:pt>
              </c:numCache>
            </c:numRef>
          </c:cat>
          <c:val>
            <c:numRef>
              <c:f>Sheet1!$B$2:$B$4</c:f>
              <c:numCache>
                <c:formatCode>#,##0</c:formatCode>
                <c:ptCount val="3"/>
                <c:pt idx="0">
                  <c:v>520000</c:v>
                </c:pt>
                <c:pt idx="1">
                  <c:v>480000</c:v>
                </c:pt>
                <c:pt idx="2">
                  <c:v>430000</c:v>
                </c:pt>
              </c:numCache>
            </c:numRef>
          </c:val>
        </c:ser>
        <c:dLbls>
          <c:showLegendKey val="0"/>
          <c:showVal val="0"/>
          <c:showCatName val="1"/>
          <c:showSerName val="0"/>
          <c:showPercent val="0"/>
          <c:showBubbleSize val="0"/>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GB"/>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GB" sz="1800" b="1" i="0" u="none" strike="noStrike" kern="1200" baseline="0">
              <a:solidFill>
                <a:schemeClr val="dk1">
                  <a:lumMod val="75000"/>
                  <a:lumOff val="25000"/>
                </a:schemeClr>
              </a:solidFill>
              <a:latin typeface="+mn-lt"/>
              <a:ea typeface="+mn-ea"/>
              <a:cs typeface="+mn-cs"/>
            </a:defRPr>
          </a:pPr>
        </a:p>
      </c:txPr>
    </c:title>
    <c:autoTitleDeleted val="0"/>
    <c:plotArea>
      <c:layout/>
      <c:lineChart>
        <c:grouping val="standard"/>
        <c:varyColors val="0"/>
        <c:ser>
          <c:idx val="0"/>
          <c:order val="0"/>
          <c:tx>
            <c:strRef>
              <c:f>Sheet1!$B$1</c:f>
              <c:strCache>
                <c:ptCount val="1"/>
                <c:pt idx="0">
                  <c:v>Net Profit Margin</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lang="en-GB" sz="900" b="1" i="0" u="none" strike="noStrike" kern="1200" baseline="0">
                    <a:solidFill>
                      <a:schemeClr val="lt1"/>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numRef>
              <c:f>Sheet1!$A$2:$A$4</c:f>
              <c:numCache>
                <c:formatCode>General</c:formatCode>
                <c:ptCount val="3"/>
                <c:pt idx="0">
                  <c:v>2020</c:v>
                </c:pt>
                <c:pt idx="1">
                  <c:v>2021</c:v>
                </c:pt>
                <c:pt idx="2">
                  <c:v>2022</c:v>
                </c:pt>
              </c:numCache>
            </c:numRef>
          </c:cat>
          <c:val>
            <c:numRef>
              <c:f>Sheet1!$B$2:$B$4</c:f>
              <c:numCache>
                <c:formatCode>General</c:formatCode>
                <c:ptCount val="3"/>
                <c:pt idx="0">
                  <c:v>15</c:v>
                </c:pt>
                <c:pt idx="1">
                  <c:v>8</c:v>
                </c:pt>
                <c:pt idx="2">
                  <c:v>4</c:v>
                </c:pt>
              </c:numCache>
            </c:numRef>
          </c:val>
          <c:smooth val="0"/>
        </c:ser>
        <c:dLbls>
          <c:showLegendKey val="0"/>
          <c:showVal val="1"/>
          <c:showCatName val="0"/>
          <c:showSerName val="0"/>
          <c:showPercent val="0"/>
          <c:showBubbleSize val="0"/>
        </c:dLbls>
        <c:marker val="1"/>
        <c:smooth val="0"/>
        <c:axId val="424872511"/>
        <c:axId val="668853951"/>
      </c:lineChart>
      <c:catAx>
        <c:axId val="424872511"/>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GB" sz="900" b="0" i="0" u="none" strike="noStrike" kern="1200" cap="all" baseline="0">
                <a:solidFill>
                  <a:schemeClr val="dk1">
                    <a:lumMod val="75000"/>
                    <a:lumOff val="25000"/>
                  </a:schemeClr>
                </a:solidFill>
                <a:latin typeface="+mn-lt"/>
                <a:ea typeface="+mn-ea"/>
                <a:cs typeface="+mn-cs"/>
              </a:defRPr>
            </a:pPr>
          </a:p>
        </c:txPr>
        <c:crossAx val="668853951"/>
        <c:crosses val="autoZero"/>
        <c:auto val="1"/>
        <c:lblAlgn val="ctr"/>
        <c:lblOffset val="100"/>
        <c:noMultiLvlLbl val="0"/>
      </c:catAx>
      <c:valAx>
        <c:axId val="668853951"/>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txPr>
          <a:bodyPr rot="-60000000" spcFirstLastPara="0" vertOverflow="ellipsis" vert="horz" wrap="square" anchor="ctr" anchorCtr="1"/>
          <a:lstStyle/>
          <a:p>
            <a:pPr>
              <a:defRPr lang="en-GB" sz="900" b="0" i="0" u="none" strike="noStrike" kern="1200" baseline="0">
                <a:solidFill>
                  <a:schemeClr val="dk1">
                    <a:lumMod val="75000"/>
                    <a:lumOff val="25000"/>
                  </a:schemeClr>
                </a:solidFill>
                <a:latin typeface="+mn-lt"/>
                <a:ea typeface="+mn-ea"/>
                <a:cs typeface="+mn-cs"/>
              </a:defRPr>
            </a:pPr>
          </a:p>
        </c:txPr>
        <c:crossAx val="424872511"/>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lang="en-GB"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GB"/>
      </a:pPr>
    </a:p>
  </c:txPr>
  <c:externalData r:id="rId1">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7349E-DB90-4F01-AD0E-DCB0AFEA59B3}">
  <ds:schemaRefs/>
</ds:datastoreItem>
</file>

<file path=docProps/app.xml><?xml version="1.0" encoding="utf-8"?>
<Properties xmlns="http://schemas.openxmlformats.org/officeDocument/2006/extended-properties" xmlns:vt="http://schemas.openxmlformats.org/officeDocument/2006/docPropsVTypes">
  <Template>Normal</Template>
  <Pages>1</Pages>
  <Words>2829</Words>
  <Characters>16126</Characters>
  <Lines>134</Lines>
  <Paragraphs>37</Paragraphs>
  <TotalTime>4</TotalTime>
  <ScaleCrop>false</ScaleCrop>
  <LinksUpToDate>false</LinksUpToDate>
  <CharactersWithSpaces>18918</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2023-10-01T08:17:00Z</dcterms:created>
  <dc:creator>shazi</dc:creator>
  <cp:lastModifiedBy>Shazida begum</cp:lastModifiedBy>
  <dcterms:modified xsi:type="dcterms:W3CDTF">2023-10-18T07:33:22Z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645a8fab04913d544f6bbbbb8fa743f98323194eb2f63cbee58e353b938484b0</vt:lpwstr>
  </property>
  <property fmtid="{D5CDD505-2E9C-101B-9397-08002B2CF9AE}" pid="3" name="KSOProductBuildVer">
    <vt:lpwstr>2057-12.2.0.13266</vt:lpwstr>
  </property>
  <property fmtid="{D5CDD505-2E9C-101B-9397-08002B2CF9AE}" pid="4" name="ICV">
    <vt:lpwstr>524711B1674B43EA85F1292D95A4C292_13</vt:lpwstr>
  </property>
</Properties>
</file>